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843" w:rsidRDefault="0091466E">
      <w:pPr>
        <w:rPr>
          <w:rFonts w:hint="eastAsia"/>
        </w:rPr>
      </w:pPr>
      <w:r w:rsidRPr="0091466E">
        <w:rPr>
          <w:rFonts w:hint="eastAsia"/>
        </w:rPr>
        <w:t>鄂托克旗人民政府办公室关于分解落实</w:t>
      </w:r>
      <w:r w:rsidRPr="0091466E">
        <w:rPr>
          <w:rFonts w:hint="eastAsia"/>
        </w:rPr>
        <w:t>2022</w:t>
      </w:r>
      <w:r w:rsidRPr="0091466E">
        <w:rPr>
          <w:rFonts w:hint="eastAsia"/>
        </w:rPr>
        <w:t>年政府工作报告目标任务的通知</w:t>
      </w:r>
    </w:p>
    <w:p w:rsidR="0091466E" w:rsidRPr="0091466E" w:rsidRDefault="0091466E" w:rsidP="0091466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91466E">
        <w:rPr>
          <w:rFonts w:ascii="仿宋_GB2312" w:eastAsia="仿宋_GB2312" w:hAnsi="宋体" w:cs="宋体"/>
          <w:kern w:val="0"/>
          <w:sz w:val="24"/>
          <w:szCs w:val="24"/>
        </w:rPr>
        <w:t>各苏木镇人民政府，各园区管委会，旗人民政府各部门，各直属单位，各大企事业单位：</w:t>
      </w:r>
      <w:r w:rsidRPr="0091466E">
        <w:rPr>
          <w:rFonts w:ascii="宋体" w:eastAsia="宋体" w:hAnsi="宋体" w:cs="宋体"/>
          <w:kern w:val="0"/>
          <w:sz w:val="24"/>
          <w:szCs w:val="24"/>
        </w:rPr>
        <w:t xml:space="preserve">  </w:t>
      </w: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 xml:space="preserve">　　2022年是党的二十大召开之年，也是“十四五”规划全面实施的关键一年，做好全年经济社会发展各项工作意义重大。为确保2020年旗人民政府《政府工作报告》确定的各项目标任务圆满完成，经旗人民政府同意，现就《政府工作报告》提出的目标任务予以分解，并提出如下贯彻意见。 </w:t>
      </w: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91466E">
        <w:rPr>
          <w:rFonts w:ascii="楷体_GB2312" w:eastAsia="楷体_GB2312" w:hAnsi="宋体" w:cs="宋体"/>
          <w:kern w:val="0"/>
          <w:sz w:val="24"/>
          <w:szCs w:val="24"/>
        </w:rPr>
        <w:t>一要加强领导，明确责任。</w:t>
      </w:r>
      <w:r w:rsidRPr="0091466E">
        <w:rPr>
          <w:rFonts w:ascii="仿宋_GB2312" w:eastAsia="仿宋_GB2312" w:hAnsi="宋体" w:cs="宋体"/>
          <w:kern w:val="0"/>
          <w:sz w:val="24"/>
          <w:szCs w:val="24"/>
        </w:rPr>
        <w:t>各责任领导要牵头抓总、靠前指挥，集中精力抓好重点工作和重大项目，定期调度、及时研究解决工作推进中存在的困难和问题，确保各项工作安排部署到位。各责任单位一把手要具体负责、主动上手，形成任务清单，每周一调度，半月一报告，确保各项工作高标准、高质量推进。</w:t>
      </w:r>
      <w:r w:rsidRPr="0091466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91466E">
        <w:rPr>
          <w:rFonts w:ascii="楷体_GB2312" w:eastAsia="楷体_GB2312" w:hAnsi="宋体" w:cs="宋体"/>
          <w:kern w:val="0"/>
          <w:sz w:val="24"/>
          <w:szCs w:val="24"/>
        </w:rPr>
        <w:t>二要加强配合，形成合力。</w:t>
      </w:r>
      <w:r w:rsidRPr="0091466E">
        <w:rPr>
          <w:rFonts w:ascii="仿宋_GB2312" w:eastAsia="仿宋_GB2312" w:hAnsi="宋体" w:cs="宋体"/>
          <w:kern w:val="0"/>
          <w:sz w:val="24"/>
          <w:szCs w:val="24"/>
        </w:rPr>
        <w:t>各责任领导之间要加强协调配合，共同研究、共同部署、共同推进各项重点工作。各牵头单位要敢于担当、主动上手，对照重点任务，抓好执行落实；各责任配合单位要树立全旗一盘棋的思想，各司其职、密切配合，坚决杜绝推诿扯皮、有令不行，确保按时按要求完成各项工作任务。</w:t>
      </w:r>
      <w:r w:rsidRPr="0091466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91466E">
        <w:rPr>
          <w:rFonts w:ascii="楷体_GB2312" w:eastAsia="楷体_GB2312" w:hAnsi="宋体" w:cs="宋体"/>
          <w:kern w:val="0"/>
          <w:sz w:val="24"/>
          <w:szCs w:val="24"/>
        </w:rPr>
        <w:t>三要加强督查，狠抓落实。</w:t>
      </w:r>
      <w:r w:rsidRPr="0091466E">
        <w:rPr>
          <w:rFonts w:ascii="仿宋_GB2312" w:eastAsia="仿宋_GB2312" w:hAnsi="宋体" w:cs="宋体"/>
          <w:kern w:val="0"/>
          <w:sz w:val="24"/>
          <w:szCs w:val="24"/>
        </w:rPr>
        <w:t>政府办和督查、考核等部门要加大督查督办力度，实行全过程参与、全方位督查。每半个月开展一次工作督查，及时反馈和通报工作进展情况。对工作不认真、实施不及时、落实不到位的地区和单位给予通报批评，并按有关规定追究相关责任人的责任。</w:t>
      </w:r>
      <w:r w:rsidRPr="0091466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 xml:space="preserve">　　  </w:t>
      </w: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  <w:r w:rsidRPr="0091466E">
        <w:rPr>
          <w:rFonts w:ascii="仿宋_GB2312" w:eastAsia="仿宋_GB2312" w:hAnsi="宋体" w:cs="宋体"/>
          <w:kern w:val="0"/>
          <w:sz w:val="24"/>
          <w:szCs w:val="24"/>
        </w:rPr>
        <w:t>附件：</w:t>
      </w:r>
      <w:r w:rsidRPr="0091466E">
        <w:rPr>
          <w:rFonts w:ascii="宋体" w:eastAsia="宋体" w:hAnsi="宋体" w:cs="宋体"/>
          <w:kern w:val="0"/>
          <w:sz w:val="24"/>
          <w:szCs w:val="24"/>
        </w:rPr>
        <w:t>2022</w:t>
      </w:r>
      <w:r w:rsidRPr="0091466E">
        <w:rPr>
          <w:rFonts w:ascii="仿宋_GB2312" w:eastAsia="仿宋_GB2312" w:hAnsi="宋体" w:cs="宋体"/>
          <w:kern w:val="0"/>
          <w:sz w:val="24"/>
          <w:szCs w:val="24"/>
        </w:rPr>
        <w:t>年政府工作报告目标任务分解表</w:t>
      </w:r>
      <w:r w:rsidRPr="0091466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91466E" w:rsidRDefault="0091466E" w:rsidP="0091466E">
      <w:pPr>
        <w:widowControl/>
        <w:spacing w:line="560" w:lineRule="atLeast"/>
        <w:rPr>
          <w:rFonts w:ascii="黑体" w:eastAsia="黑体" w:hAnsi="黑体" w:cs="宋体"/>
          <w:kern w:val="0"/>
          <w:sz w:val="32"/>
          <w:szCs w:val="32"/>
        </w:rPr>
        <w:sectPr w:rsidR="0091466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1466E" w:rsidRPr="0091466E" w:rsidRDefault="0091466E" w:rsidP="0091466E">
      <w:pPr>
        <w:widowControl/>
        <w:spacing w:line="560" w:lineRule="atLeas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  <w:bookmarkStart w:id="0" w:name="_GoBack"/>
      <w:bookmarkEnd w:id="0"/>
    </w:p>
    <w:p w:rsidR="0091466E" w:rsidRPr="0091466E" w:rsidRDefault="0091466E" w:rsidP="0091466E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方正小标宋简体" w:eastAsia="方正小标宋简体" w:hAnsi="宋体" w:cs="宋体" w:hint="eastAsia"/>
          <w:kern w:val="0"/>
          <w:sz w:val="44"/>
          <w:szCs w:val="44"/>
        </w:rPr>
        <w:t>2022年政府工作报告目标任务分解表</w:t>
      </w: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 w:hint="eastAsia"/>
          <w:kern w:val="0"/>
          <w:szCs w:val="21"/>
        </w:rPr>
        <w:t> </w:t>
      </w:r>
    </w:p>
    <w:tbl>
      <w:tblPr>
        <w:tblW w:w="1494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9030"/>
        <w:gridCol w:w="1545"/>
        <w:gridCol w:w="1734"/>
        <w:gridCol w:w="1884"/>
      </w:tblGrid>
      <w:tr w:rsidR="0091466E" w:rsidRPr="0091466E" w:rsidTr="0091466E">
        <w:trPr>
          <w:trHeight w:val="400"/>
        </w:trPr>
        <w:tc>
          <w:tcPr>
            <w:tcW w:w="7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重点工作任务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责任领导</w:t>
            </w:r>
          </w:p>
        </w:tc>
        <w:tc>
          <w:tcPr>
            <w:tcW w:w="17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牵头单位</w:t>
            </w:r>
          </w:p>
        </w:tc>
        <w:tc>
          <w:tcPr>
            <w:tcW w:w="18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责任单位</w:t>
            </w:r>
          </w:p>
        </w:tc>
      </w:tr>
      <w:tr w:rsidR="0091466E" w:rsidRPr="0091466E" w:rsidTr="0091466E">
        <w:trPr>
          <w:trHeight w:val="57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全面负责旗人民政府各项重点工作。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王国泉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各地各部门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spacing w:val="-20"/>
                <w:kern w:val="0"/>
                <w:sz w:val="24"/>
                <w:szCs w:val="24"/>
              </w:rPr>
              <w:t>各地各部门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启动重点项目“招商链”，充分发挥“链长”和“链主”引导作用，按照“非禁即入”原则，完善市场准入负面清单制度，制定招商图谱，采用云招商、委托招商等新模式，精准辐射对接京津冀、长三角、珠三角产业群，积极承接引进“专精特新”和绿色低碳产业，签约项目20个以上、协议总金额500亿元以上，年内落地建设一批以清洁能源、综合利用为主的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强链补链型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、集群配套型和头部带动型项目。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贾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鄂托克经济开发区管委会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招商引资中心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实施重点工业企业超低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排放值改造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和挥发性有机物治理项目10个。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贾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鄂托克经济开发区管委会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生态环境分局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大力提升园区污水处理水平，实现高盐水“全处理、零排放”。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贾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鄂托克经济开发区管委会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生态环境分局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园区提质行动，优化道路管网、供电供水、绿化美化、应急消防等基础配套，加强教育、医疗、文化等公共服务保障，抓好能源服务、信息服务、科技服务、金融服务、现代物流体系配建，构建与工业体量相适应、与企业需求相呼应的发展模式，建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设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产城融合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高端引领示范区。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 xml:space="preserve">贾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鄂托克经济开发区管委会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各地各部门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建立亩均、耗均、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碳均考核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评价体系，积极推进“标准地”模式，加快实现“拿地即开工”。探索推进绿色发展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财政奖补制度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贾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鄂托克经济开发区管委会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发改委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、自然资源局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启动建设棋盘井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东项目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区消防站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贾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瑞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鄂托克经济开发区管委会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管委会建设局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加快推进文化产业创业园、阿尔寨石窟数字展厅等项目落地实施。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尚二平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文旅局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阿尔寨石窟研究院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拓展提升“可爱鄂托克、神奇大草原”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文旅品牌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，重点围绕历史文物、观光旅游、红色文化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等文旅资源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，做好创意营销，推动优质资源变成优势产业。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尚二平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文旅局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文旅局、文旅投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公司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好草原音乐节、那达慕等特色品牌文化活动，实施休闲农牧业和乡村旅游精品工程，培育一批乡村旅游示范村、星级村。加强非物质文化传承保护，扎实做好阿尔寨石窟、桌子山岩画群、百眼井群等重点文物保护修缮工程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尚二平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文旅局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阿尔寨石窟研究院、农牧局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推进移风易俗，倡导文明新风，不断创新基层治理模式，充分发挥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网格员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和志愿者作用，深化拓展新时代文明实践中心建设，广泛性开展群众性文化活动，持续推进“智慧广电”网络、草原书屋和“电影+”公益放映等文化惠民工程。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尚二平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12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地区生产总值增长8%左右；固定资产投资增长15%左右；社会消费品零售总额增长6%左右；一般公共预算收入增长6%左右；城乡居民人均可支配收入分别达到56200元和25800元，增长5%和7%以上。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统计局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各地各部门</w:t>
            </w:r>
          </w:p>
        </w:tc>
      </w:tr>
      <w:tr w:rsidR="0091466E" w:rsidRPr="0091466E" w:rsidTr="0091466E">
        <w:trPr>
          <w:trHeight w:val="9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 w:line="9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突出投资强度、科技高度、链条长度、环保程度、能耗限度，年内实施各类重大项目100个以上，当年完成投资100亿元以上。确保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东晶高纯晶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硅一体化、建元焦化下游等项目取得实质性进展，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美科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20GW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单晶拉棒及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切片、平煤神马60万吨己二酸、鄂尔多斯微电网可再生能源替代等项目落地实施。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发改委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 w:line="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工科局、统计局、政务服务局、鄂托克经济开发区管委会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坚决遏制“两高”项目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发改委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工科局、鄂托克经济开发区管委会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持续推进黄河流域生态保护和高质量发展，集中实施一批沿黄生态重点项目，以高质量发展促进高水平保护，全力打造“百里生态长廊、多彩蒙西画卷”。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发改委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农牧局、蒙西镇、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文旅局</w:t>
            </w:r>
            <w:proofErr w:type="gramEnd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、乡村振兴发展中心、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文旅投</w:t>
            </w:r>
            <w:proofErr w:type="gramEnd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公司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实施岸线整治、土地整理、产业整合，坚持种、养、加、销、游一体化统筹协调发展，推动沿黄地区标准化、规范化、系统化发展，彻底改变黄河治理现状。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发改委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蒙西镇、各部门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加强矿山地质环境修复治理，稳妥有序推进矿业权整合，推广绿色矿山“集中连片、采治同步”治理模式，年内建成绿色矿山12家以上。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自然资源局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应急管理局、能源局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加快实施棋盘井水源地引黄工程，加大节水控水力度，有效解决地下水超采问题。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国资委、国资公司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全面推行“一网办、掌上办、预约办、帮办代办、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事特办”，提供24小时“自助办、就近办、马上办”服务。加强信息共享，优化并联审批，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实现容缺受理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，推行一枚印章，高频事项实现“秒批秒办”，优化“不见面”审批和“保姆式”服务，让数据多跑路，群众少跑腿。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政务服务局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各地各部门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深化“政府政务+园区政务”模式，让企业、群众办事不出园区。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政务服务局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鄂托克经济开发区管委会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深化国有企业三年改革行动，盘活国有闲置资产，完善国有企业薪酬与绩效挂钩机制。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国资委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国有企业改革领导小组成员单位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深入开展安全生产专项整治三年行动，抓好高危行业风险管控和城市燃气等重点领域隐患排查整治，坚决防范遏制重特大事故。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应急管理局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住建局、能源局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建设饲料牧草储备基地3处，全面提高防灾减灾救灾能力。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罗建勋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发改委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棋盘井镇、木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凯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淖尔镇、苏米图苏木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实施农村路网建设300公里。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围绕全国文明城市创建标准，突出抓好公共设施、基础设施、便民设施建设，加快推进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温泉康养社区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、温泉供热示范试点建设，建成投运游泳馆、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乒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羽馆，确保老年活动中心、综合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养老康养服务中心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等项目主体完工，实施市政道路8公里、地下管网15公里，新增绿地面积10万平方米，改造老旧小区9个、硬化背街小巷15万平方米、新建改造供热管网12公里。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公用事业服务中心、房管中心、代建中心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26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突出精细管理。加强城市“体检”，着力解决占道经营、乱停乱放、私搭乱建、交通混乱、蛛网飞线等一批群众反映强烈的“城市顽疾”，全面加强城乡环境日常监管和综合整治，大力提升城郊结合、拆迁片区、租赁商区、住宅小区环境整治水平，打造干净、有序、美丽的城镇环境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市监局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、工科局、房管中心、公用事业和服务中心、城管局、各苏木镇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加快通用机场、包银高铁鄂托克站点建设，做好棋盘井至蒙西段省道216线和蒙三铁路项目前期并力争开工建设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发改委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、林草局、自然资源局、生态环境局</w:t>
            </w:r>
          </w:p>
        </w:tc>
      </w:tr>
      <w:tr w:rsidR="0091466E" w:rsidRPr="0091466E" w:rsidTr="0091466E">
        <w:trPr>
          <w:trHeight w:val="85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规范住房租赁市场，提供保障性租赁住房200套以上。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住建局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房管中心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突出抓好高校毕业生、退役军人、残疾人等重点群体就业，城镇新增就业1700人以上，城镇调查失业率控制在4%以内，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零就业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家庭“动态清零”。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张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军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退役军人事务局、就业服务中心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提升社会治理水平，以“网格化”助力精准治理，高标准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打造旗级综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治中心，推广新时代“枫桥经验”，多元化调处矛盾纠纷，防范化解各类风险，推进扫黑除恶常态化，建设更高水平的平安鄂托克。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乌云巴根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公安局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信访局、司法局、各苏木镇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规划建设阿尔巴斯白绒山羊博物馆，配套快乐牧场和草原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自驾游营地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文旅局、文旅投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公司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办好丰收节等特色品牌文化活动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包联办、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文旅局</w:t>
            </w:r>
            <w:proofErr w:type="gramEnd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、乡村振兴中心、各苏木镇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旗财政安排“以工补农”产业扶持资金1亿元，再积极向上争取资金1亿元以上，在补短板、强弱项上持续加大投入力度。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财政局、农牧局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启动实施“产业振兴工程”，大力支持阿尔巴斯绒山羊、肉牛、肉羊和土鸡产业化发展，建立现代化标准养殖示范基地5处以上。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深化“龙头企业+党支部+合作社+农牧户”模式，强化“万企兴万村”行动和六家龙头企业包联六个苏木镇的工作机制，着力提升农牧产业发展组织化、规模化、标准化、品牌化水平。建立农企利益联结紧密、共同富裕的农牧产业化联合体6家以上，全面巩固脱贫攻坚成果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工商联、乡村振兴发展中心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启动实施“社会化服务提升工程”，构建农村牧区“服务社会化+防治专业化”综合服务保障新模式，完善旗、苏木镇、嘎查村三级动物防疫监管体系，通过职业中学和区内高等院校，培育农牧业乡土人才、乡土专家和兽医服务人员100名以上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人社局</w:t>
            </w:r>
            <w:proofErr w:type="gramEnd"/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鼓励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支持牧康等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承接社会化服务的农牧业公司，全面拓宽基层服务保障辐射范围、服务能力。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加强节水灌溉应用、机械设备作业、棚圈围栏建设、养殖设施提升，严格实施阶梯水价。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水利局、旗供电分局</w:t>
            </w:r>
          </w:p>
        </w:tc>
      </w:tr>
      <w:tr w:rsidR="0091466E" w:rsidRPr="0091466E" w:rsidTr="0091466E">
        <w:trPr>
          <w:trHeight w:val="81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落实羊绒产业发展资金3000万元以上，制定“1436”保种选育方案，完善羊绒分级收购体系，大力推广“冷配”技术，加大冻精技术补贴。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财政局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发展数字农业、智慧牧场30家以上，建设高标准农田6万亩，新增绒山羊配种站20个，补贴发放优质绒山羊种公羊1500只，推广先进实用型农机具1000台以上，农牧业综合机械化率提高到85%以上。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高标准完成嘎查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村空间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布局规划，实施人居环境整治五年提升行动，全面加强污水、垃圾处置和“户改厕”工作，下大力气解决道路出行、生产用电、信号覆盖等群众反映的基础设施问题，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统筹抓好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房前屋后、村庄内外绿化美化。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交通局、旗供电分局、棋盘井供电分局、公用事业服务中心、各苏木镇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推进基础设施现代化、生活设施便利化，启动“千家万户沐光行动”、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煤改电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、天然气进户工程，全面提高农村牧区电力支撑。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能源局、住建局、旗供电分局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按照“政府引导，企业主体，嘎查村、农牧民参与”的发展思路，引进哈林、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美渡等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知名企业，大力发展规模种植、特色养殖、生态旅游，持续拓宽高端营销渠道，打造沿河农旅、农企融合和特色养殖示范区3个以上，形成沿河特色产业集群。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蒙西镇、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文旅局</w:t>
            </w:r>
            <w:proofErr w:type="gramEnd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、水利局、乡村振兴发展中心、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文旅投</w:t>
            </w:r>
            <w:proofErr w:type="gramEnd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公司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统筹抓好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黄河干支流生态环境综合治理，做好“清四乱”、排污口排查整治工作。加强黄灌区农业用水总量控制和定额管理，综合开展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截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伏流、节水灌溉、矿井疏干水利用工程，重点流域断面水质持续稳定达到Ⅴ类及以上。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生态环境分局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突出草原退化沙化治理，严格执行禁牧休牧、草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畜平衡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政策，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选育扩培优质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草种，严厉打击非法开垦草原行为。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林草局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农牧局、农牧业综合行政执法大队、各苏木镇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面开展国土绿化行动，实施森林抚育、植被恢复等林业重点项目40万亩以上，争取草原生态保护修复治理等项目15万亩以上，围栏封育140万米，发展红枣、沙棘、枸杞等林沙经济10万亩，生物治沙25万亩、网格化固沙30万亩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林草局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47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高效落实“四控行动”，加强畜禽粪污处置，实现农村牧区人居环境质量常态化保持、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长效化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巩固。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高质量实施黄河三期防洪、乌珠林沟防洪治理、赛乌素水库除险加固工程。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水利局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农牧局、林草局、自然资源局、乌兰镇、棋盘井镇、蒙西镇</w:t>
            </w:r>
          </w:p>
        </w:tc>
      </w:tr>
      <w:tr w:rsidR="0091466E" w:rsidRPr="0091466E" w:rsidTr="0091466E">
        <w:trPr>
          <w:trHeight w:val="102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推进“三变”改革，引导农村土地规范有序流转和适度规模经营，实现资源变股权、资金变股金、农民变股民。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柳天云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983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大力度推进“教育质量提升”三年行动，旗财政安排资金2亿元以上，用好用活2亿元教育基金，重点在教学质量、教师队伍、教学设施上下功夫。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教体局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财政局、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</w:p>
        </w:tc>
      </w:tr>
      <w:tr w:rsidR="0091466E" w:rsidRPr="0091466E" w:rsidTr="0091466E">
        <w:trPr>
          <w:trHeight w:val="134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把教学质量摆在首位，拓宽教学理念、研究教学方法、优化教学方式，发挥教研支撑，抓住课堂主阵地，健全质量评价监测体系。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教体局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 </w:t>
            </w:r>
          </w:p>
        </w:tc>
      </w:tr>
      <w:tr w:rsidR="0091466E" w:rsidRPr="0091466E" w:rsidTr="0091466E">
        <w:trPr>
          <w:trHeight w:val="153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教师能力素质提升工程，完善教师培养培训体系，推行教师培训学分制度；实施校园长队伍建设工程，健全完善校园长年度绩效考核办法，全面提升校园管理水平；实施教师结构优化行动，招引高素质教育人才100名、优秀教育团队2个以上，加强教师岗位管理、绩效奖励和职称进退流转机制，让教师有盼头、有奔头、有劲头，让学校有活力、有动力、有实力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教体局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编办、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、财政局</w:t>
            </w:r>
          </w:p>
        </w:tc>
      </w:tr>
      <w:tr w:rsidR="0091466E" w:rsidRPr="0091466E" w:rsidTr="0091466E">
        <w:trPr>
          <w:trHeight w:val="123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53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shd w:val="clear" w:color="auto" w:fill="FFFFFF"/>
              </w:rPr>
              <w:t>实施教育硬件设施建设工程，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建成运行棋盘井第四、第五小学，旗蒙古族小学教学楼和蒙古族中学、高级中学宿舍楼，加快建设棋盘井第二中学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  <w:shd w:val="clear" w:color="auto" w:fill="FFFFFF"/>
              </w:rPr>
              <w:t>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ind w:firstLine="4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教体局</w:t>
            </w:r>
            <w:proofErr w:type="gramEnd"/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代建中心</w:t>
            </w:r>
          </w:p>
        </w:tc>
      </w:tr>
      <w:tr w:rsidR="0091466E" w:rsidRPr="0091466E" w:rsidTr="0091466E">
        <w:trPr>
          <w:trHeight w:val="792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旗财政安排资金1亿元以上，加快“互联网+医疗健康”和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医共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体、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联体建设，按照“大专科、小综合”办医理念，打造蒙医骨科、中蒙医药等特色专科，设立乡土医师门诊，力争旗域内就诊率达到80%以上。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财政局、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保局</w:t>
            </w:r>
          </w:p>
        </w:tc>
      </w:tr>
      <w:tr w:rsidR="0091466E" w:rsidRPr="0091466E" w:rsidTr="0091466E">
        <w:trPr>
          <w:trHeight w:val="47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实施医疗队伍人才培育计划，引进各类医学人才150名以上，组织外出培训1000人次以上，定向委培50人。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人社局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、编办、财政局</w:t>
            </w:r>
          </w:p>
        </w:tc>
      </w:tr>
      <w:tr w:rsidR="0091466E" w:rsidRPr="0091466E" w:rsidTr="0091466E">
        <w:trPr>
          <w:trHeight w:val="63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健全完善现代医院管理制度，完善提升“五大中心”，加强影像、呼吸等科室业务水平，推动旗人民医院、第二人民医院向甲级医院行列迈进，中心卫生院与敬老院、康养中心、体检中心等融合发展。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民政局、财政局</w:t>
            </w:r>
          </w:p>
        </w:tc>
      </w:tr>
      <w:tr w:rsidR="0091466E" w:rsidRPr="0091466E" w:rsidTr="0091466E">
        <w:trPr>
          <w:trHeight w:val="1538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建成投运疾病防控实验大楼，启动蒙医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院综合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门诊楼、旗第二人民医院综合服务楼建设。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代建中心、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发改委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、财政局</w:t>
            </w:r>
          </w:p>
        </w:tc>
      </w:tr>
      <w:tr w:rsidR="0091466E" w:rsidRPr="0091466E" w:rsidTr="0091466E">
        <w:trPr>
          <w:trHeight w:val="1143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认真落实补助救助政策，稳步提升困难群体社会保障水平。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人社局、教体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局、应急管理局、住建局、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保局、工会、残联、红十字会</w:t>
            </w:r>
          </w:p>
        </w:tc>
      </w:tr>
      <w:tr w:rsidR="0091466E" w:rsidRPr="0091466E" w:rsidTr="0091466E">
        <w:trPr>
          <w:trHeight w:val="1143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优化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保支付方式，提高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保基金使用效率。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医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保局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卫健委</w:t>
            </w:r>
          </w:p>
        </w:tc>
      </w:tr>
      <w:tr w:rsidR="0091466E" w:rsidRPr="0091466E" w:rsidTr="0091466E">
        <w:trPr>
          <w:trHeight w:val="81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60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推动养老服务向社区延伸，打造社区为老餐厅和居家、社区、机构养老服务综合体5处以上。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民政局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57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加快推进阿尔巴斯鼠疫野外检测站建设，培育检疫检测人员100名以上，不断完善标准化应对新冠肺炎和鼠疫疫情工作机制。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崔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婧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卫健委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代建中心</w:t>
            </w:r>
          </w:p>
        </w:tc>
      </w:tr>
      <w:tr w:rsidR="0091466E" w:rsidRPr="0091466E" w:rsidTr="0091466E">
        <w:trPr>
          <w:trHeight w:val="57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积极培育转型新引擎、低碳新动能，实施新能源、新材料倍增计划，争取国家级大型风电光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伏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基地项目落地实施。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能源局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鄂托克经济开发区管委会</w:t>
            </w:r>
          </w:p>
        </w:tc>
      </w:tr>
      <w:tr w:rsidR="0091466E" w:rsidRPr="0091466E" w:rsidTr="0091466E">
        <w:trPr>
          <w:trHeight w:val="97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压降前端、拉长后端，聚焦煤电、冶金、化工主导优势产业，驰而不息提升装备水平、改造工艺路线、延伸下游产品，推动焦油、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粗苯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、甲醇等化工初级产品向化学纤维、高新材料、有机颜料等下游演进，实现“一克煤”向“一束丝”“一匹布”转化。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工科局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发改委</w:t>
            </w:r>
            <w:proofErr w:type="gramEnd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、鄂托克经济开发区管委会</w:t>
            </w:r>
          </w:p>
        </w:tc>
      </w:tr>
      <w:tr w:rsidR="0091466E" w:rsidRPr="0091466E" w:rsidTr="0091466E">
        <w:trPr>
          <w:trHeight w:val="760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培育壮大非煤产业和高新技术产业，整合提升、转型提质焦化产能370万吨，争取战略性新兴产业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占规模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以上工业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比重超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10%。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工科局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发改委</w:t>
            </w:r>
            <w:proofErr w:type="gramEnd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、鄂托克经济开发区管委会</w:t>
            </w:r>
          </w:p>
        </w:tc>
      </w:tr>
      <w:tr w:rsidR="0091466E" w:rsidRPr="0091466E" w:rsidTr="0091466E">
        <w:trPr>
          <w:trHeight w:val="85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按照“大平台、全链条、新产业”的发展思路，推进快成物流“互联网+大数据”平台建设，加速汇聚物流、商流、信息流、资金流，促进信息共享、综合监管、价值提升，推动平台交易额突破500亿元。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工科局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能源局、应急管理局、交通局、鄂托克经济开发区管委会、大数据中心、旗税务局、开发区税务局</w:t>
            </w:r>
          </w:p>
        </w:tc>
      </w:tr>
      <w:tr w:rsidR="0091466E" w:rsidRPr="0091466E" w:rsidTr="0091466E">
        <w:trPr>
          <w:trHeight w:val="145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挖掘农村</w:t>
            </w:r>
            <w:proofErr w:type="gramStart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牧区电商消费</w:t>
            </w:r>
            <w:proofErr w:type="gramEnd"/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潜力，建设电商网点20个，完善冷链、仓储、配送、销售体系，大力发展社交电商、直播带货、虚拟实景等社交网络销售新模式。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工科局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农牧局</w:t>
            </w:r>
          </w:p>
        </w:tc>
      </w:tr>
      <w:tr w:rsidR="0091466E" w:rsidRPr="0091466E" w:rsidTr="0091466E">
        <w:trPr>
          <w:trHeight w:val="1501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67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以棋盘井蒙西地区为重点，切实加强矿区园区牧区生态环境综合治理。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生态环境分局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自然资源局、能源局、应急管理局、农牧局、鄂托克经济开发区管委会、棋盘井镇、蒙西镇</w:t>
            </w:r>
          </w:p>
        </w:tc>
      </w:tr>
      <w:tr w:rsidR="0091466E" w:rsidRPr="0091466E" w:rsidTr="0091466E">
        <w:trPr>
          <w:trHeight w:val="1035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对接三峡集团等先进技术企业，加强工业废渣、尾气和粉煤灰综合利用。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工科局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鄂托克经济开发区管委会</w:t>
            </w:r>
          </w:p>
        </w:tc>
      </w:tr>
      <w:tr w:rsidR="0091466E" w:rsidRPr="0091466E" w:rsidTr="0091466E">
        <w:trPr>
          <w:trHeight w:val="1184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加强现代智能电网建设，新建改造高低压线路150公里、变压器100台套。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旗供电分局、棋盘井供电分局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各苏木镇</w:t>
            </w:r>
          </w:p>
        </w:tc>
      </w:tr>
      <w:tr w:rsidR="0091466E" w:rsidRPr="0091466E" w:rsidTr="0091466E">
        <w:trPr>
          <w:trHeight w:val="1276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新增通讯网络站点50处以上。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工科局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大数据中心</w:t>
            </w:r>
          </w:p>
        </w:tc>
      </w:tr>
      <w:tr w:rsidR="0091466E" w:rsidRPr="0091466E" w:rsidTr="0091466E">
        <w:trPr>
          <w:trHeight w:val="84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聚焦新能源、新材料、现代农牧业等领域，投入科技项目扶持资金5000万元，完善人才引进使用、培育评价等激励机制，推进产学研用深度融合、人才力量高度聚拢，推动经济发展由要素驱动向创新驱动转变。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工信和科技局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鄂托克经济开发区管委会、财政局、</w:t>
            </w:r>
            <w:proofErr w:type="gramStart"/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人社局</w:t>
            </w:r>
            <w:proofErr w:type="gramEnd"/>
          </w:p>
        </w:tc>
      </w:tr>
      <w:tr w:rsidR="0091466E" w:rsidRPr="0091466E" w:rsidTr="0091466E">
        <w:trPr>
          <w:trHeight w:val="1727"/>
        </w:trPr>
        <w:tc>
          <w:tcPr>
            <w:tcW w:w="7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9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全面推进硅铁、焦化行业工艺改进升级，推广PVC无汞生产技术，年内培育国家高新技术企业2家以上，入库科技型中小企业5家以上，加快打造区域创新的新高地。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刘 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锐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工信和科技局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1466E" w:rsidRPr="0091466E" w:rsidRDefault="0091466E" w:rsidP="0091466E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466E">
              <w:rPr>
                <w:rFonts w:ascii="仿宋_GB2312" w:eastAsia="仿宋_GB2312" w:hAnsi="宋体" w:cs="宋体" w:hint="eastAsia"/>
                <w:spacing w:val="-20"/>
                <w:kern w:val="0"/>
                <w:sz w:val="24"/>
                <w:szCs w:val="24"/>
              </w:rPr>
              <w:t>鄂托克经济开发区管委会</w:t>
            </w:r>
          </w:p>
        </w:tc>
      </w:tr>
    </w:tbl>
    <w:p w:rsidR="0091466E" w:rsidRPr="0091466E" w:rsidRDefault="0091466E" w:rsidP="0091466E">
      <w:pPr>
        <w:widowControl/>
        <w:spacing w:before="100" w:beforeAutospacing="1" w:after="100" w:afterAutospacing="1" w:line="20" w:lineRule="atLeas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Calibri" w:eastAsia="宋体" w:hAnsi="Calibri" w:cs="Calibri"/>
          <w:kern w:val="0"/>
          <w:szCs w:val="21"/>
        </w:rPr>
        <w:lastRenderedPageBreak/>
        <w:t> </w:t>
      </w: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> </w:t>
      </w:r>
    </w:p>
    <w:p w:rsidR="0091466E" w:rsidRPr="0091466E" w:rsidRDefault="0091466E" w:rsidP="0091466E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466E">
        <w:rPr>
          <w:rFonts w:ascii="宋体" w:eastAsia="宋体" w:hAnsi="宋体" w:cs="宋体"/>
          <w:kern w:val="0"/>
          <w:sz w:val="24"/>
          <w:szCs w:val="24"/>
        </w:rPr>
        <w:t xml:space="preserve">　　</w:t>
      </w:r>
    </w:p>
    <w:p w:rsidR="0091466E" w:rsidRPr="0091466E" w:rsidRDefault="0091466E"/>
    <w:sectPr w:rsidR="0091466E" w:rsidRPr="0091466E" w:rsidSect="0091466E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312A" w:rsidRDefault="0064312A" w:rsidP="0091466E">
      <w:r>
        <w:separator/>
      </w:r>
    </w:p>
  </w:endnote>
  <w:endnote w:type="continuationSeparator" w:id="0">
    <w:p w:rsidR="0064312A" w:rsidRDefault="0064312A" w:rsidP="00914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312A" w:rsidRDefault="0064312A" w:rsidP="0091466E">
      <w:r>
        <w:separator/>
      </w:r>
    </w:p>
  </w:footnote>
  <w:footnote w:type="continuationSeparator" w:id="0">
    <w:p w:rsidR="0064312A" w:rsidRDefault="0064312A" w:rsidP="00914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5E"/>
    <w:rsid w:val="0003055E"/>
    <w:rsid w:val="00624843"/>
    <w:rsid w:val="0064312A"/>
    <w:rsid w:val="0091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66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46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9146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14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146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14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1466E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9146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Normal Indent"/>
    <w:basedOn w:val="a"/>
    <w:uiPriority w:val="99"/>
    <w:semiHidden/>
    <w:unhideWhenUsed/>
    <w:rsid w:val="009146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1100</Words>
  <Characters>6276</Characters>
  <Application>Microsoft Office Word</Application>
  <DocSecurity>0</DocSecurity>
  <Lines>52</Lines>
  <Paragraphs>14</Paragraphs>
  <ScaleCrop>false</ScaleCrop>
  <Company>微软中国</Company>
  <LinksUpToDate>false</LinksUpToDate>
  <CharactersWithSpaces>7362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演示人</dc:creator>
  <cp:keywords/>
  <dc:description/>
  <cp:lastModifiedBy>演示人</cp:lastModifiedBy>
  <cp:revision>2</cp:revision>
  <dcterms:created xsi:type="dcterms:W3CDTF">2022-10-27T03:49:00Z</dcterms:created>
  <dcterms:modified xsi:type="dcterms:W3CDTF">2022-10-27T03:50:00Z</dcterms:modified>
</cp:coreProperties>
</file>