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鄂托克旗人民政府关于报送农村牧区黑臭水体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排查情况的函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鄂尔多斯市生态环境局：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根据《2023年度深入打好污染防治攻坚战任务清单》要求，按照属地管理原则，我旗组织各苏木镇进行农村牧区黑臭水体排查。第二季度经排查，我旗辖区内未发现农村牧区黑臭水体。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鄂托克旗人民政府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4" w:firstLineChars="1600"/>
        <w:jc w:val="both"/>
        <w:textAlignment w:val="auto"/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  <w:lang w:val="en-US" w:eastAsia="zh-CN" w:bidi="ar-SA"/>
        </w:rPr>
        <w:t>2023年6月13日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ZmYyZDVlMzA0YjM4YjYyOGUxZDFkM2I1M2NhNzEifQ=="/>
  </w:docVars>
  <w:rsids>
    <w:rsidRoot w:val="00000000"/>
    <w:rsid w:val="272C662A"/>
    <w:rsid w:val="361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139</Characters>
  <Lines>0</Lines>
  <Paragraphs>0</Paragraphs>
  <TotalTime>7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2023-06-14T00:13:00Z</dcterms:created>
  <dc:creator>qwer</dc:creator>
  <cp:lastModifiedBy>老派</cp:lastModifiedBy>
  <dcterms:modified xsi:type="dcterms:W3CDTF">2023-06-14T00:42:40Z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812752FC9B9E4FF090945040FD04B221_13</vt:lpwstr>
  </property>
</Properties>
</file>