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pPr>
    </w:p>
    <w:p>
      <w:pPr>
        <w:bidi w:val="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赋予</w:t>
      </w:r>
      <w:r>
        <w:rPr>
          <w:rFonts w:hint="eastAsia" w:ascii="方正小标宋_GBK" w:hAnsi="方正小标宋_GBK" w:eastAsia="方正小标宋_GBK" w:cs="方正小标宋_GBK"/>
          <w:sz w:val="44"/>
          <w:szCs w:val="44"/>
          <w:lang w:eastAsia="zh-CN"/>
        </w:rPr>
        <w:t>木凯淖尔</w:t>
      </w:r>
      <w:bookmarkStart w:id="0" w:name="_GoBack"/>
      <w:bookmarkEnd w:id="0"/>
      <w:r>
        <w:rPr>
          <w:rFonts w:hint="eastAsia" w:ascii="方正小标宋_GBK" w:hAnsi="方正小标宋_GBK" w:eastAsia="方正小标宋_GBK" w:cs="方正小标宋_GBK"/>
          <w:sz w:val="44"/>
          <w:szCs w:val="44"/>
          <w:lang w:eastAsia="zh-CN"/>
        </w:rPr>
        <w:t>镇人民政府</w:t>
      </w:r>
      <w:r>
        <w:rPr>
          <w:rFonts w:hint="eastAsia" w:ascii="方正小标宋_GBK" w:hAnsi="方正小标宋_GBK" w:eastAsia="方正小标宋_GBK" w:cs="方正小标宋_GBK"/>
          <w:sz w:val="44"/>
          <w:szCs w:val="44"/>
        </w:rPr>
        <w:t>行政执法权力</w:t>
      </w:r>
      <w:r>
        <w:rPr>
          <w:rFonts w:hint="eastAsia" w:ascii="方正小标宋_GBK" w:hAnsi="方正小标宋_GBK" w:eastAsia="方正小标宋_GBK" w:cs="方正小标宋_GBK"/>
          <w:sz w:val="44"/>
          <w:szCs w:val="44"/>
          <w:lang w:eastAsia="zh-CN"/>
        </w:rPr>
        <w:t>事项</w:t>
      </w:r>
      <w:r>
        <w:rPr>
          <w:rFonts w:hint="eastAsia" w:ascii="方正小标宋_GBK" w:hAnsi="方正小标宋_GBK" w:eastAsia="方正小标宋_GBK" w:cs="方正小标宋_GBK"/>
          <w:sz w:val="44"/>
          <w:szCs w:val="44"/>
        </w:rPr>
        <w:t>目录</w:t>
      </w:r>
    </w:p>
    <w:p>
      <w:pPr>
        <w:bidi w:val="0"/>
      </w:pPr>
    </w:p>
    <w:tbl>
      <w:tblPr>
        <w:tblStyle w:val="4"/>
        <w:tblW w:w="14212" w:type="dxa"/>
        <w:tblInd w:w="3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4725"/>
        <w:gridCol w:w="1525"/>
        <w:gridCol w:w="5812"/>
        <w:gridCol w:w="1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575"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序号</w:t>
            </w:r>
          </w:p>
        </w:tc>
        <w:tc>
          <w:tcPr>
            <w:tcW w:w="47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12"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7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8" w:hRule="atLeast"/>
        </w:trPr>
        <w:tc>
          <w:tcPr>
            <w:tcW w:w="575"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w:t>
            </w:r>
          </w:p>
        </w:tc>
        <w:tc>
          <w:tcPr>
            <w:tcW w:w="47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对占用耕地建窑、建坟或者擅自在  耕地上建房、挖砂、采石、采矿、 取土等，破坏种植条件的，或者因  开发土地造成土地荒漠化、盐渍化  的处罚</w:t>
            </w:r>
          </w:p>
        </w:tc>
        <w:tc>
          <w:tcPr>
            <w:tcW w:w="152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12"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《中华人民共和国土地管理法》第七十五条</w:t>
            </w: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《中华人民共和国土地管理法实施条例》第五十五条</w:t>
            </w:r>
          </w:p>
        </w:tc>
        <w:tc>
          <w:tcPr>
            <w:tcW w:w="1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575"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w:t>
            </w:r>
          </w:p>
        </w:tc>
        <w:tc>
          <w:tcPr>
            <w:tcW w:w="47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对未经批准或者采取欺骗手段骗 取批准，非法占用土地的处罚</w:t>
            </w:r>
          </w:p>
        </w:tc>
        <w:tc>
          <w:tcPr>
            <w:tcW w:w="152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《中华人民共和国土地管理法》第七十七条</w:t>
            </w: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《中华人民共和国土地管理法实施条例》第五十七条 第一款</w:t>
            </w:r>
          </w:p>
        </w:tc>
        <w:tc>
          <w:tcPr>
            <w:tcW w:w="1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575"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w:t>
            </w:r>
          </w:p>
        </w:tc>
        <w:tc>
          <w:tcPr>
            <w:tcW w:w="47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对占用基本农田建窑、建房、建坟、 挖砂、采石、采矿、取土、堆放固体废弃物或者从事其他活动破坏基本农田，毁坏种植条件的处罚</w:t>
            </w:r>
          </w:p>
        </w:tc>
        <w:tc>
          <w:tcPr>
            <w:tcW w:w="152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12"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《基本农田保护条例》第三十三条</w:t>
            </w:r>
          </w:p>
        </w:tc>
        <w:tc>
          <w:tcPr>
            <w:tcW w:w="1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575"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w:t>
            </w:r>
          </w:p>
        </w:tc>
        <w:tc>
          <w:tcPr>
            <w:tcW w:w="47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对擅自在草原上开展经营性旅游 活动，破坏草原植被的处罚</w:t>
            </w:r>
          </w:p>
        </w:tc>
        <w:tc>
          <w:tcPr>
            <w:tcW w:w="1525"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《中华人民共和国草原法》第五十二条、第六十九条</w:t>
            </w:r>
          </w:p>
        </w:tc>
        <w:tc>
          <w:tcPr>
            <w:tcW w:w="1575"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575"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w:t>
            </w:r>
          </w:p>
        </w:tc>
        <w:tc>
          <w:tcPr>
            <w:tcW w:w="47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对买卖或者以其他形式非法转让 草原的处罚</w:t>
            </w:r>
          </w:p>
        </w:tc>
        <w:tc>
          <w:tcPr>
            <w:tcW w:w="1525"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《中华人民共和国草原法》第六十四条</w:t>
            </w:r>
          </w:p>
        </w:tc>
        <w:tc>
          <w:tcPr>
            <w:tcW w:w="1575"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575"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6</w:t>
            </w:r>
          </w:p>
        </w:tc>
        <w:tc>
          <w:tcPr>
            <w:tcW w:w="47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对机动车辆离开道路在草原上行驶，或者未按照确定的行驶区域和 行驶路线在草原上行驶，破坏草原 植被的处罚</w:t>
            </w:r>
          </w:p>
        </w:tc>
        <w:tc>
          <w:tcPr>
            <w:tcW w:w="152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12"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《中华人民共和国草原法》第七十条</w:t>
            </w:r>
          </w:p>
        </w:tc>
        <w:tc>
          <w:tcPr>
            <w:tcW w:w="1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sectPr>
          <w:pgSz w:w="17200" w:h="11910"/>
          <w:pgMar w:top="850" w:right="1134" w:bottom="283" w:left="1134" w:header="0" w:footer="0" w:gutter="0"/>
          <w:cols w:space="720" w:num="1"/>
        </w:sectPr>
      </w:pPr>
    </w:p>
    <w:p>
      <w:pPr>
        <w:bidi w:val="0"/>
      </w:pPr>
      <w:r>
        <mc:AlternateContent>
          <mc:Choice Requires="wps">
            <w:drawing>
              <wp:anchor distT="0" distB="0" distL="0" distR="0" simplePos="0" relativeHeight="251659264" behindDoc="0" locked="0" layoutInCell="0" allowOverlap="1">
                <wp:simplePos x="0" y="0"/>
                <wp:positionH relativeFrom="page">
                  <wp:posOffset>606425</wp:posOffset>
                </wp:positionH>
                <wp:positionV relativeFrom="page">
                  <wp:posOffset>6295390</wp:posOffset>
                </wp:positionV>
                <wp:extent cx="298450" cy="280670"/>
                <wp:effectExtent l="0" t="0" r="0" b="0"/>
                <wp:wrapNone/>
                <wp:docPr id="2" name="TextBox 2"/>
                <wp:cNvGraphicFramePr/>
                <a:graphic xmlns:a="http://schemas.openxmlformats.org/drawingml/2006/main">
                  <a:graphicData uri="http://schemas.microsoft.com/office/word/2010/wordprocessingShape">
                    <wps:wsp>
                      <wps:cNvSpPr txBox="1"/>
                      <wps:spPr>
                        <a:xfrm rot="5400000">
                          <a:off x="606799" y="6295673"/>
                          <a:ext cx="298450" cy="2806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2" w:line="184" w:lineRule="auto"/>
                              <w:ind w:left="20"/>
                              <w:rPr>
                                <w:rFonts w:ascii="宋体" w:hAnsi="宋体" w:eastAsia="宋体" w:cs="宋体"/>
                                <w:sz w:val="31"/>
                                <w:szCs w:val="3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 o:spid="_x0000_s1026" o:spt="202" type="#_x0000_t202" style="position:absolute;left:0pt;margin-left:47.75pt;margin-top:495.7pt;height:22.1pt;width:23.5pt;mso-position-horizontal-relative:page;mso-position-vertical-relative:page;rotation:5898240f;z-index:251659264;mso-width-relative:page;mso-height-relative:page;" filled="f" stroked="f" coordsize="21600,21600" o:allowincell="f" o:gfxdata="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E08d3jWAAAACwEAAA8AAAAAAAAAAQAgAAAA&#10;OAAAAGRycy9kb3ducmV2LnhtbFBLAQIUABQAAAAIAIdO4kC84G70MAIAAGkEAAAOAAAAAAAAAAEA&#10;IAAAADsBAABkcnMvZTJvRG9jLnhtbFBLBQYAAAAABgAGAFkBAADdBQAAAAA=&#10;">
                <v:fill on="f" focussize="0,0"/>
                <v:stroke on="f" weight="0pt"/>
                <v:imagedata o:title=""/>
                <o:lock v:ext="edit" aspectratio="f"/>
                <v:textbox inset="0mm,0mm,0mm,0mm">
                  <w:txbxContent>
                    <w:p>
                      <w:pPr>
                        <w:spacing w:before="112" w:line="184" w:lineRule="auto"/>
                        <w:ind w:left="20"/>
                        <w:rPr>
                          <w:rFonts w:ascii="宋体" w:hAnsi="宋体" w:eastAsia="宋体" w:cs="宋体"/>
                          <w:sz w:val="31"/>
                          <w:szCs w:val="31"/>
                        </w:rPr>
                      </w:pPr>
                    </w:p>
                  </w:txbxContent>
                </v:textbox>
              </v:shape>
            </w:pict>
          </mc:Fallback>
        </mc:AlternateContent>
      </w:r>
    </w:p>
    <w:p>
      <w:pPr>
        <w:bidi w:val="0"/>
      </w:pPr>
    </w:p>
    <w:p>
      <w:pPr>
        <w:bidi w:val="0"/>
      </w:pPr>
    </w:p>
    <w:tbl>
      <w:tblPr>
        <w:tblStyle w:val="4"/>
        <w:tblW w:w="14214" w:type="dxa"/>
        <w:tblInd w:w="4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4715"/>
        <w:gridCol w:w="1538"/>
        <w:gridCol w:w="5825"/>
        <w:gridCol w:w="15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74"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序号</w:t>
            </w:r>
          </w:p>
        </w:tc>
        <w:tc>
          <w:tcPr>
            <w:tcW w:w="471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62"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7</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对不签订草畜平衡责任书的处罚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《内蒙古自治区草原管理条例》第三十一条、第四十 六条第二款</w:t>
            </w:r>
          </w:p>
        </w:tc>
        <w:tc>
          <w:tcPr>
            <w:tcW w:w="1562"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8</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对在基本草原上超过核定的载畜量放牧的处罚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《内蒙古自治区基本草原保护条例》第三十八条第一 项</w:t>
            </w:r>
          </w:p>
        </w:tc>
        <w:tc>
          <w:tcPr>
            <w:tcW w:w="1562"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9</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对在实行禁牧休牧的基本草原上放牧的处罚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《内蒙古自治区基本草原保护条例》第三十八条第二 项</w:t>
            </w:r>
          </w:p>
        </w:tc>
        <w:tc>
          <w:tcPr>
            <w:tcW w:w="1562"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10</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对草原围栏建设中因阻断道路对草原造成碾压破坏的处罚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《内蒙古自治区草原管理条例实施细则》第四十五条， 第五十二条</w:t>
            </w:r>
          </w:p>
        </w:tc>
        <w:tc>
          <w:tcPr>
            <w:tcW w:w="1562"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11</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未对设在城市道路上的各种管线的检查井、箱盖或者城市道路附属 设施的缺损及时补缺或者修复的处罚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《城市道路管理条例》第四十二条第一项</w:t>
            </w:r>
          </w:p>
        </w:tc>
        <w:tc>
          <w:tcPr>
            <w:tcW w:w="1562"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574"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12</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对未在城市道路施工现场设置明显标志和安全防围设施的处罚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《城市道路管理条例》第四十二条第二项</w:t>
            </w:r>
          </w:p>
        </w:tc>
        <w:tc>
          <w:tcPr>
            <w:tcW w:w="1562"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13</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对占用城市道路期满或者挖掘城市道路后，不及时清理现场的处罚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《城市道路管理条例》第四十二条第三项</w:t>
            </w:r>
          </w:p>
        </w:tc>
        <w:tc>
          <w:tcPr>
            <w:tcW w:w="1562"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14</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对依附于城市道路建设各种管线，杆线等设施，不按照规定办理批准 手续的处罚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《城市道路管理条例》第四十二条第四项</w:t>
            </w:r>
          </w:p>
        </w:tc>
        <w:tc>
          <w:tcPr>
            <w:tcW w:w="1562"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574"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15</w:t>
            </w:r>
          </w:p>
        </w:tc>
        <w:tc>
          <w:tcPr>
            <w:tcW w:w="471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对紧急抢修埋设在城市道路下的管线，不按照规定补办批准手续的处罚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《城市道路管理条例》第四十二条第五项</w:t>
            </w:r>
          </w:p>
        </w:tc>
        <w:tc>
          <w:tcPr>
            <w:tcW w:w="1562"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sectPr>
          <w:pgSz w:w="17440" w:h="12310"/>
          <w:pgMar w:top="850" w:right="1134" w:bottom="283" w:left="1134" w:header="0" w:footer="0" w:gutter="0"/>
          <w:cols w:space="720" w:num="1"/>
        </w:sectPr>
      </w:pPr>
    </w:p>
    <w:p>
      <w:pPr>
        <w:bidi w:val="0"/>
      </w:pPr>
      <w:r>
        <mc:AlternateContent>
          <mc:Choice Requires="wps">
            <w:drawing>
              <wp:anchor distT="0" distB="0" distL="0" distR="0" simplePos="0" relativeHeight="251660288" behindDoc="0" locked="0" layoutInCell="0" allowOverlap="1">
                <wp:simplePos x="0" y="0"/>
                <wp:positionH relativeFrom="page">
                  <wp:posOffset>496570</wp:posOffset>
                </wp:positionH>
                <wp:positionV relativeFrom="page">
                  <wp:posOffset>1089025</wp:posOffset>
                </wp:positionV>
                <wp:extent cx="305435" cy="272415"/>
                <wp:effectExtent l="0" t="0" r="0" b="0"/>
                <wp:wrapNone/>
                <wp:docPr id="4" name="TextBox 4"/>
                <wp:cNvGraphicFramePr/>
                <a:graphic xmlns:a="http://schemas.openxmlformats.org/drawingml/2006/main">
                  <a:graphicData uri="http://schemas.microsoft.com/office/word/2010/wordprocessingShape">
                    <wps:wsp>
                      <wps:cNvSpPr txBox="1"/>
                      <wps:spPr>
                        <a:xfrm rot="16200000">
                          <a:off x="497023" y="1089381"/>
                          <a:ext cx="305434" cy="27241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9" w:line="184" w:lineRule="auto"/>
                              <w:rPr>
                                <w:rFonts w:ascii="宋体" w:hAnsi="宋体" w:eastAsia="宋体" w:cs="宋体"/>
                                <w:sz w:val="30"/>
                                <w:szCs w:val="30"/>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 o:spid="_x0000_s1026" o:spt="202" type="#_x0000_t202" style="position:absolute;left:0pt;margin-left:39.1pt;margin-top:85.75pt;height:21.45pt;width:24.05pt;mso-position-horizontal-relative:page;mso-position-vertical-relative:page;rotation:-5898240f;z-index:251660288;mso-width-relative:page;mso-height-relative:page;" filled="f" stroked="f" coordsize="21600,21600" o:allowincell="f" o:gfxdata="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CXl7w9kAAAAKAQAADwAAAAAAAAAB&#10;ACAAAAA4AAAAZHJzL2Rvd25yZXYueG1sUEsBAhQAFAAAAAgAh07iQJeE+BgyAgAAagQAAA4AAAAA&#10;AAAAAQAgAAAAPgEAAGRycy9lMm9Eb2MueG1sUEsFBgAAAAAGAAYAWQEAAOIFAAAAAA==&#10;">
                <v:fill on="f" focussize="0,0"/>
                <v:stroke on="f" weight="0pt"/>
                <v:imagedata o:title=""/>
                <o:lock v:ext="edit" aspectratio="f"/>
                <v:textbox inset="0mm,0mm,0mm,0mm">
                  <w:txbxContent>
                    <w:p>
                      <w:pPr>
                        <w:spacing w:before="109" w:line="184" w:lineRule="auto"/>
                        <w:rPr>
                          <w:rFonts w:ascii="宋体" w:hAnsi="宋体" w:eastAsia="宋体" w:cs="宋体"/>
                          <w:sz w:val="30"/>
                          <w:szCs w:val="30"/>
                        </w:rPr>
                      </w:pPr>
                    </w:p>
                  </w:txbxContent>
                </v:textbox>
              </v:shape>
            </w:pict>
          </mc:Fallback>
        </mc:AlternateContent>
      </w:r>
    </w:p>
    <w:tbl>
      <w:tblPr>
        <w:tblStyle w:val="4"/>
        <w:tblW w:w="14237" w:type="dxa"/>
        <w:tblInd w:w="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4712"/>
        <w:gridCol w:w="1538"/>
        <w:gridCol w:w="5825"/>
        <w:gridCol w:w="1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575"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序号</w:t>
            </w:r>
          </w:p>
        </w:tc>
        <w:tc>
          <w:tcPr>
            <w:tcW w:w="4712"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16</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对未按照批准的位置、面积、期限占用或者挖掘城市道路，或者需要移动位置、扩大面积、延长时间的，未提前办理变更审批手续的处罚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《城市道路管理条例》第四十二条第六项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17</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对在河道、湖泊管理范围内建设妨碍行洪的建筑物、构筑物的处罚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《中华人民共和国防洪法》第五十五条第一项</w:t>
            </w:r>
          </w:p>
        </w:tc>
        <w:tc>
          <w:tcPr>
            <w:tcW w:w="1587"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18</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对在河道、湖泊管理范围内倾倒垃圾、渣土，从事影响河势稳定、危 害河岸堤防安全和其他妨碍河道行洪的活动的处罚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《中华人民共和国防洪法》第五十五条第二项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19</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对在江河、湖泊、水库、运河、渠道内弃置、堆放阻碍行洪的物体和种植阻碍行洪的林木及高秆作物的处罚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《中华人民共和国水法》第六十六条第一项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20</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对围湖造地或者未经批准围垦河道的处罚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《中华人民共和国水法》第六十六条第二项</w:t>
            </w:r>
          </w:p>
        </w:tc>
        <w:tc>
          <w:tcPr>
            <w:tcW w:w="1587"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21</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对在崩塌、滑坡危险区或者泥石流 易发区从事取土、挖砂、采石等可能造成水土流失的活动的处罚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《中华人民共和国水土保持法》第四十八条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3"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22</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对在禁止开垦坡度以上陡坡地开垦种植农作物，或者在禁止开垦、开发的植物保护带内开垦、开发的处罚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《中华人民共和国水土保持法》第四十九条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sectPr>
          <w:pgSz w:w="17150" w:h="11910"/>
          <w:pgMar w:top="850" w:right="1134" w:bottom="283" w:left="1134" w:header="0" w:footer="0" w:gutter="0"/>
          <w:cols w:space="720" w:num="1"/>
        </w:sectPr>
      </w:pPr>
    </w:p>
    <w:p>
      <w:pPr>
        <w:bidi w:val="0"/>
      </w:pPr>
      <w:r>
        <mc:AlternateContent>
          <mc:Choice Requires="wps">
            <w:drawing>
              <wp:anchor distT="0" distB="0" distL="0" distR="0" simplePos="0" relativeHeight="251661312" behindDoc="0" locked="0" layoutInCell="0" allowOverlap="1">
                <wp:simplePos x="0" y="0"/>
                <wp:positionH relativeFrom="page">
                  <wp:posOffset>647065</wp:posOffset>
                </wp:positionH>
                <wp:positionV relativeFrom="page">
                  <wp:posOffset>6332855</wp:posOffset>
                </wp:positionV>
                <wp:extent cx="109220" cy="269875"/>
                <wp:effectExtent l="0" t="0" r="0" b="0"/>
                <wp:wrapNone/>
                <wp:docPr id="6" name="TextBox 6"/>
                <wp:cNvGraphicFramePr/>
                <a:graphic xmlns:a="http://schemas.openxmlformats.org/drawingml/2006/main">
                  <a:graphicData uri="http://schemas.microsoft.com/office/word/2010/wordprocessingShape">
                    <wps:wsp>
                      <wps:cNvSpPr txBox="1"/>
                      <wps:spPr>
                        <a:xfrm rot="5400000">
                          <a:off x="647527" y="6332962"/>
                          <a:ext cx="109220" cy="2698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9" w:line="182" w:lineRule="auto"/>
                              <w:ind w:right="1"/>
                              <w:jc w:val="right"/>
                              <w:rPr>
                                <w:rFonts w:ascii="宋体" w:hAnsi="宋体" w:eastAsia="宋体" w:cs="宋体"/>
                                <w:sz w:val="30"/>
                                <w:szCs w:val="30"/>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 o:spid="_x0000_s1026" o:spt="202" type="#_x0000_t202" style="position:absolute;left:0pt;margin-left:50.95pt;margin-top:498.65pt;height:21.25pt;width:8.6pt;mso-position-horizontal-relative:page;mso-position-vertical-relative:page;rotation:5898240f;z-index:251661312;mso-width-relative:page;mso-height-relative:page;" filled="f" stroked="f" coordsize="21600,21600" o:allowincell="f" o:gfxdata="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CFkyJ9UAAAAMAQAADwAAAAAAAAABACAAAAA4&#10;AAAAZHJzL2Rvd25yZXYueG1sUEsBAhQAFAAAAAgAh07iQFNttqQwAgAAaQQAAA4AAAAAAAAAAQAg&#10;AAAAOgEAAGRycy9lMm9Eb2MueG1sUEsFBgAAAAAGAAYAWQEAANwFAAAAAA==&#10;">
                <v:fill on="f" focussize="0,0"/>
                <v:stroke on="f" weight="0pt"/>
                <v:imagedata o:title=""/>
                <o:lock v:ext="edit" aspectratio="f"/>
                <v:textbox inset="0mm,0mm,0mm,0mm">
                  <w:txbxContent>
                    <w:p>
                      <w:pPr>
                        <w:spacing w:before="109" w:line="182" w:lineRule="auto"/>
                        <w:ind w:right="1"/>
                        <w:jc w:val="right"/>
                        <w:rPr>
                          <w:rFonts w:ascii="宋体" w:hAnsi="宋体" w:eastAsia="宋体" w:cs="宋体"/>
                          <w:sz w:val="30"/>
                          <w:szCs w:val="30"/>
                        </w:rPr>
                      </w:pPr>
                    </w:p>
                  </w:txbxContent>
                </v:textbox>
              </v:shape>
            </w:pict>
          </mc:Fallback>
        </mc:AlternateContent>
      </w:r>
    </w:p>
    <w:p>
      <w:pPr>
        <w:bidi w:val="0"/>
      </w:pPr>
    </w:p>
    <w:tbl>
      <w:tblPr>
        <w:tblStyle w:val="4"/>
        <w:tblW w:w="14237" w:type="dxa"/>
        <w:tblInd w:w="4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4712"/>
        <w:gridCol w:w="1538"/>
        <w:gridCol w:w="5825"/>
        <w:gridCol w:w="1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575"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序 号</w:t>
            </w:r>
          </w:p>
        </w:tc>
        <w:tc>
          <w:tcPr>
            <w:tcW w:w="4712"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23</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对采集发菜，或者在水土流失重点 预防区和重点治理区铲草皮、挖树 兜、滥挖虫草、甘草、麻黄等的处罚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《中华人民共和国水土保持法》第五十一条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24</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对在林区采伐林木不依法采取防止水土流失措施的处罚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《中华人民共和国水土保持法》第五十二条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25</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对在水土保持方案确定的专门存放地以外的区域倾倒砂、石、土， 矸石、尾矿、废渣等的处罚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《中华人民共和国水土保持法》第五十五条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26</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对开办生产建设项目或者从事其 他生产建设活动造成水土流失不 进行治理的处罚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《中华人民共和国水土保持法》第五十六条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27</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对在河道管理范围内弃置、堆放阻 碍行洪物体的；种植阻碍行洪的林木或者高秆植物的；修建围堤、阻 水渠道、阻水道路的处罚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《中华人民共和国河道管理条例》第四十四条第一项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28</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对在堤防、护堤地建房、放牧、开 渠、打井、挖窖、葬坟、晒粮、存 放物料、开采地下资源、进行考古发掘以及开展集市贸易活动的处罚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《中华人民共和国河道管理条例》第四十四条第二项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sectPr>
          <w:pgSz w:w="17400" w:h="12270"/>
          <w:pgMar w:top="850" w:right="1134" w:bottom="283" w:left="1134" w:header="0" w:footer="0" w:gutter="0"/>
          <w:cols w:space="720" w:num="1"/>
        </w:sectPr>
      </w:pPr>
    </w:p>
    <w:p>
      <w:pPr>
        <w:bidi w:val="0"/>
      </w:pPr>
    </w:p>
    <w:tbl>
      <w:tblPr>
        <w:tblStyle w:val="4"/>
        <w:tblW w:w="14237" w:type="dxa"/>
        <w:tblInd w:w="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4712"/>
        <w:gridCol w:w="1538"/>
        <w:gridCol w:w="5825"/>
        <w:gridCol w:w="1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575"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序号</w:t>
            </w:r>
          </w:p>
        </w:tc>
        <w:tc>
          <w:tcPr>
            <w:tcW w:w="4712"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29</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对擅自砍伐护堤护岸林木的处罚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《中华人民共和国河道管理条例》第四十四条第七项</w:t>
            </w:r>
          </w:p>
        </w:tc>
        <w:tc>
          <w:tcPr>
            <w:tcW w:w="1587"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30</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对在堤防安全保护区内进行打井、钻探、爆破、挖筑鱼塘、采石、取土等危害堤防安全的活动的处罚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《中华人民共和国河道管理条例》第四十五条第二项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31</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对侵占、破坏水源和抗旱设施的处罚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《中华人民共和国抗旱条例》第六十一条</w:t>
            </w:r>
          </w:p>
        </w:tc>
        <w:tc>
          <w:tcPr>
            <w:tcW w:w="1587"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32</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对在城市人民政府规定的街道的临街建筑物的阳台和窗外，堆放、吊挂有碍市容的物品的处罚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《城市市容和环境卫生管理条例》第三十四条第三项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33</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对在城市建筑物、设施以及树木上涂写、刻画或者未经批准张挂、张贴宣传品等的处罚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《内蒙古自治区城市市容和环境卫生违法行为处罚规 定》第三条第二项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34</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对不按规定的时间、地点、方式， 倾倒垃圾、污水、粪便的处罚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《内蒙古自治区城市市容和环境卫生违法行为处罚规 定》第三条第四项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33"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35</w:t>
            </w:r>
          </w:p>
        </w:tc>
        <w:tc>
          <w:tcPr>
            <w:tcW w:w="4712" w:type="dxa"/>
            <w:vAlign w:val="top"/>
          </w:tcPr>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对临街工地不设置护栏或者不作遮挡、停工场地不及时整理并作必要覆盖或者竣工后不及时清理和平整场地，影响市容和环境卫生的处罚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p>
          <w:p>
            <w:pPr>
              <w:bidi w:val="0"/>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《内蒙古自治区城市市容和环境卫生违法行为处罚规 定》第三条第七项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sectPr>
          <w:pgSz w:w="17160" w:h="11910"/>
          <w:pgMar w:top="850" w:right="1134" w:bottom="283" w:left="1134" w:header="0" w:footer="0" w:gutter="0"/>
          <w:cols w:space="720" w:num="1"/>
        </w:sectPr>
      </w:pPr>
    </w:p>
    <w:p>
      <w:pPr>
        <w:bidi w:val="0"/>
      </w:pPr>
      <w:r>
        <mc:AlternateContent>
          <mc:Choice Requires="wps">
            <w:drawing>
              <wp:anchor distT="0" distB="0" distL="0" distR="0" simplePos="0" relativeHeight="251662336" behindDoc="0" locked="0" layoutInCell="0" allowOverlap="1">
                <wp:simplePos x="0" y="0"/>
                <wp:positionH relativeFrom="page">
                  <wp:posOffset>584835</wp:posOffset>
                </wp:positionH>
                <wp:positionV relativeFrom="page">
                  <wp:posOffset>6426835</wp:posOffset>
                </wp:positionV>
                <wp:extent cx="314960" cy="280670"/>
                <wp:effectExtent l="0" t="0" r="0" b="0"/>
                <wp:wrapNone/>
                <wp:docPr id="10" name="TextBox 10"/>
                <wp:cNvGraphicFramePr/>
                <a:graphic xmlns:a="http://schemas.openxmlformats.org/drawingml/2006/main">
                  <a:graphicData uri="http://schemas.microsoft.com/office/word/2010/wordprocessingShape">
                    <wps:wsp>
                      <wps:cNvSpPr txBox="1"/>
                      <wps:spPr>
                        <a:xfrm rot="16200000">
                          <a:off x="585309" y="6427320"/>
                          <a:ext cx="314959" cy="2806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2" w:line="184" w:lineRule="auto"/>
                              <w:ind w:left="20"/>
                              <w:rPr>
                                <w:rFonts w:ascii="宋体" w:hAnsi="宋体" w:eastAsia="宋体" w:cs="宋体"/>
                                <w:sz w:val="31"/>
                                <w:szCs w:val="3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0" o:spid="_x0000_s1026" o:spt="202" type="#_x0000_t202" style="position:absolute;left:0pt;margin-left:46.05pt;margin-top:506.05pt;height:22.1pt;width:24.8pt;mso-position-horizontal-relative:page;mso-position-vertical-relative:page;rotation:-5898240f;z-index:251662336;mso-width-relative:page;mso-height-relative:page;" filled="f" stroked="f" coordsize="21600,21600" o:allowincell="f" o:gfxdata="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PByC3nYAAAADAEAAA8AAAAAAAAAAQAg&#10;AAAAOAAAAGRycy9kb3ducmV2LnhtbFBLAQIUABQAAAAIAIdO4kDJ8HX8MQIAAGwEAAAOAAAAAAAA&#10;AAEAIAAAAD0BAABkcnMvZTJvRG9jLnhtbFBLBQYAAAAABgAGAFkBAADgBQAAAAA=&#10;">
                <v:fill on="f" focussize="0,0"/>
                <v:stroke on="f" weight="0pt"/>
                <v:imagedata o:title=""/>
                <o:lock v:ext="edit" aspectratio="f"/>
                <v:textbox inset="0mm,0mm,0mm,0mm">
                  <w:txbxContent>
                    <w:p>
                      <w:pPr>
                        <w:spacing w:before="112" w:line="184" w:lineRule="auto"/>
                        <w:ind w:left="20"/>
                        <w:rPr>
                          <w:rFonts w:ascii="宋体" w:hAnsi="宋体" w:eastAsia="宋体" w:cs="宋体"/>
                          <w:sz w:val="31"/>
                          <w:szCs w:val="31"/>
                        </w:rPr>
                      </w:pPr>
                    </w:p>
                  </w:txbxContent>
                </v:textbox>
              </v:shape>
            </w:pict>
          </mc:Fallback>
        </mc:AlternateContent>
      </w:r>
    </w:p>
    <w:p>
      <w:pPr>
        <w:bidi w:val="0"/>
      </w:pPr>
    </w:p>
    <w:tbl>
      <w:tblPr>
        <w:tblStyle w:val="4"/>
        <w:tblW w:w="14253" w:type="dxa"/>
        <w:tblInd w:w="4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4719"/>
        <w:gridCol w:w="1538"/>
        <w:gridCol w:w="5825"/>
        <w:gridCol w:w="1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584"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序 号</w:t>
            </w:r>
          </w:p>
        </w:tc>
        <w:tc>
          <w:tcPr>
            <w:tcW w:w="4719"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36</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对擅自设置大型户外广告标牌设施，影响市容的处罚</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《内蒙古自治区城市市容和环境卫生违法行为处罚规 定》第五条第一项</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37</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对擅自在街道两侧和公共场地堆放物料，搭建建筑物、构筑物或者其他设施，影响市容的处罚</w:t>
            </w:r>
          </w:p>
        </w:tc>
        <w:tc>
          <w:tcPr>
            <w:tcW w:w="1538"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《内蒙古自治区城市市容和环境卫生违法行为处罚规 定》第五条第二项</w:t>
            </w:r>
          </w:p>
        </w:tc>
        <w:tc>
          <w:tcPr>
            <w:tcW w:w="1587"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38</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对不自觉维护公共卫生，不爱护公 共卫生设施的处罚</w:t>
            </w:r>
          </w:p>
        </w:tc>
        <w:tc>
          <w:tcPr>
            <w:tcW w:w="1538"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《内蒙古自治区爱国卫生条例》第十五条、第二十五 条第一项</w:t>
            </w:r>
          </w:p>
        </w:tc>
        <w:tc>
          <w:tcPr>
            <w:tcW w:w="1587"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39</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对未按规定实行包门前卫生、包绿化美化硬化，包管理的“门前三包”制度的处罚</w:t>
            </w:r>
          </w:p>
        </w:tc>
        <w:tc>
          <w:tcPr>
            <w:tcW w:w="1538"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《内蒙古自治区爱国卫生条例》第十六条、第二十五 条第二项</w:t>
            </w:r>
          </w:p>
        </w:tc>
        <w:tc>
          <w:tcPr>
            <w:tcW w:w="1587"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40</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对在城市市区内饲养家禽家畜的处罚</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《内蒙古自治区爱国卫生条例》第十八条、第二十五 条第四项</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41</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对建设单位、物业服务企业不移交有关资料的处罚</w:t>
            </w:r>
          </w:p>
        </w:tc>
        <w:tc>
          <w:tcPr>
            <w:tcW w:w="1538"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《物业管理条例》第五十八条</w:t>
            </w:r>
          </w:p>
        </w:tc>
        <w:tc>
          <w:tcPr>
            <w:tcW w:w="1587"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42</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对物业服务企业将一个物业管理区域内的全部物业管理一并委托 给他人的处罚</w:t>
            </w:r>
          </w:p>
        </w:tc>
        <w:tc>
          <w:tcPr>
            <w:tcW w:w="1538"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《物业管理条例》第五十九条</w:t>
            </w:r>
          </w:p>
        </w:tc>
        <w:tc>
          <w:tcPr>
            <w:tcW w:w="1587"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3" w:hRule="atLeast"/>
        </w:trPr>
        <w:tc>
          <w:tcPr>
            <w:tcW w:w="584"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43</w:t>
            </w:r>
          </w:p>
        </w:tc>
        <w:tc>
          <w:tcPr>
            <w:tcW w:w="4719" w:type="dxa"/>
            <w:vAlign w:val="center"/>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对未经业主大会同意，物业服务企业擅自改变物业管理用房的用途的处罚</w:t>
            </w:r>
          </w:p>
        </w:tc>
        <w:tc>
          <w:tcPr>
            <w:tcW w:w="1538"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center"/>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《物业管理条例》第六十二条</w:t>
            </w:r>
          </w:p>
        </w:tc>
        <w:tc>
          <w:tcPr>
            <w:tcW w:w="1587" w:type="dxa"/>
            <w:vAlign w:val="center"/>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sectPr>
          <w:pgSz w:w="17450" w:h="12280"/>
          <w:pgMar w:top="850" w:right="1134" w:bottom="283" w:left="1134" w:header="0" w:footer="0" w:gutter="0"/>
          <w:cols w:space="720" w:num="1"/>
        </w:sectPr>
      </w:pPr>
    </w:p>
    <w:p>
      <w:pPr>
        <w:bidi w:val="0"/>
      </w:pPr>
    </w:p>
    <w:tbl>
      <w:tblPr>
        <w:tblStyle w:val="4"/>
        <w:tblW w:w="14250"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4725"/>
        <w:gridCol w:w="1538"/>
        <w:gridCol w:w="5825"/>
        <w:gridCol w:w="1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575"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mc:AlternateContent>
                <mc:Choice Requires="wps">
                  <w:drawing>
                    <wp:anchor distT="0" distB="0" distL="0" distR="0" simplePos="0" relativeHeight="251663360" behindDoc="0" locked="0" layoutInCell="0" allowOverlap="1">
                      <wp:simplePos x="0" y="0"/>
                      <wp:positionH relativeFrom="page">
                        <wp:posOffset>-585470</wp:posOffset>
                      </wp:positionH>
                      <wp:positionV relativeFrom="page">
                        <wp:posOffset>47625</wp:posOffset>
                      </wp:positionV>
                      <wp:extent cx="179705" cy="434975"/>
                      <wp:effectExtent l="0" t="127635" r="0" b="0"/>
                      <wp:wrapNone/>
                      <wp:docPr id="12" name="TextBox 12"/>
                      <wp:cNvGraphicFramePr/>
                      <a:graphic xmlns:a="http://schemas.openxmlformats.org/drawingml/2006/main">
                        <a:graphicData uri="http://schemas.microsoft.com/office/word/2010/wordprocessingShape">
                          <wps:wsp>
                            <wps:cNvSpPr txBox="1"/>
                            <wps:spPr>
                              <a:xfrm rot="5400000">
                                <a:off x="612624" y="1086474"/>
                                <a:ext cx="179705" cy="4349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6" w:line="184" w:lineRule="auto"/>
                                    <w:rPr>
                                      <w:rFonts w:ascii="YouYuan" w:hAnsi="YouYuan" w:eastAsia="YouYuan" w:cs="YouYuan"/>
                                      <w:sz w:val="29"/>
                                      <w:szCs w:val="29"/>
                                    </w:rPr>
                                  </w:pPr>
                                  <w:r>
                                    <w:rPr>
                                      <w:rFonts w:ascii="YouYuan" w:hAnsi="YouYuan" w:eastAsia="YouYuan" w:cs="YouYuan"/>
                                      <w:spacing w:val="-9"/>
                                      <w:sz w:val="29"/>
                                      <w:szCs w:val="29"/>
                                    </w:rPr>
                                    <w:t>0</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2" o:spid="_x0000_s1026" o:spt="202" type="#_x0000_t202" style="position:absolute;left:0pt;margin-left:-46.1pt;margin-top:3.75pt;height:34.25pt;width:14.15pt;mso-position-horizontal-relative:page;mso-position-vertical-relative:page;rotation:5898240f;z-index:251663360;mso-width-relative:page;mso-height-relative:page;" filled="f" stroked="f" coordsize="21600,21600" o:allowincell="f" o:gfxdata="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fWPJo9QAAAAIAQAADwAAAAAAAAABACAAAAA4&#10;AAAAZHJzL2Rvd25yZXYueG1sUEsBAhQAFAAAAAgAh07iQCUzSyQxAgAAawQAAA4AAAAAAAAAAQAg&#10;AAAAOQEAAGRycy9lMm9Eb2MueG1sUEsFBgAAAAAGAAYAWQEAANwFAAAAAA==&#10;">
                      <v:fill on="f" focussize="0,0"/>
                      <v:stroke on="f" weight="0pt"/>
                      <v:imagedata o:title=""/>
                      <o:lock v:ext="edit" aspectratio="f"/>
                      <v:textbox inset="0mm,0mm,0mm,0mm">
                        <w:txbxContent>
                          <w:p>
                            <w:pPr>
                              <w:spacing w:before="106" w:line="184" w:lineRule="auto"/>
                              <w:rPr>
                                <w:rFonts w:ascii="YouYuan" w:hAnsi="YouYuan" w:eastAsia="YouYuan" w:cs="YouYuan"/>
                                <w:sz w:val="29"/>
                                <w:szCs w:val="29"/>
                              </w:rPr>
                            </w:pPr>
                            <w:r>
                              <w:rPr>
                                <w:rFonts w:ascii="YouYuan" w:hAnsi="YouYuan" w:eastAsia="YouYuan" w:cs="YouYuan"/>
                                <w:spacing w:val="-9"/>
                                <w:sz w:val="29"/>
                                <w:szCs w:val="29"/>
                              </w:rPr>
                              <w:t>0</w:t>
                            </w:r>
                          </w:p>
                        </w:txbxContent>
                      </v:textbox>
                    </v:shape>
                  </w:pict>
                </mc:Fallback>
              </mc:AlternateContent>
            </w:r>
            <w:r>
              <w:rPr>
                <w:rFonts w:hint="eastAsia" w:ascii="CESI仿宋-GB18030" w:hAnsi="CESI仿宋-GB18030" w:eastAsia="CESI仿宋-GB18030" w:cs="CESI仿宋-GB18030"/>
                <w:sz w:val="24"/>
                <w:szCs w:val="24"/>
              </w:rPr>
              <w:t>序号</w:t>
            </w:r>
          </w:p>
        </w:tc>
        <w:tc>
          <w:tcPr>
            <w:tcW w:w="47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44</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对擅自改变物业管理区域内按照规划建设的公共建筑和共用设施用途的处罚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lang w:eastAsia="zh-CN"/>
              </w:rPr>
            </w:pPr>
            <w:r>
              <w:rPr>
                <w:rFonts w:hint="eastAsia" w:ascii="CESI仿宋-GB18030" w:hAnsi="CESI仿宋-GB18030" w:eastAsia="CESI仿宋-GB18030" w:cs="CESI仿宋-GB18030"/>
                <w:sz w:val="24"/>
                <w:szCs w:val="24"/>
              </w:rPr>
              <w:t>行政处</w:t>
            </w:r>
            <w:r>
              <w:rPr>
                <w:rFonts w:hint="eastAsia" w:ascii="CESI仿宋-GB18030" w:hAnsi="CESI仿宋-GB18030" w:eastAsia="CESI仿宋-GB18030" w:cs="CESI仿宋-GB18030"/>
                <w:sz w:val="24"/>
                <w:szCs w:val="24"/>
                <w:lang w:eastAsia="zh-CN"/>
              </w:rPr>
              <w:t>罚</w:t>
            </w:r>
          </w:p>
        </w:tc>
        <w:tc>
          <w:tcPr>
            <w:tcW w:w="5825" w:type="dxa"/>
            <w:vAlign w:val="top"/>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《物业管理条例》第六十三条第一款第一项、第六十 三条第二款</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45</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对擅自占用、挖掘物业管理区域内道路、场地，损害业主共同利益的处罚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《物业管理条例》第六十三条第一款第二项、第六十 三条第二款</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46</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对擅自利用物业共用部位、共用设 施设备进行经营的处罚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《物业管理条例》第六十三条第一款第三项、第六十 三条第二款</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7"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47</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对农业投入品生产者、销售者、使用者未按照规定及时回收肥料等农业投入品的包装废弃物或者农用薄膜，或者未按照规定及时回收农药包装废弃物交由专门的机构或者组织进行无害化处理的处罚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lang w:eastAsia="zh-CN"/>
              </w:rPr>
            </w:pPr>
            <w:r>
              <w:rPr>
                <w:rFonts w:hint="eastAsia" w:ascii="CESI仿宋-GB18030" w:hAnsi="CESI仿宋-GB18030" w:eastAsia="CESI仿宋-GB18030" w:cs="CESI仿宋-GB18030"/>
                <w:sz w:val="24"/>
                <w:szCs w:val="24"/>
              </w:rPr>
              <w:t>行政处</w:t>
            </w:r>
            <w:r>
              <w:rPr>
                <w:rFonts w:hint="eastAsia" w:ascii="CESI仿宋-GB18030" w:hAnsi="CESI仿宋-GB18030" w:eastAsia="CESI仿宋-GB18030" w:cs="CESI仿宋-GB18030"/>
                <w:sz w:val="24"/>
                <w:szCs w:val="24"/>
                <w:lang w:eastAsia="zh-CN"/>
              </w:rPr>
              <w:t>罚</w:t>
            </w:r>
          </w:p>
        </w:tc>
        <w:tc>
          <w:tcPr>
            <w:tcW w:w="5825" w:type="dxa"/>
            <w:vAlign w:val="top"/>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《中华人民共和国土壤污染防治法》第八十八条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48</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对农产品生产企业，农民专业合作社、从事农产品收购的单位或者个 人未按照规定开具承诺达标合格证的处罚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lang w:eastAsia="zh-CN"/>
              </w:rPr>
            </w:pPr>
            <w:r>
              <w:rPr>
                <w:rFonts w:hint="eastAsia" w:ascii="CESI仿宋-GB18030" w:hAnsi="CESI仿宋-GB18030" w:eastAsia="CESI仿宋-GB18030" w:cs="CESI仿宋-GB18030"/>
                <w:sz w:val="24"/>
                <w:szCs w:val="24"/>
              </w:rPr>
              <w:t>行政处</w:t>
            </w:r>
            <w:r>
              <w:rPr>
                <w:rFonts w:hint="eastAsia" w:ascii="CESI仿宋-GB18030" w:hAnsi="CESI仿宋-GB18030" w:eastAsia="CESI仿宋-GB18030" w:cs="CESI仿宋-GB18030"/>
                <w:sz w:val="24"/>
                <w:szCs w:val="24"/>
                <w:lang w:eastAsia="zh-CN"/>
              </w:rPr>
              <w:t>罚</w:t>
            </w:r>
          </w:p>
        </w:tc>
        <w:tc>
          <w:tcPr>
            <w:tcW w:w="5825" w:type="dxa"/>
            <w:vAlign w:val="top"/>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《中华人民共和国农产品质量安全法》第七十三条第 一项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49</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对擅自停止使用取退水计量设施的处罚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《取水许可管理办法》第四十九条第二项</w:t>
            </w:r>
          </w:p>
        </w:tc>
        <w:tc>
          <w:tcPr>
            <w:tcW w:w="1587"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sectPr>
          <w:pgSz w:w="17330" w:h="12070"/>
          <w:pgMar w:top="850" w:right="1134" w:bottom="283" w:left="1134" w:header="0" w:footer="0" w:gutter="0"/>
          <w:cols w:space="720" w:num="1"/>
        </w:sectPr>
      </w:pPr>
    </w:p>
    <w:p>
      <w:pPr>
        <w:bidi w:val="0"/>
      </w:pPr>
      <w:r>
        <w:pict>
          <v:shape id="_x0000_s1026" o:spid="_x0000_s1026" o:spt="202" type="#_x0000_t202" style="position:absolute;left:0pt;margin-left:52.7pt;margin-top:501.65pt;height:30.35pt;width:15.9pt;mso-position-horizontal-relative:page;mso-position-vertical-relative:page;z-index:25166438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237" w:lineRule="auto"/>
                    <w:rPr>
                      <w:rFonts w:ascii="宋体" w:hAnsi="宋体" w:eastAsia="宋体" w:cs="宋体"/>
                      <w:sz w:val="21"/>
                      <w:szCs w:val="21"/>
                    </w:rPr>
                  </w:pPr>
                </w:p>
              </w:txbxContent>
            </v:textbox>
          </v:shape>
        </w:pict>
      </w:r>
    </w:p>
    <w:p>
      <w:pPr>
        <w:bidi w:val="0"/>
      </w:pPr>
    </w:p>
    <w:p>
      <w:pPr>
        <w:bidi w:val="0"/>
      </w:pPr>
    </w:p>
    <w:tbl>
      <w:tblPr>
        <w:tblStyle w:val="4"/>
        <w:tblW w:w="14250" w:type="dxa"/>
        <w:tblInd w:w="4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4725"/>
        <w:gridCol w:w="1538"/>
        <w:gridCol w:w="5825"/>
        <w:gridCol w:w="1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575" w:type="dxa"/>
            <w:textDirection w:val="tbRlV"/>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序号</w:t>
            </w:r>
          </w:p>
        </w:tc>
        <w:tc>
          <w:tcPr>
            <w:tcW w:w="47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权力事项名称</w:t>
            </w:r>
          </w:p>
        </w:tc>
        <w:tc>
          <w:tcPr>
            <w:tcW w:w="1538"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权力类型</w:t>
            </w:r>
          </w:p>
        </w:tc>
        <w:tc>
          <w:tcPr>
            <w:tcW w:w="5825"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设    定   依   据</w:t>
            </w:r>
          </w:p>
        </w:tc>
        <w:tc>
          <w:tcPr>
            <w:tcW w:w="1587" w:type="dxa"/>
            <w:vAlign w:val="center"/>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赋权的</w:t>
            </w: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原实施层级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50</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对进行开垦、采石、采砂、采土或 者其他活动，造成林木毁坏的处罚</w:t>
            </w:r>
          </w:p>
        </w:tc>
        <w:tc>
          <w:tcPr>
            <w:tcW w:w="1538"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《中华人民共和国森林法》第七十四条第一款</w:t>
            </w:r>
          </w:p>
        </w:tc>
        <w:tc>
          <w:tcPr>
            <w:tcW w:w="1587" w:type="dxa"/>
            <w:vAlign w:val="top"/>
          </w:tcPr>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51</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对连续两年未完成更新造林任务的处罚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《中华人民共和国森林法》第七十九条</w:t>
            </w: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《中华人民共和国森林法实施条例》第四十二条第一 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52</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对当年更新造林面积未达到应更新造林面积50%的处罚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《中华人民共和国森林法》第七十九条</w:t>
            </w: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《中华人民共和国森林法实施条例》第四十二条第二 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53</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对除国家特别规定的于旱、半干旱地区外，更新造林当年成活率未达 到85%的处罚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《中华人民共和国森林法》第七十九条</w:t>
            </w: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《中华人民共和国森林法实施条例》第四十二条第三 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54</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对植树造林责任单位未按照所在地县级人民政府的要求按时完成造林任务的处罚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《中华人民共和国森林法》第七十九条</w:t>
            </w: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《中华人民共和国森林法实施条例》第四十二条第四 项</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55</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对在人口集中地区对树木、花草喷洒剧毒、高毒农药，或者露天焚烧 秸秆、落叶等产生烟尘污染的物质 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《中华人民共和国大气污染防治法》第一百一十九条 第一款</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75"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56</w:t>
            </w:r>
          </w:p>
        </w:tc>
        <w:tc>
          <w:tcPr>
            <w:tcW w:w="4725" w:type="dxa"/>
            <w:vAlign w:val="top"/>
          </w:tcPr>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对破坏或者擅自改变基本农田保护区标志的处罚</w:t>
            </w:r>
          </w:p>
        </w:tc>
        <w:tc>
          <w:tcPr>
            <w:tcW w:w="1538"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行政处罚</w:t>
            </w:r>
          </w:p>
        </w:tc>
        <w:tc>
          <w:tcPr>
            <w:tcW w:w="5825" w:type="dxa"/>
            <w:vAlign w:val="top"/>
          </w:tcPr>
          <w:p>
            <w:pPr>
              <w:bidi w:val="0"/>
              <w:jc w:val="left"/>
              <w:rPr>
                <w:rFonts w:hint="eastAsia" w:ascii="CESI仿宋-GB18030" w:hAnsi="CESI仿宋-GB18030" w:eastAsia="CESI仿宋-GB18030" w:cs="CESI仿宋-GB18030"/>
                <w:sz w:val="24"/>
                <w:szCs w:val="24"/>
              </w:rPr>
            </w:pPr>
          </w:p>
          <w:p>
            <w:pPr>
              <w:bidi w:val="0"/>
              <w:jc w:val="left"/>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《基本农田保护条例》第三十二条</w:t>
            </w:r>
          </w:p>
        </w:tc>
        <w:tc>
          <w:tcPr>
            <w:tcW w:w="1587" w:type="dxa"/>
            <w:vAlign w:val="top"/>
          </w:tcPr>
          <w:p>
            <w:pPr>
              <w:bidi w:val="0"/>
              <w:jc w:val="center"/>
              <w:rPr>
                <w:rFonts w:hint="eastAsia" w:ascii="CESI仿宋-GB18030" w:hAnsi="CESI仿宋-GB18030" w:eastAsia="CESI仿宋-GB18030" w:cs="CESI仿宋-GB18030"/>
                <w:sz w:val="24"/>
                <w:szCs w:val="24"/>
              </w:rPr>
            </w:pPr>
          </w:p>
          <w:p>
            <w:pPr>
              <w:bidi w:val="0"/>
              <w:jc w:val="center"/>
              <w:rPr>
                <w:rFonts w:hint="eastAsia" w:ascii="CESI仿宋-GB18030" w:hAnsi="CESI仿宋-GB18030" w:eastAsia="CESI仿宋-GB18030" w:cs="CESI仿宋-GB18030"/>
                <w:sz w:val="24"/>
                <w:szCs w:val="24"/>
              </w:rPr>
            </w:pPr>
            <w:r>
              <w:rPr>
                <w:rFonts w:hint="eastAsia" w:ascii="CESI仿宋-GB18030" w:hAnsi="CESI仿宋-GB18030" w:eastAsia="CESI仿宋-GB18030" w:cs="CESI仿宋-GB18030"/>
                <w:sz w:val="24"/>
                <w:szCs w:val="24"/>
              </w:rPr>
              <w:t>旗县级</w:t>
            </w:r>
          </w:p>
        </w:tc>
      </w:tr>
    </w:tbl>
    <w:p>
      <w:pPr>
        <w:bidi w:val="0"/>
      </w:pPr>
    </w:p>
    <w:p>
      <w:pPr>
        <w:bidi w:val="0"/>
        <w:ind w:firstLine="720" w:firstLineChars="300"/>
        <w:rPr>
          <w:rFonts w:hint="eastAsia" w:eastAsia="宋体"/>
          <w:sz w:val="24"/>
          <w:szCs w:val="24"/>
          <w:lang w:eastAsia="zh-CN"/>
        </w:rPr>
      </w:pPr>
    </w:p>
    <w:p>
      <w:pPr>
        <w:bidi w:val="0"/>
        <w:ind w:firstLine="720" w:firstLineChars="300"/>
        <w:rPr>
          <w:rFonts w:hint="default" w:eastAsia="宋体"/>
          <w:sz w:val="24"/>
          <w:szCs w:val="24"/>
          <w:lang w:val="en-US" w:eastAsia="zh-CN"/>
        </w:rPr>
      </w:pPr>
      <w:r>
        <w:rPr>
          <w:rFonts w:hint="eastAsia" w:eastAsia="宋体"/>
          <w:sz w:val="24"/>
          <w:szCs w:val="24"/>
          <w:lang w:eastAsia="zh-CN"/>
        </w:rPr>
        <w:t>注：该《指导目录》中</w:t>
      </w:r>
      <w:r>
        <w:rPr>
          <w:rFonts w:hint="eastAsia" w:eastAsia="宋体"/>
          <w:sz w:val="24"/>
          <w:szCs w:val="24"/>
          <w:lang w:val="en-US" w:eastAsia="zh-CN"/>
        </w:rPr>
        <w:t>1-46项为原2019年赋权清单80项行政处罚权中的事项。47-56项为本次赋权新增事项</w:t>
      </w:r>
    </w:p>
    <w:sectPr>
      <w:pgSz w:w="17420" w:h="12280"/>
      <w:pgMar w:top="850" w:right="1134" w:bottom="283" w:left="113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CESI仿宋-GB18030">
    <w:panose1 w:val="02000500000000000000"/>
    <w:charset w:val="86"/>
    <w:family w:val="auto"/>
    <w:pitch w:val="default"/>
    <w:sig w:usb0="A00002BF" w:usb1="38C77CFA" w:usb2="00000016" w:usb3="00000000" w:csb0="0004000F" w:csb1="00000000"/>
  </w:font>
  <w:font w:name="YouYuan">
    <w:altName w:val="华文中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AwYzUyNDNjMmJjNWI4OTVhNDRhMjE1OWE1ZmNiYjkifQ=="/>
  </w:docVars>
  <w:rsids>
    <w:rsidRoot w:val="00000000"/>
    <w:rsid w:val="3FBF5234"/>
    <w:rsid w:val="6A861694"/>
    <w:rsid w:val="6EE54E3C"/>
    <w:rsid w:val="7F096EDD"/>
    <w:rsid w:val="FAE6D7DD"/>
    <w:rsid w:val="FB79E066"/>
    <w:rsid w:val="FDF3D2CB"/>
    <w:rsid w:val="FF3BFA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Office_11.8.2.12128_F1E327BC-269C-435d-A152-05C5408002CA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2024-04-10T03:58:00Z</dcterms:created>
  <dc:creator>Administrator</dc:creator>
  <cp:lastModifiedBy>user</cp:lastModifiedBy>
  <cp:lastPrinted>2024-04-09T20:00:00Z</cp:lastPrinted>
  <dcterms:modified xsi:type="dcterms:W3CDTF">2024-06-13T09:41:42Z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2024-04-09T11:58:55Z</vt:filetime>
  </property>
  <property fmtid="{D5CDD505-2E9C-101B-9397-08002B2CF9AE}" pid="4" name="UsrData">
    <vt:lpwstr>6614bcfbe44a44001f4451a4wl</vt:lpwstr>
  </property>
  <property fmtid="{D5CDD505-2E9C-101B-9397-08002B2CF9AE}" pid="5" name="KSOProductBuildVer">
    <vt:lpwstr>2052-11.8.2.12128</vt:lpwstr>
  </property>
  <property fmtid="{D5CDD505-2E9C-101B-9397-08002B2CF9AE}" pid="6" name="ICV">
    <vt:lpwstr>37FF1A2C10FACADC564E6A66AA634611</vt:lpwstr>
  </property>
</Properties>
</file>