
<file path=[Content_Types].xml><?xml version="1.0" encoding="utf-8"?>
<Types xmlns="http://schemas.openxmlformats.org/package/2006/content-types">
  <Default Extension="xml" ContentType="application/xml"/>
  <Default Extension="xlsx" ContentType="application/vnd.openxmlformats-officedocument.spreadsheetml.sheet"/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olors1.xml" ContentType="application/vnd.ms-office.chartcolorstyle+xml"/>
  <Override PartName="/word/charts/style1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theme/themeOverride1.xml" ContentType="application/vnd.openxmlformats-officedocument.themeOverrid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0"/>
        <w:rPr>
          <w:rFonts w:hint="eastAsia" w:ascii="MWcht" w:hAnsi="MWcht" w:eastAsia="方正小标宋简体" w:cs="MWcht"/>
          <w:spacing w:val="-8"/>
          <w:sz w:val="24"/>
          <w:szCs w:val="24"/>
          <w:highlight w:val="none"/>
          <w:u w:val="none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0"/>
        <w:rPr>
          <w:rFonts w:hint="eastAsia" w:ascii="MWcht" w:hAnsi="MWcht" w:eastAsia="方正小标宋简体" w:cs="MWcht"/>
          <w:spacing w:val="-8"/>
          <w:sz w:val="24"/>
          <w:szCs w:val="24"/>
          <w:highlight w:val="none"/>
          <w:u w:val="none"/>
          <w:lang w:eastAsia="zh-CN"/>
        </w:rPr>
      </w:pPr>
      <w:r>
        <w:rPr>
          <w:rFonts w:hint="eastAsia" w:ascii="MWcht" w:hAnsi="MWcht" w:eastAsia="方正小标宋简体" w:cs="MWcht"/>
          <w:spacing w:val="-8"/>
          <w:sz w:val="24"/>
          <w:szCs w:val="24"/>
          <w:highlight w:val="none"/>
          <w:u w:val="none"/>
          <w:lang w:eastAsia="zh-CN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-531495</wp:posOffset>
            </wp:positionH>
            <wp:positionV relativeFrom="paragraph">
              <wp:posOffset>-706755</wp:posOffset>
            </wp:positionV>
            <wp:extent cx="5286375" cy="7499985"/>
            <wp:effectExtent l="0" t="0" r="0" b="0"/>
            <wp:wrapNone/>
            <wp:docPr id="2" name="图片 2" descr="1最终 鄂托克旗2021年3月收支简报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最终 鄂托克旗2021年3月收支简报-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7499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MWcht" w:hAnsi="MWcht" w:eastAsia="方正小标宋简体" w:cs="MWcht"/>
          <w:spacing w:val="-8"/>
          <w:sz w:val="24"/>
          <w:szCs w:val="24"/>
          <w:highlight w:val="none"/>
          <w:u w:val="none"/>
          <w:lang w:eastAsia="zh-CN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-523875</wp:posOffset>
            </wp:positionH>
            <wp:positionV relativeFrom="paragraph">
              <wp:posOffset>-706755</wp:posOffset>
            </wp:positionV>
            <wp:extent cx="5286375" cy="7499985"/>
            <wp:effectExtent l="0" t="0" r="0" b="0"/>
            <wp:wrapNone/>
            <wp:docPr id="11" name="图片 11" descr="1最终 鄂托克旗2021年3月收支简报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1最终 鄂托克旗2021年3月收支简报-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7499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MWcht" w:hAnsi="MWcht" w:eastAsia="方正小标宋简体" w:cs="MWcht"/>
          <w:spacing w:val="-8"/>
          <w:sz w:val="24"/>
          <w:szCs w:val="24"/>
          <w:highlight w:val="none"/>
          <w:u w:val="none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MWcht" w:hAnsi="MWcht" w:eastAsia="方正小标宋简体" w:cs="MWcht"/>
          <w:spacing w:val="-8"/>
          <w:sz w:val="24"/>
          <w:szCs w:val="24"/>
          <w:highlight w:val="none"/>
          <w:u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MWcht" w:hAnsi="MWcht" w:eastAsia="方正小标宋简体" w:cs="MWcht"/>
          <w:spacing w:val="-8"/>
          <w:sz w:val="24"/>
          <w:szCs w:val="24"/>
          <w:highlight w:val="none"/>
          <w:u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default" w:ascii="MWcht" w:hAnsi="MWcht" w:eastAsia="方正小标宋简体" w:cs="MWcht"/>
          <w:spacing w:val="12"/>
          <w:sz w:val="52"/>
          <w:szCs w:val="52"/>
          <w:highlight w:val="none"/>
          <w:u w:val="none"/>
          <w:lang w:val="en-US" w:eastAsia="zh-CN"/>
        </w:rPr>
      </w:pPr>
      <w:r>
        <w:rPr>
          <w:rFonts w:hint="eastAsia" w:ascii="汉真广标" w:hAnsi="汉真广标" w:eastAsia="汉真广标" w:cs="汉真广标"/>
          <w:spacing w:val="12"/>
          <w:sz w:val="52"/>
          <w:szCs w:val="52"/>
          <w:highlight w:val="none"/>
          <w:u w:val="none"/>
          <w:lang w:val="en-US" w:eastAsia="zh-CN"/>
        </w:rPr>
        <w:t>鄂托克旗财政收支分析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default" w:ascii="MWcht" w:hAnsi="MWcht" w:eastAsia="方正小标宋简体" w:cs="MWcht"/>
          <w:spacing w:val="-8"/>
          <w:sz w:val="24"/>
          <w:szCs w:val="24"/>
          <w:highlight w:val="none"/>
          <w:u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rPr>
          <w:rFonts w:hint="default" w:ascii="MWcht" w:hAnsi="MWcht" w:eastAsia="方正小标宋简体" w:cs="MWcht"/>
          <w:spacing w:val="-8"/>
          <w:sz w:val="24"/>
          <w:szCs w:val="24"/>
          <w:highlight w:val="none"/>
          <w:u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黑体" w:hAnsi="黑体" w:eastAsia="黑体" w:cs="黑体"/>
          <w:b w:val="0"/>
          <w:bCs w:val="0"/>
          <w:spacing w:val="-8"/>
          <w:sz w:val="28"/>
          <w:szCs w:val="28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pacing w:val="-8"/>
          <w:sz w:val="28"/>
          <w:szCs w:val="28"/>
          <w:highlight w:val="none"/>
          <w:u w:val="none"/>
          <w:lang w:val="en-US" w:eastAsia="zh-CN"/>
        </w:rPr>
        <w:t>202</w:t>
      </w:r>
      <w:r>
        <w:rPr>
          <w:rFonts w:hint="eastAsia" w:ascii="Times New Roman" w:hAnsi="Times New Roman" w:eastAsia="黑体" w:cs="Times New Roman"/>
          <w:b w:val="0"/>
          <w:bCs w:val="0"/>
          <w:spacing w:val="-8"/>
          <w:sz w:val="28"/>
          <w:szCs w:val="28"/>
          <w:highlight w:val="none"/>
          <w:u w:val="none"/>
          <w:lang w:val="en-US" w:eastAsia="zh-CN"/>
        </w:rPr>
        <w:t>2</w:t>
      </w:r>
      <w:r>
        <w:rPr>
          <w:rFonts w:hint="eastAsia" w:ascii="黑体" w:hAnsi="黑体" w:eastAsia="黑体" w:cs="黑体"/>
          <w:b w:val="0"/>
          <w:bCs w:val="0"/>
          <w:spacing w:val="-8"/>
          <w:sz w:val="28"/>
          <w:szCs w:val="28"/>
          <w:highlight w:val="none"/>
          <w:u w:val="none"/>
          <w:lang w:val="en-US" w:eastAsia="zh-CN"/>
        </w:rPr>
        <w:t>年第3期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黑体" w:hAnsi="黑体" w:eastAsia="黑体" w:cs="黑体"/>
          <w:b w:val="0"/>
          <w:bCs w:val="0"/>
          <w:spacing w:val="-8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pacing w:val="-8"/>
          <w:sz w:val="28"/>
          <w:szCs w:val="28"/>
          <w:highlight w:val="none"/>
          <w:u w:val="none"/>
          <w:lang w:val="en-US" w:eastAsia="zh-CN"/>
        </w:rPr>
        <w:t>（总第3期）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default" w:ascii="MWcht" w:hAnsi="MWcht" w:eastAsia="方正小标宋简体" w:cs="MWcht"/>
          <w:spacing w:val="-8"/>
          <w:sz w:val="24"/>
          <w:szCs w:val="24"/>
          <w:highlight w:val="none"/>
          <w:u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rPr>
          <w:rFonts w:hint="default" w:ascii="MWcht" w:hAnsi="MWcht" w:eastAsia="方正小标宋简体" w:cs="MWcht"/>
          <w:spacing w:val="-8"/>
          <w:sz w:val="24"/>
          <w:szCs w:val="24"/>
          <w:highlight w:val="none"/>
          <w:u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default" w:ascii="MWcht" w:hAnsi="MWcht" w:eastAsia="方正小标宋简体" w:cs="MWcht"/>
          <w:spacing w:val="-8"/>
          <w:sz w:val="24"/>
          <w:szCs w:val="24"/>
          <w:highlight w:val="none"/>
          <w:u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default" w:ascii="MWcht" w:hAnsi="MWcht" w:eastAsia="方正小标宋简体" w:cs="MWcht"/>
          <w:spacing w:val="-8"/>
          <w:sz w:val="24"/>
          <w:szCs w:val="24"/>
          <w:highlight w:val="none"/>
          <w:u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default" w:ascii="MWcht" w:hAnsi="MWcht" w:eastAsia="方正小标宋简体" w:cs="MWcht"/>
          <w:spacing w:val="-8"/>
          <w:sz w:val="24"/>
          <w:szCs w:val="24"/>
          <w:highlight w:val="none"/>
          <w:u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黑体" w:hAnsi="黑体" w:eastAsia="黑体" w:cs="黑体"/>
          <w:b w:val="0"/>
          <w:bCs w:val="0"/>
          <w:spacing w:val="9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pacing w:val="9"/>
          <w:sz w:val="24"/>
          <w:szCs w:val="24"/>
          <w:highlight w:val="none"/>
          <w:u w:val="none"/>
          <w:lang w:val="en-US" w:eastAsia="zh-CN"/>
        </w:rPr>
        <w:t>鄂托克旗财政局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91" w:firstLineChars="200"/>
        <w:jc w:val="both"/>
        <w:textAlignment w:val="auto"/>
        <w:rPr>
          <w:rFonts w:hint="eastAsia" w:ascii="黑体" w:hAnsi="黑体" w:eastAsia="黑体" w:cs="黑体"/>
          <w:b/>
          <w:bCs/>
          <w:spacing w:val="-8"/>
          <w:sz w:val="36"/>
          <w:szCs w:val="36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91" w:firstLineChars="200"/>
        <w:jc w:val="both"/>
        <w:textAlignment w:val="auto"/>
        <w:rPr>
          <w:rFonts w:hint="eastAsia" w:ascii="黑体" w:hAnsi="黑体" w:eastAsia="黑体" w:cs="黑体"/>
          <w:b/>
          <w:bCs/>
          <w:spacing w:val="-8"/>
          <w:sz w:val="36"/>
          <w:szCs w:val="36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91" w:firstLineChars="200"/>
        <w:jc w:val="both"/>
        <w:textAlignment w:val="auto"/>
        <w:rPr>
          <w:rFonts w:hint="eastAsia" w:ascii="黑体" w:hAnsi="黑体" w:eastAsia="黑体" w:cs="黑体"/>
          <w:b/>
          <w:bCs/>
          <w:spacing w:val="-8"/>
          <w:sz w:val="36"/>
          <w:szCs w:val="36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91" w:firstLineChars="200"/>
        <w:jc w:val="both"/>
        <w:textAlignment w:val="auto"/>
        <w:rPr>
          <w:rFonts w:hint="eastAsia" w:ascii="黑体" w:hAnsi="黑体" w:eastAsia="黑体" w:cs="黑体"/>
          <w:b/>
          <w:bCs/>
          <w:spacing w:val="-8"/>
          <w:sz w:val="36"/>
          <w:szCs w:val="36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91" w:firstLineChars="200"/>
        <w:jc w:val="both"/>
        <w:textAlignment w:val="auto"/>
        <w:rPr>
          <w:rFonts w:hint="eastAsia" w:ascii="黑体" w:hAnsi="黑体" w:eastAsia="黑体" w:cs="黑体"/>
          <w:b/>
          <w:bCs/>
          <w:spacing w:val="-8"/>
          <w:sz w:val="36"/>
          <w:szCs w:val="36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b/>
          <w:bCs/>
          <w:spacing w:val="-8"/>
          <w:sz w:val="36"/>
          <w:szCs w:val="36"/>
          <w:highlight w:val="none"/>
          <w:u w:val="none"/>
          <w:lang w:val="en-US" w:eastAsia="zh-CN"/>
        </w:rPr>
      </w:pPr>
      <w:r>
        <w:rPr>
          <w:rFonts w:hint="eastAsia" w:ascii="黑体" w:hAnsi="黑体" w:eastAsia="黑体" w:cs="黑体"/>
          <w:b/>
          <w:bCs/>
          <w:spacing w:val="-8"/>
          <w:sz w:val="36"/>
          <w:szCs w:val="36"/>
          <w:highlight w:val="none"/>
          <w:u w:val="none"/>
          <w:lang w:val="en-US" w:eastAsia="zh-CN"/>
        </w:rPr>
        <w:t>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" w:firstLineChars="200"/>
        <w:jc w:val="both"/>
        <w:textAlignment w:val="auto"/>
        <w:rPr>
          <w:rFonts w:hint="eastAsia" w:ascii="黑体" w:hAnsi="黑体" w:eastAsia="黑体" w:cs="黑体"/>
          <w:spacing w:val="-8"/>
          <w:sz w:val="24"/>
          <w:szCs w:val="24"/>
          <w:highlight w:val="none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distribute"/>
        <w:textAlignment w:val="auto"/>
        <w:rPr>
          <w:rFonts w:hint="default" w:ascii="Times New Roman" w:hAnsi="Times New Roman" w:eastAsia="黑体" w:cs="Times New Roman"/>
          <w:b w:val="0"/>
          <w:bCs w:val="0"/>
          <w:spacing w:val="0"/>
          <w:sz w:val="24"/>
          <w:szCs w:val="24"/>
          <w:highlight w:val="none"/>
          <w:u w:val="none"/>
          <w:lang w:val="en-US" w:eastAsia="zh-CN"/>
        </w:rPr>
      </w:pPr>
      <w:r>
        <w:rPr>
          <w:rFonts w:ascii="Times New Roman" w:hAnsi="Times New Roman" w:eastAsia="黑体" w:cs="Times New Roman"/>
          <w:b w:val="0"/>
          <w:bCs w:val="0"/>
          <w:spacing w:val="0"/>
          <w:sz w:val="24"/>
          <w:szCs w:val="24"/>
          <w:highlight w:val="none"/>
          <w:u w:val="none"/>
        </w:rPr>
        <w:t>一、全</w:t>
      </w:r>
      <w:r>
        <w:rPr>
          <w:rFonts w:hint="eastAsia" w:ascii="Times New Roman" w:hAnsi="Times New Roman" w:eastAsia="黑体" w:cs="Times New Roman"/>
          <w:b w:val="0"/>
          <w:bCs w:val="0"/>
          <w:spacing w:val="0"/>
          <w:sz w:val="24"/>
          <w:szCs w:val="24"/>
          <w:highlight w:val="none"/>
          <w:u w:val="none"/>
          <w:lang w:val="en-US" w:eastAsia="zh-CN"/>
        </w:rPr>
        <w:t>旗一般公共预算收入</w:t>
      </w:r>
      <w:r>
        <w:rPr>
          <w:rFonts w:hint="eastAsia" w:ascii="Times New Roman" w:hAnsi="Times New Roman" w:eastAsia="黑体" w:cs="Times New Roman"/>
          <w:b w:val="0"/>
          <w:bCs w:val="0"/>
          <w:spacing w:val="0"/>
          <w:sz w:val="24"/>
          <w:szCs w:val="24"/>
          <w:highlight w:val="none"/>
          <w:u w:val="none"/>
          <w:lang w:eastAsia="zh-CN"/>
        </w:rPr>
        <w:t>完成</w:t>
      </w:r>
      <w:r>
        <w:rPr>
          <w:rFonts w:ascii="Times New Roman" w:hAnsi="Times New Roman" w:eastAsia="黑体" w:cs="Times New Roman"/>
          <w:b w:val="0"/>
          <w:bCs w:val="0"/>
          <w:spacing w:val="0"/>
          <w:sz w:val="24"/>
          <w:szCs w:val="24"/>
          <w:highlight w:val="none"/>
          <w:u w:val="none"/>
        </w:rPr>
        <w:t>情况</w:t>
      </w:r>
      <w:r>
        <w:rPr>
          <w:rFonts w:hint="eastAsia" w:ascii="Times New Roman" w:hAnsi="Times New Roman" w:eastAsia="黑体" w:cs="Times New Roman"/>
          <w:b w:val="0"/>
          <w:bCs w:val="0"/>
          <w:spacing w:val="0"/>
          <w:sz w:val="24"/>
          <w:szCs w:val="24"/>
          <w:highlight w:val="none"/>
          <w:u w:val="none"/>
          <w:lang w:eastAsia="zh-CN"/>
        </w:rPr>
        <w:t>………………………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24"/>
          <w:szCs w:val="24"/>
          <w:highlight w:val="none"/>
          <w:u w:val="none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distribute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pacing w:val="0"/>
          <w:sz w:val="24"/>
          <w:szCs w:val="24"/>
          <w:highlight w:val="none"/>
          <w:u w:val="none"/>
          <w:lang w:val="en-US" w:eastAsia="zh-CN"/>
        </w:rPr>
        <w:t xml:space="preserve">    （一）3月一般公共预算收入完成情况</w:t>
      </w:r>
      <w:r>
        <w:rPr>
          <w:rFonts w:hint="eastAsia" w:ascii="Times New Roman" w:hAnsi="Times New Roman" w:eastAsia="黑体" w:cs="Times New Roman"/>
          <w:b w:val="0"/>
          <w:bCs w:val="0"/>
          <w:spacing w:val="0"/>
          <w:sz w:val="24"/>
          <w:szCs w:val="24"/>
          <w:highlight w:val="none"/>
          <w:u w:val="none"/>
          <w:lang w:eastAsia="zh-CN"/>
        </w:rPr>
        <w:t>………………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24"/>
          <w:szCs w:val="24"/>
          <w:highlight w:val="none"/>
          <w:u w:val="none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distribute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pacing w:val="0"/>
          <w:sz w:val="24"/>
          <w:szCs w:val="24"/>
          <w:highlight w:val="none"/>
          <w:u w:val="none"/>
          <w:lang w:val="en-US" w:eastAsia="zh-CN"/>
        </w:rPr>
        <w:t xml:space="preserve">    （二）1-3月一般公共预算收入完成情况</w:t>
      </w:r>
      <w:r>
        <w:rPr>
          <w:rFonts w:hint="eastAsia" w:ascii="Times New Roman" w:hAnsi="Times New Roman" w:eastAsia="黑体" w:cs="Times New Roman"/>
          <w:b w:val="0"/>
          <w:bCs w:val="0"/>
          <w:spacing w:val="0"/>
          <w:sz w:val="24"/>
          <w:szCs w:val="24"/>
          <w:highlight w:val="none"/>
          <w:u w:val="none"/>
          <w:lang w:eastAsia="zh-CN"/>
        </w:rPr>
        <w:t>……………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24"/>
          <w:szCs w:val="24"/>
          <w:highlight w:val="none"/>
          <w:u w:val="none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distribute"/>
        <w:textAlignment w:val="auto"/>
        <w:rPr>
          <w:rFonts w:hint="default" w:ascii="仿宋_GB2312" w:hAnsi="仿宋_GB2312" w:eastAsia="仿宋_GB2312" w:cs="仿宋_GB2312"/>
          <w:b w:val="0"/>
          <w:bCs w:val="0"/>
          <w:spacing w:val="0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黑体" w:cs="Times New Roman"/>
          <w:b w:val="0"/>
          <w:bCs w:val="0"/>
          <w:spacing w:val="0"/>
          <w:sz w:val="24"/>
          <w:szCs w:val="24"/>
          <w:highlight w:val="none"/>
          <w:u w:val="none"/>
          <w:lang w:val="en-US" w:eastAsia="zh-CN"/>
        </w:rPr>
        <w:t>二、</w:t>
      </w:r>
      <w:r>
        <w:rPr>
          <w:rFonts w:hint="default" w:ascii="Times New Roman" w:hAnsi="Times New Roman" w:eastAsia="黑体" w:cs="Times New Roman"/>
          <w:b w:val="0"/>
          <w:bCs w:val="0"/>
          <w:spacing w:val="0"/>
          <w:sz w:val="24"/>
          <w:szCs w:val="24"/>
          <w:highlight w:val="none"/>
          <w:u w:val="none"/>
        </w:rPr>
        <w:t>全</w:t>
      </w:r>
      <w:r>
        <w:rPr>
          <w:rFonts w:hint="eastAsia" w:ascii="Times New Roman" w:hAnsi="Times New Roman" w:eastAsia="黑体" w:cs="Times New Roman"/>
          <w:b w:val="0"/>
          <w:bCs w:val="0"/>
          <w:spacing w:val="0"/>
          <w:sz w:val="24"/>
          <w:szCs w:val="24"/>
          <w:highlight w:val="none"/>
          <w:u w:val="none"/>
          <w:lang w:val="en-US" w:eastAsia="zh-CN"/>
        </w:rPr>
        <w:t>旗</w:t>
      </w:r>
      <w:r>
        <w:rPr>
          <w:rFonts w:hint="default" w:ascii="Times New Roman" w:hAnsi="Times New Roman" w:eastAsia="黑体" w:cs="Times New Roman"/>
          <w:b w:val="0"/>
          <w:bCs w:val="0"/>
          <w:spacing w:val="0"/>
          <w:sz w:val="24"/>
          <w:szCs w:val="24"/>
          <w:highlight w:val="none"/>
          <w:u w:val="none"/>
        </w:rPr>
        <w:t>地方财政总收入完成情况</w:t>
      </w:r>
      <w:r>
        <w:rPr>
          <w:rFonts w:hint="eastAsia" w:ascii="Times New Roman" w:hAnsi="Times New Roman" w:eastAsia="黑体" w:cs="Times New Roman"/>
          <w:b w:val="0"/>
          <w:bCs w:val="0"/>
          <w:spacing w:val="0"/>
          <w:sz w:val="24"/>
          <w:szCs w:val="24"/>
          <w:highlight w:val="none"/>
          <w:u w:val="none"/>
          <w:lang w:eastAsia="zh-CN"/>
        </w:rPr>
        <w:t>…………………………</w:t>
      </w:r>
      <w:r>
        <w:rPr>
          <w:rFonts w:hint="eastAsia" w:ascii="Times New Roman" w:hAnsi="Times New Roman" w:eastAsia="黑体" w:cs="Times New Roman"/>
          <w:b w:val="0"/>
          <w:bCs w:val="0"/>
          <w:spacing w:val="0"/>
          <w:sz w:val="24"/>
          <w:szCs w:val="24"/>
          <w:highlight w:val="none"/>
          <w:u w:val="none"/>
          <w:lang w:val="en-US" w:eastAsia="zh-CN"/>
        </w:rPr>
        <w:t>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distribute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黑体" w:cs="Times New Roman"/>
          <w:b w:val="0"/>
          <w:bCs w:val="0"/>
          <w:spacing w:val="0"/>
          <w:sz w:val="24"/>
          <w:szCs w:val="24"/>
          <w:highlight w:val="none"/>
          <w:u w:val="none"/>
          <w:lang w:val="en-US" w:eastAsia="zh-CN"/>
        </w:rPr>
        <w:t>三、一般公共预算支出完成情况</w:t>
      </w:r>
      <w:r>
        <w:rPr>
          <w:rFonts w:hint="eastAsia" w:ascii="Times New Roman" w:hAnsi="Times New Roman" w:eastAsia="黑体" w:cs="Times New Roman"/>
          <w:b w:val="0"/>
          <w:bCs w:val="0"/>
          <w:spacing w:val="0"/>
          <w:sz w:val="24"/>
          <w:szCs w:val="24"/>
          <w:highlight w:val="none"/>
          <w:u w:val="none"/>
          <w:lang w:eastAsia="zh-CN"/>
        </w:rPr>
        <w:t>……………………</w:t>
      </w:r>
      <w:bookmarkStart w:id="1" w:name="_GoBack"/>
      <w:bookmarkEnd w:id="1"/>
      <w:r>
        <w:rPr>
          <w:rFonts w:hint="eastAsia" w:ascii="Times New Roman" w:hAnsi="Times New Roman" w:eastAsia="黑体" w:cs="Times New Roman"/>
          <w:b w:val="0"/>
          <w:bCs w:val="0"/>
          <w:spacing w:val="0"/>
          <w:sz w:val="24"/>
          <w:szCs w:val="24"/>
          <w:highlight w:val="none"/>
          <w:u w:val="none"/>
          <w:lang w:eastAsia="zh-CN"/>
        </w:rPr>
        <w:t>………</w:t>
      </w:r>
      <w:r>
        <w:rPr>
          <w:rFonts w:hint="eastAsia" w:ascii="Times New Roman" w:hAnsi="Times New Roman" w:eastAsia="仿宋_GB2312" w:cs="Times New Roman"/>
          <w:b w:val="0"/>
          <w:bCs w:val="0"/>
          <w:spacing w:val="0"/>
          <w:sz w:val="24"/>
          <w:szCs w:val="24"/>
          <w:highlight w:val="none"/>
          <w:u w:val="none"/>
          <w:lang w:val="en-US" w:eastAsia="zh-CN"/>
        </w:rPr>
        <w:t>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distribute"/>
        <w:textAlignment w:val="auto"/>
        <w:rPr>
          <w:rFonts w:hint="default" w:ascii="仿宋_GB2312" w:hAnsi="仿宋_GB2312" w:eastAsia="仿宋_GB2312" w:cs="仿宋_GB2312"/>
          <w:b w:val="0"/>
          <w:bCs w:val="0"/>
          <w:spacing w:val="0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黑体" w:cs="Times New Roman"/>
          <w:b w:val="0"/>
          <w:bCs w:val="0"/>
          <w:spacing w:val="0"/>
          <w:sz w:val="24"/>
          <w:szCs w:val="24"/>
          <w:highlight w:val="none"/>
          <w:u w:val="none"/>
          <w:lang w:val="en-US" w:eastAsia="zh-CN"/>
        </w:rPr>
        <w:t>四、政府性基金收支完成情况</w:t>
      </w:r>
      <w:r>
        <w:rPr>
          <w:rFonts w:hint="eastAsia" w:ascii="Times New Roman" w:hAnsi="Times New Roman" w:eastAsia="黑体" w:cs="Times New Roman"/>
          <w:b w:val="0"/>
          <w:bCs w:val="0"/>
          <w:spacing w:val="0"/>
          <w:sz w:val="24"/>
          <w:szCs w:val="24"/>
          <w:highlight w:val="none"/>
          <w:u w:val="none"/>
          <w:lang w:eastAsia="zh-CN"/>
        </w:rPr>
        <w:t>……………………………</w:t>
      </w:r>
      <w:r>
        <w:rPr>
          <w:rFonts w:hint="eastAsia" w:ascii="Times New Roman" w:hAnsi="Times New Roman" w:eastAsia="黑体" w:cs="Times New Roman"/>
          <w:b w:val="0"/>
          <w:bCs w:val="0"/>
          <w:spacing w:val="0"/>
          <w:sz w:val="24"/>
          <w:szCs w:val="24"/>
          <w:highlight w:val="none"/>
          <w:u w:val="none"/>
          <w:lang w:val="en-US" w:eastAsia="zh-CN"/>
        </w:rPr>
        <w:t>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" w:firstLineChars="200"/>
        <w:jc w:val="both"/>
        <w:textAlignment w:val="auto"/>
        <w:rPr>
          <w:rFonts w:hint="default" w:ascii="MWcht" w:hAnsi="MWcht" w:eastAsia="方正小标宋简体" w:cs="MWcht"/>
          <w:spacing w:val="-8"/>
          <w:sz w:val="24"/>
          <w:szCs w:val="24"/>
          <w:highlight w:val="none"/>
          <w:u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" w:firstLineChars="200"/>
        <w:jc w:val="both"/>
        <w:textAlignment w:val="auto"/>
        <w:rPr>
          <w:rFonts w:hint="default" w:ascii="MWcht" w:hAnsi="MWcht" w:eastAsia="方正小标宋简体" w:cs="MWcht"/>
          <w:spacing w:val="-8"/>
          <w:sz w:val="24"/>
          <w:szCs w:val="24"/>
          <w:highlight w:val="none"/>
          <w:u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" w:firstLineChars="200"/>
        <w:jc w:val="both"/>
        <w:textAlignment w:val="auto"/>
        <w:rPr>
          <w:rFonts w:hint="default" w:ascii="MWcht" w:hAnsi="MWcht" w:eastAsia="方正小标宋简体" w:cs="MWcht"/>
          <w:spacing w:val="-8"/>
          <w:sz w:val="24"/>
          <w:szCs w:val="24"/>
          <w:highlight w:val="none"/>
          <w:u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MWcht" w:hAnsi="MWcht" w:eastAsia="方正小标宋简体" w:cs="MWcht"/>
          <w:spacing w:val="-8"/>
          <w:sz w:val="24"/>
          <w:szCs w:val="24"/>
          <w:highlight w:val="none"/>
          <w:u w:val="none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footnotePr>
            <w:numFmt w:val="decimalEnclosedCircleChinese"/>
          </w:footnotePr>
          <w:type w:val="continuous"/>
          <w:pgSz w:w="8390" w:h="11905"/>
          <w:pgMar w:top="1134" w:right="850" w:bottom="850" w:left="850" w:header="851" w:footer="56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 w:start="1"/>
          <w:cols w:space="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" w:firstLineChars="200"/>
        <w:jc w:val="both"/>
        <w:textAlignment w:val="auto"/>
        <w:rPr>
          <w:rFonts w:hint="default" w:ascii="MWcht" w:hAnsi="MWcht" w:eastAsia="方正小标宋简体" w:cs="MWcht"/>
          <w:spacing w:val="-8"/>
          <w:sz w:val="24"/>
          <w:szCs w:val="24"/>
          <w:highlight w:val="none"/>
          <w:u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" w:firstLineChars="200"/>
        <w:jc w:val="both"/>
        <w:textAlignment w:val="auto"/>
        <w:rPr>
          <w:rFonts w:hint="default" w:ascii="MWcht" w:hAnsi="MWcht" w:eastAsia="方正小标宋简体" w:cs="MWcht"/>
          <w:spacing w:val="-8"/>
          <w:sz w:val="24"/>
          <w:szCs w:val="24"/>
          <w:highlight w:val="none"/>
          <w:u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" w:firstLineChars="200"/>
        <w:jc w:val="both"/>
        <w:textAlignment w:val="auto"/>
        <w:rPr>
          <w:rFonts w:hint="default" w:ascii="MWcht" w:hAnsi="MWcht" w:eastAsia="方正小标宋简体" w:cs="MWcht"/>
          <w:spacing w:val="-8"/>
          <w:sz w:val="24"/>
          <w:szCs w:val="24"/>
          <w:highlight w:val="none"/>
          <w:u w:val="none"/>
        </w:rPr>
      </w:pPr>
      <w:r>
        <w:rPr>
          <w:rFonts w:hint="eastAsia" w:ascii="MWcht" w:hAnsi="MWcht" w:eastAsia="方正小标宋简体" w:cs="MWcht"/>
          <w:spacing w:val="-8"/>
          <w:sz w:val="24"/>
          <w:szCs w:val="24"/>
          <w:highlight w:val="none"/>
          <w:u w:val="none"/>
          <w:lang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347980</wp:posOffset>
            </wp:positionH>
            <wp:positionV relativeFrom="paragraph">
              <wp:posOffset>165100</wp:posOffset>
            </wp:positionV>
            <wp:extent cx="3849370" cy="923925"/>
            <wp:effectExtent l="0" t="0" r="17780" b="8255"/>
            <wp:wrapNone/>
            <wp:docPr id="12" name="图片 12" descr="1最终 鄂托克旗2021年3月收支简报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1最终 鄂托克旗2021年3月收支简报-3"/>
                    <pic:cNvPicPr>
                      <a:picLocks noChangeAspect="1"/>
                    </pic:cNvPicPr>
                  </pic:nvPicPr>
                  <pic:blipFill>
                    <a:blip r:embed="rId11"/>
                    <a:srcRect l="13717" t="16458" r="14475" b="71393"/>
                    <a:stretch>
                      <a:fillRect/>
                    </a:stretch>
                  </pic:blipFill>
                  <pic:spPr>
                    <a:xfrm>
                      <a:off x="0" y="0"/>
                      <a:ext cx="384937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" w:firstLineChars="200"/>
        <w:jc w:val="both"/>
        <w:textAlignment w:val="auto"/>
        <w:rPr>
          <w:rFonts w:hint="eastAsia" w:ascii="MWcht" w:hAnsi="MWcht" w:eastAsia="方正小标宋简体" w:cs="MWcht"/>
          <w:spacing w:val="-8"/>
          <w:sz w:val="24"/>
          <w:szCs w:val="24"/>
          <w:highlight w:val="none"/>
          <w:u w:val="none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" w:firstLineChars="200"/>
        <w:jc w:val="both"/>
        <w:textAlignment w:val="auto"/>
        <w:rPr>
          <w:rFonts w:hint="eastAsia" w:ascii="MWcht" w:hAnsi="MWcht" w:eastAsia="方正小标宋简体" w:cs="MWcht"/>
          <w:spacing w:val="-8"/>
          <w:sz w:val="24"/>
          <w:szCs w:val="24"/>
          <w:highlight w:val="none"/>
          <w:u w:val="none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00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鄂托克旗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财政收支预算执行情况分析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24"/>
          <w:szCs w:val="24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center"/>
        <w:textAlignment w:val="auto"/>
        <w:rPr>
          <w:rFonts w:hint="eastAsia" w:ascii="黑体" w:hAnsi="黑体" w:eastAsia="黑体" w:cs="黑体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highlight w:val="none"/>
          <w:u w:val="none"/>
          <w:lang w:val="en-US" w:eastAsia="zh-CN"/>
        </w:rPr>
        <w:t>第3期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24"/>
          <w:szCs w:val="24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both"/>
        <w:textAlignment w:val="auto"/>
        <w:rPr>
          <w:rFonts w:hint="eastAsia" w:ascii="楷体_GB2312" w:hAnsi="楷体_GB2312" w:eastAsia="楷体_GB2312" w:cs="楷体_GB2312"/>
          <w:sz w:val="24"/>
          <w:szCs w:val="24"/>
          <w:highlight w:val="none"/>
          <w:u w:val="none"/>
          <w:lang w:val="en-US"/>
        </w:rPr>
      </w:pPr>
      <w:r>
        <w:rPr>
          <w:rFonts w:hint="eastAsia" w:ascii="楷体_GB2312" w:hAnsi="楷体_GB2312" w:eastAsia="楷体_GB2312" w:cs="楷体_GB2312"/>
          <w:sz w:val="24"/>
          <w:szCs w:val="24"/>
          <w:highlight w:val="none"/>
          <w:u w:val="none"/>
          <w:lang w:val="en-US" w:eastAsia="zh-CN"/>
        </w:rPr>
        <w:t>签发人：李思乾                     2022年4月10日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both"/>
        <w:textAlignment w:val="auto"/>
        <w:rPr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44450</wp:posOffset>
                </wp:positionV>
                <wp:extent cx="4252595" cy="0"/>
                <wp:effectExtent l="0" t="0" r="0" b="0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87070" y="2796540"/>
                          <a:ext cx="42525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.5pt;margin-top:3.5pt;height:0pt;width:334.85pt;z-index:251659264;mso-width-relative:page;mso-height-relative:page;" filled="f" stroked="t" coordsize="21600,21600" o:gfxdata="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jkrBG9MAAAAGAQAA&#10;DwAAAAAAAAABACAAAAAiAAAAZHJzL2Rvd25yZXYueG1sUEsBAhQAFAAAAAgAh07iQJr9wvTlAQAA&#10;pwMAAA4AAAAAAAAAAQAgAAAAIgEAAGRycy9lMm9Eb2MueG1sUEsFBgAAAAAGAAYAWQEAAHkFAAAA&#10;AA==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jc w:val="both"/>
        <w:textAlignment w:val="auto"/>
        <w:outlineLvl w:val="9"/>
        <w:rPr>
          <w:rFonts w:ascii="Times New Roman" w:hAnsi="Times New Roman" w:eastAsia="黑体" w:cs="Times New Roman"/>
          <w:spacing w:val="0"/>
          <w:kern w:val="21"/>
          <w:sz w:val="24"/>
          <w:szCs w:val="24"/>
          <w:highlight w:val="none"/>
          <w:u w:val="none"/>
        </w:rPr>
      </w:pPr>
      <w:r>
        <w:rPr>
          <w:rFonts w:ascii="Times New Roman" w:hAnsi="Times New Roman" w:eastAsia="黑体" w:cs="Times New Roman"/>
          <w:spacing w:val="0"/>
          <w:kern w:val="21"/>
          <w:sz w:val="24"/>
          <w:szCs w:val="24"/>
          <w:highlight w:val="none"/>
          <w:u w:val="none"/>
        </w:rPr>
        <w:t>一、全</w:t>
      </w:r>
      <w:r>
        <w:rPr>
          <w:rFonts w:hint="eastAsia" w:ascii="Times New Roman" w:hAnsi="Times New Roman" w:eastAsia="黑体" w:cs="Times New Roman"/>
          <w:spacing w:val="0"/>
          <w:kern w:val="21"/>
          <w:sz w:val="24"/>
          <w:szCs w:val="24"/>
          <w:highlight w:val="none"/>
          <w:u w:val="none"/>
          <w:lang w:val="en-US" w:eastAsia="zh-CN"/>
        </w:rPr>
        <w:t>旗一般公共预算收入</w:t>
      </w:r>
      <w:r>
        <w:rPr>
          <w:rFonts w:hint="eastAsia" w:ascii="Times New Roman" w:hAnsi="Times New Roman" w:eastAsia="黑体" w:cs="Times New Roman"/>
          <w:spacing w:val="0"/>
          <w:kern w:val="21"/>
          <w:sz w:val="24"/>
          <w:szCs w:val="24"/>
          <w:highlight w:val="none"/>
          <w:u w:val="none"/>
          <w:lang w:eastAsia="zh-CN"/>
        </w:rPr>
        <w:t>完成</w:t>
      </w:r>
      <w:r>
        <w:rPr>
          <w:rFonts w:ascii="Times New Roman" w:hAnsi="Times New Roman" w:eastAsia="黑体" w:cs="Times New Roman"/>
          <w:spacing w:val="0"/>
          <w:kern w:val="21"/>
          <w:sz w:val="24"/>
          <w:szCs w:val="24"/>
          <w:highlight w:val="none"/>
          <w:u w:val="none"/>
        </w:rPr>
        <w:t>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spacing w:val="0"/>
          <w:kern w:val="21"/>
          <w:sz w:val="24"/>
          <w:szCs w:val="24"/>
          <w:highlight w:val="none"/>
          <w:u w:val="none"/>
          <w:lang w:val="en-US" w:eastAsia="zh-CN"/>
        </w:rPr>
      </w:pPr>
      <w:bookmarkStart w:id="0" w:name="_Hlk502930230"/>
      <w:r>
        <w:rPr>
          <w:rFonts w:hint="eastAsia" w:ascii="楷体_GB2312" w:hAnsi="楷体_GB2312" w:eastAsia="楷体_GB2312" w:cs="楷体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（一）3月一般公共预算收入完成情况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2022年3月当月，全旗一般公共预算收入完成28470万元，较上年同期（下同）上升73.1%。</w:t>
      </w:r>
      <w:r>
        <w:rPr>
          <w:rFonts w:hint="eastAsia" w:ascii="Times New Roman" w:hAnsi="Times New Roman" w:eastAsia="仿宋_GB2312" w:cs="Times New Roman"/>
          <w:bCs/>
          <w:spacing w:val="0"/>
          <w:kern w:val="21"/>
          <w:sz w:val="24"/>
          <w:szCs w:val="24"/>
          <w:u w:val="none"/>
          <w:lang w:eastAsia="zh-CN"/>
        </w:rPr>
        <w:t>增幅较大的原因主要是煤炭行业拉动增值税、资源税</w:t>
      </w:r>
      <w:r>
        <w:rPr>
          <w:rFonts w:hint="eastAsia" w:ascii="Times New Roman" w:hAnsi="Times New Roman" w:eastAsia="仿宋_GB2312" w:cs="Times New Roman"/>
          <w:bCs/>
          <w:spacing w:val="0"/>
          <w:kern w:val="21"/>
          <w:sz w:val="24"/>
          <w:szCs w:val="24"/>
          <w:u w:val="none"/>
          <w:lang w:val="en-US" w:eastAsia="zh-CN"/>
        </w:rPr>
        <w:t>等</w:t>
      </w:r>
      <w:r>
        <w:rPr>
          <w:rFonts w:hint="eastAsia" w:ascii="Times New Roman" w:hAnsi="Times New Roman" w:eastAsia="仿宋_GB2312" w:cs="Times New Roman"/>
          <w:bCs/>
          <w:spacing w:val="0"/>
          <w:kern w:val="21"/>
          <w:sz w:val="24"/>
          <w:szCs w:val="24"/>
          <w:u w:val="none"/>
          <w:lang w:eastAsia="zh-CN"/>
        </w:rPr>
        <w:t>大幅度增收</w:t>
      </w:r>
      <w:r>
        <w:rPr>
          <w:rFonts w:hint="eastAsia" w:ascii="Times New Roman" w:hAnsi="Times New Roman" w:eastAsia="仿宋_GB2312" w:cs="Times New Roman"/>
          <w:spacing w:val="0"/>
          <w:kern w:val="21"/>
          <w:sz w:val="24"/>
          <w:szCs w:val="24"/>
          <w:highlight w:val="none"/>
          <w:u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黑体" w:hAnsi="黑体" w:eastAsia="黑体" w:cs="黑体"/>
          <w:spacing w:val="0"/>
          <w:kern w:val="21"/>
          <w:sz w:val="24"/>
          <w:szCs w:val="24"/>
          <w:highlight w:val="none"/>
          <w:u w:val="none"/>
          <w:lang w:val="en-US" w:eastAsia="zh-CN"/>
        </w:rPr>
        <w:t>分项目：</w:t>
      </w:r>
      <w:r>
        <w:rPr>
          <w:rFonts w:hint="eastAsia" w:ascii="仿宋_GB2312" w:hAnsi="仿宋_GB2312" w:eastAsia="仿宋_GB2312" w:cs="仿宋_GB2312"/>
          <w:b/>
          <w:bCs/>
          <w:spacing w:val="0"/>
          <w:kern w:val="21"/>
          <w:sz w:val="24"/>
          <w:szCs w:val="24"/>
          <w:highlight w:val="none"/>
          <w:u w:val="none"/>
          <w:lang w:val="en-US" w:eastAsia="zh-CN"/>
        </w:rPr>
        <w:t>1.增值税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kern w:val="21"/>
          <w:sz w:val="24"/>
          <w:szCs w:val="24"/>
          <w:highlight w:val="none"/>
          <w:u w:val="none"/>
          <w:lang w:val="en-US" w:eastAsia="zh-CN"/>
        </w:rPr>
        <w:t>10167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万元、较上年同期上升41%；</w:t>
      </w:r>
      <w:r>
        <w:rPr>
          <w:rFonts w:hint="eastAsia" w:ascii="仿宋_GB2312" w:hAnsi="仿宋_GB2312" w:eastAsia="仿宋_GB2312" w:cs="仿宋_GB2312"/>
          <w:b/>
          <w:bCs/>
          <w:spacing w:val="0"/>
          <w:kern w:val="21"/>
          <w:sz w:val="24"/>
          <w:szCs w:val="24"/>
          <w:highlight w:val="none"/>
          <w:u w:val="none"/>
          <w:lang w:val="en-US" w:eastAsia="zh-CN"/>
        </w:rPr>
        <w:t>2.企业所得税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kern w:val="21"/>
          <w:sz w:val="24"/>
          <w:szCs w:val="24"/>
          <w:highlight w:val="none"/>
          <w:u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万元、较上年同期下降95.9%；</w:t>
      </w:r>
      <w:r>
        <w:rPr>
          <w:rFonts w:hint="eastAsia" w:ascii="仿宋_GB2312" w:hAnsi="仿宋_GB2312" w:eastAsia="仿宋_GB2312" w:cs="仿宋_GB2312"/>
          <w:b/>
          <w:bCs/>
          <w:spacing w:val="0"/>
          <w:kern w:val="21"/>
          <w:sz w:val="24"/>
          <w:szCs w:val="24"/>
          <w:highlight w:val="none"/>
          <w:u w:val="none"/>
          <w:lang w:val="en-US" w:eastAsia="zh-CN"/>
        </w:rPr>
        <w:t>3.资源税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7137万元、较上年同期上升136.6%；</w:t>
      </w:r>
      <w:r>
        <w:rPr>
          <w:rFonts w:hint="eastAsia" w:ascii="仿宋_GB2312" w:hAnsi="仿宋_GB2312" w:eastAsia="仿宋_GB2312" w:cs="仿宋_GB2312"/>
          <w:b/>
          <w:bCs/>
          <w:spacing w:val="0"/>
          <w:kern w:val="21"/>
          <w:sz w:val="24"/>
          <w:szCs w:val="24"/>
          <w:highlight w:val="none"/>
          <w:u w:val="none"/>
          <w:lang w:val="en-US" w:eastAsia="zh-CN"/>
        </w:rPr>
        <w:t>4.个人所得税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404万元、较上年同期上升127%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lang w:eastAsia="zh-CN"/>
        </w:rPr>
        <w:t>；</w:t>
      </w:r>
      <w:r>
        <w:rPr>
          <w:rFonts w:hint="eastAsia" w:ascii="仿宋_GB2312" w:hAnsi="仿宋_GB2312" w:eastAsia="仿宋_GB2312" w:cs="仿宋_GB2312"/>
          <w:b/>
          <w:bCs/>
          <w:spacing w:val="0"/>
          <w:kern w:val="21"/>
          <w:sz w:val="24"/>
          <w:szCs w:val="24"/>
          <w:highlight w:val="none"/>
          <w:u w:val="none"/>
          <w:lang w:val="en-US" w:eastAsia="zh-CN"/>
        </w:rPr>
        <w:t>5.城市维护建设税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2782万元、较上年同期上升106.1%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b/>
          <w:bCs/>
          <w:spacing w:val="0"/>
          <w:kern w:val="21"/>
          <w:sz w:val="24"/>
          <w:szCs w:val="24"/>
          <w:highlight w:val="none"/>
          <w:lang w:val="en-US" w:eastAsia="zh-CN"/>
        </w:rPr>
        <w:t>6.房产税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lang w:val="en-US" w:eastAsia="zh-CN"/>
        </w:rPr>
        <w:t>15万元、较上年同期下降79.7%；</w:t>
      </w:r>
      <w:r>
        <w:rPr>
          <w:rFonts w:hint="eastAsia" w:ascii="仿宋_GB2312" w:hAnsi="仿宋_GB2312" w:eastAsia="仿宋_GB2312" w:cs="仿宋_GB2312"/>
          <w:b/>
          <w:bCs/>
          <w:spacing w:val="0"/>
          <w:kern w:val="21"/>
          <w:sz w:val="24"/>
          <w:szCs w:val="24"/>
          <w:highlight w:val="none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/>
          <w:bCs/>
          <w:spacing w:val="0"/>
          <w:kern w:val="21"/>
          <w:sz w:val="24"/>
          <w:szCs w:val="24"/>
          <w:highlight w:val="none"/>
          <w:u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kern w:val="21"/>
          <w:sz w:val="24"/>
          <w:szCs w:val="24"/>
          <w:highlight w:val="none"/>
          <w:u w:val="none"/>
          <w:lang w:val="en-US" w:eastAsia="zh-CN"/>
        </w:rPr>
        <w:t>印花税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u w:val="none"/>
          <w:lang w:val="en-US" w:eastAsia="zh-CN"/>
        </w:rPr>
        <w:t>776万元、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较上年同期上升110.3%；</w:t>
      </w:r>
      <w:r>
        <w:rPr>
          <w:rFonts w:hint="eastAsia" w:ascii="仿宋_GB2312" w:hAnsi="仿宋_GB2312" w:eastAsia="仿宋_GB2312" w:cs="仿宋_GB2312"/>
          <w:b/>
          <w:bCs/>
          <w:spacing w:val="0"/>
          <w:kern w:val="21"/>
          <w:sz w:val="24"/>
          <w:szCs w:val="24"/>
          <w:highlight w:val="none"/>
          <w:u w:val="none"/>
          <w:lang w:val="en-US" w:eastAsia="zh-CN"/>
        </w:rPr>
        <w:t>8.城镇土地使用税796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万元、较上年同期上升4089.5%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u w:val="none" w:color="auto"/>
          <w:lang w:val="en-US" w:eastAsia="zh-CN"/>
        </w:rPr>
        <w:t>；</w:t>
      </w:r>
      <w:r>
        <w:rPr>
          <w:rFonts w:hint="eastAsia" w:ascii="仿宋_GB2312" w:hAnsi="仿宋_GB2312" w:eastAsia="仿宋_GB2312" w:cs="仿宋_GB2312"/>
          <w:b/>
          <w:bCs/>
          <w:spacing w:val="0"/>
          <w:kern w:val="21"/>
          <w:sz w:val="24"/>
          <w:szCs w:val="24"/>
          <w:highlight w:val="none"/>
          <w:u w:val="none"/>
          <w:lang w:val="en-US" w:eastAsia="zh-CN"/>
        </w:rPr>
        <w:t>9.土地增值税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kern w:val="21"/>
          <w:sz w:val="24"/>
          <w:szCs w:val="24"/>
          <w:highlight w:val="none"/>
          <w:u w:val="none"/>
          <w:lang w:val="en-US" w:eastAsia="zh-CN"/>
        </w:rPr>
        <w:t>175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万元、较上年同期上升2400%；</w:t>
      </w:r>
      <w:r>
        <w:rPr>
          <w:rFonts w:hint="eastAsia" w:ascii="仿宋_GB2312" w:hAnsi="仿宋_GB2312" w:eastAsia="仿宋_GB2312" w:cs="仿宋_GB2312"/>
          <w:b/>
          <w:bCs/>
          <w:spacing w:val="0"/>
          <w:kern w:val="21"/>
          <w:sz w:val="24"/>
          <w:szCs w:val="24"/>
          <w:highlight w:val="none"/>
          <w:u w:val="none"/>
          <w:lang w:val="en-US" w:eastAsia="zh-CN"/>
        </w:rPr>
        <w:t>10.车船税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134万元、较上年同期下降2.2%；</w:t>
      </w:r>
      <w:r>
        <w:rPr>
          <w:rFonts w:hint="eastAsia" w:ascii="仿宋_GB2312" w:hAnsi="仿宋_GB2312" w:eastAsia="仿宋_GB2312" w:cs="仿宋_GB2312"/>
          <w:b/>
          <w:bCs/>
          <w:spacing w:val="0"/>
          <w:kern w:val="21"/>
          <w:sz w:val="24"/>
          <w:szCs w:val="24"/>
          <w:highlight w:val="none"/>
          <w:u w:val="none"/>
          <w:lang w:val="en-US" w:eastAsia="zh-CN"/>
        </w:rPr>
        <w:t>11.耕地占用税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934万元、较上年同期上升31%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lang w:eastAsia="zh-CN"/>
        </w:rPr>
        <w:t>；</w:t>
      </w:r>
      <w:r>
        <w:rPr>
          <w:rFonts w:hint="eastAsia" w:ascii="仿宋_GB2312" w:hAnsi="仿宋_GB2312" w:eastAsia="仿宋_GB2312" w:cs="仿宋_GB2312"/>
          <w:b/>
          <w:bCs/>
          <w:spacing w:val="0"/>
          <w:kern w:val="21"/>
          <w:sz w:val="24"/>
          <w:szCs w:val="24"/>
          <w:highlight w:val="none"/>
          <w:u w:val="none"/>
          <w:lang w:val="en-US" w:eastAsia="zh-CN"/>
        </w:rPr>
        <w:t>12.契税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136万元、较上年同期下降78.8%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b/>
          <w:bCs/>
          <w:spacing w:val="0"/>
          <w:kern w:val="21"/>
          <w:sz w:val="24"/>
          <w:szCs w:val="24"/>
          <w:highlight w:val="none"/>
          <w:u w:val="none"/>
          <w:lang w:val="en-US" w:eastAsia="zh-CN"/>
        </w:rPr>
        <w:t>13.环境保护税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0万元、较上年同期下降100%；</w:t>
      </w:r>
      <w:r>
        <w:rPr>
          <w:rFonts w:hint="eastAsia" w:ascii="仿宋_GB2312" w:hAnsi="仿宋_GB2312" w:eastAsia="仿宋_GB2312" w:cs="仿宋_GB2312"/>
          <w:b/>
          <w:bCs/>
          <w:spacing w:val="0"/>
          <w:kern w:val="21"/>
          <w:sz w:val="24"/>
          <w:szCs w:val="24"/>
          <w:highlight w:val="none"/>
          <w:u w:val="none"/>
          <w:lang w:val="en-US" w:eastAsia="zh-CN"/>
        </w:rPr>
        <w:t>14.非税收入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完成5010万元、较上年同期上升90.9%。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firstLine="48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spacing w:val="0"/>
          <w:kern w:val="21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pacing w:val="0"/>
          <w:kern w:val="21"/>
          <w:sz w:val="24"/>
          <w:szCs w:val="24"/>
          <w:highlight w:val="none"/>
          <w:u w:val="none"/>
          <w:lang w:val="en-US" w:eastAsia="zh-CN"/>
        </w:rPr>
        <w:t>（二）1-3月一般公共预算收入完成情况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截至2022年3月底，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全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旗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一般公共预算收入累计完成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153983万元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，较上年同期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上升147.9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%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68" w:firstLineChars="200"/>
        <w:textAlignment w:val="auto"/>
        <w:rPr>
          <w:rFonts w:hint="eastAsia" w:ascii="Times New Roman" w:hAnsi="Times New Roman" w:eastAsia="仿宋_GB2312" w:cs="Times New Roman"/>
          <w:spacing w:val="-3"/>
          <w:kern w:val="21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pacing w:val="-3"/>
          <w:kern w:val="21"/>
          <w:sz w:val="24"/>
          <w:szCs w:val="24"/>
          <w:highlight w:val="none"/>
          <w:u w:val="none"/>
          <w:lang w:val="en-US" w:eastAsia="zh-CN"/>
        </w:rPr>
        <w:t>一般公共预算收入增幅较大的主要原因有：一是煤炭价格持续高位运行，煤炭产品产销衔接顺畅，涉煤企业利润大幅增长，拉动增值税、企业所得税、资源税增收；二是受清缴以前年度税费</w:t>
      </w:r>
      <w:r>
        <w:rPr>
          <w:rFonts w:hint="eastAsia" w:ascii="Times New Roman" w:hAnsi="Times New Roman" w:eastAsia="仿宋_GB2312" w:cs="Times New Roman"/>
          <w:spacing w:val="-3"/>
          <w:kern w:val="21"/>
          <w:sz w:val="24"/>
          <w:szCs w:val="24"/>
          <w:highlight w:val="none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outlineLvl w:val="9"/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</w:pPr>
      <w:r>
        <w:rPr>
          <w:rFonts w:hint="eastAsia" w:ascii="黑体" w:hAnsi="黑体" w:eastAsia="黑体" w:cs="黑体"/>
          <w:spacing w:val="0"/>
          <w:kern w:val="21"/>
          <w:sz w:val="24"/>
          <w:szCs w:val="24"/>
          <w:highlight w:val="none"/>
          <w:u w:val="none"/>
        </w:rPr>
        <w:t>分性质：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税收收入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143198万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元、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上升164.5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%，非税收入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10785万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元、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上升35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%，占比分别为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93%和7%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outlineLvl w:val="9"/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</w:pPr>
      <w:r>
        <w:rPr>
          <w:rFonts w:hint="eastAsia" w:ascii="黑体" w:hAnsi="黑体" w:eastAsia="黑体" w:cs="黑体"/>
          <w:color w:val="auto"/>
          <w:spacing w:val="0"/>
          <w:kern w:val="21"/>
          <w:sz w:val="24"/>
          <w:szCs w:val="24"/>
          <w:highlight w:val="none"/>
          <w:u w:val="none"/>
        </w:rPr>
        <w:t>分部门</w:t>
      </w:r>
      <w:r>
        <w:rPr>
          <w:rFonts w:hint="eastAsia" w:ascii="黑体" w:hAnsi="黑体" w:eastAsia="黑体" w:cs="黑体"/>
          <w:spacing w:val="0"/>
          <w:kern w:val="21"/>
          <w:sz w:val="24"/>
          <w:szCs w:val="24"/>
          <w:highlight w:val="none"/>
          <w:u w:val="none"/>
        </w:rPr>
        <w:t>：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旗税务局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组织收入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10303万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元、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上升60.5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%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。开发区税务局组织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收入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140657万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元、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上升173.4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%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财政部门组织收入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3023万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元、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下降28.8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%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占比分别为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6.7%、91.3%和2%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outlineLvl w:val="9"/>
        <w:rPr>
          <w:rFonts w:hint="eastAsia" w:ascii="仿宋_GB2312" w:hAnsi="仿宋_GB2312" w:eastAsia="仿宋_GB2312" w:cs="仿宋_GB2312"/>
          <w:bCs/>
          <w:color w:val="auto"/>
          <w:spacing w:val="0"/>
          <w:kern w:val="21"/>
          <w:sz w:val="24"/>
          <w:szCs w:val="24"/>
          <w:highlight w:val="none"/>
          <w:u w:val="single"/>
        </w:rPr>
      </w:pPr>
      <w:r>
        <w:rPr>
          <w:rFonts w:hint="eastAsia" w:ascii="黑体" w:hAnsi="黑体" w:eastAsia="黑体" w:cs="黑体"/>
          <w:color w:val="auto"/>
          <w:spacing w:val="0"/>
          <w:kern w:val="21"/>
          <w:sz w:val="24"/>
          <w:szCs w:val="24"/>
          <w:highlight w:val="none"/>
          <w:u w:val="none"/>
        </w:rPr>
        <w:t>分行业：</w:t>
      </w:r>
      <w:r>
        <w:rPr>
          <w:rFonts w:hint="eastAsia" w:ascii="仿宋_GB2312" w:hAnsi="仿宋_GB2312" w:eastAsia="仿宋_GB2312" w:cs="仿宋_GB2312"/>
          <w:b/>
          <w:color w:val="auto"/>
          <w:spacing w:val="0"/>
          <w:kern w:val="21"/>
          <w:sz w:val="24"/>
          <w:szCs w:val="24"/>
          <w:highlight w:val="none"/>
        </w:rPr>
        <w:t>第二产业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</w:rPr>
        <w:t>实现一般公共预算收入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lang w:val="en-US" w:eastAsia="zh-CN"/>
        </w:rPr>
        <w:t>128619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</w:rPr>
        <w:t>万元、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lang w:eastAsia="zh-CN"/>
        </w:rPr>
        <w:t>增长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lang w:val="en-US" w:eastAsia="zh-CN"/>
        </w:rPr>
        <w:t>182.7%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</w:rPr>
        <w:t>，占比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lang w:val="en-US" w:eastAsia="zh-CN"/>
        </w:rPr>
        <w:t>83.5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</w:rPr>
        <w:t>%。具体来看：</w:t>
      </w:r>
      <w:r>
        <w:rPr>
          <w:rFonts w:hint="eastAsia" w:ascii="仿宋_GB2312" w:hAnsi="仿宋_GB2312" w:eastAsia="仿宋_GB2312" w:cs="仿宋_GB2312"/>
          <w:b/>
          <w:color w:val="auto"/>
          <w:spacing w:val="0"/>
          <w:kern w:val="21"/>
          <w:sz w:val="24"/>
          <w:szCs w:val="24"/>
          <w:highlight w:val="none"/>
        </w:rPr>
        <w:t>1.煤炭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lang w:val="en-US" w:eastAsia="zh-CN"/>
        </w:rPr>
        <w:t>73880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</w:rPr>
        <w:t>万元、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lang w:eastAsia="zh-CN"/>
        </w:rPr>
        <w:t>增长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lang w:val="en-US" w:eastAsia="zh-CN"/>
        </w:rPr>
        <w:t>323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</w:rPr>
        <w:t>%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lang w:val="en-US" w:eastAsia="zh-CN"/>
        </w:rPr>
        <w:t>；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kern w:val="21"/>
          <w:sz w:val="24"/>
          <w:szCs w:val="24"/>
          <w:highlight w:val="none"/>
          <w:lang w:val="en-US" w:eastAsia="zh-CN"/>
        </w:rPr>
        <w:t>2.天然气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21"/>
          <w:sz w:val="24"/>
          <w:szCs w:val="24"/>
          <w:highlight w:val="none"/>
          <w:lang w:val="en-US" w:eastAsia="zh-CN"/>
        </w:rPr>
        <w:t>6874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lang w:val="en-US" w:eastAsia="zh-CN"/>
        </w:rPr>
        <w:t>万元、增长98.8%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</w:rPr>
        <w:t>；</w:t>
      </w:r>
      <w:r>
        <w:rPr>
          <w:rFonts w:hint="eastAsia" w:ascii="仿宋_GB2312" w:hAnsi="仿宋_GB2312" w:eastAsia="仿宋_GB2312" w:cs="仿宋_GB2312"/>
          <w:b/>
          <w:color w:val="auto"/>
          <w:spacing w:val="0"/>
          <w:kern w:val="21"/>
          <w:sz w:val="24"/>
          <w:szCs w:val="24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color w:val="auto"/>
          <w:spacing w:val="0"/>
          <w:kern w:val="21"/>
          <w:sz w:val="24"/>
          <w:szCs w:val="24"/>
          <w:highlight w:val="none"/>
        </w:rPr>
        <w:t>.化工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0"/>
          <w:kern w:val="21"/>
          <w:sz w:val="24"/>
          <w:szCs w:val="24"/>
          <w:highlight w:val="none"/>
          <w:lang w:val="en-US" w:eastAsia="zh-CN"/>
        </w:rPr>
        <w:t>14550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</w:rPr>
        <w:t>万元、增长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lang w:val="en-US" w:eastAsia="zh-CN"/>
        </w:rPr>
        <w:t>74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</w:rPr>
        <w:t>%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b/>
          <w:color w:val="auto"/>
          <w:spacing w:val="0"/>
          <w:kern w:val="21"/>
          <w:sz w:val="24"/>
          <w:szCs w:val="24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/>
          <w:color w:val="auto"/>
          <w:spacing w:val="0"/>
          <w:kern w:val="21"/>
          <w:sz w:val="24"/>
          <w:szCs w:val="24"/>
          <w:highlight w:val="none"/>
        </w:rPr>
        <w:t>.电力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lang w:val="en-US" w:eastAsia="zh-CN"/>
        </w:rPr>
        <w:t>5865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</w:rPr>
        <w:t>万元、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lang w:val="en-US" w:eastAsia="zh-CN"/>
        </w:rPr>
        <w:t>增长45.1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</w:rPr>
        <w:t>%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b/>
          <w:color w:val="auto"/>
          <w:spacing w:val="0"/>
          <w:kern w:val="21"/>
          <w:sz w:val="24"/>
          <w:szCs w:val="24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/>
          <w:color w:val="auto"/>
          <w:spacing w:val="0"/>
          <w:kern w:val="21"/>
          <w:sz w:val="24"/>
          <w:szCs w:val="24"/>
          <w:highlight w:val="none"/>
        </w:rPr>
        <w:t>.建筑</w:t>
      </w:r>
      <w:r>
        <w:rPr>
          <w:rFonts w:hint="eastAsia" w:ascii="仿宋_GB2312" w:hAnsi="仿宋_GB2312" w:eastAsia="仿宋_GB2312" w:cs="仿宋_GB2312"/>
          <w:b/>
          <w:color w:val="auto"/>
          <w:spacing w:val="0"/>
          <w:kern w:val="21"/>
          <w:sz w:val="24"/>
          <w:szCs w:val="24"/>
          <w:highlight w:val="none"/>
          <w:lang w:val="en-US" w:eastAsia="zh-CN"/>
        </w:rPr>
        <w:t>1739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</w:rPr>
        <w:t>万元、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lang w:val="en-US" w:eastAsia="zh-CN"/>
        </w:rPr>
        <w:t>增长4.6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</w:rPr>
        <w:t>%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21"/>
          <w:sz w:val="24"/>
          <w:szCs w:val="24"/>
          <w:highlight w:val="none"/>
          <w:u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kern w:val="21"/>
          <w:sz w:val="24"/>
          <w:szCs w:val="24"/>
          <w:highlight w:val="none"/>
          <w:lang w:val="en-US" w:eastAsia="zh-CN"/>
        </w:rPr>
        <w:t>6.其他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lang w:val="en-US" w:eastAsia="zh-CN"/>
        </w:rPr>
        <w:t>25711万元、增长144.7%。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firstLine="48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color w:val="auto"/>
          <w:spacing w:val="0"/>
          <w:kern w:val="21"/>
          <w:sz w:val="24"/>
          <w:szCs w:val="24"/>
          <w:highlight w:val="none"/>
        </w:rPr>
        <w:t>第三产业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</w:rPr>
        <w:t>实现一般公共预算收入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lang w:val="en-US" w:eastAsia="zh-CN"/>
        </w:rPr>
        <w:t>22301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</w:rPr>
        <w:t>万元、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lang w:val="en-US" w:eastAsia="zh-CN"/>
        </w:rPr>
        <w:t>增长81.7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</w:rPr>
        <w:t>%，占比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lang w:val="en-US" w:eastAsia="zh-CN"/>
        </w:rPr>
        <w:t>14.5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</w:rPr>
        <w:t>%。具体来看：</w:t>
      </w:r>
      <w:r>
        <w:rPr>
          <w:rFonts w:hint="eastAsia" w:ascii="仿宋_GB2312" w:hAnsi="仿宋_GB2312" w:eastAsia="仿宋_GB2312" w:cs="仿宋_GB2312"/>
          <w:b/>
          <w:color w:val="auto"/>
          <w:spacing w:val="0"/>
          <w:kern w:val="21"/>
          <w:sz w:val="24"/>
          <w:szCs w:val="24"/>
          <w:highlight w:val="none"/>
        </w:rPr>
        <w:t>1.批发零售业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0"/>
          <w:kern w:val="21"/>
          <w:sz w:val="24"/>
          <w:szCs w:val="24"/>
          <w:highlight w:val="none"/>
          <w:lang w:val="en-US" w:eastAsia="zh-CN"/>
        </w:rPr>
        <w:t>5030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</w:rPr>
        <w:t>万元、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lang w:eastAsia="zh-CN"/>
        </w:rPr>
        <w:t>增长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lang w:val="en-US" w:eastAsia="zh-CN"/>
        </w:rPr>
        <w:t>196.7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</w:rPr>
        <w:t>%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b/>
          <w:color w:val="auto"/>
          <w:spacing w:val="0"/>
          <w:kern w:val="21"/>
          <w:sz w:val="24"/>
          <w:szCs w:val="24"/>
          <w:highlight w:val="none"/>
        </w:rPr>
        <w:t>2.服务业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lang w:val="en-US" w:eastAsia="zh-CN"/>
        </w:rPr>
        <w:t>7564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</w:rPr>
        <w:t>万元、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lang w:val="en-US" w:eastAsia="zh-CN"/>
        </w:rPr>
        <w:t>增长530.3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</w:rPr>
        <w:t>%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u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kern w:val="21"/>
          <w:sz w:val="24"/>
          <w:szCs w:val="24"/>
          <w:highlight w:val="none"/>
          <w:u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color w:val="auto"/>
          <w:spacing w:val="0"/>
          <w:kern w:val="21"/>
          <w:sz w:val="24"/>
          <w:szCs w:val="24"/>
          <w:highlight w:val="none"/>
        </w:rPr>
        <w:t>.交通运输业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lang w:val="en-US" w:eastAsia="zh-CN"/>
        </w:rPr>
        <w:t>2332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</w:rPr>
        <w:t>万元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lang w:val="en-US" w:eastAsia="zh-CN"/>
        </w:rPr>
        <w:t>增长90.2%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</w:rPr>
        <w:t>；</w:t>
      </w:r>
      <w:r>
        <w:rPr>
          <w:rFonts w:hint="eastAsia" w:ascii="仿宋_GB2312" w:hAnsi="仿宋_GB2312" w:eastAsia="仿宋_GB2312" w:cs="仿宋_GB2312"/>
          <w:b/>
          <w:color w:val="auto"/>
          <w:spacing w:val="0"/>
          <w:kern w:val="21"/>
          <w:sz w:val="24"/>
          <w:szCs w:val="24"/>
          <w:highlight w:val="none"/>
        </w:rPr>
        <w:t>4.金融业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lang w:val="en-US" w:eastAsia="zh-CN"/>
        </w:rPr>
        <w:t>722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</w:rPr>
        <w:t>万元、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lang w:eastAsia="zh-CN"/>
        </w:rPr>
        <w:t>增长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lang w:val="en-US" w:eastAsia="zh-CN"/>
        </w:rPr>
        <w:t>12.3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</w:rPr>
        <w:t>%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b/>
          <w:color w:val="auto"/>
          <w:spacing w:val="0"/>
          <w:kern w:val="21"/>
          <w:sz w:val="24"/>
          <w:szCs w:val="24"/>
          <w:highlight w:val="none"/>
        </w:rPr>
        <w:t>5.房地产业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lang w:val="en-US" w:eastAsia="zh-CN"/>
        </w:rPr>
        <w:t>5326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</w:rPr>
        <w:t>万元、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lang w:val="en-US" w:eastAsia="zh-CN"/>
        </w:rPr>
        <w:t>增长148.2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</w:rPr>
        <w:t>%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kern w:val="21"/>
          <w:sz w:val="24"/>
          <w:szCs w:val="24"/>
          <w:highlight w:val="none"/>
          <w:lang w:val="en-US" w:eastAsia="zh-CN"/>
        </w:rPr>
        <w:t>6.其他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21"/>
          <w:sz w:val="24"/>
          <w:szCs w:val="24"/>
          <w:highlight w:val="none"/>
          <w:lang w:val="en-US" w:eastAsia="zh-CN"/>
        </w:rPr>
        <w:t>1327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lang w:val="en-US" w:eastAsia="zh-CN"/>
        </w:rPr>
        <w:t>万元，下降75.3%。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/>
        <w:jc w:val="center"/>
        <w:textAlignment w:val="auto"/>
        <w:outlineLvl w:val="9"/>
        <w:rPr>
          <w:rFonts w:hint="default" w:ascii="Times New Roman" w:hAnsi="Times New Roman" w:eastAsia="楷体_GB2312" w:cs="Times New Roman"/>
          <w:spacing w:val="0"/>
          <w:kern w:val="21"/>
          <w:sz w:val="24"/>
          <w:szCs w:val="24"/>
          <w:highlight w:val="none"/>
          <w:u w:val="none"/>
        </w:rPr>
      </w:pPr>
      <w:r>
        <w:rPr>
          <w:rFonts w:hint="default" w:ascii="Times New Roman" w:hAnsi="Times New Roman" w:eastAsia="楷体_GB2312" w:cs="Times New Roman"/>
          <w:spacing w:val="0"/>
          <w:kern w:val="21"/>
          <w:sz w:val="24"/>
          <w:szCs w:val="24"/>
          <w:highlight w:val="none"/>
          <w:u w:val="none"/>
        </w:rPr>
        <w:t>（</w:t>
      </w:r>
      <w:r>
        <w:rPr>
          <w:rFonts w:hint="eastAsia" w:ascii="Times New Roman" w:hAnsi="Times New Roman" w:eastAsia="楷体_GB2312" w:cs="Times New Roman"/>
          <w:spacing w:val="0"/>
          <w:kern w:val="21"/>
          <w:sz w:val="24"/>
          <w:szCs w:val="24"/>
          <w:highlight w:val="none"/>
          <w:u w:val="none"/>
          <w:lang w:val="en-US" w:eastAsia="zh-CN"/>
        </w:rPr>
        <w:t>一般公共预算收入</w:t>
      </w:r>
      <w:r>
        <w:rPr>
          <w:rFonts w:hint="default" w:ascii="Times New Roman" w:hAnsi="Times New Roman" w:eastAsia="楷体_GB2312" w:cs="Times New Roman"/>
          <w:spacing w:val="0"/>
          <w:kern w:val="21"/>
          <w:sz w:val="24"/>
          <w:szCs w:val="24"/>
          <w:highlight w:val="none"/>
          <w:u w:val="none"/>
        </w:rPr>
        <w:t>分</w:t>
      </w:r>
      <w:r>
        <w:rPr>
          <w:rFonts w:hint="eastAsia" w:ascii="Times New Roman" w:hAnsi="Times New Roman" w:eastAsia="楷体_GB2312" w:cs="Times New Roman"/>
          <w:spacing w:val="0"/>
          <w:kern w:val="21"/>
          <w:sz w:val="24"/>
          <w:szCs w:val="24"/>
          <w:highlight w:val="none"/>
          <w:u w:val="none"/>
          <w:lang w:eastAsia="zh-CN"/>
        </w:rPr>
        <w:t>行业</w:t>
      </w:r>
      <w:r>
        <w:rPr>
          <w:rFonts w:hint="default" w:ascii="Times New Roman" w:hAnsi="Times New Roman" w:eastAsia="楷体_GB2312" w:cs="Times New Roman"/>
          <w:spacing w:val="0"/>
          <w:kern w:val="21"/>
          <w:sz w:val="24"/>
          <w:szCs w:val="24"/>
          <w:highlight w:val="none"/>
          <w:u w:val="none"/>
        </w:rPr>
        <w:t>情况见下图）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firstLine="480" w:firstLineChars="200"/>
        <w:jc w:val="both"/>
        <w:textAlignment w:val="auto"/>
        <w:outlineLvl w:val="9"/>
        <w:rPr>
          <w:rFonts w:hint="default" w:ascii="Times New Roman" w:hAnsi="Times New Roman" w:eastAsia="楷体_GB2312" w:cs="Times New Roman"/>
          <w:spacing w:val="0"/>
          <w:kern w:val="21"/>
          <w:sz w:val="24"/>
          <w:szCs w:val="24"/>
          <w:highlight w:val="lightGray"/>
          <w:u w:val="none"/>
        </w:rPr>
      </w:pPr>
      <w:r>
        <w:rPr>
          <w:rFonts w:hint="default" w:ascii="Times New Roman" w:hAnsi="Times New Roman" w:eastAsia="楷体_GB2312" w:cs="Times New Roman"/>
          <w:spacing w:val="0"/>
          <w:kern w:val="21"/>
          <w:sz w:val="24"/>
          <w:szCs w:val="24"/>
          <w:highlight w:val="lightGray"/>
          <w:u w:val="none"/>
        </w:rPr>
        <w:pict>
          <v:shape id="_x0000_s1029" o:spid="_x0000_s1029" o:spt="75" type="#_x0000_t75" style="position:absolute;left:0pt;margin-left:-1.15pt;margin-top:7.75pt;height:222.65pt;width:362.35pt;z-index:-251642880;mso-width-relative:page;mso-height-relative:page;" o:ole="t" filled="f" o:preferrelative="t" stroked="f" coordsize="21600,21600">
            <v:path/>
            <v:fill on="f" focussize="0,0"/>
            <v:stroke on="f" weight="0pt"/>
            <v:imagedata r:id="rId13" o:title=""/>
            <o:lock v:ext="edit" aspectratio="t"/>
          </v:shape>
          <o:OLEObject Type="Embed" ProgID="Excel.Chart.8" ShapeID="_x0000_s1029" DrawAspect="Content" ObjectID="_1468075725" r:id="rId12">
            <o:LockedField>false</o:LockedField>
          </o:OLEObject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firstLine="480" w:firstLineChars="200"/>
        <w:jc w:val="both"/>
        <w:textAlignment w:val="auto"/>
        <w:outlineLvl w:val="9"/>
        <w:rPr>
          <w:rFonts w:hint="default" w:ascii="Times New Roman" w:hAnsi="Times New Roman" w:eastAsia="楷体_GB2312" w:cs="Times New Roman"/>
          <w:spacing w:val="0"/>
          <w:kern w:val="21"/>
          <w:sz w:val="24"/>
          <w:szCs w:val="24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firstLine="480" w:firstLineChars="200"/>
        <w:jc w:val="both"/>
        <w:textAlignment w:val="auto"/>
        <w:outlineLvl w:val="9"/>
        <w:rPr>
          <w:rFonts w:hint="eastAsia" w:ascii="黑体" w:hAnsi="黑体" w:eastAsia="黑体" w:cs="黑体"/>
          <w:spacing w:val="0"/>
          <w:kern w:val="21"/>
          <w:sz w:val="24"/>
          <w:szCs w:val="24"/>
          <w:highlight w:val="none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firstLine="480" w:firstLineChars="200"/>
        <w:jc w:val="both"/>
        <w:textAlignment w:val="auto"/>
        <w:outlineLvl w:val="9"/>
        <w:rPr>
          <w:rFonts w:hint="eastAsia" w:ascii="黑体" w:hAnsi="黑体" w:eastAsia="黑体" w:cs="黑体"/>
          <w:spacing w:val="0"/>
          <w:kern w:val="21"/>
          <w:sz w:val="24"/>
          <w:szCs w:val="24"/>
          <w:highlight w:val="none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firstLine="480" w:firstLineChars="200"/>
        <w:jc w:val="both"/>
        <w:textAlignment w:val="auto"/>
        <w:outlineLvl w:val="9"/>
        <w:rPr>
          <w:rFonts w:hint="eastAsia" w:ascii="黑体" w:hAnsi="黑体" w:eastAsia="黑体" w:cs="黑体"/>
          <w:spacing w:val="0"/>
          <w:kern w:val="21"/>
          <w:sz w:val="24"/>
          <w:szCs w:val="24"/>
          <w:highlight w:val="none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spacing w:val="0"/>
          <w:kern w:val="21"/>
          <w:sz w:val="24"/>
          <w:szCs w:val="24"/>
          <w:highlight w:val="none"/>
          <w:u w:val="none"/>
        </w:rPr>
      </w:pPr>
      <w:r>
        <w:rPr>
          <w:spacing w:val="0"/>
          <w:kern w:val="21"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3460750</wp:posOffset>
                </wp:positionH>
                <wp:positionV relativeFrom="paragraph">
                  <wp:posOffset>245110</wp:posOffset>
                </wp:positionV>
                <wp:extent cx="132715" cy="75565"/>
                <wp:effectExtent l="0" t="0" r="635" b="63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" cy="7556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012D86"/>
                            </a:gs>
                            <a:gs pos="100000">
                              <a:srgbClr val="0E2557"/>
                            </a:gs>
                          </a:gsLst>
                          <a:lin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72.5pt;margin-top:19.3pt;height:5.95pt;width:10.45pt;z-index:251669504;v-text-anchor:middle;mso-width-relative:page;mso-height-relative:page;" fillcolor="#012D86" filled="t" stroked="f" coordsize="21600,21600" o:gfxdata="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">
                <v:fill type="gradient" on="t" color2="#0E2557" angle="90" focus="100%" focussize="0,0" rotate="t">
                  <o:fill type="gradientUnscaled" v:ext="backwardCompatible"/>
                </v:fill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w:rPr>
          <w:spacing w:val="0"/>
          <w:kern w:val="21"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3557905</wp:posOffset>
                </wp:positionH>
                <wp:positionV relativeFrom="paragraph">
                  <wp:posOffset>38100</wp:posOffset>
                </wp:positionV>
                <wp:extent cx="560705" cy="370205"/>
                <wp:effectExtent l="0" t="0" r="10795" b="1079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972560" y="5052060"/>
                          <a:ext cx="560705" cy="370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80" w:lineRule="exact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z w:val="11"/>
                                <w:szCs w:val="15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z w:val="11"/>
                                <w:szCs w:val="15"/>
                              </w:rPr>
                              <w:t>第二产业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80" w:lineRule="exact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z w:val="11"/>
                                <w:szCs w:val="15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z w:val="11"/>
                                <w:szCs w:val="15"/>
                              </w:rPr>
                              <w:t>第三产业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80" w:lineRule="exact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11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0.15pt;margin-top:3pt;height:29.15pt;width:44.15pt;z-index:251666432;mso-width-relative:page;mso-height-relative:page;" filled="f" stroked="f" coordsize="21600,21600" o:gfxdata="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Av9PsB2QAAAAgBAAAPAAAAAAAAAAEAIAAA&#10;ACIAAABkcnMvZG93bnJldi54bWxQSwECFAAUAAAACACHTuJAk4I0rEQCAABxBAAADgAAAAAAAAAB&#10;ACAAAAAoAQAAZHJzL2Uyb0RvYy54bWxQSwUGAAAAAAYABgBZAQAA3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180" w:lineRule="exact"/>
                        <w:textAlignment w:val="auto"/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sz w:val="11"/>
                          <w:szCs w:val="15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sz w:val="11"/>
                          <w:szCs w:val="15"/>
                        </w:rPr>
                        <w:t>第二产业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180" w:lineRule="exact"/>
                        <w:textAlignment w:val="auto"/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sz w:val="11"/>
                          <w:szCs w:val="15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sz w:val="11"/>
                          <w:szCs w:val="15"/>
                        </w:rPr>
                        <w:t>第三产业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180" w:lineRule="exact"/>
                        <w:textAlignment w:val="auto"/>
                        <w:rPr>
                          <w:rFonts w:hint="eastAsia" w:ascii="仿宋_GB2312" w:hAnsi="仿宋_GB2312" w:eastAsia="仿宋_GB2312" w:cs="仿宋_GB2312"/>
                          <w:sz w:val="11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pacing w:val="0"/>
          <w:kern w:val="21"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3460750</wp:posOffset>
                </wp:positionH>
                <wp:positionV relativeFrom="paragraph">
                  <wp:posOffset>111125</wp:posOffset>
                </wp:positionV>
                <wp:extent cx="132715" cy="75565"/>
                <wp:effectExtent l="0" t="0" r="635" b="63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34130" y="5022215"/>
                          <a:ext cx="132715" cy="7556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007BD3"/>
                            </a:gs>
                            <a:gs pos="100000">
                              <a:srgbClr val="034373"/>
                            </a:gs>
                          </a:gsLst>
                          <a:lin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72.5pt;margin-top:8.75pt;height:5.95pt;width:10.45pt;z-index:251667456;v-text-anchor:middle;mso-width-relative:page;mso-height-relative:page;" fillcolor="#007BD3" filled="t" stroked="f" coordsize="21600,21600" o:gfxdata="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">
                <v:fill type="gradient" on="t" color2="#034373" angle="90" focus="100%" focussize="0,0" rotate="t">
                  <o:fill type="gradientUnscaled" v:ext="backwardCompatible"/>
                </v:fill>
                <v:stroke on="f" weight="2pt"/>
                <v:imagedata o:title=""/>
                <o:lock v:ext="edit" aspectratio="f"/>
              </v:rect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firstLine="480" w:firstLineChars="200"/>
        <w:jc w:val="both"/>
        <w:textAlignment w:val="auto"/>
        <w:outlineLvl w:val="9"/>
        <w:rPr>
          <w:rFonts w:hint="eastAsia" w:ascii="黑体" w:hAnsi="黑体" w:eastAsia="黑体" w:cs="黑体"/>
          <w:spacing w:val="0"/>
          <w:kern w:val="21"/>
          <w:sz w:val="24"/>
          <w:szCs w:val="24"/>
          <w:highlight w:val="none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firstLine="480" w:firstLineChars="200"/>
        <w:jc w:val="both"/>
        <w:textAlignment w:val="auto"/>
        <w:outlineLvl w:val="9"/>
        <w:rPr>
          <w:rFonts w:hint="eastAsia" w:ascii="黑体" w:hAnsi="黑体" w:eastAsia="黑体" w:cs="黑体"/>
          <w:spacing w:val="0"/>
          <w:kern w:val="21"/>
          <w:sz w:val="24"/>
          <w:szCs w:val="24"/>
          <w:highlight w:val="none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yellow"/>
          <w:u w:val="none"/>
        </w:rPr>
      </w:pPr>
      <w:r>
        <w:rPr>
          <w:rFonts w:hint="eastAsia" w:ascii="黑体" w:hAnsi="黑体" w:eastAsia="黑体" w:cs="黑体"/>
          <w:spacing w:val="0"/>
          <w:kern w:val="21"/>
          <w:sz w:val="24"/>
          <w:szCs w:val="24"/>
          <w:highlight w:val="none"/>
          <w:u w:val="none"/>
        </w:rPr>
        <w:t>分税种：</w:t>
      </w:r>
      <w:r>
        <w:rPr>
          <w:rFonts w:hint="eastAsia" w:ascii="仿宋_GB2312" w:hAnsi="仿宋_GB2312" w:eastAsia="仿宋_GB2312" w:cs="仿宋_GB2312"/>
          <w:b/>
          <w:bCs/>
          <w:spacing w:val="0"/>
          <w:kern w:val="21"/>
          <w:sz w:val="24"/>
          <w:szCs w:val="24"/>
          <w:highlight w:val="none"/>
          <w:u w:val="none"/>
        </w:rPr>
        <w:t>共享税种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完成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114333万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元、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同比上升178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%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具体来看：</w:t>
      </w:r>
      <w:r>
        <w:rPr>
          <w:rFonts w:hint="eastAsia" w:ascii="仿宋_GB2312" w:hAnsi="仿宋_GB2312" w:eastAsia="仿宋_GB2312" w:cs="仿宋_GB2312"/>
          <w:b/>
          <w:bCs/>
          <w:spacing w:val="0"/>
          <w:kern w:val="21"/>
          <w:sz w:val="24"/>
          <w:szCs w:val="24"/>
          <w:highlight w:val="none"/>
          <w:u w:val="none"/>
        </w:rPr>
        <w:t>增值税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完成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49278万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元，同比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上升140.3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%、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eastAsia="zh-CN"/>
        </w:rPr>
        <w:t>增收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28771万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元；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eastAsia="zh-CN"/>
        </w:rPr>
        <w:t>主要是煤炭市场需求巨大，相关行业产品销量不断上升，企业收入增加增值税缴纳较多。</w:t>
      </w:r>
      <w:r>
        <w:rPr>
          <w:rFonts w:hint="eastAsia" w:ascii="仿宋_GB2312" w:hAnsi="仿宋_GB2312" w:eastAsia="仿宋_GB2312" w:cs="仿宋_GB2312"/>
          <w:b/>
          <w:bCs/>
          <w:spacing w:val="0"/>
          <w:kern w:val="21"/>
          <w:sz w:val="24"/>
          <w:szCs w:val="24"/>
          <w:highlight w:val="none"/>
          <w:u w:val="none"/>
        </w:rPr>
        <w:t>企业所得税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完成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31722万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元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同比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上升300.6%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、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增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收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23804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eastAsia="zh-CN"/>
        </w:rPr>
        <w:t>万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元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eastAsia="zh-CN"/>
        </w:rPr>
        <w:t>；主要是煤炭市场拉动。</w:t>
      </w:r>
      <w:r>
        <w:rPr>
          <w:rFonts w:hint="eastAsia" w:ascii="仿宋_GB2312" w:hAnsi="仿宋_GB2312" w:eastAsia="仿宋_GB2312" w:cs="仿宋_GB2312"/>
          <w:b/>
          <w:bCs/>
          <w:spacing w:val="0"/>
          <w:kern w:val="21"/>
          <w:sz w:val="24"/>
          <w:szCs w:val="24"/>
          <w:highlight w:val="none"/>
          <w:u w:val="none"/>
        </w:rPr>
        <w:t>个人所得税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完成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2173万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元，同比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上升53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%、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增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eastAsia="zh-CN"/>
        </w:rPr>
        <w:t>收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753万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元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eastAsia="zh-CN"/>
        </w:rPr>
        <w:t>；主要是</w:t>
      </w:r>
      <w:r>
        <w:rPr>
          <w:rFonts w:hint="eastAsia" w:ascii="Times New Roman" w:hAnsi="Times New Roman" w:eastAsia="仿宋_GB2312" w:cs="Times New Roman"/>
          <w:sz w:val="24"/>
          <w:szCs w:val="24"/>
          <w:highlight w:val="none"/>
          <w:u w:val="none"/>
          <w:lang w:val="en-US" w:eastAsia="zh-CN"/>
        </w:rPr>
        <w:t>企业经营效益转优，员工收入增加。</w:t>
      </w:r>
      <w:r>
        <w:rPr>
          <w:rFonts w:hint="eastAsia" w:ascii="仿宋_GB2312" w:hAnsi="仿宋_GB2312" w:eastAsia="仿宋_GB2312" w:cs="仿宋_GB2312"/>
          <w:b/>
          <w:bCs/>
          <w:spacing w:val="0"/>
          <w:kern w:val="21"/>
          <w:sz w:val="24"/>
          <w:szCs w:val="24"/>
          <w:highlight w:val="none"/>
          <w:u w:val="none"/>
        </w:rPr>
        <w:t>资源税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完成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29549万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元，同比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上升207.8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%、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eastAsia="zh-CN"/>
        </w:rPr>
        <w:t>增收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19948万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元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lang w:eastAsia="zh-CN"/>
        </w:rPr>
        <w:t>；主要是煤炭市场拉动。</w:t>
      </w:r>
      <w:r>
        <w:rPr>
          <w:rFonts w:hint="eastAsia" w:ascii="仿宋_GB2312" w:hAnsi="仿宋_GB2312" w:eastAsia="仿宋_GB2312" w:cs="仿宋_GB2312"/>
          <w:b/>
          <w:bCs/>
          <w:spacing w:val="0"/>
          <w:kern w:val="21"/>
          <w:sz w:val="24"/>
          <w:szCs w:val="24"/>
          <w:highlight w:val="none"/>
          <w:u w:val="none"/>
        </w:rPr>
        <w:t>环境保护税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完成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1611万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元，同比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下降3.5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%、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减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eastAsia="zh-CN"/>
        </w:rPr>
        <w:t>收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59万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元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0"/>
          <w:kern w:val="21"/>
          <w:sz w:val="24"/>
          <w:szCs w:val="24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482" w:firstLineChars="200"/>
        <w:jc w:val="both"/>
        <w:textAlignment w:val="auto"/>
        <w:outlineLvl w:val="9"/>
        <w:rPr>
          <w:rFonts w:hint="default" w:ascii="Times New Roman" w:hAnsi="Times New Roman" w:eastAsia="楷体_GB2312" w:cs="Times New Roman"/>
          <w:spacing w:val="0"/>
          <w:kern w:val="21"/>
          <w:sz w:val="24"/>
          <w:szCs w:val="24"/>
          <w:highlight w:val="none"/>
          <w:u w:val="none"/>
          <w:lang w:val="en-US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kern w:val="21"/>
          <w:sz w:val="24"/>
          <w:szCs w:val="24"/>
          <w:highlight w:val="none"/>
          <w:u w:val="none"/>
        </w:rPr>
        <w:t>地</w:t>
      </w:r>
      <w:r>
        <w:rPr>
          <w:rFonts w:hint="eastAsia" w:ascii="仿宋_GB2312" w:hAnsi="仿宋_GB2312" w:eastAsia="仿宋_GB2312" w:cs="仿宋_GB2312"/>
          <w:b/>
          <w:bCs/>
          <w:spacing w:val="0"/>
          <w:kern w:val="21"/>
          <w:sz w:val="24"/>
          <w:szCs w:val="24"/>
          <w:highlight w:val="none"/>
          <w:u w:val="none"/>
        </w:rPr>
        <w:t>方税种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完成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28866万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元、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上升139.0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%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lang w:eastAsia="zh-CN"/>
        </w:rPr>
        <w:t>。具体来看：</w:t>
      </w:r>
      <w:r>
        <w:rPr>
          <w:rFonts w:hint="eastAsia" w:ascii="仿宋_GB2312" w:hAnsi="仿宋_GB2312" w:eastAsia="仿宋_GB2312" w:cs="仿宋_GB2312"/>
          <w:b/>
          <w:bCs/>
          <w:spacing w:val="0"/>
          <w:kern w:val="21"/>
          <w:sz w:val="24"/>
          <w:szCs w:val="24"/>
          <w:highlight w:val="none"/>
          <w:u w:val="none"/>
        </w:rPr>
        <w:t>城市维护建设税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完成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8833万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元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同比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上升90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%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eastAsia="zh-CN"/>
        </w:rPr>
        <w:t>、增收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4185万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元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eastAsia="zh-CN"/>
        </w:rPr>
        <w:t>；</w:t>
      </w:r>
      <w:r>
        <w:rPr>
          <w:rFonts w:hint="eastAsia" w:ascii="Times New Roman" w:hAnsi="Times New Roman" w:eastAsia="仿宋_GB2312" w:cs="Times New Roman"/>
          <w:sz w:val="24"/>
          <w:szCs w:val="24"/>
          <w:highlight w:val="none"/>
          <w:u w:val="none"/>
          <w:lang w:eastAsia="zh-CN"/>
        </w:rPr>
        <w:t>主要是受增值税增收拉动。</w:t>
      </w:r>
      <w:r>
        <w:rPr>
          <w:rFonts w:hint="eastAsia" w:ascii="仿宋_GB2312" w:hAnsi="仿宋_GB2312" w:eastAsia="仿宋_GB2312" w:cs="仿宋_GB2312"/>
          <w:b/>
          <w:bCs/>
          <w:spacing w:val="0"/>
          <w:kern w:val="21"/>
          <w:sz w:val="24"/>
          <w:szCs w:val="24"/>
          <w:highlight w:val="none"/>
          <w:u w:val="none"/>
        </w:rPr>
        <w:t>房产税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完成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3859万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元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同比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上升3408.2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%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增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eastAsia="zh-CN"/>
        </w:rPr>
        <w:t>收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3749万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元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eastAsia="zh-CN"/>
        </w:rPr>
        <w:t>；主要是清缴以前年度缓交税款。</w:t>
      </w:r>
      <w:r>
        <w:rPr>
          <w:rFonts w:hint="eastAsia" w:ascii="仿宋_GB2312" w:hAnsi="仿宋_GB2312" w:eastAsia="仿宋_GB2312" w:cs="仿宋_GB2312"/>
          <w:b/>
          <w:bCs/>
          <w:spacing w:val="0"/>
          <w:kern w:val="21"/>
          <w:sz w:val="24"/>
          <w:szCs w:val="24"/>
          <w:highlight w:val="none"/>
          <w:u w:val="none"/>
        </w:rPr>
        <w:t>印花税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完成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2579万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元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同比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上升74.3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%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eastAsia="zh-CN"/>
        </w:rPr>
        <w:t>、增收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1099万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元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eastAsia="zh-CN"/>
        </w:rPr>
        <w:t>；</w:t>
      </w:r>
      <w:r>
        <w:rPr>
          <w:rFonts w:hint="eastAsia" w:ascii="Times New Roman" w:hAnsi="Times New Roman" w:eastAsia="仿宋_GB2312" w:cs="Times New Roman"/>
          <w:sz w:val="24"/>
          <w:szCs w:val="24"/>
          <w:highlight w:val="none"/>
          <w:u w:val="none"/>
          <w:lang w:eastAsia="zh-CN"/>
        </w:rPr>
        <w:t>主要是煤炭产销顺畅，煤炭产品购销环节印花税增长。</w:t>
      </w:r>
      <w:r>
        <w:rPr>
          <w:rFonts w:hint="eastAsia" w:ascii="仿宋_GB2312" w:hAnsi="仿宋_GB2312" w:eastAsia="仿宋_GB2312" w:cs="仿宋_GB2312"/>
          <w:b/>
          <w:bCs/>
          <w:spacing w:val="0"/>
          <w:kern w:val="21"/>
          <w:sz w:val="24"/>
          <w:szCs w:val="24"/>
          <w:highlight w:val="none"/>
          <w:u w:val="none"/>
        </w:rPr>
        <w:t>城镇土地使用税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完成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4807万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元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同比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上升3872.7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%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增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eastAsia="zh-CN"/>
        </w:rPr>
        <w:t>收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4686万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元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u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eastAsia="zh-CN"/>
        </w:rPr>
        <w:t>主要是清缴以前年度缓交税款。</w:t>
      </w:r>
      <w:r>
        <w:rPr>
          <w:rFonts w:hint="eastAsia" w:ascii="仿宋_GB2312" w:hAnsi="仿宋_GB2312" w:eastAsia="仿宋_GB2312" w:cs="仿宋_GB2312"/>
          <w:b/>
          <w:bCs/>
          <w:spacing w:val="0"/>
          <w:kern w:val="21"/>
          <w:sz w:val="24"/>
          <w:szCs w:val="24"/>
          <w:highlight w:val="none"/>
          <w:u w:val="none"/>
        </w:rPr>
        <w:t>土地增值税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完成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493万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元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同比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下降22.8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%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减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eastAsia="zh-CN"/>
        </w:rPr>
        <w:t>收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146万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元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b/>
          <w:bCs/>
          <w:spacing w:val="0"/>
          <w:kern w:val="21"/>
          <w:sz w:val="24"/>
          <w:szCs w:val="24"/>
          <w:highlight w:val="none"/>
          <w:u w:val="none"/>
        </w:rPr>
        <w:t>车船税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完成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542万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元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同比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上升7.1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%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增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eastAsia="zh-CN"/>
        </w:rPr>
        <w:t>收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36万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元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b/>
          <w:bCs/>
          <w:spacing w:val="0"/>
          <w:kern w:val="21"/>
          <w:sz w:val="24"/>
          <w:szCs w:val="24"/>
          <w:highlight w:val="none"/>
          <w:u w:val="none"/>
        </w:rPr>
        <w:t>耕地占用税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完成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7072万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元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同比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上升59.4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%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增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eastAsia="zh-CN"/>
        </w:rPr>
        <w:t>收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2634万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元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eastAsia="zh-CN"/>
        </w:rPr>
        <w:t>；主要是清缴以前年度税款。</w:t>
      </w:r>
      <w:r>
        <w:rPr>
          <w:rFonts w:hint="eastAsia" w:ascii="仿宋_GB2312" w:hAnsi="仿宋_GB2312" w:eastAsia="仿宋_GB2312" w:cs="仿宋_GB2312"/>
          <w:b/>
          <w:bCs/>
          <w:spacing w:val="0"/>
          <w:kern w:val="21"/>
          <w:sz w:val="24"/>
          <w:szCs w:val="24"/>
          <w:highlight w:val="none"/>
          <w:u w:val="none"/>
        </w:rPr>
        <w:t>契税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完成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681万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元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同比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下降34.8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%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减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eastAsia="zh-CN"/>
        </w:rPr>
        <w:t>收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363万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元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lang w:eastAsia="zh-CN"/>
        </w:rPr>
        <w:t>；</w:t>
      </w:r>
      <w:r>
        <w:rPr>
          <w:rFonts w:hint="eastAsia" w:ascii="仿宋_GB2312" w:hAnsi="仿宋_GB2312" w:eastAsia="仿宋_GB2312" w:cs="仿宋_GB2312"/>
          <w:b/>
          <w:bCs/>
          <w:spacing w:val="0"/>
          <w:kern w:val="21"/>
          <w:sz w:val="24"/>
          <w:szCs w:val="24"/>
          <w:highlight w:val="none"/>
          <w:u w:val="none"/>
        </w:rPr>
        <w:t>非税收入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完成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10785万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元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同比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上升35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%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增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eastAsia="zh-CN"/>
        </w:rPr>
        <w:t>收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2797万元。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firstLine="1200" w:firstLineChars="500"/>
        <w:jc w:val="both"/>
        <w:textAlignment w:val="auto"/>
        <w:outlineLvl w:val="9"/>
        <w:rPr>
          <w:rFonts w:hint="default" w:ascii="Times New Roman" w:hAnsi="Times New Roman" w:eastAsia="楷体_GB2312" w:cs="Times New Roman"/>
          <w:spacing w:val="0"/>
          <w:kern w:val="21"/>
          <w:sz w:val="24"/>
          <w:szCs w:val="24"/>
          <w:highlight w:val="none"/>
          <w:u w:val="none"/>
        </w:rPr>
      </w:pPr>
      <w:r>
        <w:rPr>
          <w:rFonts w:hint="default" w:ascii="Times New Roman" w:hAnsi="Times New Roman" w:eastAsia="楷体_GB2312" w:cs="Times New Roman"/>
          <w:spacing w:val="0"/>
          <w:kern w:val="21"/>
          <w:sz w:val="24"/>
          <w:szCs w:val="24"/>
          <w:highlight w:val="none"/>
          <w:u w:val="none"/>
        </w:rPr>
        <w:t>（</w:t>
      </w:r>
      <w:r>
        <w:rPr>
          <w:rFonts w:hint="eastAsia" w:ascii="Times New Roman" w:hAnsi="Times New Roman" w:eastAsia="楷体_GB2312" w:cs="Times New Roman"/>
          <w:spacing w:val="0"/>
          <w:kern w:val="21"/>
          <w:sz w:val="24"/>
          <w:szCs w:val="24"/>
          <w:highlight w:val="none"/>
          <w:u w:val="none"/>
          <w:lang w:val="en-US" w:eastAsia="zh-CN"/>
        </w:rPr>
        <w:t>一般公共预算收入</w:t>
      </w:r>
      <w:r>
        <w:rPr>
          <w:rFonts w:hint="default" w:ascii="Times New Roman" w:hAnsi="Times New Roman" w:eastAsia="楷体_GB2312" w:cs="Times New Roman"/>
          <w:spacing w:val="0"/>
          <w:kern w:val="21"/>
          <w:sz w:val="24"/>
          <w:szCs w:val="24"/>
          <w:highlight w:val="none"/>
          <w:u w:val="none"/>
        </w:rPr>
        <w:t>分</w:t>
      </w:r>
      <w:r>
        <w:rPr>
          <w:rFonts w:hint="eastAsia" w:ascii="Times New Roman" w:hAnsi="Times New Roman" w:eastAsia="楷体_GB2312" w:cs="Times New Roman"/>
          <w:spacing w:val="0"/>
          <w:kern w:val="21"/>
          <w:sz w:val="24"/>
          <w:szCs w:val="24"/>
          <w:highlight w:val="none"/>
          <w:u w:val="none"/>
          <w:lang w:eastAsia="zh-CN"/>
        </w:rPr>
        <w:t>税种</w:t>
      </w:r>
      <w:r>
        <w:rPr>
          <w:rFonts w:hint="default" w:ascii="Times New Roman" w:hAnsi="Times New Roman" w:eastAsia="楷体_GB2312" w:cs="Times New Roman"/>
          <w:spacing w:val="0"/>
          <w:kern w:val="21"/>
          <w:sz w:val="24"/>
          <w:szCs w:val="24"/>
          <w:highlight w:val="none"/>
          <w:u w:val="none"/>
        </w:rPr>
        <w:t>情况见下图）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firstLine="480" w:firstLineChars="200"/>
        <w:jc w:val="both"/>
        <w:textAlignment w:val="auto"/>
        <w:outlineLvl w:val="9"/>
        <w:rPr>
          <w:rFonts w:hint="default" w:ascii="Times New Roman" w:hAnsi="Times New Roman" w:eastAsia="楷体_GB2312" w:cs="Times New Roman"/>
          <w:spacing w:val="0"/>
          <w:kern w:val="21"/>
          <w:sz w:val="24"/>
          <w:szCs w:val="24"/>
          <w:highlight w:val="none"/>
          <w:u w:val="none"/>
        </w:rPr>
      </w:pPr>
      <w:r>
        <w:rPr>
          <w:rFonts w:hint="default" w:ascii="Times New Roman" w:hAnsi="Times New Roman" w:eastAsia="楷体_GB2312" w:cs="Times New Roman"/>
          <w:spacing w:val="0"/>
          <w:kern w:val="21"/>
          <w:sz w:val="24"/>
          <w:szCs w:val="24"/>
          <w:highlight w:val="none"/>
          <w:u w:val="none"/>
        </w:rPr>
        <w:pict>
          <v:shape id="_x0000_s1027" o:spid="_x0000_s1027" o:spt="75" type="#_x0000_t75" style="position:absolute;left:0pt;margin-left:-6.15pt;margin-top:6.7pt;height:234pt;width:348.1pt;z-index:-251644928;mso-width-relative:page;mso-height-relative:page;" o:ole="t" filled="f" o:preferrelative="t" stroked="f" coordsize="21600,21600">
            <v:path/>
            <v:fill on="f" focussize="0,0"/>
            <v:stroke on="f"/>
            <v:imagedata r:id="rId15" o:title=""/>
            <o:lock v:ext="edit" aspectratio="t"/>
          </v:shape>
          <o:OLEObject Type="Embed" ProgID="Excel.Chart.8" ShapeID="_x0000_s1027" DrawAspect="Content" ObjectID="_1468075726" r:id="rId14">
            <o:LockedField>false</o:LockedField>
          </o:OLEObject>
        </w:pict>
      </w:r>
      <w:r>
        <w:rPr>
          <w:spacing w:val="0"/>
          <w:kern w:val="21"/>
          <w:sz w:val="24"/>
          <w:highlight w:val="non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3943985</wp:posOffset>
                </wp:positionH>
                <wp:positionV relativeFrom="paragraph">
                  <wp:posOffset>248285</wp:posOffset>
                </wp:positionV>
                <wp:extent cx="371475" cy="97155"/>
                <wp:effectExtent l="0" t="0" r="0" b="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463415" y="4232275"/>
                          <a:ext cx="371475" cy="97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tLeast"/>
                              <w:textAlignment w:val="auto"/>
                              <w:rPr>
                                <w:rFonts w:hint="eastAsia" w:ascii="宋体" w:hAnsi="宋体" w:eastAsia="宋体" w:cs="宋体"/>
                                <w:sz w:val="11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11"/>
                                <w:szCs w:val="15"/>
                                <w:lang w:val="en-US" w:eastAsia="zh-CN"/>
                              </w:rPr>
                              <w:t>1000%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0.55pt;margin-top:19.55pt;height:7.65pt;width:29.25pt;z-index:251670528;mso-width-relative:page;mso-height-relative:page;" filled="f" stroked="f" coordsize="21600,21600" o:gfxdata="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CPXCtH3AAAAAkBAAAPAAAAAAAA&#10;AAEAIAAAACIAAABkcnMvZG93bnJldi54bWxQSwECFAAUAAAACACHTuJAFpYxg0cCAAByBAAADgAA&#10;AAAAAAABACAAAAArAQAAZHJzL2Uyb0RvYy54bWxQSwUGAAAAAAYABgBZAQAA5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tLeast"/>
                        <w:textAlignment w:val="auto"/>
                        <w:rPr>
                          <w:rFonts w:hint="eastAsia" w:ascii="宋体" w:hAnsi="宋体" w:eastAsia="宋体" w:cs="宋体"/>
                          <w:sz w:val="11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11"/>
                          <w:szCs w:val="15"/>
                          <w:lang w:val="en-US" w:eastAsia="zh-CN"/>
                        </w:rPr>
                        <w:t>1000%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firstLine="480" w:firstLineChars="200"/>
        <w:jc w:val="both"/>
        <w:textAlignment w:val="auto"/>
        <w:outlineLvl w:val="9"/>
        <w:rPr>
          <w:rFonts w:hint="default" w:ascii="Times New Roman" w:hAnsi="Times New Roman" w:eastAsia="楷体_GB2312" w:cs="Times New Roman"/>
          <w:spacing w:val="0"/>
          <w:kern w:val="21"/>
          <w:sz w:val="24"/>
          <w:szCs w:val="24"/>
          <w:highlight w:val="none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firstLine="480" w:firstLineChars="200"/>
        <w:jc w:val="both"/>
        <w:textAlignment w:val="auto"/>
        <w:outlineLvl w:val="9"/>
        <w:rPr>
          <w:rFonts w:hint="default" w:ascii="Times New Roman" w:hAnsi="Times New Roman" w:eastAsia="楷体_GB2312" w:cs="Times New Roman"/>
          <w:spacing w:val="0"/>
          <w:kern w:val="21"/>
          <w:sz w:val="24"/>
          <w:szCs w:val="24"/>
          <w:highlight w:val="none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firstLine="480" w:firstLineChars="200"/>
        <w:jc w:val="both"/>
        <w:textAlignment w:val="auto"/>
        <w:outlineLvl w:val="9"/>
        <w:rPr>
          <w:rFonts w:hint="default" w:ascii="Times New Roman" w:hAnsi="Times New Roman" w:eastAsia="楷体_GB2312" w:cs="Times New Roman"/>
          <w:spacing w:val="0"/>
          <w:kern w:val="21"/>
          <w:sz w:val="24"/>
          <w:szCs w:val="24"/>
          <w:highlight w:val="none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firstLine="480" w:firstLineChars="200"/>
        <w:jc w:val="both"/>
        <w:textAlignment w:val="auto"/>
        <w:outlineLvl w:val="9"/>
        <w:rPr>
          <w:rFonts w:hint="default" w:ascii="Times New Roman" w:hAnsi="Times New Roman" w:eastAsia="楷体_GB2312" w:cs="Times New Roman"/>
          <w:spacing w:val="0"/>
          <w:kern w:val="21"/>
          <w:sz w:val="24"/>
          <w:szCs w:val="24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lightGray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lightGray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lightGray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u w:val="none"/>
        </w:rPr>
        <w:t>全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u w:val="none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u w:val="none"/>
        </w:rPr>
        <w:t>累计完成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u w:val="none"/>
          <w:lang w:eastAsia="zh-CN"/>
        </w:rPr>
        <w:t>一般公共预算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u w:val="none"/>
        </w:rPr>
        <w:t>收入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u w:val="none"/>
          <w:lang w:val="en-US" w:eastAsia="zh-CN"/>
        </w:rPr>
        <w:t>293.88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u w:val="none"/>
          <w:lang w:eastAsia="zh-CN"/>
        </w:rPr>
        <w:t>亿元、增长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u w:val="none"/>
          <w:lang w:val="en-US" w:eastAsia="zh-CN"/>
        </w:rPr>
        <w:t>109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u w:val="none"/>
          <w:lang w:eastAsia="zh-CN"/>
        </w:rPr>
        <w:t>%。其中：准格尔旗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u w:val="none"/>
          <w:lang w:val="en-US" w:eastAsia="zh-CN"/>
        </w:rPr>
        <w:t>63.5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u w:val="none"/>
          <w:lang w:eastAsia="zh-CN"/>
        </w:rPr>
        <w:t>亿元、增长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u w:val="none"/>
          <w:lang w:val="en-US" w:eastAsia="zh-CN"/>
        </w:rPr>
        <w:t>224.6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u w:val="none"/>
          <w:lang w:eastAsia="zh-CN"/>
        </w:rPr>
        <w:t>%；伊金霍洛旗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u w:val="none"/>
          <w:lang w:val="en-US" w:eastAsia="zh-CN"/>
        </w:rPr>
        <w:t>47.1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u w:val="none"/>
          <w:lang w:eastAsia="zh-CN"/>
        </w:rPr>
        <w:t>亿元、增长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u w:val="none"/>
          <w:lang w:val="en-US" w:eastAsia="zh-CN"/>
        </w:rPr>
        <w:t>194.2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u w:val="none"/>
          <w:lang w:eastAsia="zh-CN"/>
        </w:rPr>
        <w:t>%；东胜区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u w:val="none"/>
          <w:lang w:val="en-US" w:eastAsia="zh-CN"/>
        </w:rPr>
        <w:t>21.9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u w:val="none"/>
          <w:lang w:eastAsia="zh-CN"/>
        </w:rPr>
        <w:t>亿元、增长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u w:val="none"/>
          <w:lang w:val="en-US" w:eastAsia="zh-CN"/>
        </w:rPr>
        <w:t>52.7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u w:val="none"/>
          <w:lang w:eastAsia="zh-CN"/>
        </w:rPr>
        <w:t>%；鄂托克旗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u w:val="none"/>
          <w:lang w:val="en-US" w:eastAsia="zh-CN"/>
        </w:rPr>
        <w:t>15.4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u w:val="none"/>
          <w:lang w:eastAsia="zh-CN"/>
        </w:rPr>
        <w:t>亿元、增长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u w:val="none"/>
          <w:lang w:val="en-US" w:eastAsia="zh-CN"/>
        </w:rPr>
        <w:t>147.9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u w:val="none"/>
          <w:lang w:eastAsia="zh-CN"/>
        </w:rPr>
        <w:t>%；乌审旗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u w:val="none"/>
          <w:lang w:val="en-US" w:eastAsia="zh-CN"/>
        </w:rPr>
        <w:t>8.1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u w:val="none"/>
          <w:lang w:eastAsia="zh-CN"/>
        </w:rPr>
        <w:t>亿元、增长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u w:val="none"/>
          <w:lang w:val="en-US" w:eastAsia="zh-CN"/>
        </w:rPr>
        <w:t>12.6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u w:val="none"/>
          <w:lang w:eastAsia="zh-CN"/>
        </w:rPr>
        <w:t>%；达拉特旗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u w:val="none"/>
          <w:lang w:val="en-US" w:eastAsia="zh-CN"/>
        </w:rPr>
        <w:t>8.3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u w:val="none"/>
          <w:lang w:eastAsia="zh-CN"/>
        </w:rPr>
        <w:t>亿元、增长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u w:val="none"/>
          <w:lang w:val="en-US" w:eastAsia="zh-CN"/>
        </w:rPr>
        <w:t>142.8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u w:val="none"/>
          <w:lang w:eastAsia="zh-CN"/>
        </w:rPr>
        <w:t>%；鄂托克前旗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u w:val="none"/>
          <w:lang w:val="en-US" w:eastAsia="zh-CN"/>
        </w:rPr>
        <w:t>6.1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u w:val="none"/>
          <w:lang w:eastAsia="zh-CN"/>
        </w:rPr>
        <w:t>亿元、增长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u w:val="none"/>
          <w:lang w:val="en-US" w:eastAsia="zh-CN"/>
        </w:rPr>
        <w:t>150.3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u w:val="none"/>
          <w:lang w:eastAsia="zh-CN"/>
        </w:rPr>
        <w:t>%；杭锦旗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u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u w:val="none"/>
          <w:lang w:eastAsia="zh-CN"/>
        </w:rPr>
        <w:t>亿元、增长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u w:val="none"/>
          <w:lang w:val="en-US" w:eastAsia="zh-CN"/>
        </w:rPr>
        <w:t>137.2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u w:val="none"/>
          <w:lang w:eastAsia="zh-CN"/>
        </w:rPr>
        <w:t>%；康巴什区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u w:val="none"/>
          <w:lang w:val="en-US" w:eastAsia="zh-CN"/>
        </w:rPr>
        <w:t>2.9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u w:val="none"/>
          <w:lang w:eastAsia="zh-CN"/>
        </w:rPr>
        <w:t>亿元、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u w:val="none"/>
          <w:lang w:val="en-US" w:eastAsia="zh-CN"/>
        </w:rPr>
        <w:t>增长18.7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u w:val="none"/>
          <w:lang w:eastAsia="zh-CN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/>
        <w:jc w:val="center"/>
        <w:textAlignment w:val="auto"/>
        <w:outlineLvl w:val="9"/>
        <w:rPr>
          <w:rFonts w:hint="default" w:ascii="Times New Roman" w:hAnsi="Times New Roman" w:eastAsia="楷体_GB2312" w:cs="Times New Roman"/>
          <w:spacing w:val="0"/>
          <w:kern w:val="21"/>
          <w:sz w:val="24"/>
          <w:szCs w:val="24"/>
          <w:highlight w:val="none"/>
          <w:u w:val="none"/>
        </w:rPr>
      </w:pPr>
      <w:r>
        <w:rPr>
          <w:rFonts w:hint="default" w:ascii="Times New Roman" w:hAnsi="Times New Roman" w:eastAsia="楷体_GB2312" w:cs="Times New Roman"/>
          <w:spacing w:val="0"/>
          <w:kern w:val="21"/>
          <w:sz w:val="24"/>
          <w:szCs w:val="24"/>
          <w:highlight w:val="none"/>
          <w:u w:val="none"/>
        </w:rPr>
        <w:t>（</w:t>
      </w:r>
      <w:r>
        <w:rPr>
          <w:rFonts w:hint="eastAsia" w:ascii="Times New Roman" w:hAnsi="Times New Roman" w:eastAsia="楷体_GB2312" w:cs="Times New Roman"/>
          <w:spacing w:val="0"/>
          <w:kern w:val="21"/>
          <w:sz w:val="24"/>
          <w:szCs w:val="24"/>
          <w:highlight w:val="none"/>
          <w:u w:val="none"/>
          <w:lang w:val="en-US" w:eastAsia="zh-CN"/>
        </w:rPr>
        <w:t>一般公共预算收入</w:t>
      </w:r>
      <w:r>
        <w:rPr>
          <w:rFonts w:hint="default" w:ascii="Times New Roman" w:hAnsi="Times New Roman" w:eastAsia="楷体_GB2312" w:cs="Times New Roman"/>
          <w:spacing w:val="0"/>
          <w:kern w:val="21"/>
          <w:sz w:val="24"/>
          <w:szCs w:val="24"/>
          <w:highlight w:val="none"/>
          <w:u w:val="none"/>
        </w:rPr>
        <w:t>分</w:t>
      </w:r>
      <w:r>
        <w:rPr>
          <w:rFonts w:hint="eastAsia" w:ascii="Times New Roman" w:hAnsi="Times New Roman" w:eastAsia="楷体_GB2312" w:cs="Times New Roman"/>
          <w:spacing w:val="0"/>
          <w:kern w:val="21"/>
          <w:sz w:val="24"/>
          <w:szCs w:val="24"/>
          <w:highlight w:val="none"/>
          <w:u w:val="none"/>
          <w:lang w:eastAsia="zh-CN"/>
        </w:rPr>
        <w:t>旗区</w:t>
      </w:r>
      <w:r>
        <w:rPr>
          <w:rFonts w:hint="default" w:ascii="Times New Roman" w:hAnsi="Times New Roman" w:eastAsia="楷体_GB2312" w:cs="Times New Roman"/>
          <w:spacing w:val="0"/>
          <w:kern w:val="21"/>
          <w:sz w:val="24"/>
          <w:szCs w:val="24"/>
          <w:highlight w:val="none"/>
          <w:u w:val="none"/>
        </w:rPr>
        <w:t>情况见下图）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/>
        <w:jc w:val="center"/>
        <w:textAlignment w:val="auto"/>
        <w:outlineLvl w:val="9"/>
        <w:rPr>
          <w:rFonts w:hint="default" w:ascii="Times New Roman" w:hAnsi="Times New Roman" w:eastAsia="楷体_GB2312" w:cs="Times New Roman"/>
          <w:spacing w:val="0"/>
          <w:kern w:val="21"/>
          <w:sz w:val="24"/>
          <w:szCs w:val="24"/>
          <w:u w:val="none"/>
        </w:rPr>
      </w:pPr>
      <w:r>
        <w:rPr>
          <w:rFonts w:hint="default" w:ascii="Times New Roman" w:hAnsi="Times New Roman" w:eastAsia="楷体_GB2312" w:cs="Times New Roman"/>
          <w:spacing w:val="0"/>
          <w:kern w:val="21"/>
          <w:sz w:val="24"/>
          <w:szCs w:val="24"/>
          <w:u w:val="none"/>
        </w:rPr>
        <w:pict>
          <v:shape id="_x0000_s1032" o:spid="_x0000_s1032" o:spt="75" type="#_x0000_t75" style="position:absolute;left:0pt;margin-left:-10.15pt;margin-top:6.7pt;height:215.4pt;width:357.25pt;z-index:-251641856;mso-width-relative:page;mso-height-relative:page;" o:ole="t" filled="f" o:preferrelative="t" stroked="f" coordsize="21600,21600">
            <v:path/>
            <v:fill on="f" focussize="0,0"/>
            <v:stroke on="f"/>
            <v:imagedata r:id="rId17" o:title=""/>
            <o:lock v:ext="edit" aspectratio="t"/>
          </v:shape>
          <o:OLEObject Type="Embed" ProgID="Excel.Chart.8" ShapeID="_x0000_s1032" DrawAspect="Content" ObjectID="_1468075727" r:id="rId16">
            <o:LockedField>false</o:LockedField>
          </o:OLEObject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/>
        <w:jc w:val="center"/>
        <w:textAlignment w:val="auto"/>
        <w:outlineLvl w:val="9"/>
        <w:rPr>
          <w:rFonts w:hint="default" w:ascii="Times New Roman" w:hAnsi="Times New Roman" w:eastAsia="楷体_GB2312" w:cs="Times New Roman"/>
          <w:spacing w:val="0"/>
          <w:kern w:val="21"/>
          <w:sz w:val="24"/>
          <w:szCs w:val="24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firstLine="480" w:firstLineChars="200"/>
        <w:jc w:val="both"/>
        <w:textAlignment w:val="auto"/>
        <w:outlineLvl w:val="9"/>
        <w:rPr>
          <w:rFonts w:hint="default" w:ascii="Times New Roman" w:hAnsi="Times New Roman" w:eastAsia="楷体_GB2312" w:cs="Times New Roman"/>
          <w:spacing w:val="0"/>
          <w:kern w:val="21"/>
          <w:sz w:val="24"/>
          <w:szCs w:val="24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firstLine="480" w:firstLineChars="200"/>
        <w:jc w:val="both"/>
        <w:textAlignment w:val="auto"/>
        <w:outlineLvl w:val="9"/>
        <w:rPr>
          <w:rFonts w:hint="default" w:ascii="Times New Roman" w:hAnsi="Times New Roman" w:eastAsia="楷体_GB2312" w:cs="Times New Roman"/>
          <w:spacing w:val="0"/>
          <w:kern w:val="21"/>
          <w:sz w:val="24"/>
          <w:szCs w:val="24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firstLine="480" w:firstLineChars="200"/>
        <w:jc w:val="both"/>
        <w:textAlignment w:val="auto"/>
        <w:outlineLvl w:val="9"/>
        <w:rPr>
          <w:rFonts w:hint="default" w:ascii="Times New Roman" w:hAnsi="Times New Roman" w:eastAsia="楷体_GB2312" w:cs="Times New Roman"/>
          <w:spacing w:val="0"/>
          <w:kern w:val="21"/>
          <w:sz w:val="24"/>
          <w:szCs w:val="24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firstLine="480" w:firstLineChars="200"/>
        <w:jc w:val="both"/>
        <w:textAlignment w:val="auto"/>
        <w:outlineLvl w:val="9"/>
        <w:rPr>
          <w:rFonts w:hint="default" w:ascii="Times New Roman" w:hAnsi="Times New Roman" w:eastAsia="楷体_GB2312" w:cs="Times New Roman"/>
          <w:spacing w:val="0"/>
          <w:kern w:val="21"/>
          <w:sz w:val="24"/>
          <w:szCs w:val="24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firstLine="480" w:firstLineChars="200"/>
        <w:jc w:val="both"/>
        <w:textAlignment w:val="auto"/>
        <w:outlineLvl w:val="9"/>
        <w:rPr>
          <w:rFonts w:hint="default" w:ascii="Times New Roman" w:hAnsi="Times New Roman" w:eastAsia="楷体_GB2312" w:cs="Times New Roman"/>
          <w:spacing w:val="0"/>
          <w:kern w:val="21"/>
          <w:sz w:val="24"/>
          <w:szCs w:val="24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outlineLvl w:val="9"/>
        <w:rPr>
          <w:rFonts w:hint="eastAsia" w:ascii="Times New Roman" w:hAnsi="Times New Roman" w:eastAsia="黑体" w:cs="Times New Roman"/>
          <w:spacing w:val="0"/>
          <w:kern w:val="21"/>
          <w:sz w:val="24"/>
          <w:szCs w:val="24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both"/>
        <w:textAlignment w:val="auto"/>
        <w:outlineLvl w:val="9"/>
        <w:rPr>
          <w:rFonts w:hint="eastAsia" w:ascii="Times New Roman" w:hAnsi="Times New Roman" w:eastAsia="黑体" w:cs="Times New Roman"/>
          <w:spacing w:val="0"/>
          <w:kern w:val="21"/>
          <w:sz w:val="24"/>
          <w:szCs w:val="24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spacing w:val="0"/>
          <w:kern w:val="21"/>
          <w:sz w:val="24"/>
          <w:szCs w:val="24"/>
          <w:highlight w:val="none"/>
          <w:u w:val="none"/>
        </w:rPr>
      </w:pPr>
      <w:r>
        <w:rPr>
          <w:rFonts w:hint="eastAsia" w:ascii="Times New Roman" w:hAnsi="Times New Roman" w:eastAsia="黑体" w:cs="Times New Roman"/>
          <w:spacing w:val="0"/>
          <w:kern w:val="21"/>
          <w:sz w:val="24"/>
          <w:szCs w:val="24"/>
          <w:highlight w:val="none"/>
          <w:u w:val="none"/>
          <w:lang w:val="en-US" w:eastAsia="zh-CN"/>
        </w:rPr>
        <w:t>二、</w:t>
      </w:r>
      <w:r>
        <w:rPr>
          <w:rFonts w:hint="default" w:ascii="Times New Roman" w:hAnsi="Times New Roman" w:eastAsia="黑体" w:cs="Times New Roman"/>
          <w:spacing w:val="0"/>
          <w:kern w:val="21"/>
          <w:sz w:val="24"/>
          <w:szCs w:val="24"/>
          <w:highlight w:val="none"/>
          <w:u w:val="none"/>
        </w:rPr>
        <w:t>全</w:t>
      </w:r>
      <w:r>
        <w:rPr>
          <w:rFonts w:hint="eastAsia" w:ascii="Times New Roman" w:hAnsi="Times New Roman" w:eastAsia="黑体" w:cs="Times New Roman"/>
          <w:spacing w:val="0"/>
          <w:kern w:val="21"/>
          <w:sz w:val="24"/>
          <w:szCs w:val="24"/>
          <w:highlight w:val="none"/>
          <w:u w:val="none"/>
          <w:lang w:val="en-US" w:eastAsia="zh-CN"/>
        </w:rPr>
        <w:t>旗</w:t>
      </w:r>
      <w:r>
        <w:rPr>
          <w:rFonts w:hint="default" w:ascii="Times New Roman" w:hAnsi="Times New Roman" w:eastAsia="黑体" w:cs="Times New Roman"/>
          <w:spacing w:val="0"/>
          <w:kern w:val="21"/>
          <w:sz w:val="24"/>
          <w:szCs w:val="24"/>
          <w:highlight w:val="none"/>
          <w:u w:val="none"/>
        </w:rPr>
        <w:t>地方财政总收入完成情况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bCs/>
          <w:spacing w:val="0"/>
          <w:kern w:val="21"/>
          <w:sz w:val="24"/>
          <w:szCs w:val="24"/>
          <w:highlight w:val="none"/>
          <w:u w:val="none"/>
          <w:lang w:val="en-US" w:eastAsia="zh-CN"/>
        </w:rPr>
        <w:t>截至2022年3月底，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全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旗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地方财政总收入累计完成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62.5</w:t>
      </w:r>
      <w:r>
        <w:rPr>
          <w:rFonts w:hint="eastAsia" w:ascii="仿宋_GB2312" w:hAnsi="仿宋_GB2312" w:eastAsia="仿宋_GB2312" w:cs="仿宋_GB2312"/>
          <w:bCs/>
          <w:spacing w:val="0"/>
          <w:kern w:val="21"/>
          <w:sz w:val="24"/>
          <w:szCs w:val="24"/>
          <w:highlight w:val="none"/>
          <w:u w:val="none"/>
        </w:rPr>
        <w:t>亿元、</w:t>
      </w:r>
      <w:r>
        <w:rPr>
          <w:rFonts w:hint="eastAsia" w:ascii="仿宋_GB2312" w:hAnsi="仿宋_GB2312" w:eastAsia="仿宋_GB2312" w:cs="仿宋_GB2312"/>
          <w:bCs/>
          <w:spacing w:val="0"/>
          <w:kern w:val="21"/>
          <w:sz w:val="24"/>
          <w:szCs w:val="24"/>
          <w:highlight w:val="none"/>
          <w:u w:val="none"/>
          <w:lang w:eastAsia="zh-CN"/>
        </w:rPr>
        <w:t>增长</w:t>
      </w:r>
      <w:r>
        <w:rPr>
          <w:rFonts w:hint="eastAsia" w:ascii="仿宋_GB2312" w:hAnsi="仿宋_GB2312" w:eastAsia="仿宋_GB2312" w:cs="仿宋_GB2312"/>
          <w:bCs/>
          <w:spacing w:val="0"/>
          <w:kern w:val="21"/>
          <w:sz w:val="24"/>
          <w:szCs w:val="24"/>
          <w:highlight w:val="none"/>
          <w:u w:val="none"/>
          <w:lang w:val="en-US" w:eastAsia="zh-CN"/>
        </w:rPr>
        <w:t>177.8</w:t>
      </w:r>
      <w:r>
        <w:rPr>
          <w:rFonts w:hint="eastAsia" w:ascii="仿宋_GB2312" w:hAnsi="仿宋_GB2312" w:eastAsia="仿宋_GB2312" w:cs="仿宋_GB2312"/>
          <w:bCs/>
          <w:spacing w:val="0"/>
          <w:kern w:val="21"/>
          <w:sz w:val="24"/>
          <w:szCs w:val="24"/>
          <w:highlight w:val="none"/>
          <w:u w:val="none"/>
        </w:rPr>
        <w:t>%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firstLine="48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bCs/>
          <w:spacing w:val="0"/>
          <w:kern w:val="21"/>
          <w:sz w:val="24"/>
          <w:szCs w:val="24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spacing w:val="0"/>
          <w:kern w:val="21"/>
          <w:sz w:val="24"/>
          <w:szCs w:val="24"/>
          <w:highlight w:val="none"/>
          <w:u w:val="none"/>
        </w:rPr>
        <w:t>分级次：</w:t>
      </w:r>
      <w:r>
        <w:rPr>
          <w:rFonts w:hint="eastAsia" w:ascii="仿宋_GB2312" w:hAnsi="仿宋_GB2312" w:eastAsia="仿宋_GB2312" w:cs="仿宋_GB2312"/>
          <w:bCs/>
          <w:spacing w:val="0"/>
          <w:kern w:val="21"/>
          <w:sz w:val="24"/>
          <w:szCs w:val="24"/>
          <w:highlight w:val="none"/>
          <w:u w:val="none"/>
        </w:rPr>
        <w:t>上划中央税收</w:t>
      </w:r>
      <w:r>
        <w:rPr>
          <w:rFonts w:hint="eastAsia" w:ascii="仿宋_GB2312" w:hAnsi="仿宋_GB2312" w:eastAsia="仿宋_GB2312" w:cs="仿宋_GB2312"/>
          <w:bCs/>
          <w:spacing w:val="0"/>
          <w:kern w:val="21"/>
          <w:sz w:val="24"/>
          <w:szCs w:val="24"/>
          <w:highlight w:val="none"/>
          <w:u w:val="none"/>
          <w:lang w:val="en-US" w:eastAsia="zh-CN"/>
        </w:rPr>
        <w:t>23.6</w:t>
      </w:r>
      <w:r>
        <w:rPr>
          <w:rFonts w:hint="eastAsia" w:ascii="仿宋_GB2312" w:hAnsi="仿宋_GB2312" w:eastAsia="仿宋_GB2312" w:cs="仿宋_GB2312"/>
          <w:bCs/>
          <w:spacing w:val="0"/>
          <w:kern w:val="21"/>
          <w:sz w:val="24"/>
          <w:szCs w:val="24"/>
          <w:highlight w:val="none"/>
          <w:u w:val="none"/>
        </w:rPr>
        <w:t>亿</w:t>
      </w:r>
      <w:r>
        <w:rPr>
          <w:rFonts w:hint="eastAsia" w:ascii="仿宋_GB2312" w:hAnsi="仿宋_GB2312" w:eastAsia="仿宋_GB2312" w:cs="仿宋_GB2312"/>
          <w:bCs/>
          <w:spacing w:val="0"/>
          <w:kern w:val="21"/>
          <w:sz w:val="24"/>
          <w:szCs w:val="24"/>
          <w:highlight w:val="none"/>
          <w:u w:val="none"/>
          <w:lang w:val="en-US" w:eastAsia="zh-CN"/>
        </w:rPr>
        <w:t>元</w:t>
      </w:r>
      <w:r>
        <w:rPr>
          <w:rFonts w:hint="eastAsia" w:ascii="仿宋_GB2312" w:hAnsi="仿宋_GB2312" w:eastAsia="仿宋_GB2312" w:cs="仿宋_GB2312"/>
          <w:bCs/>
          <w:spacing w:val="0"/>
          <w:kern w:val="21"/>
          <w:sz w:val="24"/>
          <w:szCs w:val="24"/>
          <w:highlight w:val="none"/>
          <w:u w:val="none"/>
        </w:rPr>
        <w:t>、</w:t>
      </w:r>
      <w:r>
        <w:rPr>
          <w:rFonts w:hint="eastAsia" w:ascii="仿宋_GB2312" w:hAnsi="仿宋_GB2312" w:eastAsia="仿宋_GB2312" w:cs="仿宋_GB2312"/>
          <w:bCs/>
          <w:spacing w:val="0"/>
          <w:kern w:val="21"/>
          <w:sz w:val="24"/>
          <w:szCs w:val="24"/>
          <w:highlight w:val="none"/>
          <w:u w:val="none"/>
          <w:lang w:val="en-US" w:eastAsia="zh-CN"/>
        </w:rPr>
        <w:t>增长190.5%</w:t>
      </w:r>
      <w:r>
        <w:rPr>
          <w:rFonts w:hint="eastAsia" w:ascii="仿宋_GB2312" w:hAnsi="仿宋_GB2312" w:eastAsia="仿宋_GB2312" w:cs="仿宋_GB2312"/>
          <w:bCs/>
          <w:spacing w:val="0"/>
          <w:kern w:val="21"/>
          <w:sz w:val="24"/>
          <w:szCs w:val="24"/>
          <w:highlight w:val="none"/>
          <w:u w:val="none"/>
        </w:rPr>
        <w:t>，占比</w:t>
      </w:r>
      <w:r>
        <w:rPr>
          <w:rFonts w:hint="eastAsia" w:ascii="仿宋_GB2312" w:hAnsi="仿宋_GB2312" w:eastAsia="仿宋_GB2312" w:cs="仿宋_GB2312"/>
          <w:bCs/>
          <w:spacing w:val="0"/>
          <w:kern w:val="21"/>
          <w:sz w:val="24"/>
          <w:szCs w:val="24"/>
          <w:highlight w:val="none"/>
          <w:u w:val="none"/>
          <w:lang w:val="en-US" w:eastAsia="zh-CN"/>
        </w:rPr>
        <w:t>37.7</w:t>
      </w:r>
      <w:r>
        <w:rPr>
          <w:rFonts w:hint="eastAsia" w:ascii="仿宋_GB2312" w:hAnsi="仿宋_GB2312" w:eastAsia="仿宋_GB2312" w:cs="仿宋_GB2312"/>
          <w:bCs/>
          <w:spacing w:val="0"/>
          <w:kern w:val="21"/>
          <w:sz w:val="24"/>
          <w:szCs w:val="24"/>
          <w:highlight w:val="none"/>
          <w:u w:val="none"/>
        </w:rPr>
        <w:t>%；上划自治区税收</w:t>
      </w:r>
      <w:r>
        <w:rPr>
          <w:rFonts w:hint="eastAsia" w:ascii="仿宋_GB2312" w:hAnsi="仿宋_GB2312" w:eastAsia="仿宋_GB2312" w:cs="仿宋_GB2312"/>
          <w:bCs/>
          <w:spacing w:val="0"/>
          <w:kern w:val="21"/>
          <w:sz w:val="24"/>
          <w:szCs w:val="24"/>
          <w:highlight w:val="none"/>
          <w:u w:val="none"/>
          <w:lang w:val="en-US" w:eastAsia="zh-CN"/>
        </w:rPr>
        <w:t>15.3</w:t>
      </w:r>
      <w:r>
        <w:rPr>
          <w:rFonts w:hint="eastAsia" w:ascii="仿宋_GB2312" w:hAnsi="仿宋_GB2312" w:eastAsia="仿宋_GB2312" w:cs="仿宋_GB2312"/>
          <w:bCs/>
          <w:spacing w:val="0"/>
          <w:kern w:val="21"/>
          <w:sz w:val="24"/>
          <w:szCs w:val="24"/>
          <w:highlight w:val="none"/>
          <w:u w:val="none"/>
        </w:rPr>
        <w:t>亿</w:t>
      </w:r>
      <w:r>
        <w:rPr>
          <w:rFonts w:hint="eastAsia" w:ascii="仿宋_GB2312" w:hAnsi="仿宋_GB2312" w:eastAsia="仿宋_GB2312" w:cs="仿宋_GB2312"/>
          <w:bCs/>
          <w:spacing w:val="0"/>
          <w:kern w:val="21"/>
          <w:sz w:val="24"/>
          <w:szCs w:val="24"/>
          <w:highlight w:val="none"/>
          <w:u w:val="none"/>
          <w:lang w:val="en-US" w:eastAsia="zh-CN"/>
        </w:rPr>
        <w:t>元</w:t>
      </w:r>
      <w:r>
        <w:rPr>
          <w:rFonts w:hint="eastAsia" w:ascii="仿宋_GB2312" w:hAnsi="仿宋_GB2312" w:eastAsia="仿宋_GB2312" w:cs="仿宋_GB2312"/>
          <w:bCs/>
          <w:spacing w:val="0"/>
          <w:kern w:val="21"/>
          <w:sz w:val="24"/>
          <w:szCs w:val="24"/>
          <w:highlight w:val="none"/>
          <w:u w:val="none"/>
        </w:rPr>
        <w:t>、</w:t>
      </w:r>
      <w:r>
        <w:rPr>
          <w:rFonts w:hint="eastAsia" w:ascii="仿宋_GB2312" w:hAnsi="仿宋_GB2312" w:eastAsia="仿宋_GB2312" w:cs="仿宋_GB2312"/>
          <w:bCs/>
          <w:spacing w:val="0"/>
          <w:kern w:val="21"/>
          <w:sz w:val="24"/>
          <w:szCs w:val="24"/>
          <w:highlight w:val="none"/>
          <w:u w:val="none"/>
          <w:lang w:val="en-US" w:eastAsia="zh-CN"/>
        </w:rPr>
        <w:t>增长195.1</w:t>
      </w:r>
      <w:r>
        <w:rPr>
          <w:rFonts w:hint="eastAsia" w:ascii="仿宋_GB2312" w:hAnsi="仿宋_GB2312" w:eastAsia="仿宋_GB2312" w:cs="仿宋_GB2312"/>
          <w:bCs/>
          <w:spacing w:val="0"/>
          <w:kern w:val="21"/>
          <w:sz w:val="24"/>
          <w:szCs w:val="24"/>
          <w:highlight w:val="none"/>
          <w:u w:val="none"/>
        </w:rPr>
        <w:t>%，占比</w:t>
      </w:r>
      <w:r>
        <w:rPr>
          <w:rFonts w:hint="eastAsia" w:ascii="仿宋_GB2312" w:hAnsi="仿宋_GB2312" w:eastAsia="仿宋_GB2312" w:cs="仿宋_GB2312"/>
          <w:bCs/>
          <w:spacing w:val="0"/>
          <w:kern w:val="21"/>
          <w:sz w:val="24"/>
          <w:szCs w:val="24"/>
          <w:highlight w:val="none"/>
          <w:u w:val="none"/>
          <w:lang w:val="en-US" w:eastAsia="zh-CN"/>
        </w:rPr>
        <w:t>24.4</w:t>
      </w:r>
      <w:r>
        <w:rPr>
          <w:rFonts w:hint="eastAsia" w:ascii="仿宋_GB2312" w:hAnsi="仿宋_GB2312" w:eastAsia="仿宋_GB2312" w:cs="仿宋_GB2312"/>
          <w:bCs/>
          <w:spacing w:val="0"/>
          <w:kern w:val="21"/>
          <w:sz w:val="24"/>
          <w:szCs w:val="24"/>
          <w:highlight w:val="none"/>
          <w:u w:val="none"/>
        </w:rPr>
        <w:t>%</w:t>
      </w:r>
      <w:r>
        <w:rPr>
          <w:rFonts w:hint="eastAsia" w:ascii="仿宋_GB2312" w:hAnsi="仿宋_GB2312" w:eastAsia="仿宋_GB2312" w:cs="仿宋_GB2312"/>
          <w:bCs/>
          <w:spacing w:val="0"/>
          <w:kern w:val="21"/>
          <w:sz w:val="24"/>
          <w:szCs w:val="24"/>
          <w:highlight w:val="none"/>
          <w:u w:val="none"/>
          <w:lang w:val="en-US" w:eastAsia="zh-CN"/>
        </w:rPr>
        <w:t>,上划市级税收8.2</w:t>
      </w:r>
      <w:r>
        <w:rPr>
          <w:rFonts w:hint="eastAsia" w:ascii="仿宋_GB2312" w:hAnsi="仿宋_GB2312" w:eastAsia="仿宋_GB2312" w:cs="仿宋_GB2312"/>
          <w:bCs/>
          <w:spacing w:val="0"/>
          <w:kern w:val="21"/>
          <w:sz w:val="24"/>
          <w:szCs w:val="24"/>
          <w:highlight w:val="none"/>
          <w:u w:val="none"/>
        </w:rPr>
        <w:t>亿</w:t>
      </w:r>
      <w:r>
        <w:rPr>
          <w:rFonts w:hint="eastAsia" w:ascii="仿宋_GB2312" w:hAnsi="仿宋_GB2312" w:eastAsia="仿宋_GB2312" w:cs="仿宋_GB2312"/>
          <w:bCs/>
          <w:spacing w:val="0"/>
          <w:kern w:val="21"/>
          <w:sz w:val="24"/>
          <w:szCs w:val="24"/>
          <w:highlight w:val="none"/>
          <w:u w:val="none"/>
          <w:lang w:val="en-US" w:eastAsia="zh-CN"/>
        </w:rPr>
        <w:t>元</w:t>
      </w:r>
      <w:r>
        <w:rPr>
          <w:rFonts w:hint="eastAsia" w:ascii="仿宋_GB2312" w:hAnsi="仿宋_GB2312" w:eastAsia="仿宋_GB2312" w:cs="仿宋_GB2312"/>
          <w:bCs/>
          <w:spacing w:val="0"/>
          <w:kern w:val="21"/>
          <w:sz w:val="24"/>
          <w:szCs w:val="24"/>
          <w:highlight w:val="none"/>
          <w:u w:val="none"/>
        </w:rPr>
        <w:t>、</w:t>
      </w:r>
      <w:r>
        <w:rPr>
          <w:rFonts w:hint="eastAsia" w:ascii="仿宋_GB2312" w:hAnsi="仿宋_GB2312" w:eastAsia="仿宋_GB2312" w:cs="仿宋_GB2312"/>
          <w:bCs/>
          <w:spacing w:val="0"/>
          <w:kern w:val="21"/>
          <w:sz w:val="24"/>
          <w:szCs w:val="24"/>
          <w:highlight w:val="none"/>
          <w:u w:val="none"/>
          <w:lang w:val="en-US" w:eastAsia="zh-CN"/>
        </w:rPr>
        <w:t>增长178.8</w:t>
      </w:r>
      <w:r>
        <w:rPr>
          <w:rFonts w:hint="eastAsia" w:ascii="仿宋_GB2312" w:hAnsi="仿宋_GB2312" w:eastAsia="仿宋_GB2312" w:cs="仿宋_GB2312"/>
          <w:bCs/>
          <w:spacing w:val="0"/>
          <w:kern w:val="21"/>
          <w:sz w:val="24"/>
          <w:szCs w:val="24"/>
          <w:highlight w:val="none"/>
          <w:u w:val="none"/>
        </w:rPr>
        <w:t>%，占比</w:t>
      </w:r>
      <w:r>
        <w:rPr>
          <w:rFonts w:hint="eastAsia" w:ascii="仿宋_GB2312" w:hAnsi="仿宋_GB2312" w:eastAsia="仿宋_GB2312" w:cs="仿宋_GB2312"/>
          <w:bCs/>
          <w:spacing w:val="0"/>
          <w:kern w:val="21"/>
          <w:sz w:val="24"/>
          <w:szCs w:val="24"/>
          <w:highlight w:val="none"/>
          <w:u w:val="none"/>
          <w:lang w:val="en-US" w:eastAsia="zh-CN"/>
        </w:rPr>
        <w:t>13.2</w:t>
      </w:r>
      <w:r>
        <w:rPr>
          <w:rFonts w:hint="eastAsia" w:ascii="仿宋_GB2312" w:hAnsi="仿宋_GB2312" w:eastAsia="仿宋_GB2312" w:cs="仿宋_GB2312"/>
          <w:bCs/>
          <w:spacing w:val="0"/>
          <w:kern w:val="21"/>
          <w:sz w:val="24"/>
          <w:szCs w:val="24"/>
          <w:highlight w:val="none"/>
          <w:u w:val="none"/>
        </w:rPr>
        <w:t>%</w:t>
      </w:r>
      <w:r>
        <w:rPr>
          <w:rFonts w:hint="eastAsia" w:ascii="仿宋_GB2312" w:hAnsi="仿宋_GB2312" w:eastAsia="仿宋_GB2312" w:cs="仿宋_GB2312"/>
          <w:bCs/>
          <w:spacing w:val="0"/>
          <w:kern w:val="21"/>
          <w:sz w:val="24"/>
          <w:szCs w:val="24"/>
          <w:highlight w:val="none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firstLine="480" w:firstLineChars="200"/>
        <w:jc w:val="both"/>
        <w:textAlignment w:val="auto"/>
        <w:outlineLvl w:val="9"/>
        <w:rPr>
          <w:rFonts w:hint="eastAsia" w:ascii="Times New Roman" w:hAnsi="Times New Roman" w:eastAsia="黑体" w:cs="Times New Roman"/>
          <w:spacing w:val="0"/>
          <w:kern w:val="21"/>
          <w:sz w:val="24"/>
          <w:szCs w:val="24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spacing w:val="0"/>
          <w:kern w:val="21"/>
          <w:sz w:val="24"/>
          <w:szCs w:val="24"/>
          <w:highlight w:val="none"/>
          <w:u w:val="none"/>
        </w:rPr>
        <w:t>分部门：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旗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税务部门组织收入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2.7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亿元、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增长10.2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%，占比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4.3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%；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开发区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税务部门组织收入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59.5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亿元、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增长203.4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%，占比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95.3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%；财政部门组织收入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0.3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亿元、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下降28.8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%，占比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0.5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jc w:val="both"/>
        <w:textAlignment w:val="auto"/>
        <w:outlineLvl w:val="9"/>
        <w:rPr>
          <w:rFonts w:hint="eastAsia" w:ascii="Times New Roman" w:hAnsi="Times New Roman" w:eastAsia="黑体" w:cs="Times New Roman"/>
          <w:spacing w:val="0"/>
          <w:kern w:val="21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黑体" w:cs="Times New Roman"/>
          <w:spacing w:val="0"/>
          <w:kern w:val="21"/>
          <w:sz w:val="24"/>
          <w:szCs w:val="24"/>
          <w:highlight w:val="none"/>
          <w:u w:val="none"/>
          <w:lang w:val="en-US" w:eastAsia="zh-CN"/>
        </w:rPr>
        <w:t>三、一般公共预算支出完成情况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bCs/>
          <w:spacing w:val="0"/>
          <w:kern w:val="21"/>
          <w:sz w:val="24"/>
          <w:szCs w:val="24"/>
          <w:highlight w:val="none"/>
          <w:u w:val="none"/>
          <w:lang w:val="en-US" w:eastAsia="zh-CN"/>
        </w:rPr>
        <w:t>截至2022年3月底，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全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旗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一般公共预算支出累计完成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135471万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元，同比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增长30.3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%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其中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民生支出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99690万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元，占一般公共预算支出的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73.6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%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spacing w:val="0"/>
          <w:kern w:val="21"/>
          <w:sz w:val="24"/>
          <w:szCs w:val="24"/>
          <w:highlight w:val="none"/>
          <w:u w:val="none"/>
        </w:rPr>
        <w:t>分</w:t>
      </w:r>
      <w:r>
        <w:rPr>
          <w:rFonts w:hint="eastAsia" w:ascii="Times New Roman" w:hAnsi="Times New Roman" w:eastAsia="黑体" w:cs="Times New Roman"/>
          <w:spacing w:val="0"/>
          <w:kern w:val="21"/>
          <w:sz w:val="24"/>
          <w:szCs w:val="24"/>
          <w:highlight w:val="none"/>
          <w:u w:val="none"/>
          <w:lang w:val="en-US" w:eastAsia="zh-CN"/>
        </w:rPr>
        <w:t>主要项目</w:t>
      </w:r>
      <w:r>
        <w:rPr>
          <w:rFonts w:hint="default" w:ascii="Times New Roman" w:hAnsi="Times New Roman" w:eastAsia="黑体" w:cs="Times New Roman"/>
          <w:spacing w:val="0"/>
          <w:kern w:val="21"/>
          <w:sz w:val="24"/>
          <w:szCs w:val="24"/>
          <w:highlight w:val="none"/>
          <w:u w:val="none"/>
        </w:rPr>
        <w:t>：</w:t>
      </w:r>
      <w:r>
        <w:rPr>
          <w:rFonts w:hint="eastAsia" w:ascii="仿宋_GB2312" w:hAnsi="仿宋_GB2312" w:eastAsia="仿宋_GB2312" w:cs="仿宋_GB2312"/>
          <w:b/>
          <w:bCs/>
          <w:spacing w:val="0"/>
          <w:kern w:val="21"/>
          <w:sz w:val="24"/>
          <w:szCs w:val="24"/>
          <w:highlight w:val="none"/>
          <w:u w:val="none"/>
          <w:lang w:val="en-US" w:eastAsia="zh-CN"/>
        </w:rPr>
        <w:t>公共安全支出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4698万元，增长65.2%。</w:t>
      </w:r>
      <w:r>
        <w:rPr>
          <w:rFonts w:hint="eastAsia" w:ascii="仿宋_GB2312" w:hAnsi="仿宋_GB2312" w:eastAsia="仿宋_GB2312" w:cs="仿宋_GB2312"/>
          <w:b/>
          <w:bCs/>
          <w:spacing w:val="0"/>
          <w:kern w:val="21"/>
          <w:sz w:val="24"/>
          <w:szCs w:val="24"/>
          <w:highlight w:val="none"/>
          <w:u w:val="none"/>
          <w:lang w:val="en-US" w:eastAsia="zh-CN"/>
        </w:rPr>
        <w:t>教育支出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9875万元，增长15.3%，主要是兑付了绩效工资。</w:t>
      </w:r>
      <w:r>
        <w:rPr>
          <w:rFonts w:hint="eastAsia" w:ascii="仿宋_GB2312" w:hAnsi="仿宋_GB2312" w:eastAsia="仿宋_GB2312" w:cs="仿宋_GB2312"/>
          <w:b/>
          <w:bCs/>
          <w:spacing w:val="0"/>
          <w:kern w:val="21"/>
          <w:sz w:val="24"/>
          <w:szCs w:val="24"/>
          <w:highlight w:val="none"/>
          <w:u w:val="none"/>
          <w:lang w:val="en-US" w:eastAsia="zh-CN"/>
        </w:rPr>
        <w:t>科技支出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369万元，下降68.9%，主要是上年同期对付了“科技兴蒙”专项资金。</w:t>
      </w:r>
      <w:r>
        <w:rPr>
          <w:rFonts w:hint="eastAsia" w:ascii="仿宋_GB2312" w:hAnsi="仿宋_GB2312" w:eastAsia="仿宋_GB2312" w:cs="仿宋_GB2312"/>
          <w:b/>
          <w:bCs/>
          <w:spacing w:val="0"/>
          <w:kern w:val="21"/>
          <w:sz w:val="24"/>
          <w:szCs w:val="24"/>
          <w:highlight w:val="none"/>
          <w:u w:val="none"/>
          <w:lang w:val="en-US" w:eastAsia="zh-CN"/>
        </w:rPr>
        <w:t>文化旅游体育与传媒支出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1602万元，下降2.1%。</w:t>
      </w:r>
      <w:r>
        <w:rPr>
          <w:rFonts w:hint="eastAsia" w:ascii="仿宋_GB2312" w:hAnsi="仿宋_GB2312" w:eastAsia="仿宋_GB2312" w:cs="仿宋_GB2312"/>
          <w:b/>
          <w:bCs/>
          <w:spacing w:val="0"/>
          <w:kern w:val="21"/>
          <w:sz w:val="24"/>
          <w:szCs w:val="24"/>
          <w:highlight w:val="none"/>
          <w:u w:val="none"/>
          <w:lang w:val="en-US" w:eastAsia="zh-CN"/>
        </w:rPr>
        <w:t>社会保障和就业支出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12986万元，增长10.1%，主要是兑付了企业退休人员生活补助资金。</w:t>
      </w:r>
      <w:r>
        <w:rPr>
          <w:rFonts w:hint="eastAsia" w:ascii="仿宋_GB2312" w:hAnsi="仿宋_GB2312" w:eastAsia="仿宋_GB2312" w:cs="仿宋_GB2312"/>
          <w:b/>
          <w:bCs/>
          <w:spacing w:val="0"/>
          <w:kern w:val="21"/>
          <w:sz w:val="24"/>
          <w:szCs w:val="24"/>
          <w:highlight w:val="none"/>
          <w:u w:val="none"/>
          <w:lang w:val="en-US" w:eastAsia="zh-CN"/>
        </w:rPr>
        <w:t>卫生健康支出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7599万元，增长120.4%，主要是兑付了医疗卫生服务能力提升项目设备购置资金。</w:t>
      </w:r>
      <w:r>
        <w:rPr>
          <w:rFonts w:hint="eastAsia" w:ascii="仿宋_GB2312" w:hAnsi="仿宋_GB2312" w:eastAsia="仿宋_GB2312" w:cs="仿宋_GB2312"/>
          <w:b/>
          <w:bCs/>
          <w:spacing w:val="0"/>
          <w:kern w:val="21"/>
          <w:sz w:val="24"/>
          <w:szCs w:val="24"/>
          <w:highlight w:val="none"/>
          <w:u w:val="none"/>
          <w:lang w:val="en-US" w:eastAsia="zh-CN"/>
        </w:rPr>
        <w:t>节能环保支出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kern w:val="21"/>
          <w:sz w:val="24"/>
          <w:szCs w:val="24"/>
          <w:highlight w:val="none"/>
          <w:u w:val="none"/>
          <w:lang w:val="en-US" w:eastAsia="zh-CN"/>
        </w:rPr>
        <w:t>10807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万元，增长157.8%，主要是兑付了退出自然保护区企业的补偿款。</w:t>
      </w:r>
      <w:r>
        <w:rPr>
          <w:rFonts w:hint="eastAsia" w:ascii="仿宋_GB2312" w:hAnsi="仿宋_GB2312" w:eastAsia="仿宋_GB2312" w:cs="仿宋_GB2312"/>
          <w:b/>
          <w:bCs/>
          <w:spacing w:val="0"/>
          <w:kern w:val="21"/>
          <w:sz w:val="24"/>
          <w:szCs w:val="24"/>
          <w:highlight w:val="none"/>
          <w:u w:val="none"/>
          <w:lang w:val="en-US" w:eastAsia="zh-CN"/>
        </w:rPr>
        <w:t>城乡社区支出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25649万元，增长57.8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24"/>
          <w:szCs w:val="24"/>
          <w:highlight w:val="none"/>
          <w:u w:val="none"/>
          <w:lang w:val="en-US" w:eastAsia="zh-CN"/>
        </w:rPr>
        <w:t>%，</w:t>
      </w:r>
      <w:r>
        <w:rPr>
          <w:rFonts w:hint="eastAsia" w:ascii="仿宋_GB2312" w:hAnsi="仿宋_GB2312" w:eastAsia="仿宋_GB2312" w:cs="仿宋_GB2312"/>
          <w:color w:val="auto"/>
          <w:spacing w:val="-2"/>
          <w:kern w:val="21"/>
          <w:sz w:val="24"/>
          <w:szCs w:val="24"/>
          <w:highlight w:val="none"/>
          <w:u w:val="none"/>
          <w:lang w:val="en-US" w:eastAsia="zh-CN"/>
        </w:rPr>
        <w:t>主要是对付了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乌兰镇市政道路附属设施综合改造及背街小巷维修工程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资金。</w:t>
      </w:r>
      <w:r>
        <w:rPr>
          <w:rFonts w:hint="eastAsia" w:ascii="仿宋_GB2312" w:hAnsi="仿宋_GB2312" w:eastAsia="仿宋_GB2312" w:cs="仿宋_GB2312"/>
          <w:b/>
          <w:bCs/>
          <w:spacing w:val="-2"/>
          <w:kern w:val="21"/>
          <w:sz w:val="24"/>
          <w:szCs w:val="24"/>
          <w:highlight w:val="none"/>
          <w:u w:val="none"/>
          <w:lang w:val="en-US" w:eastAsia="zh-CN"/>
        </w:rPr>
        <w:t>农林水支出</w:t>
      </w:r>
      <w:r>
        <w:rPr>
          <w:rFonts w:hint="eastAsia" w:ascii="仿宋_GB2312" w:hAnsi="仿宋_GB2312" w:eastAsia="仿宋_GB2312" w:cs="仿宋_GB2312"/>
          <w:b w:val="0"/>
          <w:bCs w:val="0"/>
          <w:spacing w:val="-2"/>
          <w:kern w:val="21"/>
          <w:sz w:val="24"/>
          <w:szCs w:val="24"/>
          <w:highlight w:val="none"/>
          <w:u w:val="none"/>
          <w:lang w:val="en-US" w:eastAsia="zh-CN"/>
        </w:rPr>
        <w:t>13729</w:t>
      </w:r>
      <w:r>
        <w:rPr>
          <w:rFonts w:hint="eastAsia" w:ascii="仿宋_GB2312" w:hAnsi="仿宋_GB2312" w:eastAsia="仿宋_GB2312" w:cs="仿宋_GB2312"/>
          <w:spacing w:val="-2"/>
          <w:kern w:val="21"/>
          <w:sz w:val="24"/>
          <w:szCs w:val="24"/>
          <w:highlight w:val="none"/>
          <w:u w:val="none"/>
          <w:lang w:val="en-US" w:eastAsia="zh-CN"/>
        </w:rPr>
        <w:t>万元，增长114.8%，主要是对付了天保工程管护补助资金以及公益林补贴资金。</w:t>
      </w:r>
      <w:r>
        <w:rPr>
          <w:rFonts w:hint="eastAsia" w:ascii="仿宋_GB2312" w:hAnsi="仿宋_GB2312" w:eastAsia="仿宋_GB2312" w:cs="仿宋_GB2312"/>
          <w:b/>
          <w:bCs/>
          <w:spacing w:val="-2"/>
          <w:kern w:val="21"/>
          <w:sz w:val="24"/>
          <w:szCs w:val="24"/>
          <w:highlight w:val="none"/>
          <w:u w:val="none"/>
          <w:lang w:val="en-US" w:eastAsia="zh-CN"/>
        </w:rPr>
        <w:t>交通运输支出</w:t>
      </w:r>
      <w:r>
        <w:rPr>
          <w:rFonts w:hint="eastAsia" w:ascii="仿宋_GB2312" w:hAnsi="仿宋_GB2312" w:eastAsia="仿宋_GB2312" w:cs="仿宋_GB2312"/>
          <w:spacing w:val="-2"/>
          <w:kern w:val="21"/>
          <w:sz w:val="24"/>
          <w:szCs w:val="24"/>
          <w:highlight w:val="none"/>
          <w:u w:val="none"/>
          <w:lang w:val="en-US" w:eastAsia="zh-CN"/>
        </w:rPr>
        <w:t>6622万元，增长113.5%，主要是兑付了通用航空发展专项资金以及棋碱线收购资金。</w:t>
      </w:r>
      <w:r>
        <w:rPr>
          <w:rFonts w:hint="eastAsia" w:ascii="仿宋_GB2312" w:hAnsi="仿宋_GB2312" w:eastAsia="仿宋_GB2312" w:cs="仿宋_GB2312"/>
          <w:b/>
          <w:bCs/>
          <w:spacing w:val="-2"/>
          <w:kern w:val="21"/>
          <w:sz w:val="24"/>
          <w:szCs w:val="24"/>
          <w:highlight w:val="none"/>
          <w:u w:val="none"/>
          <w:lang w:val="en-US" w:eastAsia="zh-CN"/>
        </w:rPr>
        <w:t>债务付息支出</w:t>
      </w:r>
      <w:r>
        <w:rPr>
          <w:rFonts w:hint="eastAsia" w:ascii="仿宋_GB2312" w:hAnsi="仿宋_GB2312" w:eastAsia="仿宋_GB2312" w:cs="仿宋_GB2312"/>
          <w:spacing w:val="-2"/>
          <w:kern w:val="21"/>
          <w:sz w:val="24"/>
          <w:szCs w:val="24"/>
          <w:highlight w:val="none"/>
          <w:u w:val="none"/>
          <w:lang w:val="en-US" w:eastAsia="zh-CN"/>
        </w:rPr>
        <w:t>3426万元，增长4.5%。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right="0"/>
        <w:jc w:val="center"/>
        <w:textAlignment w:val="auto"/>
        <w:outlineLvl w:val="9"/>
        <w:rPr>
          <w:rFonts w:hint="default" w:ascii="Times New Roman" w:hAnsi="Times New Roman" w:eastAsia="楷体_GB2312" w:cs="Times New Roman"/>
          <w:spacing w:val="0"/>
          <w:kern w:val="21"/>
          <w:sz w:val="24"/>
          <w:szCs w:val="24"/>
          <w:u w:val="none"/>
        </w:rPr>
      </w:pPr>
      <w:r>
        <w:rPr>
          <w:rFonts w:hint="default" w:ascii="Times New Roman" w:hAnsi="Times New Roman" w:eastAsia="楷体_GB2312" w:cs="Times New Roman"/>
          <w:spacing w:val="0"/>
          <w:kern w:val="21"/>
          <w:sz w:val="24"/>
          <w:szCs w:val="24"/>
          <w:u w:val="none"/>
        </w:rPr>
        <w:t>（</w:t>
      </w:r>
      <w:r>
        <w:rPr>
          <w:rFonts w:hint="eastAsia" w:ascii="Times New Roman" w:hAnsi="Times New Roman" w:eastAsia="楷体_GB2312" w:cs="Times New Roman"/>
          <w:spacing w:val="0"/>
          <w:kern w:val="21"/>
          <w:sz w:val="24"/>
          <w:szCs w:val="24"/>
          <w:u w:val="none"/>
          <w:lang w:val="en-US" w:eastAsia="zh-CN"/>
        </w:rPr>
        <w:t>一般公共预算支出</w:t>
      </w:r>
      <w:r>
        <w:rPr>
          <w:rFonts w:hint="default" w:ascii="Times New Roman" w:hAnsi="Times New Roman" w:eastAsia="楷体_GB2312" w:cs="Times New Roman"/>
          <w:spacing w:val="0"/>
          <w:kern w:val="21"/>
          <w:sz w:val="24"/>
          <w:szCs w:val="24"/>
          <w:u w:val="none"/>
        </w:rPr>
        <w:t>分项目情况见下图）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right="0"/>
        <w:jc w:val="center"/>
        <w:textAlignment w:val="auto"/>
        <w:outlineLvl w:val="9"/>
        <w:rPr>
          <w:rFonts w:hint="default" w:ascii="Times New Roman" w:hAnsi="Times New Roman" w:eastAsia="楷体_GB2312" w:cs="Times New Roman"/>
          <w:spacing w:val="0"/>
          <w:kern w:val="21"/>
          <w:sz w:val="24"/>
          <w:szCs w:val="24"/>
          <w:u w:val="none"/>
        </w:rPr>
      </w:pPr>
      <w:r>
        <w:rPr>
          <w:rFonts w:hint="eastAsia"/>
          <w:spacing w:val="0"/>
          <w:kern w:val="21"/>
          <w:lang w:eastAsia="zh-CN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29210</wp:posOffset>
            </wp:positionV>
            <wp:extent cx="4243705" cy="2748280"/>
            <wp:effectExtent l="4445" t="4445" r="19050" b="9525"/>
            <wp:wrapNone/>
            <wp:docPr id="15" name="图表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textAlignment w:val="auto"/>
        <w:outlineLvl w:val="9"/>
        <w:rPr>
          <w:rFonts w:hint="default"/>
          <w:spacing w:val="0"/>
          <w:kern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0" w:firstLine="480" w:firstLineChars="200"/>
        <w:jc w:val="both"/>
        <w:textAlignment w:val="auto"/>
        <w:outlineLvl w:val="9"/>
        <w:rPr>
          <w:rFonts w:hint="default" w:ascii="Times New Roman" w:hAnsi="Times New Roman" w:eastAsia="楷体_GB2312" w:cs="Times New Roman"/>
          <w:spacing w:val="0"/>
          <w:kern w:val="21"/>
          <w:sz w:val="24"/>
          <w:szCs w:val="24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0" w:firstLine="480" w:firstLineChars="200"/>
        <w:jc w:val="both"/>
        <w:textAlignment w:val="auto"/>
        <w:outlineLvl w:val="9"/>
        <w:rPr>
          <w:rFonts w:hint="default" w:ascii="Times New Roman" w:hAnsi="Times New Roman" w:eastAsia="楷体_GB2312" w:cs="Times New Roman"/>
          <w:spacing w:val="0"/>
          <w:kern w:val="21"/>
          <w:sz w:val="24"/>
          <w:szCs w:val="24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0" w:firstLine="480" w:firstLineChars="200"/>
        <w:jc w:val="both"/>
        <w:textAlignment w:val="auto"/>
        <w:outlineLvl w:val="9"/>
        <w:rPr>
          <w:rFonts w:hint="default" w:ascii="Times New Roman" w:hAnsi="Times New Roman" w:eastAsia="楷体_GB2312" w:cs="Times New Roman"/>
          <w:spacing w:val="0"/>
          <w:kern w:val="21"/>
          <w:sz w:val="24"/>
          <w:szCs w:val="24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0" w:firstLine="480" w:firstLineChars="200"/>
        <w:jc w:val="both"/>
        <w:textAlignment w:val="auto"/>
        <w:outlineLvl w:val="9"/>
        <w:rPr>
          <w:rFonts w:hint="default" w:ascii="Times New Roman" w:hAnsi="Times New Roman" w:eastAsia="楷体_GB2312" w:cs="Times New Roman"/>
          <w:spacing w:val="0"/>
          <w:kern w:val="21"/>
          <w:sz w:val="24"/>
          <w:szCs w:val="24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jc w:val="both"/>
        <w:textAlignment w:val="auto"/>
        <w:outlineLvl w:val="9"/>
        <w:rPr>
          <w:rFonts w:hint="eastAsia" w:ascii="Times New Roman" w:hAnsi="Times New Roman" w:eastAsia="黑体" w:cs="Times New Roman"/>
          <w:spacing w:val="0"/>
          <w:kern w:val="21"/>
          <w:sz w:val="24"/>
          <w:szCs w:val="24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480" w:firstLineChars="200"/>
        <w:jc w:val="both"/>
        <w:textAlignment w:val="auto"/>
        <w:outlineLvl w:val="9"/>
        <w:rPr>
          <w:rFonts w:hint="eastAsia" w:ascii="Times New Roman" w:hAnsi="Times New Roman" w:eastAsia="黑体" w:cs="Times New Roman"/>
          <w:spacing w:val="0"/>
          <w:kern w:val="21"/>
          <w:sz w:val="24"/>
          <w:szCs w:val="24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480" w:firstLineChars="200"/>
        <w:jc w:val="both"/>
        <w:textAlignment w:val="auto"/>
        <w:outlineLvl w:val="9"/>
        <w:rPr>
          <w:rFonts w:hint="eastAsia" w:ascii="Times New Roman" w:hAnsi="Times New Roman" w:eastAsia="黑体" w:cs="Times New Roman"/>
          <w:spacing w:val="0"/>
          <w:kern w:val="21"/>
          <w:sz w:val="24"/>
          <w:szCs w:val="24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480" w:firstLineChars="200"/>
        <w:jc w:val="both"/>
        <w:textAlignment w:val="auto"/>
        <w:outlineLvl w:val="9"/>
        <w:rPr>
          <w:rFonts w:hint="eastAsia" w:ascii="Times New Roman" w:hAnsi="Times New Roman" w:eastAsia="黑体" w:cs="Times New Roman"/>
          <w:spacing w:val="0"/>
          <w:kern w:val="21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黑体" w:cs="Times New Roman"/>
          <w:spacing w:val="0"/>
          <w:kern w:val="21"/>
          <w:sz w:val="24"/>
          <w:szCs w:val="24"/>
          <w:highlight w:val="none"/>
          <w:u w:val="none"/>
          <w:lang w:val="en-US" w:eastAsia="zh-CN"/>
        </w:rPr>
        <w:t>四、政府性基金收支完成情况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pacing w:val="0"/>
          <w:kern w:val="21"/>
          <w:sz w:val="24"/>
          <w:szCs w:val="24"/>
          <w:highlight w:val="none"/>
          <w:u w:val="none"/>
          <w:lang w:val="en-US" w:eastAsia="zh-CN"/>
        </w:rPr>
        <w:t>截至2022年3月底，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全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旗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政府性基金预算收入累计完成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13503万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元、增长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320.8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%，其中国有土地使用权出让收入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13226万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元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增长325.5%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；政府性基金预算支出累计完成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3490万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元、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下降18.4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</w:rPr>
        <w:t>%</w:t>
      </w: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eastAsia="zh-CN"/>
        </w:rPr>
        <w:t>，主要是上年同期兑付了抗疫特别国债资金。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附表：1.2022年1-3月鄂托克旗财政收入分项目执行情况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1200" w:firstLineChars="5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2.2022年1-3月鄂托克旗财政支出分项目执行情况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1200" w:firstLineChars="5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-3"/>
          <w:kern w:val="21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pacing w:val="-3"/>
          <w:kern w:val="21"/>
          <w:sz w:val="24"/>
          <w:szCs w:val="24"/>
          <w:highlight w:val="none"/>
          <w:u w:val="none"/>
          <w:lang w:val="en-US" w:eastAsia="zh-CN"/>
        </w:rPr>
        <w:t>2022年1-3月鄂托克旗财政收入重点税源纳税情况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1200" w:firstLineChars="5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-4"/>
          <w:kern w:val="21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kern w:val="21"/>
          <w:sz w:val="24"/>
          <w:szCs w:val="24"/>
          <w:highlight w:val="none"/>
          <w:u w:val="none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pacing w:val="-4"/>
          <w:kern w:val="21"/>
          <w:sz w:val="24"/>
          <w:szCs w:val="24"/>
          <w:highlight w:val="none"/>
          <w:u w:val="none"/>
          <w:lang w:val="en-US" w:eastAsia="zh-CN"/>
        </w:rPr>
        <w:t>2022年1-3月鄂托克旗工业园区财政收支完成情况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480" w:firstLineChars="200"/>
        <w:jc w:val="both"/>
        <w:textAlignment w:val="auto"/>
        <w:outlineLvl w:val="9"/>
        <w:rPr>
          <w:rFonts w:hint="eastAsia" w:ascii="Times New Roman" w:hAnsi="Times New Roman" w:eastAsia="黑体" w:cs="Times New Roman"/>
          <w:sz w:val="24"/>
          <w:szCs w:val="24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480" w:firstLineChars="200"/>
        <w:jc w:val="both"/>
        <w:textAlignment w:val="auto"/>
        <w:rPr>
          <w:rFonts w:hint="eastAsia" w:ascii="Times New Roman" w:hAnsi="Times New Roman" w:eastAsia="黑体" w:cs="Times New Roman"/>
          <w:sz w:val="24"/>
          <w:szCs w:val="24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80" w:firstLineChars="200"/>
        <w:jc w:val="both"/>
        <w:textAlignment w:val="auto"/>
        <w:rPr>
          <w:rFonts w:hint="eastAsia" w:ascii="Times New Roman" w:hAnsi="Times New Roman" w:eastAsia="黑体" w:cs="Times New Roman"/>
          <w:sz w:val="24"/>
          <w:szCs w:val="24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80" w:firstLineChars="200"/>
        <w:jc w:val="both"/>
        <w:textAlignment w:val="auto"/>
        <w:rPr>
          <w:rFonts w:hint="eastAsia" w:ascii="Times New Roman" w:hAnsi="Times New Roman" w:eastAsia="黑体" w:cs="Times New Roman"/>
          <w:sz w:val="24"/>
          <w:szCs w:val="24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eastAsia" w:ascii="Times New Roman" w:hAnsi="Times New Roman" w:eastAsia="黑体" w:cs="Times New Roman"/>
          <w:sz w:val="24"/>
          <w:szCs w:val="24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eastAsia" w:ascii="Times New Roman" w:hAnsi="Times New Roman" w:eastAsia="黑体" w:cs="Times New Roman"/>
          <w:sz w:val="24"/>
          <w:szCs w:val="24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eastAsia" w:ascii="Times New Roman" w:hAnsi="Times New Roman" w:eastAsia="黑体" w:cs="Times New Roman"/>
          <w:sz w:val="24"/>
          <w:szCs w:val="24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eastAsia" w:ascii="Times New Roman" w:hAnsi="Times New Roman" w:eastAsia="黑体" w:cs="Times New Roman"/>
          <w:sz w:val="24"/>
          <w:szCs w:val="24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eastAsia" w:ascii="Times New Roman" w:hAnsi="Times New Roman" w:eastAsia="黑体" w:cs="Times New Roman"/>
          <w:sz w:val="24"/>
          <w:szCs w:val="24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eastAsia" w:ascii="Times New Roman" w:hAnsi="Times New Roman" w:eastAsia="黑体" w:cs="Times New Roman"/>
          <w:sz w:val="24"/>
          <w:szCs w:val="24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eastAsia" w:ascii="Times New Roman" w:hAnsi="Times New Roman" w:eastAsia="黑体" w:cs="Times New Roman"/>
          <w:sz w:val="24"/>
          <w:szCs w:val="24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eastAsia" w:ascii="Times New Roman" w:hAnsi="Times New Roman" w:eastAsia="黑体" w:cs="Times New Roman"/>
          <w:sz w:val="24"/>
          <w:szCs w:val="24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eastAsia" w:ascii="Times New Roman" w:hAnsi="Times New Roman" w:eastAsia="黑体" w:cs="Times New Roman"/>
          <w:sz w:val="24"/>
          <w:szCs w:val="24"/>
          <w:highlight w:val="none"/>
          <w:u w:val="none"/>
          <w:lang w:val="en-US" w:eastAsia="zh-CN"/>
        </w:rPr>
      </w:pPr>
    </w:p>
    <w:tbl>
      <w:tblPr>
        <w:tblStyle w:val="10"/>
        <w:tblW w:w="7066" w:type="dxa"/>
        <w:jc w:val="center"/>
        <w:tbl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H w:val="single" w:color="4BACC6" w:sz="8" w:space="0"/>
          <w:insideV w:val="single" w:color="4BACC6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1144"/>
        <w:gridCol w:w="1105"/>
        <w:gridCol w:w="2"/>
        <w:gridCol w:w="1042"/>
        <w:gridCol w:w="944"/>
        <w:gridCol w:w="15"/>
        <w:gridCol w:w="1109"/>
      </w:tblGrid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7066" w:type="dxa"/>
            <w:gridSpan w:val="8"/>
            <w:tcBorders>
              <w:tl2br w:val="nil"/>
              <w:tr2bl w:val="nil"/>
            </w:tcBorders>
            <w:shd w:val="clear" w:color="auto" w:fill="4BACC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FFFFFF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FFFFFF"/>
                <w:kern w:val="0"/>
                <w:sz w:val="28"/>
                <w:szCs w:val="28"/>
                <w:u w:val="none"/>
                <w:lang w:val="en-US" w:eastAsia="zh-CN" w:bidi="ar"/>
              </w:rPr>
              <w:t>2022年1-3月鄂托克旗财政收入分项目执行情况(一)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  <w:jc w:val="center"/>
        </w:trPr>
        <w:tc>
          <w:tcPr>
            <w:tcW w:w="7066" w:type="dxa"/>
            <w:gridSpan w:val="8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color w:val="000000"/>
                <w:sz w:val="15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  <w:jc w:val="center"/>
        </w:trPr>
        <w:tc>
          <w:tcPr>
            <w:tcW w:w="1705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w w:val="1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项   目</w:t>
            </w:r>
          </w:p>
        </w:tc>
        <w:tc>
          <w:tcPr>
            <w:tcW w:w="1144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当月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w w:val="1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完成数</w:t>
            </w:r>
          </w:p>
        </w:tc>
        <w:tc>
          <w:tcPr>
            <w:tcW w:w="1105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累计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w w:val="1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完成数</w:t>
            </w:r>
          </w:p>
        </w:tc>
        <w:tc>
          <w:tcPr>
            <w:tcW w:w="1044" w:type="dxa"/>
            <w:gridSpan w:val="2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上年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黑体" w:hAnsi="黑体" w:eastAsia="黑体" w:cs="黑体"/>
                <w:b w:val="0"/>
                <w:bCs w:val="0"/>
                <w:color w:val="000000"/>
                <w:w w:val="100"/>
                <w:sz w:val="22"/>
                <w:szCs w:val="22"/>
                <w:lang w:val="en-US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同期数</w:t>
            </w:r>
          </w:p>
        </w:tc>
        <w:tc>
          <w:tcPr>
            <w:tcW w:w="2068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w w:val="1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比上年同期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705" w:type="dxa"/>
            <w:vMerge w:val="continue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w w:val="100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144" w:type="dxa"/>
            <w:vMerge w:val="continue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w w:val="100"/>
                <w:sz w:val="22"/>
                <w:szCs w:val="22"/>
              </w:rPr>
            </w:pPr>
          </w:p>
        </w:tc>
        <w:tc>
          <w:tcPr>
            <w:tcW w:w="1105" w:type="dxa"/>
            <w:vMerge w:val="continue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w w:val="100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044" w:type="dxa"/>
            <w:gridSpan w:val="2"/>
            <w:vMerge w:val="continue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w w:val="100"/>
                <w:sz w:val="22"/>
                <w:szCs w:val="22"/>
              </w:rPr>
            </w:pPr>
          </w:p>
        </w:tc>
        <w:tc>
          <w:tcPr>
            <w:tcW w:w="959" w:type="dxa"/>
            <w:gridSpan w:val="2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w w:val="1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增减额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w w:val="1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增减幅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w w:val="90"/>
                <w:kern w:val="0"/>
                <w:sz w:val="22"/>
                <w:szCs w:val="22"/>
                <w:u w:val="none"/>
                <w:lang w:val="en-US" w:eastAsia="zh-CN" w:bidi="ar"/>
              </w:rPr>
              <w:t>地方财政总收入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99237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624791</w:t>
            </w:r>
          </w:p>
        </w:tc>
        <w:tc>
          <w:tcPr>
            <w:tcW w:w="1044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224563 </w:t>
            </w:r>
          </w:p>
        </w:tc>
        <w:tc>
          <w:tcPr>
            <w:tcW w:w="959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400228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178.2%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w w:val="8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w w:val="80"/>
                <w:kern w:val="0"/>
                <w:sz w:val="22"/>
                <w:szCs w:val="22"/>
                <w:u w:val="none"/>
                <w:lang w:val="en-US" w:eastAsia="zh-CN" w:bidi="ar"/>
              </w:rPr>
              <w:t>一般公共预算收入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28470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153983</w:t>
            </w:r>
          </w:p>
        </w:tc>
        <w:tc>
          <w:tcPr>
            <w:tcW w:w="1044" w:type="dxa"/>
            <w:gridSpan w:val="2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62118</w:t>
            </w:r>
          </w:p>
        </w:tc>
        <w:tc>
          <w:tcPr>
            <w:tcW w:w="959" w:type="dxa"/>
            <w:gridSpan w:val="2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91865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147.9%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w w:val="8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（一）税收收入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23460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143198</w:t>
            </w:r>
          </w:p>
        </w:tc>
        <w:tc>
          <w:tcPr>
            <w:tcW w:w="1044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54130</w:t>
            </w:r>
          </w:p>
        </w:tc>
        <w:tc>
          <w:tcPr>
            <w:tcW w:w="959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89068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164.5%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w w:val="1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增值税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10167 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49278</w:t>
            </w:r>
          </w:p>
        </w:tc>
        <w:tc>
          <w:tcPr>
            <w:tcW w:w="1044" w:type="dxa"/>
            <w:gridSpan w:val="2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20507</w:t>
            </w:r>
          </w:p>
        </w:tc>
        <w:tc>
          <w:tcPr>
            <w:tcW w:w="959" w:type="dxa"/>
            <w:gridSpan w:val="2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28771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140.3%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w w:val="1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企业所得税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31722</w:t>
            </w:r>
          </w:p>
        </w:tc>
        <w:tc>
          <w:tcPr>
            <w:tcW w:w="1044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7918</w:t>
            </w:r>
          </w:p>
        </w:tc>
        <w:tc>
          <w:tcPr>
            <w:tcW w:w="959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23804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300.6%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w w:val="1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个人所得税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404 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2173</w:t>
            </w:r>
          </w:p>
        </w:tc>
        <w:tc>
          <w:tcPr>
            <w:tcW w:w="1044" w:type="dxa"/>
            <w:gridSpan w:val="2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</w:t>
            </w:r>
          </w:p>
        </w:tc>
        <w:tc>
          <w:tcPr>
            <w:tcW w:w="959" w:type="dxa"/>
            <w:gridSpan w:val="2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53.0%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w w:val="1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资源税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7137 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29549</w:t>
            </w:r>
          </w:p>
        </w:tc>
        <w:tc>
          <w:tcPr>
            <w:tcW w:w="1044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9601</w:t>
            </w:r>
          </w:p>
        </w:tc>
        <w:tc>
          <w:tcPr>
            <w:tcW w:w="959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207.8%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w w:val="1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22"/>
                <w:szCs w:val="22"/>
                <w:u w:val="none"/>
                <w:lang w:val="en-US" w:eastAsia="zh-CN" w:bidi="ar"/>
              </w:rPr>
              <w:t>城市维护建设税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2782 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8833</w:t>
            </w:r>
          </w:p>
        </w:tc>
        <w:tc>
          <w:tcPr>
            <w:tcW w:w="1044" w:type="dxa"/>
            <w:gridSpan w:val="2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4648</w:t>
            </w:r>
          </w:p>
        </w:tc>
        <w:tc>
          <w:tcPr>
            <w:tcW w:w="959" w:type="dxa"/>
            <w:gridSpan w:val="2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4185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90.0%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w w:val="1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房产税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3859</w:t>
            </w:r>
          </w:p>
        </w:tc>
        <w:tc>
          <w:tcPr>
            <w:tcW w:w="1044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959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3408.2%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w w:val="1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印花税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776 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2579</w:t>
            </w:r>
          </w:p>
        </w:tc>
        <w:tc>
          <w:tcPr>
            <w:tcW w:w="1044" w:type="dxa"/>
            <w:gridSpan w:val="2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1480</w:t>
            </w:r>
          </w:p>
        </w:tc>
        <w:tc>
          <w:tcPr>
            <w:tcW w:w="959" w:type="dxa"/>
            <w:gridSpan w:val="2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1099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74.3%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w w:val="1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22"/>
                <w:szCs w:val="22"/>
                <w:u w:val="none"/>
                <w:lang w:val="en-US" w:eastAsia="zh-CN" w:bidi="ar"/>
              </w:rPr>
              <w:t>城镇土地使用税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796 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4807</w:t>
            </w:r>
          </w:p>
        </w:tc>
        <w:tc>
          <w:tcPr>
            <w:tcW w:w="1044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959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4686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3872.7%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w w:val="1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土地增值税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175 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493</w:t>
            </w:r>
          </w:p>
        </w:tc>
        <w:tc>
          <w:tcPr>
            <w:tcW w:w="1044" w:type="dxa"/>
            <w:gridSpan w:val="2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639</w:t>
            </w:r>
          </w:p>
        </w:tc>
        <w:tc>
          <w:tcPr>
            <w:tcW w:w="959" w:type="dxa"/>
            <w:gridSpan w:val="2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-146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-22.8%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w w:val="1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车船税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134 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542</w:t>
            </w:r>
          </w:p>
        </w:tc>
        <w:tc>
          <w:tcPr>
            <w:tcW w:w="1044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506</w:t>
            </w:r>
          </w:p>
        </w:tc>
        <w:tc>
          <w:tcPr>
            <w:tcW w:w="959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7.1%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w w:val="1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耕地占用税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934 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7072</w:t>
            </w:r>
          </w:p>
        </w:tc>
        <w:tc>
          <w:tcPr>
            <w:tcW w:w="1044" w:type="dxa"/>
            <w:gridSpan w:val="2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4438</w:t>
            </w:r>
          </w:p>
        </w:tc>
        <w:tc>
          <w:tcPr>
            <w:tcW w:w="959" w:type="dxa"/>
            <w:gridSpan w:val="2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59.4%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7066" w:type="dxa"/>
            <w:gridSpan w:val="8"/>
            <w:tcBorders>
              <w:tl2br w:val="nil"/>
              <w:tr2bl w:val="nil"/>
            </w:tcBorders>
            <w:shd w:val="clear" w:color="auto" w:fill="4BACC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color w:val="FFFFFF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FFFFFF"/>
                <w:kern w:val="0"/>
                <w:sz w:val="28"/>
                <w:szCs w:val="28"/>
                <w:u w:val="none"/>
                <w:lang w:val="en-US" w:eastAsia="zh-CN" w:bidi="ar"/>
              </w:rPr>
              <w:t>2022年1-3月鄂托克旗财政收入分项目执行情况(二)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  <w:jc w:val="center"/>
        </w:trPr>
        <w:tc>
          <w:tcPr>
            <w:tcW w:w="7066" w:type="dxa"/>
            <w:gridSpan w:val="8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color w:val="000000"/>
                <w:sz w:val="15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  <w:jc w:val="center"/>
        </w:trPr>
        <w:tc>
          <w:tcPr>
            <w:tcW w:w="1705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w w:val="1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项   目</w:t>
            </w:r>
          </w:p>
        </w:tc>
        <w:tc>
          <w:tcPr>
            <w:tcW w:w="1144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当月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w w:val="1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完成数</w:t>
            </w:r>
          </w:p>
        </w:tc>
        <w:tc>
          <w:tcPr>
            <w:tcW w:w="1107" w:type="dxa"/>
            <w:gridSpan w:val="2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累计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w w:val="1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完成数</w:t>
            </w:r>
          </w:p>
        </w:tc>
        <w:tc>
          <w:tcPr>
            <w:tcW w:w="1042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上年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w w:val="1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同期数</w:t>
            </w:r>
          </w:p>
        </w:tc>
        <w:tc>
          <w:tcPr>
            <w:tcW w:w="2068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w w:val="1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比上年同期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705" w:type="dxa"/>
            <w:vMerge w:val="continue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w w:val="100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144" w:type="dxa"/>
            <w:vMerge w:val="continue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w w:val="100"/>
                <w:sz w:val="22"/>
                <w:szCs w:val="22"/>
              </w:rPr>
            </w:pPr>
          </w:p>
        </w:tc>
        <w:tc>
          <w:tcPr>
            <w:tcW w:w="1107" w:type="dxa"/>
            <w:gridSpan w:val="2"/>
            <w:vMerge w:val="continue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w w:val="100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042" w:type="dxa"/>
            <w:vMerge w:val="continue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w w:val="100"/>
                <w:sz w:val="22"/>
                <w:szCs w:val="22"/>
              </w:rPr>
            </w:pPr>
          </w:p>
        </w:tc>
        <w:tc>
          <w:tcPr>
            <w:tcW w:w="944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w w:val="1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增减额</w:t>
            </w:r>
          </w:p>
        </w:tc>
        <w:tc>
          <w:tcPr>
            <w:tcW w:w="1124" w:type="dxa"/>
            <w:gridSpan w:val="2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w w:val="1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增减幅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w w:val="100"/>
                <w:kern w:val="21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w w:val="100"/>
                <w:kern w:val="21"/>
                <w:sz w:val="22"/>
                <w:szCs w:val="22"/>
                <w:u w:val="none"/>
                <w:lang w:val="en-US" w:eastAsia="zh-CN" w:bidi="ar"/>
              </w:rPr>
              <w:t>契税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136 </w:t>
            </w:r>
          </w:p>
        </w:tc>
        <w:tc>
          <w:tcPr>
            <w:tcW w:w="1107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681</w:t>
            </w:r>
          </w:p>
        </w:tc>
        <w:tc>
          <w:tcPr>
            <w:tcW w:w="104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1044</w:t>
            </w:r>
          </w:p>
        </w:tc>
        <w:tc>
          <w:tcPr>
            <w:tcW w:w="94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-363</w:t>
            </w:r>
          </w:p>
        </w:tc>
        <w:tc>
          <w:tcPr>
            <w:tcW w:w="1124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-34.8%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w w:val="100"/>
                <w:kern w:val="21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w w:val="100"/>
                <w:kern w:val="21"/>
                <w:sz w:val="22"/>
                <w:szCs w:val="22"/>
                <w:u w:val="none"/>
                <w:lang w:val="en-US" w:eastAsia="zh-CN" w:bidi="ar"/>
              </w:rPr>
              <w:t>环境保护税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107" w:type="dxa"/>
            <w:gridSpan w:val="2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1611</w:t>
            </w:r>
          </w:p>
        </w:tc>
        <w:tc>
          <w:tcPr>
            <w:tcW w:w="1042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1670</w:t>
            </w:r>
          </w:p>
        </w:tc>
        <w:tc>
          <w:tcPr>
            <w:tcW w:w="944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-59</w:t>
            </w:r>
          </w:p>
        </w:tc>
        <w:tc>
          <w:tcPr>
            <w:tcW w:w="1124" w:type="dxa"/>
            <w:gridSpan w:val="2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-3.5%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w w:val="100"/>
                <w:kern w:val="21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w w:val="100"/>
                <w:kern w:val="21"/>
                <w:sz w:val="22"/>
                <w:szCs w:val="22"/>
                <w:u w:val="none"/>
                <w:lang w:val="en-US" w:eastAsia="zh-CN" w:bidi="ar"/>
              </w:rPr>
              <w:t>其他税收收入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107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04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94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-29</w:t>
            </w:r>
          </w:p>
        </w:tc>
        <w:tc>
          <w:tcPr>
            <w:tcW w:w="1124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-103.6%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（二）非税收入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5010 </w:t>
            </w:r>
          </w:p>
        </w:tc>
        <w:tc>
          <w:tcPr>
            <w:tcW w:w="1107" w:type="dxa"/>
            <w:gridSpan w:val="2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10785</w:t>
            </w:r>
          </w:p>
        </w:tc>
        <w:tc>
          <w:tcPr>
            <w:tcW w:w="1042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7988</w:t>
            </w:r>
          </w:p>
        </w:tc>
        <w:tc>
          <w:tcPr>
            <w:tcW w:w="944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2797</w:t>
            </w:r>
          </w:p>
        </w:tc>
        <w:tc>
          <w:tcPr>
            <w:tcW w:w="1124" w:type="dxa"/>
            <w:gridSpan w:val="2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35.0%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w w:val="1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专项收入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w w:val="1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1176 </w:t>
            </w:r>
          </w:p>
        </w:tc>
        <w:tc>
          <w:tcPr>
            <w:tcW w:w="1107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w w:val="1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4155</w:t>
            </w:r>
          </w:p>
        </w:tc>
        <w:tc>
          <w:tcPr>
            <w:tcW w:w="104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w w:val="1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2836</w:t>
            </w:r>
          </w:p>
        </w:tc>
        <w:tc>
          <w:tcPr>
            <w:tcW w:w="94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1319</w:t>
            </w:r>
          </w:p>
        </w:tc>
        <w:tc>
          <w:tcPr>
            <w:tcW w:w="1124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46.5%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w w:val="1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22"/>
                <w:szCs w:val="22"/>
                <w:u w:val="none"/>
                <w:lang w:val="en-US" w:eastAsia="zh-CN" w:bidi="ar"/>
              </w:rPr>
              <w:t>行政性收费收入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w w:val="1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3115 </w:t>
            </w:r>
          </w:p>
        </w:tc>
        <w:tc>
          <w:tcPr>
            <w:tcW w:w="1107" w:type="dxa"/>
            <w:gridSpan w:val="2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w w:val="10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4617</w:t>
            </w:r>
          </w:p>
        </w:tc>
        <w:tc>
          <w:tcPr>
            <w:tcW w:w="1042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w w:val="1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3111</w:t>
            </w:r>
          </w:p>
        </w:tc>
        <w:tc>
          <w:tcPr>
            <w:tcW w:w="944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1506</w:t>
            </w:r>
          </w:p>
        </w:tc>
        <w:tc>
          <w:tcPr>
            <w:tcW w:w="1124" w:type="dxa"/>
            <w:gridSpan w:val="2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48.4%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w w:val="1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罚没收入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w w:val="1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304 </w:t>
            </w:r>
          </w:p>
        </w:tc>
        <w:tc>
          <w:tcPr>
            <w:tcW w:w="1107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w w:val="1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1090</w:t>
            </w:r>
          </w:p>
        </w:tc>
        <w:tc>
          <w:tcPr>
            <w:tcW w:w="104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w w:val="1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1025</w:t>
            </w:r>
          </w:p>
        </w:tc>
        <w:tc>
          <w:tcPr>
            <w:tcW w:w="94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124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6.3%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22"/>
                <w:szCs w:val="22"/>
                <w:u w:val="none"/>
                <w:lang w:val="en-US" w:eastAsia="zh-CN" w:bidi="ar"/>
              </w:rPr>
              <w:t>国有资源（资产）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22"/>
                <w:szCs w:val="22"/>
                <w:u w:val="none"/>
                <w:lang w:val="en-US" w:eastAsia="zh-CN" w:bidi="ar"/>
              </w:rPr>
              <w:t>有偿使用收入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400 </w:t>
            </w:r>
          </w:p>
        </w:tc>
        <w:tc>
          <w:tcPr>
            <w:tcW w:w="1107" w:type="dxa"/>
            <w:gridSpan w:val="2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1042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981</w:t>
            </w:r>
          </w:p>
        </w:tc>
        <w:tc>
          <w:tcPr>
            <w:tcW w:w="944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-381</w:t>
            </w:r>
          </w:p>
        </w:tc>
        <w:tc>
          <w:tcPr>
            <w:tcW w:w="1124" w:type="dxa"/>
            <w:gridSpan w:val="2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-38.8%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捐赠收入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107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04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4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24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#DIV/0!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w w:val="80"/>
                <w:kern w:val="0"/>
                <w:sz w:val="22"/>
                <w:szCs w:val="22"/>
                <w:u w:val="none"/>
                <w:lang w:val="en-US" w:eastAsia="zh-CN" w:bidi="ar"/>
              </w:rPr>
              <w:t>政府住房基金收入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1107" w:type="dxa"/>
            <w:gridSpan w:val="2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042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944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124" w:type="dxa"/>
            <w:gridSpan w:val="2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157.1%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其他收入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1107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</w:t>
            </w:r>
          </w:p>
        </w:tc>
        <w:tc>
          <w:tcPr>
            <w:tcW w:w="104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94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</w:t>
            </w:r>
          </w:p>
        </w:tc>
        <w:tc>
          <w:tcPr>
            <w:tcW w:w="1124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989.3%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w w:val="90"/>
                <w:kern w:val="0"/>
                <w:sz w:val="22"/>
                <w:szCs w:val="22"/>
                <w:u w:val="none"/>
                <w:lang w:val="en-US" w:eastAsia="zh-CN" w:bidi="ar"/>
              </w:rPr>
              <w:t>政府性基金收入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2726 </w:t>
            </w:r>
          </w:p>
        </w:tc>
        <w:tc>
          <w:tcPr>
            <w:tcW w:w="1107" w:type="dxa"/>
            <w:gridSpan w:val="2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13503</w:t>
            </w:r>
          </w:p>
        </w:tc>
        <w:tc>
          <w:tcPr>
            <w:tcW w:w="1042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3209</w:t>
            </w:r>
          </w:p>
        </w:tc>
        <w:tc>
          <w:tcPr>
            <w:tcW w:w="944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10294</w:t>
            </w:r>
          </w:p>
        </w:tc>
        <w:tc>
          <w:tcPr>
            <w:tcW w:w="1124" w:type="dxa"/>
            <w:gridSpan w:val="2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320.8%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w w:val="60"/>
                <w:kern w:val="0"/>
                <w:sz w:val="22"/>
                <w:szCs w:val="22"/>
                <w:u w:val="none"/>
                <w:lang w:val="en-US" w:eastAsia="zh-CN" w:bidi="ar"/>
              </w:rPr>
              <w:t>国有土地使用权出让收入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107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13226</w:t>
            </w:r>
          </w:p>
        </w:tc>
        <w:tc>
          <w:tcPr>
            <w:tcW w:w="104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3108</w:t>
            </w:r>
          </w:p>
        </w:tc>
        <w:tc>
          <w:tcPr>
            <w:tcW w:w="94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10118</w:t>
            </w:r>
          </w:p>
        </w:tc>
        <w:tc>
          <w:tcPr>
            <w:tcW w:w="1124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325.5%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DBEEF3" w:themeFill="accent5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w w:val="6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w w:val="60"/>
                <w:kern w:val="0"/>
                <w:sz w:val="22"/>
                <w:szCs w:val="22"/>
                <w:u w:val="none"/>
                <w:lang w:val="en-US" w:eastAsia="zh-CN" w:bidi="ar"/>
              </w:rPr>
              <w:t>城市基础设施配套费收入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shd w:val="clear" w:color="auto" w:fill="DBEEF3" w:themeFill="accent5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211 </w:t>
            </w:r>
          </w:p>
        </w:tc>
        <w:tc>
          <w:tcPr>
            <w:tcW w:w="1107" w:type="dxa"/>
            <w:gridSpan w:val="2"/>
            <w:tcBorders>
              <w:tl2br w:val="nil"/>
              <w:tr2bl w:val="nil"/>
            </w:tcBorders>
            <w:shd w:val="clear" w:color="auto" w:fill="DBEEF3" w:themeFill="accent5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</w:t>
            </w:r>
          </w:p>
        </w:tc>
        <w:tc>
          <w:tcPr>
            <w:tcW w:w="1042" w:type="dxa"/>
            <w:tcBorders>
              <w:tl2br w:val="nil"/>
              <w:tr2bl w:val="nil"/>
            </w:tcBorders>
            <w:shd w:val="clear" w:color="auto" w:fill="DBEEF3" w:themeFill="accent5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944" w:type="dxa"/>
            <w:tcBorders>
              <w:tl2br w:val="nil"/>
              <w:tr2bl w:val="nil"/>
            </w:tcBorders>
            <w:shd w:val="clear" w:color="auto" w:fill="DBEEF3" w:themeFill="accent5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1124" w:type="dxa"/>
            <w:gridSpan w:val="2"/>
            <w:tcBorders>
              <w:tl2br w:val="nil"/>
              <w:tr2bl w:val="nil"/>
            </w:tcBorders>
            <w:shd w:val="clear" w:color="auto" w:fill="DBEEF3" w:themeFill="accent5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755.6%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w w:val="9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w w:val="100"/>
                <w:kern w:val="21"/>
                <w:sz w:val="22"/>
                <w:szCs w:val="22"/>
                <w:u w:val="none"/>
                <w:lang w:val="en-US" w:eastAsia="zh-CN" w:bidi="ar"/>
              </w:rPr>
              <w:t>污水处理费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110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04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94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-28</w:t>
            </w:r>
          </w:p>
        </w:tc>
        <w:tc>
          <w:tcPr>
            <w:tcW w:w="1124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-37.8%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7066" w:type="dxa"/>
            <w:gridSpan w:val="8"/>
            <w:tcBorders>
              <w:tl2br w:val="nil"/>
              <w:tr2bl w:val="nil"/>
            </w:tcBorders>
            <w:shd w:val="clear" w:color="auto" w:fill="4BACC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FFFFFF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FFFFFF"/>
                <w:kern w:val="0"/>
                <w:sz w:val="28"/>
                <w:szCs w:val="28"/>
                <w:u w:val="none"/>
                <w:lang w:val="en-US" w:eastAsia="zh-CN" w:bidi="ar"/>
              </w:rPr>
              <w:t>2022年1-3月鄂托克旗财政支出分项目执行情况（一）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066" w:type="dxa"/>
            <w:gridSpan w:val="8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color w:val="000000"/>
                <w:sz w:val="15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05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w w:val="1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w w:val="100"/>
                <w:sz w:val="22"/>
                <w:szCs w:val="22"/>
                <w:vertAlign w:val="baseline"/>
                <w:lang w:val="en-US" w:eastAsia="zh-CN"/>
              </w:rPr>
              <w:t>科目名称</w:t>
            </w:r>
          </w:p>
        </w:tc>
        <w:tc>
          <w:tcPr>
            <w:tcW w:w="1144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当月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w w:val="1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完成数</w:t>
            </w:r>
          </w:p>
        </w:tc>
        <w:tc>
          <w:tcPr>
            <w:tcW w:w="1105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累计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w w:val="1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完成数</w:t>
            </w:r>
          </w:p>
        </w:tc>
        <w:tc>
          <w:tcPr>
            <w:tcW w:w="1044" w:type="dxa"/>
            <w:gridSpan w:val="2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同期数</w:t>
            </w:r>
          </w:p>
        </w:tc>
        <w:tc>
          <w:tcPr>
            <w:tcW w:w="2068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比上年同期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05" w:type="dxa"/>
            <w:vMerge w:val="continue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44" w:type="dxa"/>
            <w:vMerge w:val="continue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Merge w:val="continue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44" w:type="dxa"/>
            <w:gridSpan w:val="2"/>
            <w:vMerge w:val="continue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gridSpan w:val="2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增减额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增减幅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一般公共预算支出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0"/>
                <w:szCs w:val="20"/>
                <w:lang w:val="en-US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58091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135471</w:t>
            </w:r>
          </w:p>
        </w:tc>
        <w:tc>
          <w:tcPr>
            <w:tcW w:w="1044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103950</w:t>
            </w:r>
          </w:p>
        </w:tc>
        <w:tc>
          <w:tcPr>
            <w:tcW w:w="959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31521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30.3%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w w:val="8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一般公共服务支出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3385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10967</w:t>
            </w:r>
          </w:p>
        </w:tc>
        <w:tc>
          <w:tcPr>
            <w:tcW w:w="1044" w:type="dxa"/>
            <w:gridSpan w:val="2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8276</w:t>
            </w:r>
          </w:p>
        </w:tc>
        <w:tc>
          <w:tcPr>
            <w:tcW w:w="959" w:type="dxa"/>
            <w:gridSpan w:val="2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32.5%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w w:val="8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外交支出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44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</w:pP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国防支出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44" w:type="dxa"/>
            <w:gridSpan w:val="2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959" w:type="dxa"/>
            <w:gridSpan w:val="2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-148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-100.0%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公共安全支出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1756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4698</w:t>
            </w:r>
          </w:p>
        </w:tc>
        <w:tc>
          <w:tcPr>
            <w:tcW w:w="1044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2843</w:t>
            </w:r>
          </w:p>
        </w:tc>
        <w:tc>
          <w:tcPr>
            <w:tcW w:w="959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65.2%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教育支出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0"/>
                <w:szCs w:val="20"/>
                <w:lang w:val="en-US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3776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9875</w:t>
            </w:r>
          </w:p>
        </w:tc>
        <w:tc>
          <w:tcPr>
            <w:tcW w:w="1044" w:type="dxa"/>
            <w:gridSpan w:val="2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8562</w:t>
            </w:r>
          </w:p>
        </w:tc>
        <w:tc>
          <w:tcPr>
            <w:tcW w:w="959" w:type="dxa"/>
            <w:gridSpan w:val="2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1313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15.3%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科学技术支出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</w:t>
            </w:r>
          </w:p>
        </w:tc>
        <w:tc>
          <w:tcPr>
            <w:tcW w:w="1044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1185</w:t>
            </w:r>
          </w:p>
        </w:tc>
        <w:tc>
          <w:tcPr>
            <w:tcW w:w="959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-816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-68.9%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文化旅游体育与传媒支出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730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1602</w:t>
            </w:r>
          </w:p>
        </w:tc>
        <w:tc>
          <w:tcPr>
            <w:tcW w:w="1044" w:type="dxa"/>
            <w:gridSpan w:val="2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1636</w:t>
            </w:r>
          </w:p>
        </w:tc>
        <w:tc>
          <w:tcPr>
            <w:tcW w:w="959" w:type="dxa"/>
            <w:gridSpan w:val="2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-34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-2.1%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社会保障和就业支出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4049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12986</w:t>
            </w:r>
          </w:p>
        </w:tc>
        <w:tc>
          <w:tcPr>
            <w:tcW w:w="1044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11799</w:t>
            </w:r>
          </w:p>
        </w:tc>
        <w:tc>
          <w:tcPr>
            <w:tcW w:w="959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1187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10.1%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卫生健康支出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4019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7599</w:t>
            </w:r>
          </w:p>
        </w:tc>
        <w:tc>
          <w:tcPr>
            <w:tcW w:w="1044" w:type="dxa"/>
            <w:gridSpan w:val="2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3448</w:t>
            </w:r>
          </w:p>
        </w:tc>
        <w:tc>
          <w:tcPr>
            <w:tcW w:w="959" w:type="dxa"/>
            <w:gridSpan w:val="2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4151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120.4%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节能环保支出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2594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10807</w:t>
            </w:r>
          </w:p>
        </w:tc>
        <w:tc>
          <w:tcPr>
            <w:tcW w:w="1044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4192</w:t>
            </w:r>
          </w:p>
        </w:tc>
        <w:tc>
          <w:tcPr>
            <w:tcW w:w="959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6615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157.8%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城乡社区支出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10549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25649</w:t>
            </w:r>
          </w:p>
        </w:tc>
        <w:tc>
          <w:tcPr>
            <w:tcW w:w="1044" w:type="dxa"/>
            <w:gridSpan w:val="2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16259</w:t>
            </w:r>
          </w:p>
        </w:tc>
        <w:tc>
          <w:tcPr>
            <w:tcW w:w="959" w:type="dxa"/>
            <w:gridSpan w:val="2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9390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57.8%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农林水支出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3149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13729</w:t>
            </w:r>
          </w:p>
        </w:tc>
        <w:tc>
          <w:tcPr>
            <w:tcW w:w="1044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6391</w:t>
            </w:r>
          </w:p>
        </w:tc>
        <w:tc>
          <w:tcPr>
            <w:tcW w:w="959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7338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114.8%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atLeast"/>
          <w:jc w:val="center"/>
        </w:trPr>
        <w:tc>
          <w:tcPr>
            <w:tcW w:w="7066" w:type="dxa"/>
            <w:gridSpan w:val="8"/>
            <w:tcBorders>
              <w:tl2br w:val="nil"/>
              <w:tr2bl w:val="nil"/>
            </w:tcBorders>
            <w:shd w:val="clear" w:color="auto" w:fill="4BACC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FFFFFF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FFFFFF"/>
                <w:kern w:val="0"/>
                <w:sz w:val="28"/>
                <w:szCs w:val="28"/>
                <w:u w:val="none"/>
                <w:lang w:val="en-US" w:eastAsia="zh-CN" w:bidi="ar"/>
              </w:rPr>
              <w:t>2022年1-3月鄂托克旗财政支出分项目执行情况（二）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066" w:type="dxa"/>
            <w:gridSpan w:val="8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color w:val="000000"/>
                <w:sz w:val="15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705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w w:val="1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w w:val="100"/>
                <w:sz w:val="22"/>
                <w:szCs w:val="22"/>
                <w:vertAlign w:val="baseline"/>
                <w:lang w:val="en-US" w:eastAsia="zh-CN"/>
              </w:rPr>
              <w:t>科目名称</w:t>
            </w:r>
          </w:p>
        </w:tc>
        <w:tc>
          <w:tcPr>
            <w:tcW w:w="1144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当月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w w:val="1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完成数</w:t>
            </w:r>
          </w:p>
        </w:tc>
        <w:tc>
          <w:tcPr>
            <w:tcW w:w="1105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累计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w w:val="1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完成数</w:t>
            </w:r>
          </w:p>
        </w:tc>
        <w:tc>
          <w:tcPr>
            <w:tcW w:w="1044" w:type="dxa"/>
            <w:gridSpan w:val="2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上年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w w:val="1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同期数</w:t>
            </w:r>
          </w:p>
        </w:tc>
        <w:tc>
          <w:tcPr>
            <w:tcW w:w="2068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w w:val="1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比上年同期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705" w:type="dxa"/>
            <w:vMerge w:val="continue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w w:val="100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144" w:type="dxa"/>
            <w:vMerge w:val="continue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w w:val="100"/>
                <w:sz w:val="22"/>
                <w:szCs w:val="22"/>
              </w:rPr>
            </w:pPr>
          </w:p>
        </w:tc>
        <w:tc>
          <w:tcPr>
            <w:tcW w:w="1105" w:type="dxa"/>
            <w:vMerge w:val="continue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w w:val="100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044" w:type="dxa"/>
            <w:gridSpan w:val="2"/>
            <w:vMerge w:val="continue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w w:val="100"/>
                <w:sz w:val="22"/>
                <w:szCs w:val="22"/>
              </w:rPr>
            </w:pPr>
          </w:p>
        </w:tc>
        <w:tc>
          <w:tcPr>
            <w:tcW w:w="944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w w:val="1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增减额</w:t>
            </w:r>
          </w:p>
        </w:tc>
        <w:tc>
          <w:tcPr>
            <w:tcW w:w="1124" w:type="dxa"/>
            <w:gridSpan w:val="2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w w:val="1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增减幅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交通运输支出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3513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6622</w:t>
            </w:r>
          </w:p>
        </w:tc>
        <w:tc>
          <w:tcPr>
            <w:tcW w:w="1044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3101</w:t>
            </w:r>
          </w:p>
        </w:tc>
        <w:tc>
          <w:tcPr>
            <w:tcW w:w="94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3521</w:t>
            </w:r>
          </w:p>
        </w:tc>
        <w:tc>
          <w:tcPr>
            <w:tcW w:w="1124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113.5%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资源勘探信息等支出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13065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15115</w:t>
            </w:r>
          </w:p>
        </w:tc>
        <w:tc>
          <w:tcPr>
            <w:tcW w:w="1044" w:type="dxa"/>
            <w:gridSpan w:val="2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25263</w:t>
            </w:r>
          </w:p>
        </w:tc>
        <w:tc>
          <w:tcPr>
            <w:tcW w:w="944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-10148</w:t>
            </w:r>
          </w:p>
        </w:tc>
        <w:tc>
          <w:tcPr>
            <w:tcW w:w="1124" w:type="dxa"/>
            <w:gridSpan w:val="2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-40.2%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商业服务业等支出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044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552</w:t>
            </w:r>
          </w:p>
        </w:tc>
        <w:tc>
          <w:tcPr>
            <w:tcW w:w="94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-511</w:t>
            </w:r>
          </w:p>
        </w:tc>
        <w:tc>
          <w:tcPr>
            <w:tcW w:w="1124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-92.6%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w w:val="8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金融支出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44" w:type="dxa"/>
            <w:gridSpan w:val="2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944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24" w:type="dxa"/>
            <w:gridSpan w:val="2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#DIV/0!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w w:val="8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自然资源海洋气象等支出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1282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</w:t>
            </w:r>
          </w:p>
        </w:tc>
        <w:tc>
          <w:tcPr>
            <w:tcW w:w="1044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4206</w:t>
            </w:r>
          </w:p>
        </w:tc>
        <w:tc>
          <w:tcPr>
            <w:tcW w:w="94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-2002</w:t>
            </w:r>
          </w:p>
        </w:tc>
        <w:tc>
          <w:tcPr>
            <w:tcW w:w="1124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-47.6%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住房保障支出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8175</w:t>
            </w:r>
          </w:p>
        </w:tc>
        <w:tc>
          <w:tcPr>
            <w:tcW w:w="1044" w:type="dxa"/>
            <w:gridSpan w:val="2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1664</w:t>
            </w:r>
          </w:p>
        </w:tc>
        <w:tc>
          <w:tcPr>
            <w:tcW w:w="944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6511</w:t>
            </w:r>
          </w:p>
        </w:tc>
        <w:tc>
          <w:tcPr>
            <w:tcW w:w="1124" w:type="dxa"/>
            <w:gridSpan w:val="2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391.3%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粮油物资储备支出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044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  <w:tc>
          <w:tcPr>
            <w:tcW w:w="94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-200</w:t>
            </w:r>
          </w:p>
        </w:tc>
        <w:tc>
          <w:tcPr>
            <w:tcW w:w="1124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-86.2%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灾害防治及应急管理支出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455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1575</w:t>
            </w:r>
          </w:p>
        </w:tc>
        <w:tc>
          <w:tcPr>
            <w:tcW w:w="1044" w:type="dxa"/>
            <w:gridSpan w:val="2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</w:t>
            </w:r>
          </w:p>
        </w:tc>
        <w:tc>
          <w:tcPr>
            <w:tcW w:w="944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662</w:t>
            </w:r>
          </w:p>
        </w:tc>
        <w:tc>
          <w:tcPr>
            <w:tcW w:w="1124" w:type="dxa"/>
            <w:gridSpan w:val="2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72.5%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其他支出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44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24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#DIV/0!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债务付息支出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3426</w:t>
            </w:r>
          </w:p>
        </w:tc>
        <w:tc>
          <w:tcPr>
            <w:tcW w:w="1044" w:type="dxa"/>
            <w:gridSpan w:val="2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3280</w:t>
            </w:r>
          </w:p>
        </w:tc>
        <w:tc>
          <w:tcPr>
            <w:tcW w:w="944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1124" w:type="dxa"/>
            <w:gridSpan w:val="2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4.5%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债务发行费用支出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44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24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#DIV/0!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政府性基金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支出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3490</w:t>
            </w:r>
          </w:p>
        </w:tc>
        <w:tc>
          <w:tcPr>
            <w:tcW w:w="1044" w:type="dxa"/>
            <w:gridSpan w:val="2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4278</w:t>
            </w:r>
          </w:p>
        </w:tc>
        <w:tc>
          <w:tcPr>
            <w:tcW w:w="944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-788</w:t>
            </w:r>
          </w:p>
        </w:tc>
        <w:tc>
          <w:tcPr>
            <w:tcW w:w="1124" w:type="dxa"/>
            <w:gridSpan w:val="2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-18.4%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066" w:type="dxa"/>
            <w:gridSpan w:val="8"/>
            <w:tcBorders>
              <w:tl2br w:val="nil"/>
              <w:tr2bl w:val="nil"/>
            </w:tcBorders>
            <w:shd w:val="clear" w:color="auto" w:fill="4BACC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FFFFFF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FFFFFF"/>
                <w:kern w:val="0"/>
                <w:sz w:val="28"/>
                <w:szCs w:val="28"/>
                <w:u w:val="none"/>
                <w:lang w:val="en-US" w:eastAsia="zh-CN" w:bidi="ar"/>
              </w:rPr>
              <w:t>2022年1-3月鄂托克旗财政支出分项目执行情况（三）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066" w:type="dxa"/>
            <w:gridSpan w:val="8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color w:val="000000"/>
                <w:sz w:val="15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705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w w:val="1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w w:val="100"/>
                <w:sz w:val="22"/>
                <w:szCs w:val="22"/>
                <w:vertAlign w:val="baseline"/>
                <w:lang w:val="en-US" w:eastAsia="zh-CN"/>
              </w:rPr>
              <w:t>科目名称</w:t>
            </w:r>
          </w:p>
        </w:tc>
        <w:tc>
          <w:tcPr>
            <w:tcW w:w="1144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当月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w w:val="1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完成数</w:t>
            </w:r>
          </w:p>
        </w:tc>
        <w:tc>
          <w:tcPr>
            <w:tcW w:w="1105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累计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w w:val="1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完成数</w:t>
            </w:r>
          </w:p>
        </w:tc>
        <w:tc>
          <w:tcPr>
            <w:tcW w:w="1044" w:type="dxa"/>
            <w:gridSpan w:val="2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上年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w w:val="1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同期数</w:t>
            </w:r>
          </w:p>
        </w:tc>
        <w:tc>
          <w:tcPr>
            <w:tcW w:w="2068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w w:val="1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比上年同期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705" w:type="dxa"/>
            <w:vMerge w:val="continue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w w:val="100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144" w:type="dxa"/>
            <w:vMerge w:val="continue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w w:val="100"/>
                <w:sz w:val="22"/>
                <w:szCs w:val="22"/>
              </w:rPr>
            </w:pPr>
          </w:p>
        </w:tc>
        <w:tc>
          <w:tcPr>
            <w:tcW w:w="1105" w:type="dxa"/>
            <w:vMerge w:val="continue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w w:val="100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044" w:type="dxa"/>
            <w:gridSpan w:val="2"/>
            <w:vMerge w:val="continue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w w:val="100"/>
                <w:sz w:val="22"/>
                <w:szCs w:val="22"/>
              </w:rPr>
            </w:pPr>
          </w:p>
        </w:tc>
        <w:tc>
          <w:tcPr>
            <w:tcW w:w="944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w w:val="1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增减额</w:t>
            </w:r>
          </w:p>
        </w:tc>
        <w:tc>
          <w:tcPr>
            <w:tcW w:w="1124" w:type="dxa"/>
            <w:gridSpan w:val="2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w w:val="1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增减幅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文化旅游体育与传媒支出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44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-3</w:t>
            </w:r>
          </w:p>
        </w:tc>
        <w:tc>
          <w:tcPr>
            <w:tcW w:w="1124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-100.0%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城乡社区支出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1218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2149</w:t>
            </w:r>
          </w:p>
        </w:tc>
        <w:tc>
          <w:tcPr>
            <w:tcW w:w="1044" w:type="dxa"/>
            <w:gridSpan w:val="2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2151</w:t>
            </w:r>
          </w:p>
        </w:tc>
        <w:tc>
          <w:tcPr>
            <w:tcW w:w="944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</w:t>
            </w:r>
          </w:p>
        </w:tc>
        <w:tc>
          <w:tcPr>
            <w:tcW w:w="1124" w:type="dxa"/>
            <w:gridSpan w:val="2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-0.1%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其他支出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44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24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66.7%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w w:val="8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债务付息支出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1249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</w:t>
            </w:r>
          </w:p>
        </w:tc>
        <w:tc>
          <w:tcPr>
            <w:tcW w:w="1044" w:type="dxa"/>
            <w:gridSpan w:val="2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1249</w:t>
            </w:r>
          </w:p>
        </w:tc>
        <w:tc>
          <w:tcPr>
            <w:tcW w:w="944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124" w:type="dxa"/>
            <w:gridSpan w:val="2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5.7%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债务发行费用支出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44" w:type="dxa"/>
            <w:gridSpan w:val="2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44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24" w:type="dxa"/>
            <w:gridSpan w:val="2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#DIV/0!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w w:val="8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抗疫特别国债安排的支出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044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872</w:t>
            </w:r>
          </w:p>
        </w:tc>
        <w:tc>
          <w:tcPr>
            <w:tcW w:w="94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-856</w:t>
            </w:r>
          </w:p>
        </w:tc>
        <w:tc>
          <w:tcPr>
            <w:tcW w:w="1124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-98.2%</w:t>
            </w:r>
          </w:p>
        </w:tc>
      </w:tr>
    </w:tbl>
    <w:p/>
    <w:p/>
    <w:p/>
    <w:p/>
    <w:p/>
    <w:p/>
    <w:p/>
    <w:p/>
    <w:p/>
    <w:p/>
    <w:p/>
    <w:tbl>
      <w:tblPr>
        <w:tblStyle w:val="10"/>
        <w:tblW w:w="6971" w:type="dxa"/>
        <w:jc w:val="center"/>
        <w:tbl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H w:val="single" w:color="4BACC6" w:sz="8" w:space="0"/>
          <w:insideV w:val="single" w:color="4BACC6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1144"/>
        <w:gridCol w:w="1105"/>
        <w:gridCol w:w="1044"/>
        <w:gridCol w:w="959"/>
        <w:gridCol w:w="1014"/>
      </w:tblGrid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71" w:type="dxa"/>
            <w:gridSpan w:val="6"/>
            <w:tcBorders>
              <w:tl2br w:val="nil"/>
              <w:tr2bl w:val="nil"/>
            </w:tcBorders>
            <w:shd w:val="clear" w:color="auto" w:fill="4BACC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color w:val="FFFFFF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FFFFFF" w:themeColor="background1"/>
                <w:w w:val="90"/>
                <w:sz w:val="28"/>
                <w:szCs w:val="28"/>
                <w:highlight w:val="none"/>
                <w:u w:val="no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2022年1-3月鄂托克旗财政收入重点税源纳税情况（一）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71" w:type="dxa"/>
            <w:gridSpan w:val="6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color w:val="000000"/>
                <w:sz w:val="15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05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2"/>
                <w:szCs w:val="22"/>
                <w:vertAlign w:val="baseline"/>
                <w:lang w:val="en-US" w:eastAsia="zh-CN"/>
              </w:rPr>
              <w:t>科目名称</w:t>
            </w:r>
          </w:p>
        </w:tc>
        <w:tc>
          <w:tcPr>
            <w:tcW w:w="1144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当月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w w:val="1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完成数</w:t>
            </w:r>
          </w:p>
        </w:tc>
        <w:tc>
          <w:tcPr>
            <w:tcW w:w="1105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累计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w w:val="1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完成数</w:t>
            </w:r>
          </w:p>
        </w:tc>
        <w:tc>
          <w:tcPr>
            <w:tcW w:w="1044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同期数</w:t>
            </w:r>
          </w:p>
        </w:tc>
        <w:tc>
          <w:tcPr>
            <w:tcW w:w="1973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比上年同期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05" w:type="dxa"/>
            <w:vMerge w:val="continue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44" w:type="dxa"/>
            <w:vMerge w:val="continue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105" w:type="dxa"/>
            <w:vMerge w:val="continue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044" w:type="dxa"/>
            <w:vMerge w:val="continue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增减额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增减幅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  计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21434 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128403 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61949 </w:t>
            </w:r>
          </w:p>
        </w:tc>
        <w:tc>
          <w:tcPr>
            <w:tcW w:w="9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66454 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107.3%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君正能源化工有限公司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4648 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18442 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16053 </w:t>
            </w:r>
          </w:p>
        </w:tc>
        <w:tc>
          <w:tcPr>
            <w:tcW w:w="959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2389 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14.9%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w w:val="8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鄂尔多斯电力有限责任公司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1040 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7581 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6970 </w:t>
            </w:r>
          </w:p>
        </w:tc>
        <w:tc>
          <w:tcPr>
            <w:tcW w:w="9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611 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8.8%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w w:val="8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神华蒙西煤化股份有限公司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9211 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27919 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11052 </w:t>
            </w:r>
          </w:p>
        </w:tc>
        <w:tc>
          <w:tcPr>
            <w:tcW w:w="959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16867 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152.6%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中谷矿业有限责任公司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 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354 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1369 </w:t>
            </w:r>
          </w:p>
        </w:tc>
        <w:tc>
          <w:tcPr>
            <w:tcW w:w="9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-1015 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-74.1%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星光煤炭集团有限责任公司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276 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49856 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7467 </w:t>
            </w:r>
          </w:p>
        </w:tc>
        <w:tc>
          <w:tcPr>
            <w:tcW w:w="959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42389 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567.7%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鄂尔多斯高新材料有限公司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253 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2469 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5285 </w:t>
            </w:r>
          </w:p>
        </w:tc>
        <w:tc>
          <w:tcPr>
            <w:tcW w:w="9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-2816 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-53.3%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鄂托克旗福强煤业有限公司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278 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59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278 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#DIV/0!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双欣化学工业有限公司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956 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3625 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4293 </w:t>
            </w:r>
          </w:p>
        </w:tc>
        <w:tc>
          <w:tcPr>
            <w:tcW w:w="9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-668 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-15.6%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鄂托克旗华誉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w w:val="90"/>
                <w:kern w:val="0"/>
                <w:sz w:val="22"/>
                <w:szCs w:val="22"/>
                <w:u w:val="none"/>
                <w:lang w:val="en-US" w:eastAsia="zh-CN" w:bidi="ar"/>
              </w:rPr>
              <w:t>煤焦化有限公司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275 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2659 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5714 </w:t>
            </w:r>
          </w:p>
        </w:tc>
        <w:tc>
          <w:tcPr>
            <w:tcW w:w="959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-3055 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-53.5%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71" w:type="dxa"/>
            <w:gridSpan w:val="6"/>
            <w:tcBorders>
              <w:tl2br w:val="nil"/>
              <w:tr2bl w:val="nil"/>
            </w:tcBorders>
            <w:shd w:val="clear" w:color="auto" w:fill="4BACC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FFFFFF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FFFFFF" w:themeColor="background1"/>
                <w:w w:val="90"/>
                <w:sz w:val="28"/>
                <w:szCs w:val="28"/>
                <w:highlight w:val="none"/>
                <w:u w:val="no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2022年1-3月鄂托克旗财政收入重点税源纳税情况（二）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71" w:type="dxa"/>
            <w:gridSpan w:val="6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color w:val="000000"/>
                <w:sz w:val="15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05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2"/>
                <w:szCs w:val="22"/>
                <w:vertAlign w:val="baseline"/>
                <w:lang w:val="en-US" w:eastAsia="zh-CN"/>
              </w:rPr>
              <w:t>科目名称</w:t>
            </w:r>
          </w:p>
        </w:tc>
        <w:tc>
          <w:tcPr>
            <w:tcW w:w="1144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当月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w w:val="1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完成数</w:t>
            </w:r>
          </w:p>
        </w:tc>
        <w:tc>
          <w:tcPr>
            <w:tcW w:w="1105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累计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w w:val="1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完成数</w:t>
            </w:r>
          </w:p>
        </w:tc>
        <w:tc>
          <w:tcPr>
            <w:tcW w:w="1044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同期数</w:t>
            </w:r>
          </w:p>
        </w:tc>
        <w:tc>
          <w:tcPr>
            <w:tcW w:w="1973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比上年同期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05" w:type="dxa"/>
            <w:vMerge w:val="continue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44" w:type="dxa"/>
            <w:vMerge w:val="continue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105" w:type="dxa"/>
            <w:vMerge w:val="continue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044" w:type="dxa"/>
            <w:vMerge w:val="continue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增减额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增减幅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德晟金属制品有限公司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 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151 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450 </w:t>
            </w:r>
          </w:p>
        </w:tc>
        <w:tc>
          <w:tcPr>
            <w:tcW w:w="9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-299 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-66.4%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利民煤焦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有限责任公司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4666 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15069 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3296 </w:t>
            </w:r>
          </w:p>
        </w:tc>
        <w:tc>
          <w:tcPr>
            <w:tcW w:w="959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11773 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357.2%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</w:p>
    <w:tbl>
      <w:tblPr>
        <w:tblStyle w:val="10"/>
        <w:tblW w:w="6906" w:type="dxa"/>
        <w:jc w:val="center"/>
        <w:tbl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H w:val="single" w:color="4BACC6" w:sz="8" w:space="0"/>
          <w:insideV w:val="single" w:color="4BACC6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1224"/>
        <w:gridCol w:w="1205"/>
        <w:gridCol w:w="1380"/>
        <w:gridCol w:w="1392"/>
      </w:tblGrid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6906" w:type="dxa"/>
            <w:gridSpan w:val="5"/>
            <w:tcBorders>
              <w:tl2br w:val="nil"/>
              <w:tr2bl w:val="nil"/>
            </w:tcBorders>
            <w:shd w:val="clear" w:color="auto" w:fill="4BACC6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FFFFFF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FFFFFF"/>
                <w:w w:val="90"/>
                <w:sz w:val="28"/>
                <w:szCs w:val="28"/>
                <w:highlight w:val="none"/>
                <w:vertAlign w:val="baseline"/>
                <w:lang w:val="en-US" w:eastAsia="zh-CN"/>
              </w:rPr>
              <w:t>鄂托克旗工业园区2022年1-3 月份财政收支完成情况表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6906" w:type="dxa"/>
            <w:gridSpan w:val="5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right"/>
              <w:textAlignment w:val="auto"/>
              <w:rPr>
                <w:color w:val="000000"/>
                <w:sz w:val="15"/>
                <w:szCs w:val="18"/>
              </w:rPr>
            </w:pPr>
            <w:r>
              <w:rPr>
                <w:rFonts w:hint="eastAsia"/>
                <w:color w:val="000000"/>
                <w:sz w:val="21"/>
                <w:szCs w:val="21"/>
                <w:vertAlign w:val="baseline"/>
                <w:lang w:val="en-US" w:eastAsia="zh-CN"/>
              </w:rPr>
              <w:t>单位：万元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705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2"/>
                <w:szCs w:val="22"/>
                <w:vertAlign w:val="baseline"/>
                <w:lang w:val="en-US" w:eastAsia="zh-CN"/>
              </w:rPr>
              <w:t>地  区</w:t>
            </w:r>
          </w:p>
        </w:tc>
        <w:tc>
          <w:tcPr>
            <w:tcW w:w="2429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2"/>
                <w:szCs w:val="22"/>
                <w:vertAlign w:val="baseline"/>
                <w:lang w:val="en-US" w:eastAsia="zh-CN"/>
              </w:rPr>
              <w:t>分成完成数</w:t>
            </w:r>
          </w:p>
        </w:tc>
        <w:tc>
          <w:tcPr>
            <w:tcW w:w="2772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2"/>
                <w:szCs w:val="22"/>
                <w:vertAlign w:val="baseline"/>
                <w:lang w:val="en-US" w:eastAsia="zh-CN"/>
              </w:rPr>
              <w:t>支出完成数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705" w:type="dxa"/>
            <w:vMerge w:val="continue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224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2"/>
                <w:szCs w:val="22"/>
                <w:highlight w:val="none"/>
                <w:vertAlign w:val="baseline"/>
                <w:lang w:val="en-US" w:eastAsia="zh-CN"/>
              </w:rPr>
              <w:t>本月</w:t>
            </w:r>
          </w:p>
        </w:tc>
        <w:tc>
          <w:tcPr>
            <w:tcW w:w="1205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2"/>
                <w:szCs w:val="22"/>
                <w:highlight w:val="none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2"/>
                <w:szCs w:val="22"/>
                <w:highlight w:val="none"/>
                <w:vertAlign w:val="baseline"/>
                <w:lang w:val="en-US" w:eastAsia="zh-CN"/>
              </w:rPr>
              <w:t>累计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2"/>
                <w:szCs w:val="22"/>
                <w:highlight w:val="none"/>
                <w:vertAlign w:val="baseline"/>
                <w:lang w:val="en-US" w:eastAsia="zh-CN"/>
              </w:rPr>
              <w:t>本月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2"/>
                <w:szCs w:val="22"/>
                <w:highlight w:val="none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2"/>
                <w:szCs w:val="22"/>
                <w:highlight w:val="none"/>
                <w:vertAlign w:val="baseline"/>
                <w:lang w:val="en-US" w:eastAsia="zh-CN"/>
              </w:rPr>
              <w:t>累计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  <w:vertAlign w:val="baseline"/>
                <w:lang w:val="en-US" w:eastAsia="zh-CN"/>
              </w:rPr>
              <w:t>蒙西高新技术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  <w:vertAlign w:val="baseline"/>
                <w:lang w:val="en-US" w:eastAsia="zh-CN"/>
              </w:rPr>
              <w:t>产业园区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1840 </w:t>
            </w:r>
          </w:p>
        </w:tc>
        <w:tc>
          <w:tcPr>
            <w:tcW w:w="12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0"/>
                <w:szCs w:val="20"/>
                <w:highlight w:val="none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8392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2031 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5331 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  <w:vertAlign w:val="baseline"/>
                <w:lang w:val="en-US" w:eastAsia="zh-CN"/>
              </w:rPr>
              <w:t>鄂托克旗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  <w:vertAlign w:val="baseline"/>
                <w:lang w:val="en-US" w:eastAsia="zh-CN"/>
              </w:rPr>
              <w:t>经济开发区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1999 </w:t>
            </w:r>
          </w:p>
        </w:tc>
        <w:tc>
          <w:tcPr>
            <w:tcW w:w="1205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29405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6647 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shd w:val="clear" w:color="auto" w:fill="E9F1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15850 </w:t>
            </w:r>
          </w:p>
        </w:tc>
      </w:tr>
      <w:tr>
        <w:tblPrEx>
          <w:tblBorders>
            <w:top w:val="single" w:color="4BACC6" w:sz="8" w:space="0"/>
            <w:left w:val="single" w:color="4BACC6" w:sz="8" w:space="0"/>
            <w:bottom w:val="single" w:color="4BACC6" w:sz="8" w:space="0"/>
            <w:right w:val="single" w:color="4BACC6" w:sz="8" w:space="0"/>
            <w:insideH w:val="single" w:color="4BACC6" w:sz="8" w:space="0"/>
            <w:insideV w:val="single" w:color="4BACC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w w:val="8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  <w:szCs w:val="22"/>
                <w:vertAlign w:val="baseline"/>
                <w:lang w:val="en-US" w:eastAsia="zh-CN"/>
              </w:rPr>
              <w:t>合  计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3839 </w:t>
            </w:r>
          </w:p>
        </w:tc>
        <w:tc>
          <w:tcPr>
            <w:tcW w:w="12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0"/>
                <w:szCs w:val="20"/>
                <w:highlight w:val="none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37797 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8678 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21181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22"/>
          <w:szCs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22"/>
          <w:szCs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22"/>
          <w:szCs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22"/>
          <w:szCs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22"/>
          <w:szCs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22"/>
          <w:szCs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22"/>
          <w:szCs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22"/>
          <w:szCs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righ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sectPr>
      <w:footerReference r:id="rId7" w:type="default"/>
      <w:footerReference r:id="rId8" w:type="even"/>
      <w:footnotePr>
        <w:numFmt w:val="decimalEnclosedCircleChinese"/>
      </w:footnotePr>
      <w:pgSz w:w="8390" w:h="11905"/>
      <w:pgMar w:top="1134" w:right="850" w:bottom="1020" w:left="850" w:header="851" w:footer="73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Wcht">
    <w:panose1 w:val="00000400000000000000"/>
    <w:charset w:val="00"/>
    <w:family w:val="auto"/>
    <w:pitch w:val="default"/>
    <w:sig w:usb0="00000003" w:usb1="00000000" w:usb2="00000000" w:usb3="00000000" w:csb0="0000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汉真广标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粗黑体">
    <w:altName w:val="黑体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+中文标题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 Light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9" name="文本框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宋体"/>
                              <w:sz w:val="21"/>
                              <w:szCs w:val="21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JYzS4A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宋体"/>
                        <w:sz w:val="21"/>
                        <w:szCs w:val="21"/>
                        <w:lang w:eastAsia="zh-CN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sz w:val="21"/>
                        <w:szCs w:val="21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fldChar w:fldCharType="end"/>
                    </w:r>
                    <w:r>
                      <w:rPr>
                        <w:rFonts w:hint="eastAsia"/>
                        <w:sz w:val="21"/>
                        <w:szCs w:val="21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" name="文本框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宋体"/>
                              <w:sz w:val="21"/>
                              <w:szCs w:val="21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t>2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7J9wAzAgAAYwQAAA4AAABkcnMvZTJvRG9jLnhtbK1UzY7TMBC+I/EO&#10;lu80aYFVVT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C7J9wA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宋体"/>
                        <w:sz w:val="21"/>
                        <w:szCs w:val="21"/>
                        <w:lang w:eastAsia="zh-CN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sz w:val="21"/>
                        <w:szCs w:val="21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t>2</w: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fldChar w:fldCharType="end"/>
                    </w:r>
                    <w:r>
                      <w:rPr>
                        <w:rFonts w:hint="eastAsia"/>
                        <w:sz w:val="21"/>
                        <w:szCs w:val="21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3160395</wp:posOffset>
              </wp:positionH>
              <wp:positionV relativeFrom="paragraph">
                <wp:posOffset>-135890</wp:posOffset>
              </wp:positionV>
              <wp:extent cx="1189355" cy="285750"/>
              <wp:effectExtent l="0" t="0" r="0" b="0"/>
              <wp:wrapNone/>
              <wp:docPr id="47" name="文本框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9355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 w:ascii="汉真广标" w:hAnsi="汉真广标" w:eastAsia="汉真广标" w:cs="汉真广标"/>
                              <w:color w:val="FFFFFF" w:themeColor="background1"/>
                              <w:spacing w:val="20"/>
                              <w:sz w:val="16"/>
                              <w:szCs w:val="16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汉真广标" w:hAnsi="汉真广标" w:eastAsia="汉真广标" w:cs="汉真广标"/>
                              <w:color w:val="FFFFFF" w:themeColor="background1"/>
                              <w:spacing w:val="20"/>
                              <w:sz w:val="16"/>
                              <w:szCs w:val="16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鄂托克旗财政局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48.85pt;margin-top:-10.7pt;height:22.5pt;width:93.65pt;z-index:251663360;mso-width-relative:page;mso-height-relative:page;" filled="f" stroked="f" coordsize="21600,21600" o:gfxdata="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DZZMoD3AAAAAoBAAAPAAAAAAAAAAEAIAAAACIA&#10;AABkcnMvZG93bnJldi54bWxQSwECFAAUAAAACACHTuJAJrGC8z4CAABoBAAADgAAAAAAAAABACAA&#10;AAArAQAAZHJzL2Uyb0RvYy54bWxQSwUGAAAAAAYABgBZAQAA2wUAAAAA&#10;">
              <v:fill on="f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rPr>
                        <w:rFonts w:hint="eastAsia" w:ascii="汉真广标" w:hAnsi="汉真广标" w:eastAsia="汉真广标" w:cs="汉真广标"/>
                        <w:color w:val="FFFFFF" w:themeColor="background1"/>
                        <w:spacing w:val="20"/>
                        <w:sz w:val="16"/>
                        <w:szCs w:val="16"/>
                        <w:lang w:val="en-US" w:eastAsia="zh-CN"/>
                        <w14:textFill>
                          <w14:solidFill>
                            <w14:schemeClr w14:val="bg1"/>
                          </w14:solidFill>
                        </w14:textFill>
                      </w:rPr>
                    </w:pPr>
                    <w:r>
                      <w:rPr>
                        <w:rFonts w:hint="eastAsia" w:ascii="汉真广标" w:hAnsi="汉真广标" w:eastAsia="汉真广标" w:cs="汉真广标"/>
                        <w:color w:val="FFFFFF" w:themeColor="background1"/>
                        <w:spacing w:val="20"/>
                        <w:sz w:val="16"/>
                        <w:szCs w:val="16"/>
                        <w:lang w:val="en-US" w:eastAsia="zh-CN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>鄂托克旗财政局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-629285</wp:posOffset>
              </wp:positionH>
              <wp:positionV relativeFrom="paragraph">
                <wp:posOffset>-86360</wp:posOffset>
              </wp:positionV>
              <wp:extent cx="5053330" cy="126365"/>
              <wp:effectExtent l="0" t="0" r="13970" b="6985"/>
              <wp:wrapNone/>
              <wp:docPr id="48" name="矩形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5053330" cy="126365"/>
                      </a:xfrm>
                      <a:prstGeom prst="rect">
                        <a:avLst/>
                      </a:prstGeom>
                      <a:gradFill>
                        <a:gsLst>
                          <a:gs pos="9000">
                            <a:schemeClr val="bg1"/>
                          </a:gs>
                          <a:gs pos="94000">
                            <a:srgbClr val="0070C0"/>
                          </a:gs>
                        </a:gsLst>
                        <a:lin ang="780000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-49.55pt;margin-top:-6.8pt;height:9.95pt;width:397.9pt;rotation:11796480f;z-index:251662336;v-text-anchor:middle;mso-width-relative:page;mso-height-relative:page;" fillcolor="#FFFFFF [3212]" filled="t" stroked="f" coordsize="21600,21600" o:gfxdata="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">
              <v:fill type="gradient" on="t" color2="#0070C0" angle="320" focus="100%" focussize="0,0" rotate="t">
                <o:fill type="gradientUnscaled" v:ext="backwardCompatible"/>
              </v:fill>
              <v:stroke on="f" weight="2pt"/>
              <v:imagedata o:title=""/>
              <o:lock v:ext="edit" aspectratio="f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  <w:r>
      <w:rPr>
        <w:sz w:val="18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245110</wp:posOffset>
              </wp:positionH>
              <wp:positionV relativeFrom="paragraph">
                <wp:posOffset>-241935</wp:posOffset>
              </wp:positionV>
              <wp:extent cx="353695" cy="375285"/>
              <wp:effectExtent l="0" t="0" r="5715" b="8255"/>
              <wp:wrapNone/>
              <wp:docPr id="19" name="L 形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353695" cy="375285"/>
                      </a:xfrm>
                      <a:prstGeom prst="corner">
                        <a:avLst>
                          <a:gd name="adj1" fmla="val 31777"/>
                          <a:gd name="adj2" fmla="val 9694"/>
                        </a:avLst>
                      </a:prstGeom>
                      <a:solidFill>
                        <a:srgbClr val="0070C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style="position:absolute;left:0pt;margin-left:19.3pt;margin-top:-19.05pt;height:29.55pt;width:27.85pt;rotation:-5898240f;z-index:251667456;v-text-anchor:middle;mso-width-relative:page;mso-height-relative:page;" fillcolor="#0070C0" filled="t" stroked="f" coordsize="353695,375285" o:gfxdata="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Np3UB3VAAAACAEAAA8AAAAAAAAA&#10;AQAgAAAAIgAAAGRycy9kb3ducmV2LnhtbFBLAQIUABQAAAAIAIdO4kBazDf/hgIAABUFAAAOAAAA&#10;AAAAAAEAIAAAACQBAABkcnMvZTJvRG9jLnhtbFBLBQYAAAAABgAGAFkBAAAcBgAAAAA=&#10;" path="m0,0l34287,0,34287,262891,353695,262891,353695,375285,0,375285xe">
              <v:path o:connectlocs="353695,319088;176847,375285;0,187642;17143,0" o:connectangles="0,82,164,247"/>
              <v:fill on="t" focussize="0,0"/>
              <v:stroke on="f" weight="2pt"/>
              <v:imagedata o:title=""/>
              <o:lock v:ext="edit" aspectratio="f"/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549910</wp:posOffset>
              </wp:positionH>
              <wp:positionV relativeFrom="paragraph">
                <wp:posOffset>-83185</wp:posOffset>
              </wp:positionV>
              <wp:extent cx="3681730" cy="126365"/>
              <wp:effectExtent l="0" t="0" r="13970" b="6985"/>
              <wp:wrapNone/>
              <wp:docPr id="4" name="矩形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81730" cy="126365"/>
                      </a:xfrm>
                      <a:prstGeom prst="rect">
                        <a:avLst/>
                      </a:prstGeom>
                      <a:gradFill>
                        <a:gsLst>
                          <a:gs pos="9000">
                            <a:schemeClr val="bg1"/>
                          </a:gs>
                          <a:gs pos="94000">
                            <a:srgbClr val="0070C0"/>
                          </a:gs>
                        </a:gsLst>
                        <a:lin ang="780000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43.3pt;margin-top:-6.55pt;height:9.95pt;width:289.9pt;z-index:251664384;v-text-anchor:middle;mso-width-relative:page;mso-height-relative:page;" fillcolor="#FFFFFF [3212]" filled="t" stroked="f" coordsize="21600,21600" o:gfxdata="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Cequ6H2AAA&#10;AAgBAAAPAAAAAAAAAAEAIAAAACIAAABkcnMvZG93bnJldi54bWxQSwECFAAUAAAACACHTuJANF/p&#10;D5ACAAAwBQAADgAAAAAAAAABACAAAAAnAQAAZHJzL2Uyb0RvYy54bWxQSwUGAAAAAAYABgBZAQAA&#10;KQYAAAAA&#10;">
              <v:fill type="gradient" on="t" color2="#0070C0" angle="320" focus="100%" focussize="0,0" rotate="t">
                <o:fill type="gradientUnscaled" v:ext="backwardCompatible"/>
              </v:fill>
              <v:stroke on="f" weight="2pt"/>
              <v:imagedata o:title=""/>
              <o:lock v:ext="edit" aspectratio="f"/>
            </v:rect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-132715</wp:posOffset>
              </wp:positionH>
              <wp:positionV relativeFrom="paragraph">
                <wp:posOffset>-318135</wp:posOffset>
              </wp:positionV>
              <wp:extent cx="353695" cy="375285"/>
              <wp:effectExtent l="0" t="0" r="5715" b="8255"/>
              <wp:wrapNone/>
              <wp:docPr id="18" name="L 形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353695" cy="375285"/>
                      </a:xfrm>
                      <a:prstGeom prst="corner">
                        <a:avLst>
                          <a:gd name="adj1" fmla="val 27289"/>
                          <a:gd name="adj2" fmla="val 16337"/>
                        </a:avLst>
                      </a:prstGeom>
                      <a:solidFill>
                        <a:srgbClr val="0070C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style="position:absolute;left:0pt;margin-left:-10.45pt;margin-top:-25.05pt;height:29.55pt;width:27.85pt;rotation:5898240f;z-index:251666432;v-text-anchor:middle;mso-width-relative:page;mso-height-relative:page;" fillcolor="#0070C0" filled="t" stroked="f" coordsize="353695,375285" o:gfxdata="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MIku/nXAAAACAEAAA8AAAAA&#10;AAAAAQAgAAAAIgAAAGRycy9kb3ducmV2LnhtbFBLAQIUABQAAAAIAIdO4kCOi6nhhwIAABUFAAAO&#10;AAAAAAAAAAEAIAAAACYBAABkcnMvZTJvRG9jLnhtbFBLBQYAAAAABgAGAFkBAAAfBgAAAAA=&#10;" path="m0,0l57783,0,57783,278765,353695,278765,353695,375285,0,375285xe">
              <v:path o:connectlocs="353695,327025;176847,375285;0,187642;28891,0" o:connectangles="0,82,164,247"/>
              <v:fill on="t" focussize="0,0"/>
              <v:stroke on="f" weight="2pt"/>
              <v:imagedata o:title=""/>
              <o:lock v:ext="edit" aspectratio="f"/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-123190</wp:posOffset>
              </wp:positionH>
              <wp:positionV relativeFrom="paragraph">
                <wp:posOffset>-276860</wp:posOffset>
              </wp:positionV>
              <wp:extent cx="1543685" cy="501650"/>
              <wp:effectExtent l="0" t="0" r="0" b="0"/>
              <wp:wrapNone/>
              <wp:docPr id="17" name="文本框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3685" cy="501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 w:ascii="汉真广标" w:hAnsi="汉真广标" w:eastAsia="汉真广标" w:cs="汉真广标"/>
                              <w:color w:val="0070C0"/>
                              <w:sz w:val="16"/>
                              <w:szCs w:val="20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汉真广标" w:hAnsi="汉真广标" w:eastAsia="汉真广标" w:cs="汉真广标"/>
                              <w:color w:val="0070C0"/>
                              <w:sz w:val="40"/>
                              <w:szCs w:val="48"/>
                              <w:lang w:val="en-US" w:eastAsia="zh-CN"/>
                            </w:rPr>
                            <w:t xml:space="preserve">财政  </w:t>
                          </w:r>
                          <w:r>
                            <w:rPr>
                              <w:rFonts w:hint="eastAsia" w:ascii="粗黑体" w:hAnsi="粗黑体" w:eastAsia="粗黑体" w:cs="粗黑体"/>
                              <w:color w:val="FFFFFF" w:themeColor="background1"/>
                              <w:sz w:val="16"/>
                              <w:szCs w:val="20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收支分析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9.7pt;margin-top:-21.8pt;height:39.5pt;width:121.55pt;z-index:251665408;mso-width-relative:page;mso-height-relative:page;" filled="f" stroked="f" coordsize="21600,21600" o:gfxdata="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iqNXpdwAAAAKAQAADwAAAAAAAAABACAAAAAiAAAA&#10;ZHJzL2Rvd25yZXYueG1sUEsBAhQAFAAAAAgAh07iQEayCt88AgAAaAQAAA4AAAAAAAAAAQAgAAAA&#10;KwEAAGRycy9lMm9Eb2MueG1sUEsFBgAAAAAGAAYAWQEAANkFAAAAAA==&#10;">
              <v:fill on="f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rPr>
                        <w:rFonts w:hint="eastAsia" w:ascii="汉真广标" w:hAnsi="汉真广标" w:eastAsia="汉真广标" w:cs="汉真广标"/>
                        <w:color w:val="0070C0"/>
                        <w:sz w:val="16"/>
                        <w:szCs w:val="20"/>
                        <w:lang w:val="en-US" w:eastAsia="zh-CN"/>
                      </w:rPr>
                    </w:pPr>
                    <w:r>
                      <w:rPr>
                        <w:rFonts w:hint="eastAsia" w:ascii="汉真广标" w:hAnsi="汉真广标" w:eastAsia="汉真广标" w:cs="汉真广标"/>
                        <w:color w:val="0070C0"/>
                        <w:sz w:val="40"/>
                        <w:szCs w:val="48"/>
                        <w:lang w:val="en-US" w:eastAsia="zh-CN"/>
                      </w:rPr>
                      <w:t xml:space="preserve">财政  </w:t>
                    </w:r>
                    <w:r>
                      <w:rPr>
                        <w:rFonts w:hint="eastAsia" w:ascii="粗黑体" w:hAnsi="粗黑体" w:eastAsia="粗黑体" w:cs="粗黑体"/>
                        <w:color w:val="FFFFFF" w:themeColor="background1"/>
                        <w:sz w:val="16"/>
                        <w:szCs w:val="20"/>
                        <w:lang w:val="en-US" w:eastAsia="zh-CN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>收支分析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footnotePr>
    <w:numFmt w:val="decimalEnclosedCircleChinese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46E56"/>
    <w:rsid w:val="00065DAD"/>
    <w:rsid w:val="005807DB"/>
    <w:rsid w:val="006E0456"/>
    <w:rsid w:val="00911E2A"/>
    <w:rsid w:val="00BC46EF"/>
    <w:rsid w:val="00CB1EBC"/>
    <w:rsid w:val="00E327E7"/>
    <w:rsid w:val="00E755C8"/>
    <w:rsid w:val="01224276"/>
    <w:rsid w:val="012310E1"/>
    <w:rsid w:val="015161E2"/>
    <w:rsid w:val="0171218F"/>
    <w:rsid w:val="01747C2F"/>
    <w:rsid w:val="01772BAE"/>
    <w:rsid w:val="018030A2"/>
    <w:rsid w:val="018C7F99"/>
    <w:rsid w:val="01B77390"/>
    <w:rsid w:val="01BE490E"/>
    <w:rsid w:val="01C517BD"/>
    <w:rsid w:val="01DC2C55"/>
    <w:rsid w:val="0206304D"/>
    <w:rsid w:val="020C36B9"/>
    <w:rsid w:val="021A71E6"/>
    <w:rsid w:val="022B6721"/>
    <w:rsid w:val="026530FE"/>
    <w:rsid w:val="02680AD9"/>
    <w:rsid w:val="027812F4"/>
    <w:rsid w:val="0278146E"/>
    <w:rsid w:val="027E5817"/>
    <w:rsid w:val="029E6366"/>
    <w:rsid w:val="02A11761"/>
    <w:rsid w:val="02D46F37"/>
    <w:rsid w:val="02E20CFE"/>
    <w:rsid w:val="030F16FD"/>
    <w:rsid w:val="033248AF"/>
    <w:rsid w:val="033F375B"/>
    <w:rsid w:val="03451B61"/>
    <w:rsid w:val="034C77B0"/>
    <w:rsid w:val="03524CD3"/>
    <w:rsid w:val="03874EB8"/>
    <w:rsid w:val="03B405A6"/>
    <w:rsid w:val="03B966B3"/>
    <w:rsid w:val="03EB11EA"/>
    <w:rsid w:val="040757DD"/>
    <w:rsid w:val="040E5F16"/>
    <w:rsid w:val="0424225B"/>
    <w:rsid w:val="04597688"/>
    <w:rsid w:val="046547D3"/>
    <w:rsid w:val="046A6E17"/>
    <w:rsid w:val="046C4B3F"/>
    <w:rsid w:val="047A7131"/>
    <w:rsid w:val="049241FC"/>
    <w:rsid w:val="04A22540"/>
    <w:rsid w:val="04AC64FA"/>
    <w:rsid w:val="04B27B68"/>
    <w:rsid w:val="04CF771D"/>
    <w:rsid w:val="053B19AC"/>
    <w:rsid w:val="054E0740"/>
    <w:rsid w:val="05647715"/>
    <w:rsid w:val="058E3326"/>
    <w:rsid w:val="05C61F26"/>
    <w:rsid w:val="05EB7002"/>
    <w:rsid w:val="05EC237C"/>
    <w:rsid w:val="05F55CA5"/>
    <w:rsid w:val="061B45C8"/>
    <w:rsid w:val="06372B9B"/>
    <w:rsid w:val="065A439B"/>
    <w:rsid w:val="068C0DAD"/>
    <w:rsid w:val="06AC6BFF"/>
    <w:rsid w:val="06B60E4C"/>
    <w:rsid w:val="06B67994"/>
    <w:rsid w:val="06E61C2C"/>
    <w:rsid w:val="071B4F62"/>
    <w:rsid w:val="07220D87"/>
    <w:rsid w:val="072348F4"/>
    <w:rsid w:val="07256196"/>
    <w:rsid w:val="07437BE4"/>
    <w:rsid w:val="07442AEF"/>
    <w:rsid w:val="074A4A05"/>
    <w:rsid w:val="07615C8D"/>
    <w:rsid w:val="079767B6"/>
    <w:rsid w:val="079B1D2B"/>
    <w:rsid w:val="079B3AB3"/>
    <w:rsid w:val="0810530C"/>
    <w:rsid w:val="081222B5"/>
    <w:rsid w:val="08150A88"/>
    <w:rsid w:val="085F7207"/>
    <w:rsid w:val="086B36D6"/>
    <w:rsid w:val="0879694A"/>
    <w:rsid w:val="088416A5"/>
    <w:rsid w:val="08872BFA"/>
    <w:rsid w:val="088D0B8A"/>
    <w:rsid w:val="088F2D5F"/>
    <w:rsid w:val="089024C1"/>
    <w:rsid w:val="08AE6BF8"/>
    <w:rsid w:val="08E81878"/>
    <w:rsid w:val="091D0A35"/>
    <w:rsid w:val="093D2159"/>
    <w:rsid w:val="09600591"/>
    <w:rsid w:val="09653653"/>
    <w:rsid w:val="0983162C"/>
    <w:rsid w:val="09974E49"/>
    <w:rsid w:val="09BD0E2C"/>
    <w:rsid w:val="09CC13EC"/>
    <w:rsid w:val="09CF6F31"/>
    <w:rsid w:val="0A0165C2"/>
    <w:rsid w:val="0A2605EF"/>
    <w:rsid w:val="0A29786E"/>
    <w:rsid w:val="0A5336FE"/>
    <w:rsid w:val="0AB45767"/>
    <w:rsid w:val="0AF36519"/>
    <w:rsid w:val="0AFA4183"/>
    <w:rsid w:val="0B1C10B3"/>
    <w:rsid w:val="0B2B29FD"/>
    <w:rsid w:val="0B505197"/>
    <w:rsid w:val="0B7D1FFD"/>
    <w:rsid w:val="0B7F2240"/>
    <w:rsid w:val="0B840F95"/>
    <w:rsid w:val="0BA41CDB"/>
    <w:rsid w:val="0BBD7D57"/>
    <w:rsid w:val="0BDB140A"/>
    <w:rsid w:val="0BDF68B2"/>
    <w:rsid w:val="0BE97E8B"/>
    <w:rsid w:val="0BEE7CD6"/>
    <w:rsid w:val="0BFD182C"/>
    <w:rsid w:val="0C325FFF"/>
    <w:rsid w:val="0C366B7A"/>
    <w:rsid w:val="0C417D2C"/>
    <w:rsid w:val="0C5E6314"/>
    <w:rsid w:val="0C6C7A01"/>
    <w:rsid w:val="0C851F3C"/>
    <w:rsid w:val="0C92590F"/>
    <w:rsid w:val="0C9C1D21"/>
    <w:rsid w:val="0CBF7554"/>
    <w:rsid w:val="0CC95561"/>
    <w:rsid w:val="0CEA7A84"/>
    <w:rsid w:val="0CF11BBB"/>
    <w:rsid w:val="0CF464E3"/>
    <w:rsid w:val="0D23530D"/>
    <w:rsid w:val="0D2D6598"/>
    <w:rsid w:val="0D2F3B7E"/>
    <w:rsid w:val="0D4728C2"/>
    <w:rsid w:val="0D5D6039"/>
    <w:rsid w:val="0D7520CD"/>
    <w:rsid w:val="0D81644E"/>
    <w:rsid w:val="0D8E6664"/>
    <w:rsid w:val="0DA556F4"/>
    <w:rsid w:val="0DB1587E"/>
    <w:rsid w:val="0DBB4D47"/>
    <w:rsid w:val="0DBD3F2B"/>
    <w:rsid w:val="0DBE26AE"/>
    <w:rsid w:val="0DC37C4B"/>
    <w:rsid w:val="0DE04FF7"/>
    <w:rsid w:val="0DF25245"/>
    <w:rsid w:val="0E020192"/>
    <w:rsid w:val="0E106F2A"/>
    <w:rsid w:val="0E1700C6"/>
    <w:rsid w:val="0E232583"/>
    <w:rsid w:val="0E4152C5"/>
    <w:rsid w:val="0E4B7DB8"/>
    <w:rsid w:val="0E6F684F"/>
    <w:rsid w:val="0E951321"/>
    <w:rsid w:val="0E9B409C"/>
    <w:rsid w:val="0EAC46F6"/>
    <w:rsid w:val="0EC77EA9"/>
    <w:rsid w:val="0ED660C5"/>
    <w:rsid w:val="0F0206A3"/>
    <w:rsid w:val="0F457A63"/>
    <w:rsid w:val="0F4B524E"/>
    <w:rsid w:val="0F5F6F25"/>
    <w:rsid w:val="0F7D511F"/>
    <w:rsid w:val="0F8B4796"/>
    <w:rsid w:val="0F8E45AC"/>
    <w:rsid w:val="0F944E4B"/>
    <w:rsid w:val="0FB465A9"/>
    <w:rsid w:val="0FD76BC3"/>
    <w:rsid w:val="0FD83E8C"/>
    <w:rsid w:val="0FDA7A1E"/>
    <w:rsid w:val="0FE25850"/>
    <w:rsid w:val="0FE45EF1"/>
    <w:rsid w:val="0FE57360"/>
    <w:rsid w:val="0FF27E1A"/>
    <w:rsid w:val="100017E2"/>
    <w:rsid w:val="1032712F"/>
    <w:rsid w:val="10381E8C"/>
    <w:rsid w:val="103E151E"/>
    <w:rsid w:val="10702130"/>
    <w:rsid w:val="10852AB5"/>
    <w:rsid w:val="108C56E4"/>
    <w:rsid w:val="10A457FD"/>
    <w:rsid w:val="10A73935"/>
    <w:rsid w:val="10C009BC"/>
    <w:rsid w:val="10C50306"/>
    <w:rsid w:val="10CA399E"/>
    <w:rsid w:val="11053052"/>
    <w:rsid w:val="11095AE5"/>
    <w:rsid w:val="11474649"/>
    <w:rsid w:val="11736482"/>
    <w:rsid w:val="117B69AE"/>
    <w:rsid w:val="11BF168E"/>
    <w:rsid w:val="11CB03D5"/>
    <w:rsid w:val="11CB71A7"/>
    <w:rsid w:val="11E36E77"/>
    <w:rsid w:val="12053623"/>
    <w:rsid w:val="121D25F8"/>
    <w:rsid w:val="121F0AC2"/>
    <w:rsid w:val="124A3DA7"/>
    <w:rsid w:val="12616EDA"/>
    <w:rsid w:val="127668FD"/>
    <w:rsid w:val="128400C0"/>
    <w:rsid w:val="12906D89"/>
    <w:rsid w:val="12BA5D88"/>
    <w:rsid w:val="12C14AF0"/>
    <w:rsid w:val="12CD5EF3"/>
    <w:rsid w:val="12EA43E0"/>
    <w:rsid w:val="12F207FB"/>
    <w:rsid w:val="12FE0B24"/>
    <w:rsid w:val="130F4CDF"/>
    <w:rsid w:val="13375DFC"/>
    <w:rsid w:val="13826EF9"/>
    <w:rsid w:val="138867E1"/>
    <w:rsid w:val="138C7E6B"/>
    <w:rsid w:val="138F7936"/>
    <w:rsid w:val="13D62E35"/>
    <w:rsid w:val="13FB2E7D"/>
    <w:rsid w:val="14033ACD"/>
    <w:rsid w:val="141E1D6C"/>
    <w:rsid w:val="142D4436"/>
    <w:rsid w:val="1433604E"/>
    <w:rsid w:val="145A1F77"/>
    <w:rsid w:val="146E11DB"/>
    <w:rsid w:val="147514AC"/>
    <w:rsid w:val="14921D75"/>
    <w:rsid w:val="149245B7"/>
    <w:rsid w:val="14B27322"/>
    <w:rsid w:val="14B91B57"/>
    <w:rsid w:val="14C12672"/>
    <w:rsid w:val="14C93A9A"/>
    <w:rsid w:val="14D41C07"/>
    <w:rsid w:val="14F46355"/>
    <w:rsid w:val="151D38EF"/>
    <w:rsid w:val="15215F12"/>
    <w:rsid w:val="1551497C"/>
    <w:rsid w:val="155E206D"/>
    <w:rsid w:val="15686A35"/>
    <w:rsid w:val="15853975"/>
    <w:rsid w:val="159B2CF7"/>
    <w:rsid w:val="15B6375D"/>
    <w:rsid w:val="15CC19D4"/>
    <w:rsid w:val="15DF1880"/>
    <w:rsid w:val="15E45D42"/>
    <w:rsid w:val="15E74779"/>
    <w:rsid w:val="15ED05A6"/>
    <w:rsid w:val="1610756A"/>
    <w:rsid w:val="16136E2F"/>
    <w:rsid w:val="161B669A"/>
    <w:rsid w:val="169D65C8"/>
    <w:rsid w:val="16A45129"/>
    <w:rsid w:val="16AE7A47"/>
    <w:rsid w:val="16B54FFC"/>
    <w:rsid w:val="16C378D0"/>
    <w:rsid w:val="16CB369D"/>
    <w:rsid w:val="16D853A9"/>
    <w:rsid w:val="16DB628A"/>
    <w:rsid w:val="170D375B"/>
    <w:rsid w:val="170E7DF5"/>
    <w:rsid w:val="17310418"/>
    <w:rsid w:val="174213A1"/>
    <w:rsid w:val="17777043"/>
    <w:rsid w:val="17781027"/>
    <w:rsid w:val="179C7FCB"/>
    <w:rsid w:val="17B978D0"/>
    <w:rsid w:val="17C47DC2"/>
    <w:rsid w:val="17E26153"/>
    <w:rsid w:val="17F203A8"/>
    <w:rsid w:val="17FA3987"/>
    <w:rsid w:val="181A45F4"/>
    <w:rsid w:val="182C7857"/>
    <w:rsid w:val="18403DE3"/>
    <w:rsid w:val="18464C88"/>
    <w:rsid w:val="184D4BA4"/>
    <w:rsid w:val="185F4FAB"/>
    <w:rsid w:val="187E51B4"/>
    <w:rsid w:val="18977571"/>
    <w:rsid w:val="18B20267"/>
    <w:rsid w:val="18B77D0D"/>
    <w:rsid w:val="18BE7CA7"/>
    <w:rsid w:val="18D76BB6"/>
    <w:rsid w:val="19090609"/>
    <w:rsid w:val="191C2E55"/>
    <w:rsid w:val="19205850"/>
    <w:rsid w:val="19696900"/>
    <w:rsid w:val="19707C0A"/>
    <w:rsid w:val="19754B7A"/>
    <w:rsid w:val="198253AE"/>
    <w:rsid w:val="198F7DD1"/>
    <w:rsid w:val="19931150"/>
    <w:rsid w:val="199B7D35"/>
    <w:rsid w:val="19C451C0"/>
    <w:rsid w:val="19D32B92"/>
    <w:rsid w:val="19FC38D3"/>
    <w:rsid w:val="1A67778E"/>
    <w:rsid w:val="1A6E4D99"/>
    <w:rsid w:val="1A942A52"/>
    <w:rsid w:val="1AC8608D"/>
    <w:rsid w:val="1ACC6416"/>
    <w:rsid w:val="1ADA2480"/>
    <w:rsid w:val="1AF55AD7"/>
    <w:rsid w:val="1AF85414"/>
    <w:rsid w:val="1AFB15D3"/>
    <w:rsid w:val="1B096D4A"/>
    <w:rsid w:val="1B3874C2"/>
    <w:rsid w:val="1B54411C"/>
    <w:rsid w:val="1B861CEA"/>
    <w:rsid w:val="1B8A054A"/>
    <w:rsid w:val="1BC53BE1"/>
    <w:rsid w:val="1BC71B7A"/>
    <w:rsid w:val="1BE15102"/>
    <w:rsid w:val="1C08536C"/>
    <w:rsid w:val="1C3F779A"/>
    <w:rsid w:val="1C465FAA"/>
    <w:rsid w:val="1C474536"/>
    <w:rsid w:val="1C603D5A"/>
    <w:rsid w:val="1C646D36"/>
    <w:rsid w:val="1C864A21"/>
    <w:rsid w:val="1CA1438C"/>
    <w:rsid w:val="1CAA5EC6"/>
    <w:rsid w:val="1CAB4073"/>
    <w:rsid w:val="1CB45D9E"/>
    <w:rsid w:val="1CB97E53"/>
    <w:rsid w:val="1CD53A5F"/>
    <w:rsid w:val="1D213AF7"/>
    <w:rsid w:val="1D4E1ACA"/>
    <w:rsid w:val="1D632BAB"/>
    <w:rsid w:val="1D7D0597"/>
    <w:rsid w:val="1D8450B1"/>
    <w:rsid w:val="1DB17B34"/>
    <w:rsid w:val="1DB75EB7"/>
    <w:rsid w:val="1DCC3D2B"/>
    <w:rsid w:val="1DD56871"/>
    <w:rsid w:val="1DEA4177"/>
    <w:rsid w:val="1DF47525"/>
    <w:rsid w:val="1E01429B"/>
    <w:rsid w:val="1E054696"/>
    <w:rsid w:val="1E0873CC"/>
    <w:rsid w:val="1E170912"/>
    <w:rsid w:val="1E290DBC"/>
    <w:rsid w:val="1E347DB9"/>
    <w:rsid w:val="1E881CB1"/>
    <w:rsid w:val="1EAF5F3C"/>
    <w:rsid w:val="1ECB0460"/>
    <w:rsid w:val="1EE00E4C"/>
    <w:rsid w:val="1EFC5BFB"/>
    <w:rsid w:val="1F004D9B"/>
    <w:rsid w:val="1F031592"/>
    <w:rsid w:val="1F0E3F3F"/>
    <w:rsid w:val="1F0F19B1"/>
    <w:rsid w:val="1F2C0C32"/>
    <w:rsid w:val="1F3A06CD"/>
    <w:rsid w:val="1F50594B"/>
    <w:rsid w:val="1F610A5A"/>
    <w:rsid w:val="1F677ABC"/>
    <w:rsid w:val="1F693DD6"/>
    <w:rsid w:val="1F7A0F0F"/>
    <w:rsid w:val="1F8F7B9C"/>
    <w:rsid w:val="1FAA5242"/>
    <w:rsid w:val="1FAD1D43"/>
    <w:rsid w:val="1FBE5490"/>
    <w:rsid w:val="1FE059E6"/>
    <w:rsid w:val="1FE07075"/>
    <w:rsid w:val="1FE320D9"/>
    <w:rsid w:val="20022746"/>
    <w:rsid w:val="200E6332"/>
    <w:rsid w:val="20504A23"/>
    <w:rsid w:val="206F2542"/>
    <w:rsid w:val="20794048"/>
    <w:rsid w:val="208E3BCE"/>
    <w:rsid w:val="20B13608"/>
    <w:rsid w:val="20C15F92"/>
    <w:rsid w:val="20D2403D"/>
    <w:rsid w:val="20EC3AE1"/>
    <w:rsid w:val="210B39F0"/>
    <w:rsid w:val="21174678"/>
    <w:rsid w:val="211A0A87"/>
    <w:rsid w:val="21612C11"/>
    <w:rsid w:val="217B6B45"/>
    <w:rsid w:val="21A61719"/>
    <w:rsid w:val="21B60E10"/>
    <w:rsid w:val="21B66021"/>
    <w:rsid w:val="21B93877"/>
    <w:rsid w:val="21C5083C"/>
    <w:rsid w:val="220A3853"/>
    <w:rsid w:val="22235027"/>
    <w:rsid w:val="22237B22"/>
    <w:rsid w:val="22310679"/>
    <w:rsid w:val="224118D5"/>
    <w:rsid w:val="224E061C"/>
    <w:rsid w:val="225E0FC4"/>
    <w:rsid w:val="228C70FF"/>
    <w:rsid w:val="22964988"/>
    <w:rsid w:val="22AB1A52"/>
    <w:rsid w:val="22AE54AB"/>
    <w:rsid w:val="22B72F8D"/>
    <w:rsid w:val="22DA102D"/>
    <w:rsid w:val="22E13B56"/>
    <w:rsid w:val="231F0B79"/>
    <w:rsid w:val="233876DC"/>
    <w:rsid w:val="233F29DA"/>
    <w:rsid w:val="23403BE4"/>
    <w:rsid w:val="2342123A"/>
    <w:rsid w:val="23453250"/>
    <w:rsid w:val="23502AED"/>
    <w:rsid w:val="23547E4D"/>
    <w:rsid w:val="235E79B6"/>
    <w:rsid w:val="239670AB"/>
    <w:rsid w:val="23D802C6"/>
    <w:rsid w:val="23DC205C"/>
    <w:rsid w:val="23DD151B"/>
    <w:rsid w:val="23F154D8"/>
    <w:rsid w:val="23F817DE"/>
    <w:rsid w:val="23FC2E84"/>
    <w:rsid w:val="242416B3"/>
    <w:rsid w:val="242849CB"/>
    <w:rsid w:val="242D1BFA"/>
    <w:rsid w:val="242D259E"/>
    <w:rsid w:val="244814CF"/>
    <w:rsid w:val="244E526C"/>
    <w:rsid w:val="245A5890"/>
    <w:rsid w:val="245A5C01"/>
    <w:rsid w:val="24600CE8"/>
    <w:rsid w:val="24771887"/>
    <w:rsid w:val="24912E0F"/>
    <w:rsid w:val="24934201"/>
    <w:rsid w:val="24A634C6"/>
    <w:rsid w:val="24B4785E"/>
    <w:rsid w:val="24BA64E4"/>
    <w:rsid w:val="24C500D8"/>
    <w:rsid w:val="24E11F4A"/>
    <w:rsid w:val="24FB0A58"/>
    <w:rsid w:val="250E7F7F"/>
    <w:rsid w:val="25295A79"/>
    <w:rsid w:val="254A29F0"/>
    <w:rsid w:val="254D7E1A"/>
    <w:rsid w:val="25585D32"/>
    <w:rsid w:val="25B94092"/>
    <w:rsid w:val="25CD74DC"/>
    <w:rsid w:val="25D121E1"/>
    <w:rsid w:val="2604404A"/>
    <w:rsid w:val="26076916"/>
    <w:rsid w:val="262413A8"/>
    <w:rsid w:val="2633498F"/>
    <w:rsid w:val="265107AF"/>
    <w:rsid w:val="26513591"/>
    <w:rsid w:val="26604043"/>
    <w:rsid w:val="268266D9"/>
    <w:rsid w:val="26880147"/>
    <w:rsid w:val="268C4178"/>
    <w:rsid w:val="268E1F38"/>
    <w:rsid w:val="268F110A"/>
    <w:rsid w:val="26A47737"/>
    <w:rsid w:val="26D07DC7"/>
    <w:rsid w:val="26F53C3C"/>
    <w:rsid w:val="273A2AFE"/>
    <w:rsid w:val="273B5F22"/>
    <w:rsid w:val="273F2577"/>
    <w:rsid w:val="274F2F61"/>
    <w:rsid w:val="277546BE"/>
    <w:rsid w:val="277F2613"/>
    <w:rsid w:val="279679F3"/>
    <w:rsid w:val="27DC1611"/>
    <w:rsid w:val="27EC05FC"/>
    <w:rsid w:val="280A085A"/>
    <w:rsid w:val="281109A6"/>
    <w:rsid w:val="281915DE"/>
    <w:rsid w:val="282034FC"/>
    <w:rsid w:val="286449C2"/>
    <w:rsid w:val="286B08D8"/>
    <w:rsid w:val="28701061"/>
    <w:rsid w:val="28874178"/>
    <w:rsid w:val="28B64B0E"/>
    <w:rsid w:val="28C561D9"/>
    <w:rsid w:val="28DF6388"/>
    <w:rsid w:val="28F57593"/>
    <w:rsid w:val="29150C1F"/>
    <w:rsid w:val="292B036D"/>
    <w:rsid w:val="29485F41"/>
    <w:rsid w:val="295966C7"/>
    <w:rsid w:val="297E257E"/>
    <w:rsid w:val="29871CC3"/>
    <w:rsid w:val="29B97196"/>
    <w:rsid w:val="29CB5CA6"/>
    <w:rsid w:val="29D82903"/>
    <w:rsid w:val="29DD1E0E"/>
    <w:rsid w:val="2A001770"/>
    <w:rsid w:val="2A0C6D1E"/>
    <w:rsid w:val="2A147325"/>
    <w:rsid w:val="2A2004DD"/>
    <w:rsid w:val="2A422ADF"/>
    <w:rsid w:val="2A4B754A"/>
    <w:rsid w:val="2A575F99"/>
    <w:rsid w:val="2A67719A"/>
    <w:rsid w:val="2A862F5D"/>
    <w:rsid w:val="2A91633E"/>
    <w:rsid w:val="2AAA33C4"/>
    <w:rsid w:val="2ABC0D70"/>
    <w:rsid w:val="2AE07F86"/>
    <w:rsid w:val="2AED555A"/>
    <w:rsid w:val="2AEF0276"/>
    <w:rsid w:val="2B110BFD"/>
    <w:rsid w:val="2B117EE6"/>
    <w:rsid w:val="2B2679A2"/>
    <w:rsid w:val="2B337600"/>
    <w:rsid w:val="2B4531B8"/>
    <w:rsid w:val="2B7604E2"/>
    <w:rsid w:val="2B86072F"/>
    <w:rsid w:val="2B9B40AD"/>
    <w:rsid w:val="2BA973BF"/>
    <w:rsid w:val="2BB965C0"/>
    <w:rsid w:val="2BC43303"/>
    <w:rsid w:val="2BC61A6F"/>
    <w:rsid w:val="2BC62080"/>
    <w:rsid w:val="2BC745B0"/>
    <w:rsid w:val="2BCE1C3A"/>
    <w:rsid w:val="2BD47143"/>
    <w:rsid w:val="2C0E6BA1"/>
    <w:rsid w:val="2C234D1E"/>
    <w:rsid w:val="2C3A5C79"/>
    <w:rsid w:val="2C436F5F"/>
    <w:rsid w:val="2C520C10"/>
    <w:rsid w:val="2C7A0602"/>
    <w:rsid w:val="2CAE0848"/>
    <w:rsid w:val="2CB6049A"/>
    <w:rsid w:val="2CDB5B71"/>
    <w:rsid w:val="2D0228D7"/>
    <w:rsid w:val="2D064D5F"/>
    <w:rsid w:val="2D0B7785"/>
    <w:rsid w:val="2D1000E1"/>
    <w:rsid w:val="2D130CDD"/>
    <w:rsid w:val="2D2F54EF"/>
    <w:rsid w:val="2D3F0917"/>
    <w:rsid w:val="2D467292"/>
    <w:rsid w:val="2D475E7A"/>
    <w:rsid w:val="2D5321CD"/>
    <w:rsid w:val="2D5533D4"/>
    <w:rsid w:val="2D7961B7"/>
    <w:rsid w:val="2D7B6574"/>
    <w:rsid w:val="2D816055"/>
    <w:rsid w:val="2D8E37EF"/>
    <w:rsid w:val="2D96306E"/>
    <w:rsid w:val="2DA5274D"/>
    <w:rsid w:val="2DBC2D82"/>
    <w:rsid w:val="2DBD1A18"/>
    <w:rsid w:val="2DD04B8D"/>
    <w:rsid w:val="2DFD2D2A"/>
    <w:rsid w:val="2E3A6CF5"/>
    <w:rsid w:val="2E4B3F3C"/>
    <w:rsid w:val="2E4D0124"/>
    <w:rsid w:val="2E660C44"/>
    <w:rsid w:val="2E6730C1"/>
    <w:rsid w:val="2E8F3CFA"/>
    <w:rsid w:val="2EF00A96"/>
    <w:rsid w:val="2F042803"/>
    <w:rsid w:val="2F355BCF"/>
    <w:rsid w:val="2F436B76"/>
    <w:rsid w:val="2F4B026F"/>
    <w:rsid w:val="2F5E262D"/>
    <w:rsid w:val="2F63034E"/>
    <w:rsid w:val="2F7D2661"/>
    <w:rsid w:val="2F8355B5"/>
    <w:rsid w:val="2FB021B0"/>
    <w:rsid w:val="2FBF6CB7"/>
    <w:rsid w:val="2FE74586"/>
    <w:rsid w:val="2FFC3FA9"/>
    <w:rsid w:val="300633F7"/>
    <w:rsid w:val="300D6409"/>
    <w:rsid w:val="30113BF6"/>
    <w:rsid w:val="30356CF7"/>
    <w:rsid w:val="30383EA5"/>
    <w:rsid w:val="304A181A"/>
    <w:rsid w:val="304D433A"/>
    <w:rsid w:val="305E4DE3"/>
    <w:rsid w:val="3070271E"/>
    <w:rsid w:val="30A02BD6"/>
    <w:rsid w:val="30C16364"/>
    <w:rsid w:val="30FC4B1E"/>
    <w:rsid w:val="3114323C"/>
    <w:rsid w:val="312E6C33"/>
    <w:rsid w:val="3135410A"/>
    <w:rsid w:val="3149149A"/>
    <w:rsid w:val="314D5143"/>
    <w:rsid w:val="31534C46"/>
    <w:rsid w:val="31606E00"/>
    <w:rsid w:val="319B4AAD"/>
    <w:rsid w:val="31CF5EDD"/>
    <w:rsid w:val="32044096"/>
    <w:rsid w:val="320C3980"/>
    <w:rsid w:val="320E382B"/>
    <w:rsid w:val="325A54E8"/>
    <w:rsid w:val="325F4087"/>
    <w:rsid w:val="32A9622C"/>
    <w:rsid w:val="32B07776"/>
    <w:rsid w:val="32B31CD1"/>
    <w:rsid w:val="32CB2F5E"/>
    <w:rsid w:val="32D429C0"/>
    <w:rsid w:val="32DF4F4B"/>
    <w:rsid w:val="32E15043"/>
    <w:rsid w:val="32E866F1"/>
    <w:rsid w:val="32EA0BEA"/>
    <w:rsid w:val="33046D40"/>
    <w:rsid w:val="33310A23"/>
    <w:rsid w:val="33402CB8"/>
    <w:rsid w:val="334A4FD9"/>
    <w:rsid w:val="335F0CA3"/>
    <w:rsid w:val="337A018F"/>
    <w:rsid w:val="33DC2422"/>
    <w:rsid w:val="33DE6588"/>
    <w:rsid w:val="33FB4198"/>
    <w:rsid w:val="33FE36E4"/>
    <w:rsid w:val="343904AE"/>
    <w:rsid w:val="3451362E"/>
    <w:rsid w:val="34653293"/>
    <w:rsid w:val="347B5F9E"/>
    <w:rsid w:val="34996365"/>
    <w:rsid w:val="349C4D58"/>
    <w:rsid w:val="34A67989"/>
    <w:rsid w:val="34B13158"/>
    <w:rsid w:val="34BE64FD"/>
    <w:rsid w:val="34D1004F"/>
    <w:rsid w:val="34FB2BFA"/>
    <w:rsid w:val="351566A0"/>
    <w:rsid w:val="352A3C5B"/>
    <w:rsid w:val="354002A2"/>
    <w:rsid w:val="35566E20"/>
    <w:rsid w:val="35642B71"/>
    <w:rsid w:val="356C1A30"/>
    <w:rsid w:val="35764F64"/>
    <w:rsid w:val="35860B74"/>
    <w:rsid w:val="359B6990"/>
    <w:rsid w:val="35C15A78"/>
    <w:rsid w:val="35D078C6"/>
    <w:rsid w:val="35E34FE2"/>
    <w:rsid w:val="35FD4A2E"/>
    <w:rsid w:val="3618764A"/>
    <w:rsid w:val="361B02C4"/>
    <w:rsid w:val="36230ADB"/>
    <w:rsid w:val="362D5AB6"/>
    <w:rsid w:val="36535546"/>
    <w:rsid w:val="36780540"/>
    <w:rsid w:val="36EA2E8D"/>
    <w:rsid w:val="37200B07"/>
    <w:rsid w:val="37356E1E"/>
    <w:rsid w:val="3749298B"/>
    <w:rsid w:val="376436EA"/>
    <w:rsid w:val="3776411B"/>
    <w:rsid w:val="37913F6D"/>
    <w:rsid w:val="37F332A3"/>
    <w:rsid w:val="38005B02"/>
    <w:rsid w:val="381C42E2"/>
    <w:rsid w:val="382F3B56"/>
    <w:rsid w:val="38357C60"/>
    <w:rsid w:val="383E109A"/>
    <w:rsid w:val="387E3C97"/>
    <w:rsid w:val="389970B8"/>
    <w:rsid w:val="38C476A9"/>
    <w:rsid w:val="38D14710"/>
    <w:rsid w:val="38E8660F"/>
    <w:rsid w:val="38EA24F3"/>
    <w:rsid w:val="38FD2513"/>
    <w:rsid w:val="38FD6E1C"/>
    <w:rsid w:val="390C7DD5"/>
    <w:rsid w:val="391645D1"/>
    <w:rsid w:val="392E1315"/>
    <w:rsid w:val="39341C5A"/>
    <w:rsid w:val="393D76B3"/>
    <w:rsid w:val="395B6F4C"/>
    <w:rsid w:val="39607B46"/>
    <w:rsid w:val="398E6E49"/>
    <w:rsid w:val="39A9748A"/>
    <w:rsid w:val="39B81AC8"/>
    <w:rsid w:val="39C2782D"/>
    <w:rsid w:val="39C37CF9"/>
    <w:rsid w:val="39D31B46"/>
    <w:rsid w:val="39D4453D"/>
    <w:rsid w:val="39F66877"/>
    <w:rsid w:val="3A063029"/>
    <w:rsid w:val="3A2B1C4D"/>
    <w:rsid w:val="3A79025B"/>
    <w:rsid w:val="3A79500B"/>
    <w:rsid w:val="3A7F4156"/>
    <w:rsid w:val="3A84337B"/>
    <w:rsid w:val="3A934393"/>
    <w:rsid w:val="3A98382E"/>
    <w:rsid w:val="3ACB3B14"/>
    <w:rsid w:val="3AD76523"/>
    <w:rsid w:val="3AE172B2"/>
    <w:rsid w:val="3B0A6B5A"/>
    <w:rsid w:val="3B457983"/>
    <w:rsid w:val="3B8D791F"/>
    <w:rsid w:val="3BCC73C9"/>
    <w:rsid w:val="3BDB12E2"/>
    <w:rsid w:val="3C002B89"/>
    <w:rsid w:val="3C12242C"/>
    <w:rsid w:val="3C1B73B6"/>
    <w:rsid w:val="3C1C54F2"/>
    <w:rsid w:val="3C53755B"/>
    <w:rsid w:val="3C5E5053"/>
    <w:rsid w:val="3C7F729A"/>
    <w:rsid w:val="3C851966"/>
    <w:rsid w:val="3C892D71"/>
    <w:rsid w:val="3C9A4090"/>
    <w:rsid w:val="3CAF1C2F"/>
    <w:rsid w:val="3CBF4B0D"/>
    <w:rsid w:val="3D102E9C"/>
    <w:rsid w:val="3D180BD2"/>
    <w:rsid w:val="3D383CB7"/>
    <w:rsid w:val="3D4E07D5"/>
    <w:rsid w:val="3D5B6314"/>
    <w:rsid w:val="3D6B637D"/>
    <w:rsid w:val="3D716DEF"/>
    <w:rsid w:val="3D7B073B"/>
    <w:rsid w:val="3D886524"/>
    <w:rsid w:val="3DBD7514"/>
    <w:rsid w:val="3DBF4303"/>
    <w:rsid w:val="3DC2439D"/>
    <w:rsid w:val="3DC968B5"/>
    <w:rsid w:val="3DD724FF"/>
    <w:rsid w:val="3DDB658B"/>
    <w:rsid w:val="3DEE21D2"/>
    <w:rsid w:val="3E2658DF"/>
    <w:rsid w:val="3E2C685B"/>
    <w:rsid w:val="3E2E0E60"/>
    <w:rsid w:val="3E3933B5"/>
    <w:rsid w:val="3E3C6007"/>
    <w:rsid w:val="3E714AB3"/>
    <w:rsid w:val="3E864F15"/>
    <w:rsid w:val="3E936640"/>
    <w:rsid w:val="3E994910"/>
    <w:rsid w:val="3EA95918"/>
    <w:rsid w:val="3EB119F9"/>
    <w:rsid w:val="3EBB6664"/>
    <w:rsid w:val="3EDD35B7"/>
    <w:rsid w:val="3EF3148E"/>
    <w:rsid w:val="3EF76E33"/>
    <w:rsid w:val="3EF81BE0"/>
    <w:rsid w:val="3F235AC2"/>
    <w:rsid w:val="3F2721D8"/>
    <w:rsid w:val="3F2D7AEE"/>
    <w:rsid w:val="3F321852"/>
    <w:rsid w:val="3F514D57"/>
    <w:rsid w:val="3F7427C1"/>
    <w:rsid w:val="3F745A32"/>
    <w:rsid w:val="3F857DB0"/>
    <w:rsid w:val="3F9D0C7D"/>
    <w:rsid w:val="3FA14896"/>
    <w:rsid w:val="3FAB3C23"/>
    <w:rsid w:val="3FAD011D"/>
    <w:rsid w:val="3FBD52F1"/>
    <w:rsid w:val="3FC219AB"/>
    <w:rsid w:val="3FE6359F"/>
    <w:rsid w:val="3FEB1463"/>
    <w:rsid w:val="3FEC2CD2"/>
    <w:rsid w:val="4024721E"/>
    <w:rsid w:val="40296BEB"/>
    <w:rsid w:val="402A192A"/>
    <w:rsid w:val="404158CD"/>
    <w:rsid w:val="404A2E0B"/>
    <w:rsid w:val="40833E1B"/>
    <w:rsid w:val="40B0451C"/>
    <w:rsid w:val="40BD2BB0"/>
    <w:rsid w:val="40D16C4B"/>
    <w:rsid w:val="40FF5B59"/>
    <w:rsid w:val="41130B01"/>
    <w:rsid w:val="412E7557"/>
    <w:rsid w:val="414E7B8C"/>
    <w:rsid w:val="415D0DB1"/>
    <w:rsid w:val="416E4D2C"/>
    <w:rsid w:val="41703CF9"/>
    <w:rsid w:val="417115E1"/>
    <w:rsid w:val="41736B1D"/>
    <w:rsid w:val="41756704"/>
    <w:rsid w:val="4192676E"/>
    <w:rsid w:val="41E50407"/>
    <w:rsid w:val="41EF6AA3"/>
    <w:rsid w:val="4223228C"/>
    <w:rsid w:val="423B7657"/>
    <w:rsid w:val="425F2C92"/>
    <w:rsid w:val="42927483"/>
    <w:rsid w:val="42990CA6"/>
    <w:rsid w:val="42B7578F"/>
    <w:rsid w:val="42E60F7D"/>
    <w:rsid w:val="42FC5183"/>
    <w:rsid w:val="43053389"/>
    <w:rsid w:val="432C30B3"/>
    <w:rsid w:val="4348125E"/>
    <w:rsid w:val="434E51B4"/>
    <w:rsid w:val="437E45C3"/>
    <w:rsid w:val="43867F2F"/>
    <w:rsid w:val="43B86DAF"/>
    <w:rsid w:val="43BB61EA"/>
    <w:rsid w:val="43C576FA"/>
    <w:rsid w:val="43D31E79"/>
    <w:rsid w:val="4414585E"/>
    <w:rsid w:val="44374DA6"/>
    <w:rsid w:val="4462549B"/>
    <w:rsid w:val="44780F8C"/>
    <w:rsid w:val="44AF0AA0"/>
    <w:rsid w:val="44B8631A"/>
    <w:rsid w:val="44C95C02"/>
    <w:rsid w:val="44DC3001"/>
    <w:rsid w:val="44FF6477"/>
    <w:rsid w:val="450700F1"/>
    <w:rsid w:val="45191903"/>
    <w:rsid w:val="451E41C3"/>
    <w:rsid w:val="453224BC"/>
    <w:rsid w:val="4547590E"/>
    <w:rsid w:val="45557BBE"/>
    <w:rsid w:val="455C3634"/>
    <w:rsid w:val="45630354"/>
    <w:rsid w:val="45674A17"/>
    <w:rsid w:val="456A547C"/>
    <w:rsid w:val="457366F4"/>
    <w:rsid w:val="45787C88"/>
    <w:rsid w:val="457F4D5E"/>
    <w:rsid w:val="459045CF"/>
    <w:rsid w:val="4593031D"/>
    <w:rsid w:val="45937524"/>
    <w:rsid w:val="45A3532B"/>
    <w:rsid w:val="45CB16FC"/>
    <w:rsid w:val="45E834F5"/>
    <w:rsid w:val="45FC5957"/>
    <w:rsid w:val="46115240"/>
    <w:rsid w:val="46144D75"/>
    <w:rsid w:val="461A3AAC"/>
    <w:rsid w:val="462562CB"/>
    <w:rsid w:val="463E6649"/>
    <w:rsid w:val="464A6099"/>
    <w:rsid w:val="46913067"/>
    <w:rsid w:val="46BE047D"/>
    <w:rsid w:val="46CA3FE0"/>
    <w:rsid w:val="46CD663C"/>
    <w:rsid w:val="46EB3C9E"/>
    <w:rsid w:val="46F223B2"/>
    <w:rsid w:val="46F61F0D"/>
    <w:rsid w:val="47092594"/>
    <w:rsid w:val="472559C6"/>
    <w:rsid w:val="472713BB"/>
    <w:rsid w:val="47354D1C"/>
    <w:rsid w:val="473F3410"/>
    <w:rsid w:val="4748319D"/>
    <w:rsid w:val="475F5DFF"/>
    <w:rsid w:val="47643588"/>
    <w:rsid w:val="478957DB"/>
    <w:rsid w:val="47AA2D9E"/>
    <w:rsid w:val="47ED091C"/>
    <w:rsid w:val="47F41D66"/>
    <w:rsid w:val="47F6035B"/>
    <w:rsid w:val="480A4D05"/>
    <w:rsid w:val="4815472D"/>
    <w:rsid w:val="481B4D15"/>
    <w:rsid w:val="482B4F59"/>
    <w:rsid w:val="483B72B0"/>
    <w:rsid w:val="483E19C8"/>
    <w:rsid w:val="484B1D38"/>
    <w:rsid w:val="48543FBB"/>
    <w:rsid w:val="485F42FF"/>
    <w:rsid w:val="48703B7B"/>
    <w:rsid w:val="48AA0E94"/>
    <w:rsid w:val="48B4127F"/>
    <w:rsid w:val="48CB27CF"/>
    <w:rsid w:val="48FE7DD3"/>
    <w:rsid w:val="49087921"/>
    <w:rsid w:val="49191E77"/>
    <w:rsid w:val="49233C2C"/>
    <w:rsid w:val="4938010D"/>
    <w:rsid w:val="499745FC"/>
    <w:rsid w:val="49B368FF"/>
    <w:rsid w:val="49BB4ECD"/>
    <w:rsid w:val="49C73D5E"/>
    <w:rsid w:val="49CE5C40"/>
    <w:rsid w:val="49E91F64"/>
    <w:rsid w:val="49EA64D4"/>
    <w:rsid w:val="49F66C27"/>
    <w:rsid w:val="4A291240"/>
    <w:rsid w:val="4A4D4FB1"/>
    <w:rsid w:val="4A767604"/>
    <w:rsid w:val="4A8039E1"/>
    <w:rsid w:val="4A8C1339"/>
    <w:rsid w:val="4A940B24"/>
    <w:rsid w:val="4AA47DD1"/>
    <w:rsid w:val="4AC265F2"/>
    <w:rsid w:val="4AC62288"/>
    <w:rsid w:val="4ACA1CB9"/>
    <w:rsid w:val="4ACD148A"/>
    <w:rsid w:val="4ADD5677"/>
    <w:rsid w:val="4ADE6345"/>
    <w:rsid w:val="4AF74563"/>
    <w:rsid w:val="4B3014D5"/>
    <w:rsid w:val="4B3241CD"/>
    <w:rsid w:val="4B532119"/>
    <w:rsid w:val="4B5D14FD"/>
    <w:rsid w:val="4B605FC7"/>
    <w:rsid w:val="4B8052FB"/>
    <w:rsid w:val="4B8D3201"/>
    <w:rsid w:val="4BD54757"/>
    <w:rsid w:val="4BEC3A67"/>
    <w:rsid w:val="4C433C79"/>
    <w:rsid w:val="4C4547C2"/>
    <w:rsid w:val="4C5C441C"/>
    <w:rsid w:val="4C910358"/>
    <w:rsid w:val="4C9E4D26"/>
    <w:rsid w:val="4CB3186A"/>
    <w:rsid w:val="4CB621E7"/>
    <w:rsid w:val="4CC61158"/>
    <w:rsid w:val="4CF26E2E"/>
    <w:rsid w:val="4CFF1B08"/>
    <w:rsid w:val="4D411042"/>
    <w:rsid w:val="4D503E81"/>
    <w:rsid w:val="4D6E1551"/>
    <w:rsid w:val="4DA1744F"/>
    <w:rsid w:val="4DEC5DB6"/>
    <w:rsid w:val="4DF725A8"/>
    <w:rsid w:val="4E0949F7"/>
    <w:rsid w:val="4E156C32"/>
    <w:rsid w:val="4E4C4B92"/>
    <w:rsid w:val="4E5D49A3"/>
    <w:rsid w:val="4E7838BE"/>
    <w:rsid w:val="4E797D25"/>
    <w:rsid w:val="4EAB6938"/>
    <w:rsid w:val="4EC92950"/>
    <w:rsid w:val="4ED954E7"/>
    <w:rsid w:val="4EDD6746"/>
    <w:rsid w:val="4EE96D5A"/>
    <w:rsid w:val="4F34047D"/>
    <w:rsid w:val="4F4D06E2"/>
    <w:rsid w:val="4F57512A"/>
    <w:rsid w:val="4F6F0A80"/>
    <w:rsid w:val="4F8A4EE4"/>
    <w:rsid w:val="4FB91F8F"/>
    <w:rsid w:val="4FC44853"/>
    <w:rsid w:val="4FDA3FD1"/>
    <w:rsid w:val="4FE56B2B"/>
    <w:rsid w:val="4FF31659"/>
    <w:rsid w:val="4FFF0D16"/>
    <w:rsid w:val="50325D99"/>
    <w:rsid w:val="50384543"/>
    <w:rsid w:val="503F43CD"/>
    <w:rsid w:val="50503878"/>
    <w:rsid w:val="50741186"/>
    <w:rsid w:val="50743208"/>
    <w:rsid w:val="508672BB"/>
    <w:rsid w:val="50913DD1"/>
    <w:rsid w:val="50D5138F"/>
    <w:rsid w:val="50D601BC"/>
    <w:rsid w:val="50F2322A"/>
    <w:rsid w:val="510D0B58"/>
    <w:rsid w:val="51255057"/>
    <w:rsid w:val="514E047E"/>
    <w:rsid w:val="515039A3"/>
    <w:rsid w:val="51521A6D"/>
    <w:rsid w:val="51622DF4"/>
    <w:rsid w:val="51833592"/>
    <w:rsid w:val="518F14A8"/>
    <w:rsid w:val="518F60D4"/>
    <w:rsid w:val="51C44185"/>
    <w:rsid w:val="51DE03BA"/>
    <w:rsid w:val="51DF66AF"/>
    <w:rsid w:val="52047E3D"/>
    <w:rsid w:val="52256028"/>
    <w:rsid w:val="524E1CF4"/>
    <w:rsid w:val="52604BF7"/>
    <w:rsid w:val="5273143A"/>
    <w:rsid w:val="52873591"/>
    <w:rsid w:val="528D0FB9"/>
    <w:rsid w:val="52C71F43"/>
    <w:rsid w:val="52D91AF9"/>
    <w:rsid w:val="52F93212"/>
    <w:rsid w:val="531652E6"/>
    <w:rsid w:val="53291111"/>
    <w:rsid w:val="53347D25"/>
    <w:rsid w:val="53955A31"/>
    <w:rsid w:val="539D0577"/>
    <w:rsid w:val="53A10F74"/>
    <w:rsid w:val="53A47464"/>
    <w:rsid w:val="53C14870"/>
    <w:rsid w:val="53C323FB"/>
    <w:rsid w:val="53CC2E87"/>
    <w:rsid w:val="53E00978"/>
    <w:rsid w:val="53E04A40"/>
    <w:rsid w:val="53E175EE"/>
    <w:rsid w:val="53EF42E8"/>
    <w:rsid w:val="540F4BA3"/>
    <w:rsid w:val="54112BA1"/>
    <w:rsid w:val="54331C81"/>
    <w:rsid w:val="54423663"/>
    <w:rsid w:val="5444306B"/>
    <w:rsid w:val="544D65EB"/>
    <w:rsid w:val="54596F47"/>
    <w:rsid w:val="54975816"/>
    <w:rsid w:val="54B355DC"/>
    <w:rsid w:val="54CF10CC"/>
    <w:rsid w:val="54D4007A"/>
    <w:rsid w:val="54DD5FAB"/>
    <w:rsid w:val="54DD66B8"/>
    <w:rsid w:val="5508642B"/>
    <w:rsid w:val="550F1BE8"/>
    <w:rsid w:val="55387C17"/>
    <w:rsid w:val="554528CF"/>
    <w:rsid w:val="55646765"/>
    <w:rsid w:val="55822BC4"/>
    <w:rsid w:val="558B1747"/>
    <w:rsid w:val="55A92E34"/>
    <w:rsid w:val="55B4712C"/>
    <w:rsid w:val="55B70714"/>
    <w:rsid w:val="55B96FE6"/>
    <w:rsid w:val="55C37945"/>
    <w:rsid w:val="55DE4DCA"/>
    <w:rsid w:val="55F300E5"/>
    <w:rsid w:val="55FB6E41"/>
    <w:rsid w:val="562B7679"/>
    <w:rsid w:val="56757155"/>
    <w:rsid w:val="568C115F"/>
    <w:rsid w:val="56C23A69"/>
    <w:rsid w:val="572006A5"/>
    <w:rsid w:val="577E1C80"/>
    <w:rsid w:val="57830D69"/>
    <w:rsid w:val="578F1DDE"/>
    <w:rsid w:val="57900406"/>
    <w:rsid w:val="57AA1DE1"/>
    <w:rsid w:val="57B27348"/>
    <w:rsid w:val="57CC1813"/>
    <w:rsid w:val="57E44AE7"/>
    <w:rsid w:val="57E873DB"/>
    <w:rsid w:val="57F53C6E"/>
    <w:rsid w:val="58102982"/>
    <w:rsid w:val="581C5C37"/>
    <w:rsid w:val="583E7492"/>
    <w:rsid w:val="58426A9C"/>
    <w:rsid w:val="58AA3DF9"/>
    <w:rsid w:val="58BC3A6E"/>
    <w:rsid w:val="58C4669E"/>
    <w:rsid w:val="58CE2F82"/>
    <w:rsid w:val="58D01F59"/>
    <w:rsid w:val="59185461"/>
    <w:rsid w:val="5923193B"/>
    <w:rsid w:val="593D2D13"/>
    <w:rsid w:val="59567E98"/>
    <w:rsid w:val="59795801"/>
    <w:rsid w:val="597C7A56"/>
    <w:rsid w:val="597F0B59"/>
    <w:rsid w:val="59920478"/>
    <w:rsid w:val="59926240"/>
    <w:rsid w:val="599A62D3"/>
    <w:rsid w:val="59C40A6B"/>
    <w:rsid w:val="5A2423BD"/>
    <w:rsid w:val="5A3812BC"/>
    <w:rsid w:val="5A4C29B5"/>
    <w:rsid w:val="5A702838"/>
    <w:rsid w:val="5A9A3903"/>
    <w:rsid w:val="5A9B4CBB"/>
    <w:rsid w:val="5AA40D6F"/>
    <w:rsid w:val="5AAF5826"/>
    <w:rsid w:val="5AB300E9"/>
    <w:rsid w:val="5AD00E97"/>
    <w:rsid w:val="5AEE1330"/>
    <w:rsid w:val="5AF65F0D"/>
    <w:rsid w:val="5B106A47"/>
    <w:rsid w:val="5B124D7A"/>
    <w:rsid w:val="5B191037"/>
    <w:rsid w:val="5B1F2679"/>
    <w:rsid w:val="5B3028AE"/>
    <w:rsid w:val="5B305D11"/>
    <w:rsid w:val="5B360352"/>
    <w:rsid w:val="5B505B95"/>
    <w:rsid w:val="5B6B6662"/>
    <w:rsid w:val="5B701B1C"/>
    <w:rsid w:val="5B861DD0"/>
    <w:rsid w:val="5B88511F"/>
    <w:rsid w:val="5B904753"/>
    <w:rsid w:val="5B987ABA"/>
    <w:rsid w:val="5BA81440"/>
    <w:rsid w:val="5BC10E8E"/>
    <w:rsid w:val="5BC94D1D"/>
    <w:rsid w:val="5BCA737A"/>
    <w:rsid w:val="5BDA1E29"/>
    <w:rsid w:val="5BE33B24"/>
    <w:rsid w:val="5BE4644B"/>
    <w:rsid w:val="5BF366BC"/>
    <w:rsid w:val="5BF36B7D"/>
    <w:rsid w:val="5C0F57F7"/>
    <w:rsid w:val="5C190243"/>
    <w:rsid w:val="5C68234B"/>
    <w:rsid w:val="5C7B120D"/>
    <w:rsid w:val="5C831EA1"/>
    <w:rsid w:val="5C83525B"/>
    <w:rsid w:val="5C8B5318"/>
    <w:rsid w:val="5C9C2E0B"/>
    <w:rsid w:val="5CBA6FE3"/>
    <w:rsid w:val="5CD305BF"/>
    <w:rsid w:val="5CF26D8F"/>
    <w:rsid w:val="5CFE0E07"/>
    <w:rsid w:val="5D004A76"/>
    <w:rsid w:val="5D0143FB"/>
    <w:rsid w:val="5D06027A"/>
    <w:rsid w:val="5D323152"/>
    <w:rsid w:val="5D374FDF"/>
    <w:rsid w:val="5D380B84"/>
    <w:rsid w:val="5D3B6548"/>
    <w:rsid w:val="5D65678D"/>
    <w:rsid w:val="5D7516D4"/>
    <w:rsid w:val="5D7A40D2"/>
    <w:rsid w:val="5D800CEF"/>
    <w:rsid w:val="5DA91A22"/>
    <w:rsid w:val="5DFA2CDB"/>
    <w:rsid w:val="5DFA7138"/>
    <w:rsid w:val="5E130140"/>
    <w:rsid w:val="5E217D16"/>
    <w:rsid w:val="5E2801D1"/>
    <w:rsid w:val="5E371AAA"/>
    <w:rsid w:val="5E5F3EFA"/>
    <w:rsid w:val="5E730583"/>
    <w:rsid w:val="5E754530"/>
    <w:rsid w:val="5E7926FF"/>
    <w:rsid w:val="5E7E38EB"/>
    <w:rsid w:val="5E9602B3"/>
    <w:rsid w:val="5EA35B10"/>
    <w:rsid w:val="5EB601E2"/>
    <w:rsid w:val="5EBE5E29"/>
    <w:rsid w:val="5EC529A8"/>
    <w:rsid w:val="5ED1731B"/>
    <w:rsid w:val="5F0718AB"/>
    <w:rsid w:val="5F0F3F1E"/>
    <w:rsid w:val="5F19355D"/>
    <w:rsid w:val="5F1A7236"/>
    <w:rsid w:val="5F335DCF"/>
    <w:rsid w:val="5F380ED5"/>
    <w:rsid w:val="5F5875E4"/>
    <w:rsid w:val="5F6F27CA"/>
    <w:rsid w:val="5F7E6C49"/>
    <w:rsid w:val="5F9B5415"/>
    <w:rsid w:val="5FA4749E"/>
    <w:rsid w:val="5FBA3A80"/>
    <w:rsid w:val="5FD95CB1"/>
    <w:rsid w:val="5FDE4D54"/>
    <w:rsid w:val="5FF66989"/>
    <w:rsid w:val="5FF72E6D"/>
    <w:rsid w:val="60074F8B"/>
    <w:rsid w:val="600E6F29"/>
    <w:rsid w:val="602A7214"/>
    <w:rsid w:val="602D5A7D"/>
    <w:rsid w:val="603C6C2F"/>
    <w:rsid w:val="607275B8"/>
    <w:rsid w:val="607B2649"/>
    <w:rsid w:val="607C3BD5"/>
    <w:rsid w:val="60841A2F"/>
    <w:rsid w:val="608D7E30"/>
    <w:rsid w:val="60940CA2"/>
    <w:rsid w:val="609B6CFA"/>
    <w:rsid w:val="60A400CE"/>
    <w:rsid w:val="60CE4D21"/>
    <w:rsid w:val="610D0146"/>
    <w:rsid w:val="61430FE6"/>
    <w:rsid w:val="617E3B52"/>
    <w:rsid w:val="618B75B1"/>
    <w:rsid w:val="61AD396D"/>
    <w:rsid w:val="61D13245"/>
    <w:rsid w:val="61DA2E6B"/>
    <w:rsid w:val="61F33732"/>
    <w:rsid w:val="62142BC3"/>
    <w:rsid w:val="621A31CE"/>
    <w:rsid w:val="621C29D1"/>
    <w:rsid w:val="624131F7"/>
    <w:rsid w:val="624575A7"/>
    <w:rsid w:val="624F1738"/>
    <w:rsid w:val="626C7837"/>
    <w:rsid w:val="6273727D"/>
    <w:rsid w:val="627E4ECF"/>
    <w:rsid w:val="629306E1"/>
    <w:rsid w:val="62B14184"/>
    <w:rsid w:val="62BE48B3"/>
    <w:rsid w:val="631B1924"/>
    <w:rsid w:val="63224B85"/>
    <w:rsid w:val="634B2C19"/>
    <w:rsid w:val="634D6DC5"/>
    <w:rsid w:val="634D7C4C"/>
    <w:rsid w:val="63501FF4"/>
    <w:rsid w:val="637C7B92"/>
    <w:rsid w:val="63AC58C7"/>
    <w:rsid w:val="63AC6CA5"/>
    <w:rsid w:val="63CB7580"/>
    <w:rsid w:val="63CD34CB"/>
    <w:rsid w:val="63EF1684"/>
    <w:rsid w:val="641B3AB4"/>
    <w:rsid w:val="641C47F7"/>
    <w:rsid w:val="641E116B"/>
    <w:rsid w:val="64497A5F"/>
    <w:rsid w:val="644D33F7"/>
    <w:rsid w:val="64813477"/>
    <w:rsid w:val="64A25626"/>
    <w:rsid w:val="64C317A8"/>
    <w:rsid w:val="64D93BE7"/>
    <w:rsid w:val="64E03E0B"/>
    <w:rsid w:val="64E6105A"/>
    <w:rsid w:val="650E3E0A"/>
    <w:rsid w:val="652307C3"/>
    <w:rsid w:val="65403EB7"/>
    <w:rsid w:val="65463F88"/>
    <w:rsid w:val="65796F3A"/>
    <w:rsid w:val="658C19A5"/>
    <w:rsid w:val="65A82210"/>
    <w:rsid w:val="65CC06D1"/>
    <w:rsid w:val="65CC66B7"/>
    <w:rsid w:val="65D2781F"/>
    <w:rsid w:val="65D311C0"/>
    <w:rsid w:val="66267B2C"/>
    <w:rsid w:val="66446865"/>
    <w:rsid w:val="668511FF"/>
    <w:rsid w:val="66AC59A3"/>
    <w:rsid w:val="66BD5449"/>
    <w:rsid w:val="66C038B6"/>
    <w:rsid w:val="66CE2110"/>
    <w:rsid w:val="66D56A3C"/>
    <w:rsid w:val="672A25EC"/>
    <w:rsid w:val="673A3F78"/>
    <w:rsid w:val="67475C51"/>
    <w:rsid w:val="67624E20"/>
    <w:rsid w:val="67682399"/>
    <w:rsid w:val="676D41CA"/>
    <w:rsid w:val="678C4C75"/>
    <w:rsid w:val="67E96EBC"/>
    <w:rsid w:val="680F2480"/>
    <w:rsid w:val="68123075"/>
    <w:rsid w:val="681A7892"/>
    <w:rsid w:val="68317DD1"/>
    <w:rsid w:val="683D3B11"/>
    <w:rsid w:val="68437B16"/>
    <w:rsid w:val="684412EC"/>
    <w:rsid w:val="68465690"/>
    <w:rsid w:val="68517234"/>
    <w:rsid w:val="68642224"/>
    <w:rsid w:val="68750023"/>
    <w:rsid w:val="68813D76"/>
    <w:rsid w:val="688143B6"/>
    <w:rsid w:val="688F5B1A"/>
    <w:rsid w:val="6896139D"/>
    <w:rsid w:val="68A63399"/>
    <w:rsid w:val="68B14D38"/>
    <w:rsid w:val="68B9321D"/>
    <w:rsid w:val="68DA244D"/>
    <w:rsid w:val="68E37A74"/>
    <w:rsid w:val="68E82F4E"/>
    <w:rsid w:val="68E9208E"/>
    <w:rsid w:val="69464CD1"/>
    <w:rsid w:val="694E3BD0"/>
    <w:rsid w:val="69A57BD2"/>
    <w:rsid w:val="69CF36DE"/>
    <w:rsid w:val="69D66396"/>
    <w:rsid w:val="69DC4E96"/>
    <w:rsid w:val="69E63318"/>
    <w:rsid w:val="69F22079"/>
    <w:rsid w:val="6A0A5E44"/>
    <w:rsid w:val="6A1B07E5"/>
    <w:rsid w:val="6A2001CE"/>
    <w:rsid w:val="6A2A0CD6"/>
    <w:rsid w:val="6A2F4C15"/>
    <w:rsid w:val="6A4858C1"/>
    <w:rsid w:val="6A7560C4"/>
    <w:rsid w:val="6A8E5DBC"/>
    <w:rsid w:val="6AB0722C"/>
    <w:rsid w:val="6ACA1783"/>
    <w:rsid w:val="6AE804F5"/>
    <w:rsid w:val="6AE8063E"/>
    <w:rsid w:val="6AEB66B6"/>
    <w:rsid w:val="6AF00213"/>
    <w:rsid w:val="6B0A61EF"/>
    <w:rsid w:val="6B0C434F"/>
    <w:rsid w:val="6B111005"/>
    <w:rsid w:val="6B13730E"/>
    <w:rsid w:val="6B1F5CD8"/>
    <w:rsid w:val="6B23017D"/>
    <w:rsid w:val="6B342919"/>
    <w:rsid w:val="6B393CDB"/>
    <w:rsid w:val="6B663217"/>
    <w:rsid w:val="6B6A4D22"/>
    <w:rsid w:val="6B7C24F7"/>
    <w:rsid w:val="6B8535B2"/>
    <w:rsid w:val="6BAF3790"/>
    <w:rsid w:val="6BCD1D21"/>
    <w:rsid w:val="6BE77DA5"/>
    <w:rsid w:val="6BE841CE"/>
    <w:rsid w:val="6BEF7354"/>
    <w:rsid w:val="6C5A68D9"/>
    <w:rsid w:val="6C760176"/>
    <w:rsid w:val="6C79713D"/>
    <w:rsid w:val="6C9753F4"/>
    <w:rsid w:val="6CB17414"/>
    <w:rsid w:val="6CB17579"/>
    <w:rsid w:val="6CCB0111"/>
    <w:rsid w:val="6CCE3AC6"/>
    <w:rsid w:val="6CD46C09"/>
    <w:rsid w:val="6CDA770E"/>
    <w:rsid w:val="6CE5037D"/>
    <w:rsid w:val="6CFB6A1F"/>
    <w:rsid w:val="6D0322F0"/>
    <w:rsid w:val="6D3C2256"/>
    <w:rsid w:val="6D737D44"/>
    <w:rsid w:val="6D7B34B9"/>
    <w:rsid w:val="6D820B95"/>
    <w:rsid w:val="6DBF10E5"/>
    <w:rsid w:val="6DD769DD"/>
    <w:rsid w:val="6DDD3644"/>
    <w:rsid w:val="6DDF7241"/>
    <w:rsid w:val="6DE05D7D"/>
    <w:rsid w:val="6DE74E21"/>
    <w:rsid w:val="6E387FDA"/>
    <w:rsid w:val="6E3A2278"/>
    <w:rsid w:val="6E7E76EB"/>
    <w:rsid w:val="6E83261B"/>
    <w:rsid w:val="6E915661"/>
    <w:rsid w:val="6E965A6D"/>
    <w:rsid w:val="6EA5340D"/>
    <w:rsid w:val="6EDF7983"/>
    <w:rsid w:val="6F4B3B88"/>
    <w:rsid w:val="6F4D5369"/>
    <w:rsid w:val="6FA02C0D"/>
    <w:rsid w:val="6FAE1167"/>
    <w:rsid w:val="6FB11380"/>
    <w:rsid w:val="6FB75C16"/>
    <w:rsid w:val="6FDB4E1C"/>
    <w:rsid w:val="6FE528AC"/>
    <w:rsid w:val="6FFE50AD"/>
    <w:rsid w:val="703C71D6"/>
    <w:rsid w:val="70483FC4"/>
    <w:rsid w:val="70595347"/>
    <w:rsid w:val="705A515A"/>
    <w:rsid w:val="706E1617"/>
    <w:rsid w:val="709B7025"/>
    <w:rsid w:val="70EE164F"/>
    <w:rsid w:val="70F361E5"/>
    <w:rsid w:val="710B23DD"/>
    <w:rsid w:val="710D1793"/>
    <w:rsid w:val="71941C5C"/>
    <w:rsid w:val="719D3CBF"/>
    <w:rsid w:val="71AD4448"/>
    <w:rsid w:val="71C845B1"/>
    <w:rsid w:val="71D02177"/>
    <w:rsid w:val="71E47C67"/>
    <w:rsid w:val="71E93D5A"/>
    <w:rsid w:val="71FA5876"/>
    <w:rsid w:val="71FF0E62"/>
    <w:rsid w:val="7209098A"/>
    <w:rsid w:val="72255E29"/>
    <w:rsid w:val="722F4A3A"/>
    <w:rsid w:val="72377563"/>
    <w:rsid w:val="724E15C5"/>
    <w:rsid w:val="72606284"/>
    <w:rsid w:val="72820DF5"/>
    <w:rsid w:val="72871DD3"/>
    <w:rsid w:val="728C3065"/>
    <w:rsid w:val="72AA5DDE"/>
    <w:rsid w:val="72B5151D"/>
    <w:rsid w:val="72CE148F"/>
    <w:rsid w:val="73083214"/>
    <w:rsid w:val="731B4A7C"/>
    <w:rsid w:val="73473E8C"/>
    <w:rsid w:val="735D61B9"/>
    <w:rsid w:val="738563F2"/>
    <w:rsid w:val="73C051CB"/>
    <w:rsid w:val="73E93DCD"/>
    <w:rsid w:val="73EC084B"/>
    <w:rsid w:val="74327CE1"/>
    <w:rsid w:val="743F176F"/>
    <w:rsid w:val="74434B8B"/>
    <w:rsid w:val="744E786F"/>
    <w:rsid w:val="74500B6B"/>
    <w:rsid w:val="74711A29"/>
    <w:rsid w:val="7495684F"/>
    <w:rsid w:val="74A473B6"/>
    <w:rsid w:val="74BB6D30"/>
    <w:rsid w:val="74EE4A26"/>
    <w:rsid w:val="74F4782B"/>
    <w:rsid w:val="75146FFC"/>
    <w:rsid w:val="754546F0"/>
    <w:rsid w:val="756E5ECB"/>
    <w:rsid w:val="756F536D"/>
    <w:rsid w:val="75713018"/>
    <w:rsid w:val="75905670"/>
    <w:rsid w:val="75BC32D6"/>
    <w:rsid w:val="75BD2281"/>
    <w:rsid w:val="75D64B85"/>
    <w:rsid w:val="75E455B2"/>
    <w:rsid w:val="75F62642"/>
    <w:rsid w:val="76003F4B"/>
    <w:rsid w:val="762245F4"/>
    <w:rsid w:val="762651C4"/>
    <w:rsid w:val="763D0FF2"/>
    <w:rsid w:val="766A32FA"/>
    <w:rsid w:val="76765FD5"/>
    <w:rsid w:val="76E95C45"/>
    <w:rsid w:val="771868CC"/>
    <w:rsid w:val="772F3ECD"/>
    <w:rsid w:val="77420723"/>
    <w:rsid w:val="774C5F0F"/>
    <w:rsid w:val="774C645C"/>
    <w:rsid w:val="7770288B"/>
    <w:rsid w:val="77933823"/>
    <w:rsid w:val="77A504CC"/>
    <w:rsid w:val="77B32669"/>
    <w:rsid w:val="77BF2BD4"/>
    <w:rsid w:val="77C55F52"/>
    <w:rsid w:val="77CB4BC0"/>
    <w:rsid w:val="77DF469C"/>
    <w:rsid w:val="784461AC"/>
    <w:rsid w:val="784464DF"/>
    <w:rsid w:val="78485A36"/>
    <w:rsid w:val="787640C9"/>
    <w:rsid w:val="789D0C72"/>
    <w:rsid w:val="78A477B4"/>
    <w:rsid w:val="792E7F36"/>
    <w:rsid w:val="79362610"/>
    <w:rsid w:val="79404650"/>
    <w:rsid w:val="79767CB3"/>
    <w:rsid w:val="79800B09"/>
    <w:rsid w:val="79944B95"/>
    <w:rsid w:val="79976BF9"/>
    <w:rsid w:val="79B67861"/>
    <w:rsid w:val="79B84F43"/>
    <w:rsid w:val="79C37D0E"/>
    <w:rsid w:val="79C43B5A"/>
    <w:rsid w:val="79C9650F"/>
    <w:rsid w:val="79D67F42"/>
    <w:rsid w:val="79DB1720"/>
    <w:rsid w:val="7A021DB8"/>
    <w:rsid w:val="7A065747"/>
    <w:rsid w:val="7A195E96"/>
    <w:rsid w:val="7A1A0DDF"/>
    <w:rsid w:val="7A4B6187"/>
    <w:rsid w:val="7A5709EF"/>
    <w:rsid w:val="7A784262"/>
    <w:rsid w:val="7AA72B86"/>
    <w:rsid w:val="7AAD37AF"/>
    <w:rsid w:val="7AB64C94"/>
    <w:rsid w:val="7ACC5C2F"/>
    <w:rsid w:val="7AE449C9"/>
    <w:rsid w:val="7AE76A03"/>
    <w:rsid w:val="7B137A41"/>
    <w:rsid w:val="7B180060"/>
    <w:rsid w:val="7B39664D"/>
    <w:rsid w:val="7B4E7835"/>
    <w:rsid w:val="7B5F0483"/>
    <w:rsid w:val="7B61234A"/>
    <w:rsid w:val="7B6E6537"/>
    <w:rsid w:val="7B7E62F6"/>
    <w:rsid w:val="7B8B5EA0"/>
    <w:rsid w:val="7BAB0A4E"/>
    <w:rsid w:val="7BAD346B"/>
    <w:rsid w:val="7BDC5ECF"/>
    <w:rsid w:val="7BE423E7"/>
    <w:rsid w:val="7BFC0B98"/>
    <w:rsid w:val="7C0336D4"/>
    <w:rsid w:val="7C0F2600"/>
    <w:rsid w:val="7C196510"/>
    <w:rsid w:val="7C4906E7"/>
    <w:rsid w:val="7C4918B5"/>
    <w:rsid w:val="7C693741"/>
    <w:rsid w:val="7C900963"/>
    <w:rsid w:val="7C9217F0"/>
    <w:rsid w:val="7CB14A73"/>
    <w:rsid w:val="7CBB7ACC"/>
    <w:rsid w:val="7D026FD3"/>
    <w:rsid w:val="7D0F49BC"/>
    <w:rsid w:val="7D691ED1"/>
    <w:rsid w:val="7D9A0639"/>
    <w:rsid w:val="7DA03C01"/>
    <w:rsid w:val="7DAF5816"/>
    <w:rsid w:val="7DB46C6E"/>
    <w:rsid w:val="7DD67516"/>
    <w:rsid w:val="7DDD40B9"/>
    <w:rsid w:val="7DF10672"/>
    <w:rsid w:val="7E066261"/>
    <w:rsid w:val="7E4A779A"/>
    <w:rsid w:val="7E7B370D"/>
    <w:rsid w:val="7E9937C1"/>
    <w:rsid w:val="7E9A3485"/>
    <w:rsid w:val="7EA25E2E"/>
    <w:rsid w:val="7ED304A1"/>
    <w:rsid w:val="7EDF11C5"/>
    <w:rsid w:val="7EDF1DE5"/>
    <w:rsid w:val="7EF044B3"/>
    <w:rsid w:val="7EFD32AB"/>
    <w:rsid w:val="7F0E0C64"/>
    <w:rsid w:val="7F2A01FB"/>
    <w:rsid w:val="7F807065"/>
    <w:rsid w:val="7F850FF6"/>
    <w:rsid w:val="7FB50781"/>
    <w:rsid w:val="7FC74BEE"/>
    <w:rsid w:val="7FFA36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18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1">
    <w:name w:val="Default Paragraph Font"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pPr>
      <w:ind w:left="120"/>
    </w:pPr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20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page number"/>
    <w:basedOn w:val="11"/>
    <w:qFormat/>
    <w:uiPriority w:val="0"/>
  </w:style>
  <w:style w:type="paragraph" w:customStyle="1" w:styleId="14">
    <w:name w:val="List Paragraph1"/>
    <w:basedOn w:val="1"/>
    <w:qFormat/>
    <w:uiPriority w:val="99"/>
    <w:pPr>
      <w:ind w:firstLine="420" w:firstLineChars="200"/>
    </w:pPr>
    <w:rPr>
      <w:rFonts w:ascii="Times New Roman" w:hAnsi="Times New Roman" w:eastAsia="宋体" w:cs="Calibr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customXml" Target="../customXml/item1.xml"/><Relationship Id="rId18" Type="http://schemas.openxmlformats.org/officeDocument/2006/relationships/chart" Target="charts/chart1.xml"/><Relationship Id="rId17" Type="http://schemas.openxmlformats.org/officeDocument/2006/relationships/image" Target="media/image5.emf"/><Relationship Id="rId16" Type="http://schemas.openxmlformats.org/officeDocument/2006/relationships/oleObject" Target="embeddings/oleObject3.bin"/><Relationship Id="rId15" Type="http://schemas.openxmlformats.org/officeDocument/2006/relationships/image" Target="media/image4.emf"/><Relationship Id="rId14" Type="http://schemas.openxmlformats.org/officeDocument/2006/relationships/oleObject" Target="embeddings/oleObject2.bin"/><Relationship Id="rId13" Type="http://schemas.openxmlformats.org/officeDocument/2006/relationships/image" Target="media/image3.emf"/><Relationship Id="rId12" Type="http://schemas.openxmlformats.org/officeDocument/2006/relationships/oleObject" Target="embeddings/oleObject1.bin"/><Relationship Id="rId11" Type="http://schemas.openxmlformats.org/officeDocument/2006/relationships/image" Target="media/image2.png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4" Type="http://schemas.microsoft.com/office/2011/relationships/chartColorStyle" Target="colors1.xml"/><Relationship Id="rId3" Type="http://schemas.microsoft.com/office/2011/relationships/chartStyle" Target="style1.xml"/><Relationship Id="rId2" Type="http://schemas.openxmlformats.org/officeDocument/2006/relationships/themeOverride" Target="../theme/themeOverride1.xml"/><Relationship Id="rId1" Type="http://schemas.openxmlformats.org/officeDocument/2006/relationships/package" Target="../embeddings/Workbook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600" b="1" i="0" u="none" strike="noStrike" kern="1200" spc="100" baseline="0">
                <a:ln>
                  <a:noFill/>
                </a:ln>
                <a:solidFill>
                  <a:schemeClr val="dk1"/>
                </a:solidFill>
                <a:effectLst/>
                <a:latin typeface="+mn-lt"/>
                <a:ea typeface="+mn-ea"/>
                <a:cs typeface="+mn-cs"/>
              </a:defRPr>
            </a:pPr>
            <a:r>
              <a:rPr sz="1000">
                <a:ln>
                  <a:noFill/>
                </a:ln>
                <a:solidFill>
                  <a:schemeClr val="tx1"/>
                </a:solidFill>
                <a:effectLst/>
                <a:uFillTx/>
                <a:latin typeface="+mj-ea"/>
                <a:ea typeface="宋体" panose="02010600030101010101" charset="-122"/>
                <a:cs typeface="黑体" panose="02010600030101010101" charset="-122"/>
              </a:rPr>
              <a:t>202</a:t>
            </a:r>
            <a:r>
              <a:rPr lang="en-US" altLang="zh-CN" sz="1000">
                <a:ln>
                  <a:noFill/>
                </a:ln>
                <a:solidFill>
                  <a:schemeClr val="tx1"/>
                </a:solidFill>
                <a:effectLst/>
                <a:uFillTx/>
                <a:latin typeface="+mj-ea"/>
                <a:ea typeface="宋体" panose="02010600030101010101" charset="-122"/>
                <a:cs typeface="黑体" panose="02010600030101010101" charset="-122"/>
              </a:rPr>
              <a:t>2</a:t>
            </a:r>
            <a:r>
              <a:rPr sz="1000">
                <a:ln>
                  <a:noFill/>
                </a:ln>
                <a:solidFill>
                  <a:schemeClr val="tx1"/>
                </a:solidFill>
                <a:effectLst/>
                <a:uFillTx/>
                <a:latin typeface="+mj-ea"/>
                <a:ea typeface="宋体" panose="02010600030101010101" charset="-122"/>
                <a:cs typeface="黑体" panose="02010600030101010101" charset="-122"/>
              </a:rPr>
              <a:t>年</a:t>
            </a:r>
            <a:r>
              <a:rPr lang="en-US" altLang="zh-CN" sz="1000">
                <a:ln>
                  <a:noFill/>
                </a:ln>
                <a:solidFill>
                  <a:schemeClr val="tx1"/>
                </a:solidFill>
                <a:effectLst/>
                <a:uFillTx/>
                <a:latin typeface="+mj-ea"/>
                <a:ea typeface="宋体" panose="02010600030101010101" charset="-122"/>
                <a:cs typeface="黑体" panose="02010600030101010101" charset="-122"/>
              </a:rPr>
              <a:t>1-3</a:t>
            </a:r>
            <a:r>
              <a:rPr sz="1000">
                <a:ln>
                  <a:noFill/>
                </a:ln>
                <a:solidFill>
                  <a:schemeClr val="tx1"/>
                </a:solidFill>
                <a:effectLst/>
                <a:uFillTx/>
                <a:latin typeface="+mj-ea"/>
                <a:ea typeface="宋体" panose="02010600030101010101" charset="-122"/>
                <a:cs typeface="黑体" panose="02010600030101010101" charset="-122"/>
              </a:rPr>
              <a:t>月一般公共预算支出分</a:t>
            </a:r>
            <a:r>
              <a:rPr sz="1000">
                <a:ln>
                  <a:noFill/>
                </a:ln>
                <a:solidFill>
                  <a:schemeClr val="tx1"/>
                </a:solidFill>
                <a:effectLst/>
                <a:uFillTx/>
                <a:latin typeface="+中文标题" charset="0"/>
                <a:ea typeface="宋体" panose="02010600030101010101" charset="-122"/>
                <a:cs typeface="黑体" panose="02010600030101010101" charset="-122"/>
              </a:rPr>
              <a:t>项占比图</a:t>
            </a:r>
            <a:endParaRPr sz="1000">
              <a:ln>
                <a:noFill/>
              </a:ln>
              <a:solidFill>
                <a:schemeClr val="tx1"/>
              </a:solidFill>
              <a:effectLst/>
              <a:uFillTx/>
              <a:latin typeface="+中文标题" charset="0"/>
              <a:ea typeface="宋体" panose="02010600030101010101" charset="-122"/>
              <a:cs typeface="黑体" panose="02010600030101010101" charset="-122"/>
            </a:endParaRPr>
          </a:p>
        </c:rich>
      </c:tx>
      <c:layout>
        <c:manualLayout>
          <c:xMode val="edge"/>
          <c:yMode val="edge"/>
          <c:x val="0.202112808769241"/>
          <c:y val="0.0083352683904547"/>
        </c:manualLayout>
      </c:layout>
      <c:overlay val="0"/>
      <c:spPr>
        <a:noFill/>
        <a:ln w="25400" cap="flat" cmpd="sng" algn="ctr">
          <a:noFill/>
          <a:prstDash val="solid"/>
        </a:ln>
        <a:effectLst/>
        <a:sp3d>
          <a:extrusionClr>
            <a:srgbClr val="FFFFFF"/>
          </a:extrusionClr>
          <a:contourClr>
            <a:srgbClr val="FFFFFF"/>
          </a:contourClr>
        </a:sp3d>
      </c:spPr>
    </c:title>
    <c:autoTitleDeleted val="0"/>
    <c:plotArea>
      <c:layout>
        <c:manualLayout>
          <c:layoutTarget val="inner"/>
          <c:xMode val="edge"/>
          <c:yMode val="edge"/>
          <c:x val="0.273443004115226"/>
          <c:y val="0.166666666666667"/>
          <c:w val="0.463007407407407"/>
          <c:h val="0.781325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2022年1-3月一般公共预算支出分项占比图</c:v>
                </c:pt>
              </c:strCache>
            </c:strRef>
          </c:tx>
          <c:spPr/>
          <c:explosion val="1"/>
          <c:dPt>
            <c:idx val="0"/>
            <c:bubble3D val="0"/>
            <c:spPr>
              <a:gradFill rotWithShape="1">
                <a:gsLst>
                  <a:gs pos="0">
                    <a:schemeClr val="accent2">
                      <a:shade val="45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hade val="45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shade val="45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61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hade val="61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shade val="61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2">
                      <a:shade val="76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hade val="76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shade val="76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3"/>
            <c:bubble3D val="0"/>
            <c:explosion val="0"/>
            <c:spPr>
              <a:gradFill rotWithShape="1">
                <a:gsLst>
                  <a:gs pos="0">
                    <a:schemeClr val="accent2">
                      <a:shade val="92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hade val="92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shade val="92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4"/>
            <c:bubble3D val="0"/>
            <c:spPr>
              <a:gradFill rotWithShape="1">
                <a:gsLst>
                  <a:gs pos="0">
                    <a:schemeClr val="accent2">
                      <a:tint val="93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tint val="93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tint val="93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5"/>
            <c:bubble3D val="0"/>
            <c:spPr>
              <a:gradFill rotWithShape="1">
                <a:gsLst>
                  <a:gs pos="0">
                    <a:schemeClr val="accent2">
                      <a:tint val="77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tint val="77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tint val="77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6"/>
            <c:bubble3D val="0"/>
            <c:explosion val="1"/>
            <c:spPr>
              <a:gradFill rotWithShape="1">
                <a:gsLst>
                  <a:gs pos="0">
                    <a:schemeClr val="accent2">
                      <a:tint val="62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tint val="62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tint val="62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7"/>
            <c:bubble3D val="0"/>
            <c:spPr>
              <a:gradFill rotWithShape="1">
                <a:gsLst>
                  <a:gs pos="0">
                    <a:schemeClr val="accent2">
                      <a:tint val="46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tint val="46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tint val="46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8"/>
            <c:bubble3D val="0"/>
            <c:spPr>
              <a:gradFill rotWithShape="1">
                <a:gsLst>
                  <a:gs pos="0">
                    <a:schemeClr val="accent2">
                      <a:shade val="96316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hade val="96316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shade val="96316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9"/>
            <c:bubble3D val="0"/>
            <c:spPr>
              <a:gradFill rotWithShape="1">
                <a:gsLst>
                  <a:gs pos="0">
                    <a:schemeClr val="accent2">
                      <a:tint val="96316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tint val="96316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tint val="96316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10"/>
            <c:bubble3D val="0"/>
            <c:spPr>
              <a:gradFill rotWithShape="1">
                <a:gsLst>
                  <a:gs pos="0">
                    <a:schemeClr val="accent2">
                      <a:tint val="88947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tint val="88947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tint val="88947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11"/>
            <c:bubble3D val="0"/>
            <c:spPr>
              <a:gradFill rotWithShape="1">
                <a:gsLst>
                  <a:gs pos="0">
                    <a:schemeClr val="accent2">
                      <a:tint val="81579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tint val="81579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tint val="81579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12"/>
            <c:bubble3D val="0"/>
            <c:spPr>
              <a:gradFill rotWithShape="1">
                <a:gsLst>
                  <a:gs pos="0">
                    <a:schemeClr val="accent2">
                      <a:tint val="74211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tint val="74211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tint val="74211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13"/>
            <c:bubble3D val="0"/>
            <c:spPr>
              <a:gradFill rotWithShape="1">
                <a:gsLst>
                  <a:gs pos="0">
                    <a:schemeClr val="accent2">
                      <a:tint val="66842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tint val="66842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tint val="66842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14"/>
            <c:bubble3D val="0"/>
            <c:spPr>
              <a:gradFill rotWithShape="1">
                <a:gsLst>
                  <a:gs pos="0">
                    <a:schemeClr val="accent2">
                      <a:tint val="59474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tint val="59474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tint val="59474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15"/>
            <c:bubble3D val="0"/>
            <c:spPr>
              <a:gradFill rotWithShape="1">
                <a:gsLst>
                  <a:gs pos="0">
                    <a:schemeClr val="accent2">
                      <a:tint val="52105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tint val="52105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tint val="52105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16"/>
            <c:bubble3D val="0"/>
            <c:spPr>
              <a:gradFill rotWithShape="1">
                <a:gsLst>
                  <a:gs pos="0">
                    <a:schemeClr val="accent2">
                      <a:tint val="44737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tint val="44737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tint val="44737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17"/>
            <c:bubble3D val="0"/>
            <c:spPr>
              <a:gradFill rotWithShape="1">
                <a:gsLst>
                  <a:gs pos="0">
                    <a:schemeClr val="accent2">
                      <a:tint val="37368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tint val="37368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tint val="37368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Lbls>
            <c:dLbl>
              <c:idx val="0"/>
              <c:layout>
                <c:manualLayout>
                  <c:x val="-0.228114013438852"/>
                  <c:y val="0"/>
                </c:manualLayout>
              </c:layout>
              <c:tx>
                <c:rich>
                  <a:bodyPr rot="0" spcFirstLastPara="0" vertOverflow="ellipsis" vert="horz" wrap="square" lIns="36576" tIns="18288" rIns="36576" bIns="18288" anchor="ctr" anchorCtr="1" forceAA="0"/>
                  <a:lstStyle/>
                  <a:p>
                    <a:pPr defTabSz="914400">
                      <a:defRPr lang="zh-CN" sz="700" b="0" i="0" u="none" strike="noStrike" kern="1200" cap="none" normalizeH="0" baseline="0">
                        <a:solidFill>
                          <a:schemeClr val="tx1"/>
                        </a:solidFill>
                        <a:uFill>
                          <a:solidFill>
                            <a:schemeClr val="tx1"/>
                          </a:solidFill>
                        </a:uFill>
                        <a:latin typeface="+mn-lt"/>
                        <a:ea typeface="宋体" panose="02010600030101010101" charset="-122"/>
                        <a:cs typeface="+mn-cs"/>
                      </a:defRPr>
                    </a:pPr>
                    <a:r>
                      <a:t>资源勘探信息等21%</a:t>
                    </a:r>
                  </a:p>
                </c:rich>
              </c:tx>
              <c:numFmt formatCode="General" sourceLinked="1"/>
              <c:spPr>
                <a:noFill/>
                <a:ln w="25400" cap="flat" cmpd="sng" algn="ctr">
                  <a:noFill/>
                  <a:prstDash val="solid"/>
                </a:ln>
                <a:effectLst/>
                <a:sp3d>
                  <a:extrusionClr>
                    <a:srgbClr val="FFFFFF"/>
                  </a:extrusionClr>
                  <a:contourClr>
                    <a:srgbClr val="FFFFFF"/>
                  </a:contourClr>
                </a:sp3d>
              </c:spPr>
              <c:txPr>
                <a:bodyPr rot="0" spcFirstLastPara="0" vertOverflow="ellipsis" vert="horz" wrap="square" lIns="36576" tIns="18288" rIns="36576" bIns="18288" anchor="ctr" anchorCtr="1" forceAA="0"/>
                <a:lstStyle/>
                <a:p>
                  <a:pPr>
                    <a:defRPr lang="zh-CN" sz="700" b="0" i="0" u="none" strike="noStrike" kern="1200" cap="none" normalizeH="0" baseline="0">
                      <a:solidFill>
                        <a:schemeClr val="tx1"/>
                      </a:solidFill>
                      <a:uFill>
                        <a:solidFill>
                          <a:schemeClr val="tx1"/>
                        </a:solidFill>
                      </a:uFill>
                      <a:latin typeface="+mn-lt"/>
                      <a:ea typeface="宋体" panose="02010600030101010101" charset="-122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09319310546304"/>
                      <c:h val="0.10078125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-0.100055753994691"/>
                  <c:y val="-0.0386753118125565"/>
                </c:manualLayout>
              </c:layout>
              <c:tx>
                <c:rich>
                  <a:bodyPr rot="0" spcFirstLastPara="0" vertOverflow="ellipsis" vert="horz" wrap="square" lIns="36576" tIns="18288" rIns="36576" bIns="18288" anchor="ctr" anchorCtr="1" forceAA="0"/>
                  <a:lstStyle/>
                  <a:p>
                    <a:pPr defTabSz="914400">
                      <a:defRPr lang="zh-CN" sz="700" b="0" i="0" u="none" strike="noStrike" kern="1200" cap="none" normalizeH="0" baseline="0">
                        <a:solidFill>
                          <a:schemeClr val="tx1"/>
                        </a:solidFill>
                        <a:uFill>
                          <a:solidFill>
                            <a:schemeClr val="tx1"/>
                          </a:solidFill>
                        </a:uFill>
                        <a:latin typeface="+mn-lt"/>
                        <a:ea typeface="宋体" panose="02010600030101010101" charset="-122"/>
                        <a:cs typeface="+mn-cs"/>
                      </a:defRPr>
                    </a:pPr>
                    <a:r>
                      <a:t>城乡社区</a:t>
                    </a:r>
                    <a:r>
                      <a:rPr lang="en-US" altLang="zh-CN"/>
                      <a:t>,</a:t>
                    </a:r>
                    <a:r>
                      <a:t>14%</a:t>
                    </a:r>
                  </a:p>
                </c:rich>
              </c:tx>
              <c:numFmt formatCode="General" sourceLinked="1"/>
              <c:spPr>
                <a:noFill/>
                <a:ln w="25400" cap="flat" cmpd="sng" algn="ctr">
                  <a:noFill/>
                  <a:prstDash val="solid"/>
                </a:ln>
                <a:effectLst/>
                <a:sp3d>
                  <a:extrusionClr>
                    <a:srgbClr val="FFFFFF"/>
                  </a:extrusionClr>
                  <a:contourClr>
                    <a:srgbClr val="FFFFFF"/>
                  </a:contourClr>
                </a:sp3d>
              </c:spPr>
              <c:txPr>
                <a:bodyPr rot="0" spcFirstLastPara="0" vertOverflow="ellipsis" vert="horz" wrap="square" lIns="36576" tIns="18288" rIns="36576" bIns="18288" anchor="ctr" anchorCtr="1" forceAA="0"/>
                <a:lstStyle/>
                <a:p>
                  <a:pPr>
                    <a:defRPr lang="zh-CN" sz="700" b="0" i="0" u="none" strike="noStrike" kern="1200" cap="none" normalizeH="0" baseline="0">
                      <a:solidFill>
                        <a:schemeClr val="tx1"/>
                      </a:solidFill>
                      <a:uFill>
                        <a:solidFill>
                          <a:schemeClr val="tx1"/>
                        </a:solidFill>
                      </a:uFill>
                      <a:latin typeface="+mn-lt"/>
                      <a:ea typeface="宋体" panose="02010600030101010101" charset="-122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57227266176683"/>
                      <c:h val="0.0706547338671691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-0.0808421536958723"/>
                  <c:y val="0.0100146868941169"/>
                </c:manualLayout>
              </c:layout>
              <c:numFmt formatCode="General" sourceLinked="1"/>
              <c:spPr>
                <a:noFill/>
                <a:ln w="25400" cap="flat" cmpd="sng" algn="ctr">
                  <a:noFill/>
                  <a:prstDash val="solid"/>
                </a:ln>
                <a:effectLst/>
                <a:sp3d>
                  <a:extrusionClr>
                    <a:srgbClr val="FFFFFF"/>
                  </a:extrusionClr>
                  <a:contourClr>
                    <a:srgbClr val="FFFFFF"/>
                  </a:contourClr>
                </a:sp3d>
              </c:spPr>
              <c:txPr>
                <a:bodyPr rot="0" spcFirstLastPara="0" vertOverflow="ellipsis" vert="horz" wrap="square" lIns="36576" tIns="18288" rIns="36576" bIns="18288" anchor="ctr" anchorCtr="1" forceAA="0"/>
                <a:lstStyle/>
                <a:p>
                  <a:pPr>
                    <a:defRPr lang="zh-CN" sz="700" b="0" i="0" u="none" strike="noStrike" kern="1200" cap="none" normalizeH="0" baseline="0">
                      <a:solidFill>
                        <a:schemeClr val="tx1"/>
                      </a:solidFill>
                      <a:uFill>
                        <a:solidFill>
                          <a:schemeClr val="tx1"/>
                        </a:solidFill>
                      </a:uFill>
                      <a:latin typeface="+mn-lt"/>
                      <a:ea typeface="宋体" panose="02010600030101010101" charset="-122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191921916183269"/>
                  <c:y val="0.0215027036598455"/>
                </c:manualLayout>
              </c:layout>
              <c:tx>
                <c:rich>
                  <a:bodyPr rot="0" spcFirstLastPara="0" vertOverflow="ellipsis" vert="horz" wrap="square" lIns="36576" tIns="18288" rIns="36576" bIns="18288" anchor="ctr" anchorCtr="1" forceAA="0"/>
                  <a:lstStyle/>
                  <a:p>
                    <a:pPr defTabSz="914400">
                      <a:defRPr lang="zh-CN" sz="700" b="0" i="0" u="none" strike="noStrike" kern="1200" cap="none" normalizeH="0" baseline="0">
                        <a:solidFill>
                          <a:schemeClr val="tx1"/>
                        </a:solidFill>
                        <a:uFill>
                          <a:solidFill>
                            <a:schemeClr val="tx1"/>
                          </a:solidFill>
                        </a:uFill>
                        <a:latin typeface="+mn-lt"/>
                        <a:ea typeface="宋体" panose="02010600030101010101" charset="-122"/>
                        <a:cs typeface="+mn-cs"/>
                      </a:defRPr>
                    </a:pPr>
                    <a:r>
                      <a:t>教育</a:t>
                    </a:r>
                    <a:r>
                      <a:rPr lang="en-US" altLang="zh-CN"/>
                      <a:t>,</a:t>
                    </a:r>
                    <a:r>
                      <a:t>9%</a:t>
                    </a:r>
                  </a:p>
                </c:rich>
              </c:tx>
              <c:numFmt formatCode="General" sourceLinked="1"/>
              <c:spPr>
                <a:noFill/>
                <a:ln w="25400" cap="flat" cmpd="sng" algn="ctr">
                  <a:noFill/>
                  <a:prstDash val="solid"/>
                </a:ln>
                <a:effectLst/>
                <a:sp3d>
                  <a:extrusionClr>
                    <a:srgbClr val="FFFFFF"/>
                  </a:extrusionClr>
                  <a:contourClr>
                    <a:srgbClr val="FFFFFF"/>
                  </a:contourClr>
                </a:sp3d>
              </c:spPr>
              <c:txPr>
                <a:bodyPr rot="0" spcFirstLastPara="0" vertOverflow="ellipsis" vert="horz" wrap="square" lIns="36576" tIns="18288" rIns="36576" bIns="18288" anchor="ctr" anchorCtr="1" forceAA="0"/>
                <a:lstStyle/>
                <a:p>
                  <a:pPr>
                    <a:defRPr lang="zh-CN" sz="700" b="0" i="0" u="none" strike="noStrike" kern="1200" cap="none" normalizeH="0" baseline="0">
                      <a:solidFill>
                        <a:schemeClr val="tx1"/>
                      </a:solidFill>
                      <a:uFill>
                        <a:solidFill>
                          <a:schemeClr val="tx1"/>
                        </a:solidFill>
                      </a:uFill>
                      <a:latin typeface="+mn-lt"/>
                      <a:ea typeface="宋体" panose="02010600030101010101" charset="-122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21343133016285"/>
                      <c:h val="0.0843558282208589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-0.13472918100046"/>
                  <c:y val="0.0250571118356566"/>
                </c:manualLayout>
              </c:layout>
              <c:tx>
                <c:rich>
                  <a:bodyPr rot="0" spcFirstLastPara="0" vertOverflow="ellipsis" vert="horz" wrap="square" lIns="36576" tIns="18288" rIns="36576" bIns="18288" anchor="ctr" anchorCtr="1" forceAA="0"/>
                  <a:lstStyle/>
                  <a:p>
                    <a:pPr defTabSz="914400">
                      <a:defRPr lang="zh-CN" sz="700" b="0" i="0" u="none" strike="noStrike" kern="1200" cap="none" normalizeH="0" baseline="0">
                        <a:solidFill>
                          <a:schemeClr val="tx1"/>
                        </a:solidFill>
                        <a:uFill>
                          <a:solidFill>
                            <a:schemeClr val="tx1"/>
                          </a:solidFill>
                        </a:uFill>
                        <a:latin typeface="+mn-lt"/>
                        <a:ea typeface="宋体" panose="02010600030101010101" charset="-122"/>
                        <a:cs typeface="+mn-cs"/>
                      </a:defRPr>
                    </a:pPr>
                    <a:r>
                      <a:t>一般公共服务</a:t>
                    </a:r>
                    <a:r>
                      <a:rPr lang="en-US" altLang="zh-CN"/>
                      <a:t>,</a:t>
                    </a:r>
                    <a:r>
                      <a:t>9%</a:t>
                    </a:r>
                  </a:p>
                </c:rich>
              </c:tx>
              <c:numFmt formatCode="General" sourceLinked="1"/>
              <c:spPr>
                <a:noFill/>
                <a:ln w="25400" cap="flat" cmpd="sng" algn="ctr">
                  <a:noFill/>
                  <a:prstDash val="solid"/>
                </a:ln>
                <a:effectLst/>
                <a:sp3d>
                  <a:extrusionClr>
                    <a:srgbClr val="FFFFFF"/>
                  </a:extrusionClr>
                  <a:contourClr>
                    <a:srgbClr val="FFFFFF"/>
                  </a:contourClr>
                </a:sp3d>
              </c:spPr>
              <c:txPr>
                <a:bodyPr rot="0" spcFirstLastPara="0" vertOverflow="ellipsis" vert="horz" wrap="square" lIns="36576" tIns="18288" rIns="36576" bIns="18288" anchor="ctr" anchorCtr="1" forceAA="0"/>
                <a:lstStyle/>
                <a:p>
                  <a:pPr>
                    <a:defRPr lang="zh-CN" sz="700" b="0" i="0" u="none" strike="noStrike" kern="1200" cap="none" normalizeH="0" baseline="0">
                      <a:solidFill>
                        <a:schemeClr val="tx1"/>
                      </a:solidFill>
                      <a:uFill>
                        <a:solidFill>
                          <a:schemeClr val="tx1"/>
                        </a:solidFill>
                      </a:uFill>
                      <a:latin typeface="+mn-lt"/>
                      <a:ea typeface="宋体" panose="02010600030101010101" charset="-122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91382043522121"/>
                      <c:h val="0.0812529439472445"/>
                    </c:manualLayout>
                  </c15:layout>
                </c:ext>
              </c:extLst>
            </c:dLbl>
            <c:dLbl>
              <c:idx val="5"/>
              <c:layout>
                <c:manualLayout>
                  <c:x val="0.0525751167513754"/>
                  <c:y val="-0.0362873735948051"/>
                </c:manualLayout>
              </c:layout>
              <c:tx>
                <c:rich>
                  <a:bodyPr rot="0" spcFirstLastPara="0" vertOverflow="ellipsis" vert="horz" wrap="square" lIns="36576" tIns="18288" rIns="36576" bIns="18288" anchor="ctr" anchorCtr="1" forceAA="0"/>
                  <a:lstStyle/>
                  <a:p>
                    <a:pPr defTabSz="914400">
                      <a:defRPr lang="zh-CN" sz="700" b="0" i="0" u="none" strike="noStrike" kern="1200" cap="none" normalizeH="0" baseline="0">
                        <a:solidFill>
                          <a:schemeClr val="tx1"/>
                        </a:solidFill>
                        <a:uFill>
                          <a:solidFill>
                            <a:schemeClr val="tx1"/>
                          </a:solidFill>
                        </a:uFill>
                        <a:latin typeface="+mn-lt"/>
                        <a:ea typeface="宋体" panose="02010600030101010101" charset="-122"/>
                        <a:cs typeface="+mn-cs"/>
                      </a:defRPr>
                    </a:pPr>
                    <a:r>
                      <a:t>农林水</a:t>
                    </a:r>
                    <a:r>
                      <a:rPr lang="en-US" altLang="zh-CN"/>
                      <a:t>,</a:t>
                    </a:r>
                    <a:r>
                      <a:t>6%</a:t>
                    </a:r>
                  </a:p>
                </c:rich>
              </c:tx>
              <c:numFmt formatCode="General" sourceLinked="1"/>
              <c:spPr>
                <a:noFill/>
                <a:ln w="25400" cap="flat" cmpd="sng" algn="ctr">
                  <a:noFill/>
                  <a:prstDash val="solid"/>
                </a:ln>
                <a:effectLst/>
                <a:sp3d>
                  <a:extrusionClr>
                    <a:srgbClr val="FFFFFF"/>
                  </a:extrusionClr>
                  <a:contourClr>
                    <a:srgbClr val="FFFFFF"/>
                  </a:contourClr>
                </a:sp3d>
              </c:spPr>
              <c:txPr>
                <a:bodyPr rot="0" spcFirstLastPara="0" vertOverflow="ellipsis" vert="horz" wrap="square" lIns="36576" tIns="18288" rIns="36576" bIns="18288" anchor="ctr" anchorCtr="1" forceAA="0"/>
                <a:lstStyle/>
                <a:p>
                  <a:pPr>
                    <a:defRPr lang="zh-CN" sz="700" b="0" i="0" u="none" strike="noStrike" kern="1200" cap="none" normalizeH="0" baseline="0">
                      <a:solidFill>
                        <a:schemeClr val="tx1"/>
                      </a:solidFill>
                      <a:uFill>
                        <a:solidFill>
                          <a:schemeClr val="tx1"/>
                        </a:solidFill>
                      </a:uFill>
                      <a:latin typeface="+mn-lt"/>
                      <a:ea typeface="宋体" panose="02010600030101010101" charset="-122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0.0780543032986954"/>
                  <c:y val="-0.0546993972083327"/>
                </c:manualLayout>
              </c:layout>
              <c:tx>
                <c:rich>
                  <a:bodyPr rot="0" spcFirstLastPara="0" vertOverflow="clip" horzOverflow="clip" vert="horz" wrap="square" lIns="36576" tIns="18288" rIns="36576" bIns="18288" anchor="ctr" anchorCtr="1" forceAA="0">
                    <a:spAutoFit/>
                  </a:bodyPr>
                  <a:lstStyle/>
                  <a:p>
                    <a:pPr defTabSz="914400">
                      <a:defRPr lang="zh-CN" sz="700" b="0" i="0" u="none" strike="noStrike" kern="1200" cap="none" normalizeH="0" baseline="0">
                        <a:solidFill>
                          <a:schemeClr val="tx1"/>
                        </a:solidFill>
                        <a:uFill>
                          <a:solidFill>
                            <a:schemeClr val="tx1"/>
                          </a:solidFill>
                        </a:uFill>
                        <a:latin typeface="+mn-lt"/>
                        <a:ea typeface="宋体" panose="02010600030101010101" charset="-122"/>
                        <a:cs typeface="+mn-cs"/>
                      </a:defRPr>
                    </a:pPr>
                    <a:r>
                      <a:t>自然资源海洋气象等</a:t>
                    </a:r>
                    <a:r>
                      <a:rPr lang="en-US" altLang="zh-CN"/>
                      <a:t>,</a:t>
                    </a:r>
                    <a:r>
                      <a:t>1%</a:t>
                    </a:r>
                  </a:p>
                </c:rich>
              </c:tx>
              <c:numFmt formatCode="General" sourceLinked="1"/>
              <c:spPr>
                <a:noFill/>
                <a:ln w="25400" cap="flat" cmpd="sng" algn="ctr">
                  <a:noFill/>
                  <a:prstDash val="solid"/>
                </a:ln>
                <a:effectLst/>
                <a:sp3d>
                  <a:extrusionClr>
                    <a:srgbClr val="FFFFFF"/>
                  </a:extrusionClr>
                  <a:contourClr>
                    <a:srgbClr val="FFFFFF"/>
                  </a:contourClr>
                </a:sp3d>
              </c:spPr>
              <c:txPr>
                <a:bodyPr rot="0" spcFirstLastPara="0" vertOverflow="clip" horzOverflow="clip" vert="horz" wrap="square" lIns="36576" tIns="18288" rIns="36576" bIns="18288" anchor="ctr" anchorCtr="1" forceAA="0">
                  <a:spAutoFit/>
                </a:bodyPr>
                <a:lstStyle/>
                <a:p>
                  <a:pPr>
                    <a:defRPr lang="zh-CN" sz="700" b="0" i="0" u="none" strike="noStrike" kern="1200" cap="none" normalizeH="0" baseline="0">
                      <a:solidFill>
                        <a:schemeClr val="tx1"/>
                      </a:solidFill>
                      <a:uFill>
                        <a:solidFill>
                          <a:schemeClr val="tx1"/>
                        </a:solidFill>
                      </a:uFill>
                      <a:latin typeface="+mn-lt"/>
                      <a:ea typeface="宋体" panose="02010600030101010101" charset="-122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51621271076524"/>
                      <c:h val="0.0635892604804522"/>
                    </c:manualLayout>
                  </c15:layout>
                </c:ext>
              </c:extLst>
            </c:dLbl>
            <c:dLbl>
              <c:idx val="7"/>
              <c:layout>
                <c:manualLayout>
                  <c:x val="0.302647409246842"/>
                  <c:y val="-0.0573000834439766"/>
                </c:manualLayout>
              </c:layout>
              <c:tx>
                <c:rich>
                  <a:bodyPr rot="0" spcFirstLastPara="0" vertOverflow="clip" horzOverflow="clip" vert="horz" wrap="square" lIns="36576" tIns="18288" rIns="36576" bIns="18288" anchor="ctr" anchorCtr="1" forceAA="0">
                    <a:spAutoFit/>
                  </a:bodyPr>
                  <a:lstStyle/>
                  <a:p>
                    <a:pPr defTabSz="914400">
                      <a:defRPr lang="zh-CN" sz="700" b="0" i="0" u="none" strike="noStrike" kern="1200" cap="none" normalizeH="0" baseline="0">
                        <a:solidFill>
                          <a:schemeClr val="tx1"/>
                        </a:solidFill>
                        <a:uFill>
                          <a:solidFill>
                            <a:schemeClr val="tx1"/>
                          </a:solidFill>
                        </a:uFill>
                        <a:latin typeface="+mn-lt"/>
                        <a:ea typeface="宋体" panose="02010600030101010101" charset="-122"/>
                        <a:cs typeface="+mn-cs"/>
                      </a:defRPr>
                    </a:pPr>
                    <a:r>
                      <a:t>节能环保</a:t>
                    </a:r>
                    <a:r>
                      <a:rPr lang="en-US" altLang="zh-CN"/>
                      <a:t>,</a:t>
                    </a:r>
                    <a:r>
                      <a:t>6%</a:t>
                    </a:r>
                  </a:p>
                </c:rich>
              </c:tx>
              <c:numFmt formatCode="General" sourceLinked="1"/>
              <c:spPr>
                <a:noFill/>
                <a:ln w="25400" cap="flat" cmpd="sng" algn="ctr">
                  <a:noFill/>
                  <a:prstDash val="solid"/>
                </a:ln>
                <a:effectLst/>
                <a:sp3d>
                  <a:extrusionClr>
                    <a:srgbClr val="FFFFFF"/>
                  </a:extrusionClr>
                  <a:contourClr>
                    <a:srgbClr val="FFFFFF"/>
                  </a:contourClr>
                </a:sp3d>
              </c:spPr>
              <c:txPr>
                <a:bodyPr rot="0" spcFirstLastPara="0" vertOverflow="clip" horzOverflow="clip" vert="horz" wrap="square" lIns="36576" tIns="18288" rIns="36576" bIns="18288" anchor="ctr" anchorCtr="1" forceAA="0">
                  <a:spAutoFit/>
                </a:bodyPr>
                <a:lstStyle/>
                <a:p>
                  <a:pPr>
                    <a:defRPr lang="zh-CN" sz="700" b="0" i="0" u="none" strike="noStrike" kern="1200" cap="none" normalizeH="0" baseline="0">
                      <a:solidFill>
                        <a:schemeClr val="tx1"/>
                      </a:solidFill>
                      <a:uFill>
                        <a:solidFill>
                          <a:schemeClr val="tx1"/>
                        </a:solidFill>
                      </a:uFill>
                      <a:latin typeface="+mn-lt"/>
                      <a:ea typeface="宋体" panose="02010600030101010101" charset="-122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42750261858447"/>
                      <c:h val="0.0598428835489834"/>
                    </c:manualLayout>
                  </c15:layout>
                </c:ext>
              </c:extLst>
            </c:dLbl>
            <c:dLbl>
              <c:idx val="8"/>
              <c:layout>
                <c:manualLayout>
                  <c:x val="0.20768895420633"/>
                  <c:y val="-0.0649564121913725"/>
                </c:manualLayout>
              </c:layout>
              <c:tx>
                <c:rich>
                  <a:bodyPr rot="0" spcFirstLastPara="0" vertOverflow="clip" horzOverflow="clip" vert="horz" wrap="square" lIns="36576" tIns="18288" rIns="36576" bIns="18288" anchor="ctr" anchorCtr="1" forceAA="0">
                    <a:spAutoFit/>
                  </a:bodyPr>
                  <a:lstStyle/>
                  <a:p>
                    <a:pPr defTabSz="914400">
                      <a:defRPr lang="zh-CN" sz="700" b="0" i="0" u="none" strike="noStrike" kern="1200" cap="none" spc="0" normalizeH="0" baseline="0">
                        <a:solidFill>
                          <a:schemeClr val="tx1"/>
                        </a:solidFill>
                        <a:uFill>
                          <a:solidFill>
                            <a:schemeClr val="tx1"/>
                          </a:solidFill>
                        </a:uFill>
                        <a:latin typeface="+mn-lt"/>
                        <a:ea typeface="宋体" panose="02010600030101010101" charset="-122"/>
                        <a:cs typeface="+mn-cs"/>
                      </a:defRPr>
                    </a:pPr>
                    <a:r>
                      <a:rPr sz="700" u="none" strike="noStrike" cap="none" normalizeH="0">
                        <a:solidFill>
                          <a:schemeClr val="tx1"/>
                        </a:solidFill>
                        <a:uFill>
                          <a:solidFill>
                            <a:schemeClr val="tx1"/>
                          </a:solidFill>
                        </a:uFill>
                        <a:ea typeface="宋体" panose="02010600030101010101" charset="-122"/>
                      </a:rPr>
                      <a:t>卫生健康</a:t>
                    </a:r>
                    <a:r>
                      <a:rPr lang="en-US" altLang="zh-CN" sz="700" u="none" strike="noStrike" cap="none" normalizeH="0">
                        <a:solidFill>
                          <a:schemeClr val="tx1"/>
                        </a:solidFill>
                        <a:uFill>
                          <a:solidFill>
                            <a:schemeClr val="tx1"/>
                          </a:solidFill>
                        </a:uFill>
                        <a:ea typeface="宋体" panose="02010600030101010101" charset="-122"/>
                      </a:rPr>
                      <a:t>,</a:t>
                    </a:r>
                    <a:r>
                      <a:rPr sz="700" u="none" strike="noStrike" cap="none" normalizeH="0">
                        <a:solidFill>
                          <a:schemeClr val="tx1"/>
                        </a:solidFill>
                        <a:uFill>
                          <a:solidFill>
                            <a:schemeClr val="tx1"/>
                          </a:solidFill>
                        </a:uFill>
                        <a:ea typeface="宋体" panose="02010600030101010101" charset="-122"/>
                      </a:rPr>
                      <a:t>3%</a:t>
                    </a:r>
                    <a:endParaRPr sz="700" u="none" strike="noStrike" cap="none" normalizeH="0">
                      <a:solidFill>
                        <a:schemeClr val="tx1"/>
                      </a:solidFill>
                      <a:uFill>
                        <a:solidFill>
                          <a:schemeClr val="tx1"/>
                        </a:solidFill>
                      </a:uFill>
                      <a:latin typeface="+mn-lt"/>
                      <a:ea typeface="宋体" panose="02010600030101010101" charset="-122"/>
                      <a:cs typeface="+mn-cs"/>
                    </a:endParaRP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54272033517881"/>
                      <c:h val="0.0533733826247689"/>
                    </c:manualLayout>
                  </c15:layout>
                </c:ext>
              </c:extLst>
            </c:dLbl>
            <c:dLbl>
              <c:idx val="9"/>
              <c:layout>
                <c:manualLayout>
                  <c:x val="0.13895856724353"/>
                  <c:y val="-0.0836204180632653"/>
                </c:manualLayout>
              </c:layout>
              <c:tx>
                <c:rich>
                  <a:bodyPr rot="0" spcFirstLastPara="0" vertOverflow="clip" horzOverflow="clip" vert="horz" wrap="square" lIns="36576" tIns="18288" rIns="36576" bIns="18288" anchor="ctr" anchorCtr="1" forceAA="0">
                    <a:spAutoFit/>
                  </a:bodyPr>
                  <a:lstStyle/>
                  <a:p>
                    <a:pPr defTabSz="914400">
                      <a:defRPr lang="zh-CN" sz="700" b="0" i="0" u="none" strike="noStrike" kern="1200" cap="none" spc="0" normalizeH="0" baseline="0">
                        <a:solidFill>
                          <a:schemeClr val="tx1"/>
                        </a:solidFill>
                        <a:uFill>
                          <a:solidFill>
                            <a:schemeClr val="tx1"/>
                          </a:solidFill>
                        </a:uFill>
                        <a:latin typeface="+mn-lt"/>
                        <a:ea typeface="宋体" panose="02010600030101010101" charset="-122"/>
                        <a:cs typeface="+mn-cs"/>
                      </a:defRPr>
                    </a:pPr>
                    <a:r>
                      <a:rPr sz="700" u="none" strike="noStrike" cap="none" normalizeH="0">
                        <a:solidFill>
                          <a:schemeClr val="tx1"/>
                        </a:solidFill>
                        <a:uFill>
                          <a:solidFill>
                            <a:schemeClr val="tx1"/>
                          </a:solidFill>
                        </a:uFill>
                        <a:ea typeface="宋体" panose="02010600030101010101" charset="-122"/>
                      </a:rPr>
                      <a:t>债务付息</a:t>
                    </a:r>
                    <a:r>
                      <a:rPr lang="en-US" altLang="zh-CN" sz="700" u="none" strike="noStrike" cap="none" normalizeH="0">
                        <a:solidFill>
                          <a:schemeClr val="tx1"/>
                        </a:solidFill>
                        <a:uFill>
                          <a:solidFill>
                            <a:schemeClr val="tx1"/>
                          </a:solidFill>
                        </a:uFill>
                        <a:ea typeface="宋体" panose="02010600030101010101" charset="-122"/>
                      </a:rPr>
                      <a:t>,</a:t>
                    </a:r>
                    <a:r>
                      <a:rPr sz="700" u="none" strike="noStrike" cap="none" normalizeH="0">
                        <a:solidFill>
                          <a:schemeClr val="tx1"/>
                        </a:solidFill>
                        <a:uFill>
                          <a:solidFill>
                            <a:schemeClr val="tx1"/>
                          </a:solidFill>
                        </a:uFill>
                        <a:ea typeface="宋体" panose="02010600030101010101" charset="-122"/>
                      </a:rPr>
                      <a:t>3%</a:t>
                    </a:r>
                    <a:endParaRPr sz="700" u="none" strike="noStrike" cap="none" normalizeH="0">
                      <a:solidFill>
                        <a:schemeClr val="tx1"/>
                      </a:solidFill>
                      <a:uFill>
                        <a:solidFill>
                          <a:schemeClr val="tx1"/>
                        </a:solidFill>
                      </a:uFill>
                      <a:latin typeface="+mn-lt"/>
                      <a:ea typeface="宋体" panose="02010600030101010101" charset="-122"/>
                      <a:cs typeface="+mn-cs"/>
                    </a:endParaRP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45294029627413"/>
                      <c:h val="0.053373382624769"/>
                    </c:manualLayout>
                  </c15:layout>
                </c:ext>
              </c:extLst>
            </c:dLbl>
            <c:dLbl>
              <c:idx val="10"/>
              <c:layout>
                <c:manualLayout>
                  <c:x val="0.110289738955228"/>
                  <c:y val="-0.093588236221833"/>
                </c:manualLayout>
              </c:layout>
              <c:tx>
                <c:rich>
                  <a:bodyPr rot="0" spcFirstLastPara="0" vertOverflow="clip" horzOverflow="clip" vert="horz" wrap="square" lIns="36576" tIns="18288" rIns="36576" bIns="18288" anchor="ctr" anchorCtr="1" forceAA="0">
                    <a:spAutoFit/>
                  </a:bodyPr>
                  <a:lstStyle/>
                  <a:p>
                    <a:pPr defTabSz="914400">
                      <a:defRPr lang="zh-CN" sz="700" b="0" i="0" u="none" strike="noStrike" kern="1200" cap="none" spc="0" normalizeH="0" baseline="0">
                        <a:solidFill>
                          <a:schemeClr val="tx1"/>
                        </a:solidFill>
                        <a:uFill>
                          <a:solidFill>
                            <a:schemeClr val="tx1"/>
                          </a:solidFill>
                        </a:uFill>
                        <a:latin typeface="+mn-lt"/>
                        <a:ea typeface="宋体" panose="02010600030101010101" charset="-122"/>
                        <a:cs typeface="+mn-cs"/>
                      </a:defRPr>
                    </a:pPr>
                    <a:r>
                      <a:rPr sz="700" u="none" strike="noStrike" cap="none" normalizeH="0">
                        <a:solidFill>
                          <a:schemeClr val="tx1"/>
                        </a:solidFill>
                        <a:uFill>
                          <a:solidFill>
                            <a:schemeClr val="tx1"/>
                          </a:solidFill>
                        </a:uFill>
                        <a:ea typeface="宋体" panose="02010600030101010101" charset="-122"/>
                      </a:rPr>
                      <a:t>交通运输</a:t>
                    </a:r>
                    <a:r>
                      <a:rPr lang="en-US" altLang="zh-CN" sz="700" u="none" strike="noStrike" cap="none" normalizeH="0">
                        <a:solidFill>
                          <a:schemeClr val="tx1"/>
                        </a:solidFill>
                        <a:uFill>
                          <a:solidFill>
                            <a:schemeClr val="tx1"/>
                          </a:solidFill>
                        </a:uFill>
                        <a:ea typeface="宋体" panose="02010600030101010101" charset="-122"/>
                      </a:rPr>
                      <a:t>,</a:t>
                    </a:r>
                    <a:r>
                      <a:rPr sz="700" u="none" strike="noStrike" cap="none" normalizeH="0">
                        <a:solidFill>
                          <a:schemeClr val="tx1"/>
                        </a:solidFill>
                        <a:uFill>
                          <a:solidFill>
                            <a:schemeClr val="tx1"/>
                          </a:solidFill>
                        </a:uFill>
                        <a:ea typeface="宋体" panose="02010600030101010101" charset="-122"/>
                      </a:rPr>
                      <a:t>3%</a:t>
                    </a:r>
                    <a:endParaRPr sz="700" u="none" strike="noStrike" cap="none" normalizeH="0">
                      <a:solidFill>
                        <a:schemeClr val="tx1"/>
                      </a:solidFill>
                      <a:uFill>
                        <a:solidFill>
                          <a:schemeClr val="tx1"/>
                        </a:solidFill>
                      </a:uFill>
                      <a:latin typeface="+mn-lt"/>
                      <a:ea typeface="宋体" panose="02010600030101010101" charset="-122"/>
                      <a:cs typeface="+mn-cs"/>
                    </a:endParaRP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40942498919153"/>
                      <c:h val="0.0573678290213723"/>
                    </c:manualLayout>
                  </c15:layout>
                </c:ext>
              </c:extLst>
            </c:dLbl>
            <c:dLbl>
              <c:idx val="11"/>
              <c:layout>
                <c:manualLayout>
                  <c:x val="0.0857227309744069"/>
                  <c:y val="-0.0947343039882176"/>
                </c:manualLayout>
              </c:layout>
              <c:tx>
                <c:rich>
                  <a:bodyPr rot="0" spcFirstLastPara="0" vertOverflow="clip" horzOverflow="clip" vert="horz" wrap="square" lIns="36576" tIns="18288" rIns="36576" bIns="18288" anchor="ctr" anchorCtr="1" forceAA="0">
                    <a:spAutoFit/>
                  </a:bodyPr>
                  <a:lstStyle/>
                  <a:p>
                    <a:pPr defTabSz="914400">
                      <a:defRPr lang="zh-CN" sz="700" b="0" i="0" u="none" strike="noStrike" kern="1200" cap="none" spc="0" normalizeH="0" baseline="0">
                        <a:solidFill>
                          <a:schemeClr val="tx1"/>
                        </a:solidFill>
                        <a:uFill>
                          <a:solidFill>
                            <a:schemeClr val="tx1"/>
                          </a:solidFill>
                        </a:uFill>
                        <a:latin typeface="+mn-lt"/>
                        <a:ea typeface="宋体" panose="02010600030101010101" charset="-122"/>
                        <a:cs typeface="+mn-cs"/>
                      </a:defRPr>
                    </a:pPr>
                    <a:r>
                      <a:rPr sz="700" u="none" strike="noStrike" cap="none" normalizeH="0">
                        <a:solidFill>
                          <a:schemeClr val="tx1"/>
                        </a:solidFill>
                        <a:uFill>
                          <a:solidFill>
                            <a:schemeClr val="tx1"/>
                          </a:solidFill>
                        </a:uFill>
                        <a:ea typeface="宋体" panose="02010600030101010101" charset="-122"/>
                      </a:rPr>
                      <a:t>公共安全</a:t>
                    </a:r>
                    <a:r>
                      <a:rPr lang="en-US" altLang="zh-CN" sz="700" u="none" strike="noStrike" cap="none" normalizeH="0">
                        <a:solidFill>
                          <a:schemeClr val="tx1"/>
                        </a:solidFill>
                        <a:uFill>
                          <a:solidFill>
                            <a:schemeClr val="tx1"/>
                          </a:solidFill>
                        </a:uFill>
                        <a:ea typeface="宋体" panose="02010600030101010101" charset="-122"/>
                      </a:rPr>
                      <a:t>,</a:t>
                    </a:r>
                    <a:r>
                      <a:rPr sz="700" u="none" strike="noStrike" cap="none" normalizeH="0">
                        <a:solidFill>
                          <a:schemeClr val="tx1"/>
                        </a:solidFill>
                        <a:uFill>
                          <a:solidFill>
                            <a:schemeClr val="tx1"/>
                          </a:solidFill>
                        </a:uFill>
                        <a:ea typeface="宋体" panose="02010600030101010101" charset="-122"/>
                      </a:rPr>
                      <a:t>3%</a:t>
                    </a:r>
                    <a:endParaRPr sz="700" u="none" strike="noStrike" cap="none" normalizeH="0">
                      <a:solidFill>
                        <a:schemeClr val="tx1"/>
                      </a:solidFill>
                      <a:uFill>
                        <a:solidFill>
                          <a:schemeClr val="tx1"/>
                        </a:solidFill>
                      </a:uFill>
                      <a:latin typeface="+mn-lt"/>
                      <a:ea typeface="宋体" panose="02010600030101010101" charset="-122"/>
                      <a:cs typeface="+mn-cs"/>
                    </a:endParaRP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43248306672431"/>
                      <c:h val="0.0476940382452193"/>
                    </c:manualLayout>
                  </c15:layout>
                </c:ext>
              </c:extLst>
            </c:dLbl>
            <c:dLbl>
              <c:idx val="12"/>
              <c:layout>
                <c:manualLayout>
                  <c:x val="0.0868917310811662"/>
                  <c:y val="-0.151064754146074"/>
                </c:manualLayout>
              </c:layout>
              <c:tx>
                <c:rich>
                  <a:bodyPr rot="0" spcFirstLastPara="0" vertOverflow="clip" vert="horz" wrap="square" lIns="36576" tIns="18288" rIns="36576" bIns="18288" anchor="ctr" anchorCtr="1"/>
                  <a:lstStyle/>
                  <a:p>
                    <a:pPr defTabSz="914400">
                      <a:defRPr lang="zh-CN" sz="700" b="0" i="0" u="none" strike="noStrike" kern="1200" cap="none" normalizeH="0" baseline="0">
                        <a:solidFill>
                          <a:schemeClr val="tx1"/>
                        </a:solidFill>
                        <a:uFill>
                          <a:solidFill>
                            <a:schemeClr val="tx1"/>
                          </a:solidFill>
                        </a:uFill>
                        <a:latin typeface="微软雅黑" panose="020B0503020204020204" charset="-122"/>
                        <a:ea typeface="宋体" panose="02010600030101010101" charset="-122"/>
                        <a:cs typeface="+mn-cs"/>
                      </a:defRPr>
                    </a:pPr>
                    <a:r>
                      <a:rPr sz="700" u="none" strike="noStrike" cap="none" normalizeH="0">
                        <a:solidFill>
                          <a:schemeClr val="tx1"/>
                        </a:solidFill>
                        <a:uFill>
                          <a:solidFill>
                            <a:schemeClr val="tx1"/>
                          </a:solidFill>
                        </a:uFill>
                        <a:ea typeface="宋体" panose="02010600030101010101" charset="-122"/>
                      </a:rPr>
                      <a:t>住房保障</a:t>
                    </a:r>
                    <a:r>
                      <a:rPr lang="en-US" altLang="zh-CN" sz="600" u="none" strike="noStrike" cap="none" normalizeH="0">
                        <a:solidFill>
                          <a:schemeClr val="tx1"/>
                        </a:solidFill>
                        <a:uFill>
                          <a:solidFill>
                            <a:schemeClr val="tx1"/>
                          </a:solidFill>
                        </a:uFill>
                        <a:ea typeface="宋体" panose="02010600030101010101" charset="-122"/>
                      </a:rPr>
                      <a:t>,</a:t>
                    </a:r>
                    <a:r>
                      <a:rPr sz="600" u="none" strike="noStrike" cap="none" normalizeH="0">
                        <a:solidFill>
                          <a:schemeClr val="tx1"/>
                        </a:solidFill>
                        <a:uFill>
                          <a:solidFill>
                            <a:schemeClr val="tx1"/>
                          </a:solidFill>
                        </a:uFill>
                        <a:ea typeface="宋体" panose="02010600030101010101" charset="-122"/>
                      </a:rPr>
                      <a:t>2%</a:t>
                    </a:r>
                    <a:endParaRPr sz="600" u="none" strike="noStrike" cap="none" normalizeH="0">
                      <a:solidFill>
                        <a:schemeClr val="tx1"/>
                      </a:solidFill>
                      <a:uFill>
                        <a:solidFill>
                          <a:schemeClr val="tx1"/>
                        </a:solidFill>
                      </a:uFill>
                      <a:ea typeface="宋体" panose="02010600030101010101" charset="-122"/>
                    </a:endParaRPr>
                  </a:p>
                </c:rich>
              </c:tx>
              <c:numFmt formatCode="General" sourceLinked="1"/>
              <c:spPr>
                <a:noFill/>
                <a:ln w="25400" cap="flat" cmpd="sng" algn="ctr">
                  <a:noFill/>
                  <a:prstDash val="solid"/>
                </a:ln>
                <a:effectLst/>
                <a:sp3d>
                  <a:extrusionClr>
                    <a:srgbClr val="FFFFFF"/>
                  </a:extrusionClr>
                  <a:contourClr>
                    <a:srgbClr val="FFFFFF"/>
                  </a:contourClr>
                </a:sp3d>
              </c:spPr>
              <c:txPr>
                <a:bodyPr rot="0" spcFirstLastPara="0" vertOverflow="clip" vert="horz" wrap="square" lIns="36576" tIns="18288" rIns="36576" bIns="18288" anchor="ctr" anchorCtr="1"/>
                <a:lstStyle/>
                <a:p>
                  <a:pPr>
                    <a:defRPr lang="zh-CN" sz="700" b="0" i="0" u="none" strike="noStrike" kern="1200" cap="none" normalizeH="0" baseline="0">
                      <a:solidFill>
                        <a:schemeClr val="tx1"/>
                      </a:solidFill>
                      <a:uFill>
                        <a:solidFill>
                          <a:schemeClr val="tx1"/>
                        </a:solidFill>
                      </a:uFill>
                      <a:latin typeface="微软雅黑" panose="020B0503020204020204" charset="-122"/>
                      <a:ea typeface="宋体" panose="02010600030101010101" charset="-122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52183311716386"/>
                      <c:h val="0.0632170978627671"/>
                    </c:manualLayout>
                  </c15:layout>
                </c:ext>
              </c:extLst>
            </c:dLbl>
            <c:dLbl>
              <c:idx val="13"/>
              <c:layout>
                <c:manualLayout>
                  <c:x val="0.0948175841955378"/>
                  <c:y val="-0.0988369476587791"/>
                </c:manualLayout>
              </c:layout>
              <c:tx>
                <c:rich>
                  <a:bodyPr rot="0" spcFirstLastPara="0" vertOverflow="clip" vert="horz" wrap="square" lIns="36576" tIns="18288" rIns="36576" bIns="18288" anchor="ctr" anchorCtr="1"/>
                  <a:lstStyle/>
                  <a:p>
                    <a:pPr defTabSz="914400">
                      <a:defRPr lang="zh-CN" sz="700" b="0" i="0" u="none" strike="noStrike" kern="1200" cap="none" spc="0" normalizeH="0" baseline="0">
                        <a:solidFill>
                          <a:schemeClr val="tx1"/>
                        </a:solidFill>
                        <a:uFill>
                          <a:solidFill>
                            <a:schemeClr val="tx1"/>
                          </a:solidFill>
                        </a:uFill>
                        <a:latin typeface="微软雅黑" panose="020B0503020204020204" charset="-122"/>
                        <a:ea typeface="宋体" panose="02010600030101010101" charset="-122"/>
                        <a:cs typeface="+mn-cs"/>
                      </a:defRPr>
                    </a:pPr>
                    <a:r>
                      <a:rPr sz="700" u="none" strike="noStrike" cap="none" normalizeH="0">
                        <a:solidFill>
                          <a:schemeClr val="tx1"/>
                        </a:solidFill>
                        <a:uFill>
                          <a:solidFill>
                            <a:schemeClr val="tx1"/>
                          </a:solidFill>
                        </a:uFill>
                        <a:ea typeface="宋体" panose="02010600030101010101" charset="-122"/>
                      </a:rPr>
                      <a:t>文化旅游体育与传媒</a:t>
                    </a:r>
                    <a:r>
                      <a:rPr lang="en-US" altLang="zh-CN" sz="600" u="none" strike="noStrike" cap="none" normalizeH="0">
                        <a:solidFill>
                          <a:schemeClr val="tx1"/>
                        </a:solidFill>
                        <a:uFill>
                          <a:solidFill>
                            <a:schemeClr val="tx1"/>
                          </a:solidFill>
                        </a:uFill>
                        <a:ea typeface="宋体" panose="02010600030101010101" charset="-122"/>
                      </a:rPr>
                      <a:t>,</a:t>
                    </a:r>
                    <a:r>
                      <a:rPr sz="600" u="none" strike="noStrike" cap="none" normalizeH="0">
                        <a:solidFill>
                          <a:schemeClr val="tx1"/>
                        </a:solidFill>
                        <a:uFill>
                          <a:solidFill>
                            <a:schemeClr val="tx1"/>
                          </a:solidFill>
                        </a:uFill>
                        <a:ea typeface="宋体" panose="02010600030101010101" charset="-122"/>
                      </a:rPr>
                      <a:t>2%</a:t>
                    </a:r>
                    <a:endParaRPr sz="600" u="none" strike="noStrike" cap="none" normalizeH="0">
                      <a:solidFill>
                        <a:schemeClr val="tx1"/>
                      </a:solidFill>
                      <a:uFill>
                        <a:solidFill>
                          <a:schemeClr val="tx1"/>
                        </a:solidFill>
                      </a:uFill>
                      <a:ea typeface="宋体" panose="02010600030101010101" charset="-122"/>
                    </a:endParaRPr>
                  </a:p>
                </c:rich>
              </c:tx>
              <c:numFmt formatCode="General" sourceLinked="1"/>
              <c:spPr>
                <a:noFill/>
                <a:ln w="25400" cap="flat" cmpd="sng" algn="ctr">
                  <a:noFill/>
                  <a:prstDash val="solid"/>
                </a:ln>
                <a:effectLst/>
                <a:sp3d>
                  <a:extrusionClr>
                    <a:srgbClr val="FFFFFF"/>
                  </a:extrusionClr>
                  <a:contourClr>
                    <a:srgbClr val="FFFFFF"/>
                  </a:contourClr>
                </a:sp3d>
              </c:spPr>
              <c:txPr>
                <a:bodyPr rot="0" spcFirstLastPara="0" vertOverflow="clip" vert="horz" wrap="square" lIns="36576" tIns="18288" rIns="36576" bIns="18288" anchor="ctr" anchorCtr="1"/>
                <a:lstStyle/>
                <a:p>
                  <a:pPr>
                    <a:defRPr lang="zh-CN" sz="700" b="0" i="0" u="none" strike="noStrike" kern="1200" cap="none" spc="0" normalizeH="0" baseline="0">
                      <a:solidFill>
                        <a:schemeClr val="tx1"/>
                      </a:solidFill>
                      <a:uFill>
                        <a:solidFill>
                          <a:schemeClr val="tx1"/>
                        </a:solidFill>
                      </a:uFill>
                      <a:latin typeface="微软雅黑" panose="020B0503020204020204" charset="-122"/>
                      <a:ea typeface="宋体" panose="02010600030101010101" charset="-122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44814490213263"/>
                      <c:h val="0.0653645833333333"/>
                    </c:manualLayout>
                  </c15:layout>
                </c:ext>
              </c:extLst>
            </c:dLbl>
            <c:dLbl>
              <c:idx val="14"/>
              <c:layout>
                <c:manualLayout>
                  <c:x val="0.186787416409352"/>
                  <c:y val="-0.0598707307579081"/>
                </c:manualLayout>
              </c:layout>
              <c:tx>
                <c:rich>
                  <a:bodyPr rot="0" spcFirstLastPara="0" vertOverflow="clip" vert="horz" wrap="square" lIns="36576" tIns="18288" rIns="36576" bIns="18288" anchor="ctr" anchorCtr="1"/>
                  <a:lstStyle/>
                  <a:p>
                    <a:pPr defTabSz="914400">
                      <a:defRPr lang="zh-CN" sz="700" b="0" i="0" u="none" strike="noStrike" kern="1200" cap="none" spc="0" normalizeH="0" baseline="0">
                        <a:solidFill>
                          <a:schemeClr val="tx1"/>
                        </a:solidFill>
                        <a:uFill>
                          <a:solidFill>
                            <a:schemeClr val="tx1"/>
                          </a:solidFill>
                        </a:uFill>
                        <a:latin typeface="微软雅黑" panose="020B0503020204020204" charset="-122"/>
                        <a:ea typeface="宋体" panose="02010600030101010101" charset="-122"/>
                        <a:cs typeface="+mn-cs"/>
                      </a:defRPr>
                    </a:pPr>
                    <a:r>
                      <a:rPr sz="700" u="none" strike="noStrike" cap="none" normalizeH="0">
                        <a:solidFill>
                          <a:schemeClr val="tx1"/>
                        </a:solidFill>
                        <a:uFill>
                          <a:solidFill>
                            <a:schemeClr val="tx1"/>
                          </a:solidFill>
                        </a:uFill>
                        <a:ea typeface="宋体" panose="02010600030101010101" charset="-122"/>
                      </a:rPr>
                      <a:t>科学技术</a:t>
                    </a:r>
                    <a:r>
                      <a:rPr lang="en-US" altLang="zh-CN" sz="600" u="none" strike="noStrike" cap="none" normalizeH="0">
                        <a:solidFill>
                          <a:schemeClr val="tx1"/>
                        </a:solidFill>
                        <a:uFill>
                          <a:solidFill>
                            <a:schemeClr val="tx1"/>
                          </a:solidFill>
                        </a:uFill>
                        <a:ea typeface="宋体" panose="02010600030101010101" charset="-122"/>
                      </a:rPr>
                      <a:t>,</a:t>
                    </a:r>
                    <a:r>
                      <a:rPr sz="600" u="none" strike="noStrike" cap="none" normalizeH="0">
                        <a:solidFill>
                          <a:schemeClr val="tx1"/>
                        </a:solidFill>
                        <a:uFill>
                          <a:solidFill>
                            <a:schemeClr val="tx1"/>
                          </a:solidFill>
                        </a:uFill>
                        <a:ea typeface="宋体" panose="02010600030101010101" charset="-122"/>
                      </a:rPr>
                      <a:t>1%</a:t>
                    </a:r>
                    <a:endParaRPr sz="600" u="none" strike="noStrike" cap="none" normalizeH="0">
                      <a:solidFill>
                        <a:schemeClr val="tx1"/>
                      </a:solidFill>
                      <a:uFill>
                        <a:solidFill>
                          <a:schemeClr val="tx1"/>
                        </a:solidFill>
                      </a:uFill>
                      <a:ea typeface="宋体" panose="02010600030101010101" charset="-122"/>
                    </a:endParaRPr>
                  </a:p>
                </c:rich>
              </c:tx>
              <c:numFmt formatCode="General" sourceLinked="1"/>
              <c:spPr>
                <a:noFill/>
                <a:ln w="25400" cap="flat" cmpd="sng" algn="ctr">
                  <a:noFill/>
                  <a:prstDash val="solid"/>
                </a:ln>
                <a:effectLst/>
                <a:sp3d>
                  <a:extrusionClr>
                    <a:srgbClr val="FFFFFF"/>
                  </a:extrusionClr>
                  <a:contourClr>
                    <a:srgbClr val="FFFFFF"/>
                  </a:contourClr>
                </a:sp3d>
              </c:spPr>
              <c:txPr>
                <a:bodyPr rot="0" spcFirstLastPara="0" vertOverflow="clip" vert="horz" wrap="square" lIns="36576" tIns="18288" rIns="36576" bIns="18288" anchor="ctr" anchorCtr="1"/>
                <a:lstStyle/>
                <a:p>
                  <a:pPr>
                    <a:defRPr lang="zh-CN" sz="700" b="0" i="0" u="none" strike="noStrike" kern="1200" cap="none" spc="0" normalizeH="0" baseline="0">
                      <a:solidFill>
                        <a:schemeClr val="tx1"/>
                      </a:solidFill>
                      <a:uFill>
                        <a:solidFill>
                          <a:schemeClr val="tx1"/>
                        </a:solidFill>
                      </a:uFill>
                      <a:latin typeface="微软雅黑" panose="020B0503020204020204" charset="-122"/>
                      <a:ea typeface="宋体" panose="02010600030101010101" charset="-122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46562905317769"/>
                      <c:h val="0.0672665916760405"/>
                    </c:manualLayout>
                  </c15:layout>
                </c:ext>
              </c:extLst>
            </c:dLbl>
            <c:dLbl>
              <c:idx val="15"/>
              <c:layout>
                <c:manualLayout>
                  <c:x val="0.117666252787692"/>
                  <c:y val="-0.0152798128844051"/>
                </c:manualLayout>
              </c:layout>
              <c:tx>
                <c:rich>
                  <a:bodyPr rot="0" spcFirstLastPara="0" vertOverflow="clip" vert="horz" wrap="square" lIns="36576" tIns="18288" rIns="36576" bIns="18288" anchor="ctr" anchorCtr="1"/>
                  <a:lstStyle/>
                  <a:p>
                    <a:pPr defTabSz="914400">
                      <a:defRPr lang="zh-CN" sz="700" b="0" i="0" u="none" strike="noStrike" kern="1200" cap="none" spc="0" normalizeH="0" baseline="0">
                        <a:solidFill>
                          <a:schemeClr val="tx1"/>
                        </a:solidFill>
                        <a:uFill>
                          <a:solidFill>
                            <a:schemeClr val="tx1"/>
                          </a:solidFill>
                        </a:uFill>
                        <a:latin typeface="微软雅黑" panose="020B0503020204020204" charset="-122"/>
                        <a:ea typeface="宋体" panose="02010600030101010101" charset="-122"/>
                        <a:cs typeface="+mn-cs"/>
                      </a:defRPr>
                    </a:pPr>
                    <a:r>
                      <a:rPr sz="700" u="none" strike="noStrike" cap="none" normalizeH="0">
                        <a:solidFill>
                          <a:schemeClr val="tx1"/>
                        </a:solidFill>
                        <a:uFill>
                          <a:solidFill>
                            <a:schemeClr val="tx1"/>
                          </a:solidFill>
                        </a:uFill>
                        <a:ea typeface="宋体" panose="02010600030101010101" charset="-122"/>
                      </a:rPr>
                      <a:t>灾害防治及应急管理</a:t>
                    </a:r>
                    <a:r>
                      <a:rPr lang="en-US" altLang="zh-CN" sz="600" u="none" strike="noStrike" cap="none" normalizeH="0">
                        <a:solidFill>
                          <a:schemeClr val="tx1"/>
                        </a:solidFill>
                        <a:uFill>
                          <a:solidFill>
                            <a:schemeClr val="tx1"/>
                          </a:solidFill>
                        </a:uFill>
                        <a:ea typeface="宋体" panose="02010600030101010101" charset="-122"/>
                      </a:rPr>
                      <a:t>,</a:t>
                    </a:r>
                    <a:r>
                      <a:rPr sz="600" u="none" strike="noStrike" cap="none" normalizeH="0">
                        <a:solidFill>
                          <a:schemeClr val="tx1"/>
                        </a:solidFill>
                        <a:uFill>
                          <a:solidFill>
                            <a:schemeClr val="tx1"/>
                          </a:solidFill>
                        </a:uFill>
                        <a:ea typeface="宋体" panose="02010600030101010101" charset="-122"/>
                      </a:rPr>
                      <a:t>1%</a:t>
                    </a:r>
                    <a:endParaRPr sz="600" u="none" strike="noStrike" cap="none" normalizeH="0">
                      <a:solidFill>
                        <a:schemeClr val="tx1"/>
                      </a:solidFill>
                      <a:uFill>
                        <a:solidFill>
                          <a:schemeClr val="tx1"/>
                        </a:solidFill>
                      </a:uFill>
                      <a:ea typeface="宋体" panose="02010600030101010101" charset="-122"/>
                    </a:endParaRPr>
                  </a:p>
                </c:rich>
              </c:tx>
              <c:numFmt formatCode="General" sourceLinked="1"/>
              <c:spPr>
                <a:noFill/>
                <a:ln w="25400" cap="flat" cmpd="sng" algn="ctr">
                  <a:noFill/>
                  <a:prstDash val="solid"/>
                </a:ln>
                <a:effectLst/>
                <a:sp3d>
                  <a:extrusionClr>
                    <a:srgbClr val="FFFFFF"/>
                  </a:extrusionClr>
                  <a:contourClr>
                    <a:srgbClr val="FFFFFF"/>
                  </a:contourClr>
                </a:sp3d>
              </c:spPr>
              <c:txPr>
                <a:bodyPr rot="0" spcFirstLastPara="0" vertOverflow="clip" vert="horz" wrap="square" lIns="36576" tIns="18288" rIns="36576" bIns="18288" anchor="ctr" anchorCtr="1"/>
                <a:lstStyle/>
                <a:p>
                  <a:pPr>
                    <a:defRPr lang="zh-CN" sz="700" b="0" i="0" u="none" strike="noStrike" kern="1200" cap="none" spc="0" normalizeH="0" baseline="0">
                      <a:solidFill>
                        <a:schemeClr val="tx1"/>
                      </a:solidFill>
                      <a:uFill>
                        <a:solidFill>
                          <a:schemeClr val="tx1"/>
                        </a:solidFill>
                      </a:uFill>
                      <a:latin typeface="微软雅黑" panose="020B0503020204020204" charset="-122"/>
                      <a:ea typeface="宋体" panose="02010600030101010101" charset="-122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37786424556853"/>
                      <c:h val="0.0736196319018405"/>
                    </c:manualLayout>
                  </c15:layout>
                </c:ext>
              </c:extLst>
            </c:dLbl>
            <c:dLbl>
              <c:idx val="16"/>
              <c:layout>
                <c:manualLayout>
                  <c:x val="0.177378399674949"/>
                  <c:y val="0.0284209467086075"/>
                </c:manualLayout>
              </c:layout>
              <c:tx>
                <c:rich>
                  <a:bodyPr rot="0" spcFirstLastPara="0" vertOverflow="clip" vert="horz" wrap="square" lIns="36576" tIns="18288" rIns="36576" bIns="18288" anchor="ctr" anchorCtr="1"/>
                  <a:lstStyle/>
                  <a:p>
                    <a:pPr defTabSz="914400">
                      <a:defRPr lang="zh-CN" sz="700" b="0" i="0" u="none" strike="noStrike" kern="1200" cap="none" spc="0" normalizeH="0" baseline="0">
                        <a:solidFill>
                          <a:schemeClr val="tx1"/>
                        </a:solidFill>
                        <a:uFill>
                          <a:solidFill>
                            <a:schemeClr val="tx1"/>
                          </a:solidFill>
                        </a:uFill>
                        <a:latin typeface="微软雅黑" panose="020B0503020204020204" charset="-122"/>
                        <a:ea typeface="宋体" panose="02010600030101010101" charset="-122"/>
                        <a:cs typeface="+mn-cs"/>
                      </a:defRPr>
                    </a:pPr>
                    <a:r>
                      <a:rPr sz="700" u="none" strike="noStrike" cap="none" normalizeH="0">
                        <a:solidFill>
                          <a:schemeClr val="tx1"/>
                        </a:solidFill>
                        <a:uFill>
                          <a:solidFill>
                            <a:schemeClr val="tx1"/>
                          </a:solidFill>
                        </a:uFill>
                        <a:ea typeface="宋体" panose="02010600030101010101" charset="-122"/>
                      </a:rPr>
                      <a:t>商业服务业等</a:t>
                    </a:r>
                    <a:r>
                      <a:rPr lang="en-US" altLang="zh-CN" sz="700" u="none" strike="noStrike" cap="none" normalizeH="0">
                        <a:solidFill>
                          <a:schemeClr val="tx1"/>
                        </a:solidFill>
                        <a:uFill>
                          <a:solidFill>
                            <a:schemeClr val="tx1"/>
                          </a:solidFill>
                        </a:uFill>
                        <a:ea typeface="宋体" panose="02010600030101010101" charset="-122"/>
                      </a:rPr>
                      <a:t>,</a:t>
                    </a:r>
                    <a:r>
                      <a:rPr sz="700" u="none" strike="noStrike" cap="none" normalizeH="0">
                        <a:solidFill>
                          <a:schemeClr val="tx1"/>
                        </a:solidFill>
                        <a:uFill>
                          <a:solidFill>
                            <a:schemeClr val="tx1"/>
                          </a:solidFill>
                        </a:uFill>
                        <a:ea typeface="宋体" panose="02010600030101010101" charset="-122"/>
                      </a:rPr>
                      <a:t>1%</a:t>
                    </a:r>
                    <a:endParaRPr sz="700" u="none" strike="noStrike" cap="none" normalizeH="0">
                      <a:solidFill>
                        <a:schemeClr val="tx1"/>
                      </a:solidFill>
                      <a:uFill>
                        <a:solidFill>
                          <a:schemeClr val="tx1"/>
                        </a:solidFill>
                      </a:uFill>
                      <a:ea typeface="宋体" panose="02010600030101010101" charset="-122"/>
                    </a:endParaRPr>
                  </a:p>
                </c:rich>
              </c:tx>
              <c:numFmt formatCode="General" sourceLinked="1"/>
              <c:spPr>
                <a:noFill/>
                <a:ln w="25400" cap="flat" cmpd="sng" algn="ctr">
                  <a:noFill/>
                  <a:prstDash val="solid"/>
                </a:ln>
                <a:effectLst/>
                <a:sp3d>
                  <a:extrusionClr>
                    <a:srgbClr val="FFFFFF"/>
                  </a:extrusionClr>
                  <a:contourClr>
                    <a:srgbClr val="FFFFFF"/>
                  </a:contourClr>
                </a:sp3d>
              </c:spPr>
              <c:txPr>
                <a:bodyPr rot="0" spcFirstLastPara="0" vertOverflow="clip" vert="horz" wrap="square" lIns="36576" tIns="18288" rIns="36576" bIns="18288" anchor="ctr" anchorCtr="1"/>
                <a:lstStyle/>
                <a:p>
                  <a:pPr>
                    <a:defRPr lang="zh-CN" sz="700" b="0" i="0" u="none" strike="noStrike" kern="1200" cap="none" spc="0" normalizeH="0" baseline="0">
                      <a:solidFill>
                        <a:schemeClr val="tx1"/>
                      </a:solidFill>
                      <a:uFill>
                        <a:solidFill>
                          <a:schemeClr val="tx1"/>
                        </a:solidFill>
                      </a:uFill>
                      <a:latin typeface="微软雅黑" panose="020B0503020204020204" charset="-122"/>
                      <a:ea typeface="宋体" panose="02010600030101010101" charset="-122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81150021616948"/>
                      <c:h val="0.0607424071991001"/>
                    </c:manualLayout>
                  </c15:layout>
                </c:ext>
              </c:extLst>
            </c:dLbl>
            <c:dLbl>
              <c:idx val="17"/>
              <c:layout>
                <c:manualLayout>
                  <c:x val="0.169899010553262"/>
                  <c:y val="0.0688236213153531"/>
                </c:manualLayout>
              </c:layout>
              <c:tx>
                <c:rich>
                  <a:bodyPr rot="0" spcFirstLastPara="0" vertOverflow="clip" vert="horz" wrap="square" lIns="36576" tIns="18288" rIns="36576" bIns="18288" anchor="ctr" anchorCtr="1"/>
                  <a:lstStyle/>
                  <a:p>
                    <a:pPr defTabSz="914400">
                      <a:defRPr lang="zh-CN" sz="700" b="0" i="0" u="none" strike="noStrike" kern="1200" cap="none" spc="0" normalizeH="0" baseline="0">
                        <a:solidFill>
                          <a:schemeClr val="tx1"/>
                        </a:solidFill>
                        <a:uFill>
                          <a:solidFill>
                            <a:schemeClr val="tx1"/>
                          </a:solidFill>
                        </a:uFill>
                        <a:latin typeface="微软雅黑" panose="020B0503020204020204" charset="-122"/>
                        <a:ea typeface="宋体" panose="02010600030101010101" charset="-122"/>
                        <a:cs typeface="+mn-cs"/>
                      </a:defRPr>
                    </a:pPr>
                    <a:r>
                      <a:rPr sz="700" u="none" strike="noStrike" cap="none" normalizeH="0">
                        <a:solidFill>
                          <a:schemeClr val="tx1"/>
                        </a:solidFill>
                        <a:uFill>
                          <a:solidFill>
                            <a:schemeClr val="tx1"/>
                          </a:solidFill>
                        </a:uFill>
                        <a:ea typeface="宋体" panose="02010600030101010101" charset="-122"/>
                      </a:rPr>
                      <a:t>粮油物资储备</a:t>
                    </a:r>
                    <a:r>
                      <a:rPr lang="en-US" altLang="zh-CN" sz="700" u="none" strike="noStrike" cap="none" normalizeH="0">
                        <a:solidFill>
                          <a:schemeClr val="tx1"/>
                        </a:solidFill>
                        <a:uFill>
                          <a:solidFill>
                            <a:schemeClr val="tx1"/>
                          </a:solidFill>
                        </a:uFill>
                        <a:ea typeface="宋体" panose="02010600030101010101" charset="-122"/>
                      </a:rPr>
                      <a:t>,</a:t>
                    </a:r>
                    <a:r>
                      <a:rPr sz="700" u="none" strike="noStrike" cap="none" normalizeH="0">
                        <a:solidFill>
                          <a:schemeClr val="tx1"/>
                        </a:solidFill>
                        <a:uFill>
                          <a:solidFill>
                            <a:schemeClr val="tx1"/>
                          </a:solidFill>
                        </a:uFill>
                        <a:ea typeface="宋体" panose="02010600030101010101" charset="-122"/>
                      </a:rPr>
                      <a:t>0%</a:t>
                    </a:r>
                    <a:endParaRPr sz="700" u="none" strike="noStrike" cap="none" normalizeH="0">
                      <a:solidFill>
                        <a:schemeClr val="tx1"/>
                      </a:solidFill>
                      <a:uFill>
                        <a:solidFill>
                          <a:schemeClr val="tx1"/>
                        </a:solidFill>
                      </a:uFill>
                      <a:ea typeface="宋体" panose="02010600030101010101" charset="-122"/>
                    </a:endParaRPr>
                  </a:p>
                </c:rich>
              </c:tx>
              <c:numFmt formatCode="General" sourceLinked="1"/>
              <c:spPr>
                <a:noFill/>
                <a:ln w="25400" cap="flat" cmpd="sng" algn="ctr">
                  <a:noFill/>
                  <a:prstDash val="solid"/>
                </a:ln>
                <a:effectLst/>
                <a:sp3d>
                  <a:extrusionClr>
                    <a:srgbClr val="FFFFFF"/>
                  </a:extrusionClr>
                  <a:contourClr>
                    <a:srgbClr val="FFFFFF"/>
                  </a:contourClr>
                </a:sp3d>
              </c:spPr>
              <c:txPr>
                <a:bodyPr rot="0" spcFirstLastPara="0" vertOverflow="clip" vert="horz" wrap="square" lIns="36576" tIns="18288" rIns="36576" bIns="18288" anchor="ctr" anchorCtr="1"/>
                <a:lstStyle/>
                <a:p>
                  <a:pPr>
                    <a:defRPr lang="zh-CN" sz="700" b="0" i="0" u="none" strike="noStrike" kern="1200" cap="none" spc="0" normalizeH="0" baseline="0">
                      <a:solidFill>
                        <a:schemeClr val="tx1"/>
                      </a:solidFill>
                      <a:uFill>
                        <a:solidFill>
                          <a:schemeClr val="tx1"/>
                        </a:solidFill>
                      </a:uFill>
                      <a:latin typeface="微软雅黑" panose="020B0503020204020204" charset="-122"/>
                      <a:ea typeface="宋体" panose="02010600030101010101" charset="-122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97290675889898"/>
                      <c:h val="0.0616422947131609"/>
                    </c:manualLayout>
                  </c15:layout>
                </c:ext>
              </c:extLst>
            </c:dLbl>
            <c:numFmt formatCode="General" sourceLinked="1"/>
            <c:spPr>
              <a:noFill/>
              <a:ln w="25400" cap="flat" cmpd="sng" algn="ctr">
                <a:noFill/>
                <a:prstDash val="solid"/>
              </a:ln>
              <a:effectLst/>
              <a:sp3d>
                <a:extrusionClr>
                  <a:srgbClr val="FFFFFF"/>
                </a:extrusionClr>
                <a:contourClr>
                  <a:srgbClr val="FFFFFF"/>
                </a:contourClr>
              </a:sp3d>
            </c:spPr>
            <c:txPr>
              <a:bodyPr rot="0" spcFirstLastPara="0" vertOverflow="clip" horzOverflow="clip" vert="horz" wrap="square" lIns="36576" tIns="18288" rIns="36576" bIns="18288" anchor="ctr" anchorCtr="1" forceAA="0">
                <a:spAutoFit/>
              </a:bodyPr>
              <a:lstStyle/>
              <a:p>
                <a:pPr>
                  <a:defRPr lang="zh-CN" sz="700" b="0" i="0" u="none" strike="noStrike" kern="1200" cap="none" spc="0" normalizeH="0" baseline="0">
                    <a:solidFill>
                      <a:schemeClr val="tx1"/>
                    </a:solidFill>
                    <a:uFill>
                      <a:solidFill>
                        <a:schemeClr val="tx1"/>
                      </a:solidFill>
                    </a:uFill>
                    <a:latin typeface="+mn-lt"/>
                    <a:ea typeface="宋体" panose="02010600030101010101" charset="-122"/>
                    <a:cs typeface="+mn-cs"/>
                  </a:defRPr>
                </a:pPr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eparator>
</c:separator>
            <c:showLeaderLines val="1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oundRect">
                    <a:avLst/>
                  </a:prstGeom>
                  <a:noFill/>
                  <a:ln>
                    <a:noFill/>
                  </a:ln>
                </c15:spPr>
                <c15:layout/>
                <c15:showLeaderLines val="1"/>
                <c15:leaderLines>
                  <c:spPr>
                    <a:ln w="9525">
                      <a:solidFill>
                        <a:sysClr val="windowText" lastClr="000000">
                          <a:alpha val="54000"/>
                        </a:sys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Sheet1!$A$2:$A$19</c:f>
              <c:strCache>
                <c:ptCount val="18"/>
                <c:pt idx="0">
                  <c:v>资源勘探信息等</c:v>
                </c:pt>
                <c:pt idx="1">
                  <c:v>城乡社区</c:v>
                </c:pt>
                <c:pt idx="2">
                  <c:v>社会保障和就业</c:v>
                </c:pt>
                <c:pt idx="3">
                  <c:v>教育</c:v>
                </c:pt>
                <c:pt idx="4">
                  <c:v>一般公共服务</c:v>
                </c:pt>
                <c:pt idx="5">
                  <c:v>农林水</c:v>
                </c:pt>
                <c:pt idx="6">
                  <c:v>自然资源海洋气象等</c:v>
                </c:pt>
                <c:pt idx="7">
                  <c:v>节能环保</c:v>
                </c:pt>
                <c:pt idx="8">
                  <c:v>卫生健康</c:v>
                </c:pt>
                <c:pt idx="9">
                  <c:v>债务付息</c:v>
                </c:pt>
                <c:pt idx="10">
                  <c:v>交通运输</c:v>
                </c:pt>
                <c:pt idx="11">
                  <c:v>公共安全</c:v>
                </c:pt>
                <c:pt idx="12">
                  <c:v>住房保障</c:v>
                </c:pt>
                <c:pt idx="13">
                  <c:v>文化旅游体育与传媒</c:v>
                </c:pt>
                <c:pt idx="14">
                  <c:v>科学技术</c:v>
                </c:pt>
                <c:pt idx="15">
                  <c:v>灾害防治及应急管理</c:v>
                </c:pt>
                <c:pt idx="16">
                  <c:v>商业服务业等</c:v>
                </c:pt>
                <c:pt idx="17">
                  <c:v>粮油物资储备</c:v>
                </c:pt>
              </c:strCache>
            </c:strRef>
          </c:cat>
          <c:val>
            <c:numRef>
              <c:f>Sheet1!$B$2:$B$19</c:f>
              <c:numCache>
                <c:formatCode>General</c:formatCode>
                <c:ptCount val="18"/>
                <c:pt idx="0">
                  <c:v>15115</c:v>
                </c:pt>
                <c:pt idx="1">
                  <c:v>25649</c:v>
                </c:pt>
                <c:pt idx="2">
                  <c:v>12986</c:v>
                </c:pt>
                <c:pt idx="3">
                  <c:v>9875</c:v>
                </c:pt>
                <c:pt idx="4">
                  <c:v>10967</c:v>
                </c:pt>
                <c:pt idx="5">
                  <c:v>13729</c:v>
                </c:pt>
                <c:pt idx="6">
                  <c:v>2204</c:v>
                </c:pt>
                <c:pt idx="7">
                  <c:v>10807</c:v>
                </c:pt>
                <c:pt idx="8">
                  <c:v>7599</c:v>
                </c:pt>
                <c:pt idx="9">
                  <c:v>3426</c:v>
                </c:pt>
                <c:pt idx="10">
                  <c:v>6622</c:v>
                </c:pt>
                <c:pt idx="11">
                  <c:v>4698</c:v>
                </c:pt>
                <c:pt idx="12">
                  <c:v>8175</c:v>
                </c:pt>
                <c:pt idx="13">
                  <c:v>1602</c:v>
                </c:pt>
                <c:pt idx="14">
                  <c:v>369</c:v>
                </c:pt>
                <c:pt idx="15">
                  <c:v>1575</c:v>
                </c:pt>
                <c:pt idx="16">
                  <c:v>41</c:v>
                </c:pt>
                <c:pt idx="17">
                  <c:v>32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139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3175">
      <a:solidFill>
        <a:sysClr val="windowText" lastClr="000000"/>
      </a:solidFill>
    </a:ln>
    <a:effectLst/>
  </c:spPr>
  <c:txPr>
    <a:bodyPr/>
    <a:lstStyle/>
    <a:p>
      <a:pPr>
        <a:defRPr lang="zh-CN">
          <a:latin typeface="微软雅黑" panose="020B0503020204020204" charset="-122"/>
          <a:ea typeface="微软雅黑" panose="020B0503020204020204" charset="-122"/>
        </a:defRPr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57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word/theme/themeOverride1.xml><?xml version="1.0" encoding="utf-8"?>
<a:themeOverride xmlns:a="http://schemas.openxmlformats.org/drawingml/2006/main">
  <a:clrScheme name="自定义 1">
    <a:dk1>
      <a:sysClr val="windowText" lastClr="000000"/>
    </a:dk1>
    <a:lt1>
      <a:sysClr val="window" lastClr="FFFFFF"/>
    </a:lt1>
    <a:dk2>
      <a:srgbClr val="9C27B0"/>
    </a:dk2>
    <a:lt2>
      <a:srgbClr val="673AB7"/>
    </a:lt2>
    <a:accent1>
      <a:srgbClr val="2196F3"/>
    </a:accent1>
    <a:accent2>
      <a:srgbClr val="00BCD4"/>
    </a:accent2>
    <a:accent3>
      <a:srgbClr val="4CAF50"/>
    </a:accent3>
    <a:accent4>
      <a:srgbClr val="CDDC39"/>
    </a:accent4>
    <a:accent5>
      <a:srgbClr val="FFC107"/>
    </a:accent5>
    <a:accent6>
      <a:srgbClr val="FF5722"/>
    </a:accent6>
    <a:hlink>
      <a:srgbClr val="9C27B0"/>
    </a:hlink>
    <a:folHlink>
      <a:srgbClr val="673AB7"/>
    </a:folHlink>
  </a:clrScheme>
  <a:fontScheme name="Office 主题​​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 主题​​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  <customShpInfo spid="_x0000_s1029" textRotate="1"/>
    <customShpInfo spid="_x0000_s1027" textRotate="1"/>
    <customShpInfo spid="_x0000_s103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19</Pages>
  <Words>3840</Words>
  <Characters>5739</Characters>
  <Lines>0</Lines>
  <Paragraphs>0</Paragraphs>
  <TotalTime>29</TotalTime>
  <ScaleCrop>false</ScaleCrop>
  <LinksUpToDate>false</LinksUpToDate>
  <CharactersWithSpaces>5867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2021-03-21T23:16:00Z</dcterms:created>
  <dc:creator>失律的钟</dc:creator>
  <cp:lastModifiedBy>乐彩印刷广告有限责任公司</cp:lastModifiedBy>
  <cp:lastPrinted>2022-04-11T06:41:35Z</cp:lastPrinted>
  <dcterms:modified xsi:type="dcterms:W3CDTF">2022-04-11T06:43:11Z</dcterms:modified>
  <dc:title>失律的钟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537C0279A8554EE1A5E8A101EDF2AE3D</vt:lpwstr>
  </property>
  <property fmtid="{D5CDD505-2E9C-101B-9397-08002B2CF9AE}" pid="4" name="KSOSaveFontToCloudKey">
    <vt:lpwstr>1221542077_btnclosed</vt:lpwstr>
  </property>
</Properties>
</file>