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420" w:firstLineChars="0"/>
        <w:rPr>
          <w:rFonts w:hint="default" w:ascii="MWcht" w:hAnsi="MWcht" w:eastAsia="方正小标宋简体" w:cs="MWcht"/>
          <w:spacing w:val="-8"/>
          <w:sz w:val="24"/>
          <w:szCs w:val="24"/>
          <w:highlight w:val="none"/>
          <w:u w:val="none"/>
          <w:lang w:val="en-US" w:eastAsia="zh-CN"/>
        </w:rPr>
      </w:pPr>
      <w:bookmarkStart w:id="1" w:name="_GoBack"/>
      <w:bookmarkEnd w:id="1"/>
    </w:p>
    <w:p>
      <w:pPr>
        <w:keepNext w:val="0"/>
        <w:keepLines w:val="0"/>
        <w:pageBreakBefore w:val="0"/>
        <w:kinsoku/>
        <w:wordWrap/>
        <w:overflowPunct/>
        <w:topLinePunct w:val="0"/>
        <w:autoSpaceDE/>
        <w:autoSpaceDN/>
        <w:bidi w:val="0"/>
        <w:adjustRightInd/>
        <w:snapToGrid/>
        <w:spacing w:line="560" w:lineRule="exact"/>
        <w:ind w:firstLine="420" w:firstLineChars="0"/>
        <w:rPr>
          <w:rFonts w:hint="eastAsia" w:ascii="MWcht" w:hAnsi="MWcht" w:eastAsia="方正小标宋简体" w:cs="MWcht"/>
          <w:spacing w:val="-8"/>
          <w:sz w:val="24"/>
          <w:szCs w:val="24"/>
          <w:highlight w:val="none"/>
          <w:u w:val="none"/>
          <w:lang w:eastAsia="zh-CN"/>
        </w:rPr>
      </w:pPr>
      <w:r>
        <w:rPr>
          <w:rFonts w:hint="eastAsia" w:ascii="MWcht" w:hAnsi="MWcht" w:eastAsia="方正小标宋简体" w:cs="MWcht"/>
          <w:spacing w:val="-8"/>
          <w:sz w:val="24"/>
          <w:szCs w:val="24"/>
          <w:highlight w:val="none"/>
          <w:u w:val="none"/>
          <w:lang w:eastAsia="zh-CN"/>
        </w:rPr>
        <w:drawing>
          <wp:anchor distT="0" distB="0" distL="114300" distR="114300" simplePos="0" relativeHeight="251672576" behindDoc="1" locked="0" layoutInCell="1" allowOverlap="1">
            <wp:simplePos x="0" y="0"/>
            <wp:positionH relativeFrom="column">
              <wp:posOffset>-531495</wp:posOffset>
            </wp:positionH>
            <wp:positionV relativeFrom="paragraph">
              <wp:posOffset>-706755</wp:posOffset>
            </wp:positionV>
            <wp:extent cx="5286375" cy="7499985"/>
            <wp:effectExtent l="0" t="0" r="0" b="0"/>
            <wp:wrapNone/>
            <wp:docPr id="2" name="图片 2" descr="1最终 鄂托克旗2021年3月收支简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最终 鄂托克旗2021年3月收支简报-1"/>
                    <pic:cNvPicPr>
                      <a:picLocks noChangeAspect="1"/>
                    </pic:cNvPicPr>
                  </pic:nvPicPr>
                  <pic:blipFill>
                    <a:blip r:embed="rId10"/>
                    <a:stretch>
                      <a:fillRect/>
                    </a:stretch>
                  </pic:blipFill>
                  <pic:spPr>
                    <a:xfrm>
                      <a:off x="0" y="0"/>
                      <a:ext cx="5286375" cy="7499985"/>
                    </a:xfrm>
                    <a:prstGeom prst="rect">
                      <a:avLst/>
                    </a:prstGeom>
                  </pic:spPr>
                </pic:pic>
              </a:graphicData>
            </a:graphic>
          </wp:anchor>
        </w:drawing>
      </w:r>
      <w:r>
        <w:rPr>
          <w:rFonts w:hint="eastAsia" w:ascii="MWcht" w:hAnsi="MWcht" w:eastAsia="方正小标宋简体" w:cs="MWcht"/>
          <w:spacing w:val="-8"/>
          <w:sz w:val="24"/>
          <w:szCs w:val="24"/>
          <w:highlight w:val="none"/>
          <w:u w:val="none"/>
          <w:lang w:eastAsia="zh-CN"/>
        </w:rPr>
        <w:drawing>
          <wp:anchor distT="0" distB="0" distL="114300" distR="114300" simplePos="0" relativeHeight="251668480" behindDoc="1" locked="0" layoutInCell="1" allowOverlap="1">
            <wp:simplePos x="0" y="0"/>
            <wp:positionH relativeFrom="column">
              <wp:posOffset>-523875</wp:posOffset>
            </wp:positionH>
            <wp:positionV relativeFrom="paragraph">
              <wp:posOffset>-706755</wp:posOffset>
            </wp:positionV>
            <wp:extent cx="5286375" cy="7499985"/>
            <wp:effectExtent l="0" t="0" r="0" b="0"/>
            <wp:wrapNone/>
            <wp:docPr id="11" name="图片 11" descr="1最终 鄂托克旗2021年3月收支简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最终 鄂托克旗2021年3月收支简报-1"/>
                    <pic:cNvPicPr>
                      <a:picLocks noChangeAspect="1"/>
                    </pic:cNvPicPr>
                  </pic:nvPicPr>
                  <pic:blipFill>
                    <a:blip r:embed="rId10"/>
                    <a:stretch>
                      <a:fillRect/>
                    </a:stretch>
                  </pic:blipFill>
                  <pic:spPr>
                    <a:xfrm>
                      <a:off x="0" y="0"/>
                      <a:ext cx="5286375" cy="749998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12"/>
          <w:sz w:val="52"/>
          <w:szCs w:val="52"/>
          <w:highlight w:val="none"/>
          <w:u w:val="none"/>
          <w:lang w:val="en-US" w:eastAsia="zh-CN"/>
        </w:rPr>
      </w:pPr>
      <w:r>
        <w:rPr>
          <w:rFonts w:hint="eastAsia" w:ascii="汉真广标" w:hAnsi="汉真广标" w:eastAsia="汉真广标" w:cs="汉真广标"/>
          <w:spacing w:val="12"/>
          <w:sz w:val="52"/>
          <w:szCs w:val="52"/>
          <w:highlight w:val="none"/>
          <w:u w:val="none"/>
          <w:lang w:val="en-US" w:eastAsia="zh-CN"/>
        </w:rPr>
        <w:t>鄂托克旗财政收支分析</w:t>
      </w: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8"/>
          <w:sz w:val="28"/>
          <w:szCs w:val="28"/>
          <w:highlight w:val="none"/>
          <w:u w:val="none"/>
          <w:lang w:val="en-US" w:eastAsia="zh-CN"/>
        </w:rPr>
      </w:pPr>
      <w:r>
        <w:rPr>
          <w:rFonts w:hint="default" w:ascii="Times New Roman" w:hAnsi="Times New Roman" w:eastAsia="黑体" w:cs="Times New Roman"/>
          <w:b w:val="0"/>
          <w:bCs w:val="0"/>
          <w:spacing w:val="-8"/>
          <w:sz w:val="28"/>
          <w:szCs w:val="28"/>
          <w:highlight w:val="none"/>
          <w:u w:val="none"/>
          <w:lang w:val="en-US" w:eastAsia="zh-CN"/>
        </w:rPr>
        <w:t>202</w:t>
      </w:r>
      <w:r>
        <w:rPr>
          <w:rFonts w:hint="eastAsia" w:ascii="Times New Roman" w:hAnsi="Times New Roman" w:eastAsia="黑体" w:cs="Times New Roman"/>
          <w:b w:val="0"/>
          <w:bCs w:val="0"/>
          <w:spacing w:val="-8"/>
          <w:sz w:val="28"/>
          <w:szCs w:val="28"/>
          <w:highlight w:val="none"/>
          <w:u w:val="none"/>
          <w:lang w:val="en-US" w:eastAsia="zh-CN"/>
        </w:rPr>
        <w:t>2</w:t>
      </w:r>
      <w:r>
        <w:rPr>
          <w:rFonts w:hint="eastAsia" w:ascii="黑体" w:hAnsi="黑体" w:eastAsia="黑体" w:cs="黑体"/>
          <w:b w:val="0"/>
          <w:bCs w:val="0"/>
          <w:spacing w:val="-8"/>
          <w:sz w:val="28"/>
          <w:szCs w:val="28"/>
          <w:highlight w:val="none"/>
          <w:u w:val="none"/>
          <w:lang w:val="en-US" w:eastAsia="zh-CN"/>
        </w:rPr>
        <w:t>年第8期</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8"/>
          <w:sz w:val="28"/>
          <w:szCs w:val="28"/>
          <w:highlight w:val="none"/>
          <w:u w:val="none"/>
          <w:lang w:val="en-US" w:eastAsia="zh-CN"/>
        </w:rPr>
      </w:pPr>
      <w:r>
        <w:rPr>
          <w:rFonts w:hint="eastAsia" w:ascii="黑体" w:hAnsi="黑体" w:eastAsia="黑体" w:cs="黑体"/>
          <w:b w:val="0"/>
          <w:bCs w:val="0"/>
          <w:spacing w:val="-8"/>
          <w:sz w:val="28"/>
          <w:szCs w:val="28"/>
          <w:highlight w:val="none"/>
          <w:u w:val="none"/>
          <w:lang w:val="en-US" w:eastAsia="zh-CN"/>
        </w:rPr>
        <w:t>（总第8期）</w:t>
      </w: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9"/>
          <w:sz w:val="24"/>
          <w:szCs w:val="24"/>
          <w:highlight w:val="none"/>
          <w:u w:val="none"/>
          <w:lang w:val="en-US" w:eastAsia="zh-CN"/>
        </w:rPr>
      </w:pPr>
      <w:r>
        <w:rPr>
          <w:rFonts w:hint="eastAsia" w:ascii="黑体" w:hAnsi="黑体" w:eastAsia="黑体" w:cs="黑体"/>
          <w:b w:val="0"/>
          <w:bCs w:val="0"/>
          <w:spacing w:val="9"/>
          <w:sz w:val="24"/>
          <w:szCs w:val="24"/>
          <w:highlight w:val="none"/>
          <w:u w:val="none"/>
          <w:lang w:val="en-US" w:eastAsia="zh-CN"/>
        </w:rPr>
        <w:t>鄂托克旗财政局</w:t>
      </w: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pacing w:val="-8"/>
          <w:sz w:val="36"/>
          <w:szCs w:val="36"/>
          <w:highlight w:val="none"/>
          <w:u w:val="none"/>
          <w:lang w:val="en-US" w:eastAsia="zh-CN"/>
        </w:rPr>
      </w:pPr>
      <w:r>
        <w:rPr>
          <w:rFonts w:hint="eastAsia" w:ascii="黑体" w:hAnsi="黑体" w:eastAsia="黑体" w:cs="黑体"/>
          <w:b/>
          <w:bCs/>
          <w:spacing w:val="-8"/>
          <w:sz w:val="36"/>
          <w:szCs w:val="36"/>
          <w:highlight w:val="none"/>
          <w:u w:val="none"/>
          <w:lang w:val="en-US" w:eastAsia="zh-CN"/>
        </w:rPr>
        <w:t>目录</w:t>
      </w:r>
    </w:p>
    <w:p>
      <w:pPr>
        <w:keepNext w:val="0"/>
        <w:keepLines w:val="0"/>
        <w:pageBreakBefore w:val="0"/>
        <w:widowControl w:val="0"/>
        <w:kinsoku/>
        <w:wordWrap/>
        <w:overflowPunct/>
        <w:topLinePunct w:val="0"/>
        <w:autoSpaceDE/>
        <w:autoSpaceDN/>
        <w:bidi w:val="0"/>
        <w:adjustRightInd/>
        <w:snapToGrid/>
        <w:spacing w:line="560" w:lineRule="exact"/>
        <w:ind w:firstLine="448" w:firstLineChars="200"/>
        <w:jc w:val="both"/>
        <w:textAlignment w:val="auto"/>
        <w:rPr>
          <w:rFonts w:hint="eastAsia" w:ascii="黑体" w:hAnsi="黑体" w:eastAsia="黑体" w:cs="黑体"/>
          <w:spacing w:val="-8"/>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黑体" w:cs="Times New Roman"/>
          <w:b w:val="0"/>
          <w:bCs w:val="0"/>
          <w:spacing w:val="0"/>
          <w:sz w:val="24"/>
          <w:szCs w:val="24"/>
          <w:highlight w:val="none"/>
          <w:u w:val="none"/>
          <w:lang w:val="en-US" w:eastAsia="zh-CN"/>
        </w:rPr>
      </w:pPr>
      <w:r>
        <w:rPr>
          <w:rFonts w:ascii="Times New Roman" w:hAnsi="Times New Roman" w:eastAsia="黑体" w:cs="Times New Roman"/>
          <w:b w:val="0"/>
          <w:bCs w:val="0"/>
          <w:spacing w:val="0"/>
          <w:sz w:val="24"/>
          <w:szCs w:val="24"/>
          <w:highlight w:val="none"/>
          <w:u w:val="none"/>
        </w:rPr>
        <w:t>一、全</w:t>
      </w:r>
      <w:r>
        <w:rPr>
          <w:rFonts w:hint="eastAsia" w:ascii="Times New Roman" w:hAnsi="Times New Roman" w:eastAsia="黑体" w:cs="Times New Roman"/>
          <w:b w:val="0"/>
          <w:bCs w:val="0"/>
          <w:spacing w:val="0"/>
          <w:sz w:val="24"/>
          <w:szCs w:val="24"/>
          <w:highlight w:val="none"/>
          <w:u w:val="none"/>
          <w:lang w:val="en-US" w:eastAsia="zh-CN"/>
        </w:rPr>
        <w:t>旗一般公共预算收入</w:t>
      </w:r>
      <w:r>
        <w:rPr>
          <w:rFonts w:hint="eastAsia" w:ascii="Times New Roman" w:hAnsi="Times New Roman" w:eastAsia="黑体" w:cs="Times New Roman"/>
          <w:b w:val="0"/>
          <w:bCs w:val="0"/>
          <w:spacing w:val="0"/>
          <w:sz w:val="24"/>
          <w:szCs w:val="24"/>
          <w:highlight w:val="none"/>
          <w:u w:val="none"/>
          <w:lang w:eastAsia="zh-CN"/>
        </w:rPr>
        <w:t>完成</w:t>
      </w:r>
      <w:r>
        <w:rPr>
          <w:rFonts w:ascii="Times New Roman" w:hAnsi="Times New Roman" w:eastAsia="黑体" w:cs="Times New Roman"/>
          <w:b w:val="0"/>
          <w:bCs w:val="0"/>
          <w:spacing w:val="0"/>
          <w:sz w:val="24"/>
          <w:szCs w:val="24"/>
          <w:highlight w:val="none"/>
          <w:u w:val="none"/>
        </w:rPr>
        <w:t>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仿宋_GB2312" w:cs="Times New Roman"/>
          <w:b w:val="0"/>
          <w:bCs w:val="0"/>
          <w:spacing w:val="0"/>
          <w:sz w:val="24"/>
          <w:szCs w:val="24"/>
          <w:highlight w:val="none"/>
          <w:u w:val="none"/>
          <w:lang w:val="en-US" w:eastAsia="zh-CN"/>
        </w:rPr>
      </w:pPr>
      <w:r>
        <w:rPr>
          <w:rFonts w:hint="eastAsia" w:ascii="楷体_GB2312" w:hAnsi="楷体_GB2312" w:eastAsia="楷体_GB2312" w:cs="楷体_GB2312"/>
          <w:b w:val="0"/>
          <w:bCs w:val="0"/>
          <w:spacing w:val="0"/>
          <w:sz w:val="24"/>
          <w:szCs w:val="24"/>
          <w:highlight w:val="none"/>
          <w:u w:val="none"/>
          <w:lang w:val="en-US" w:eastAsia="zh-CN"/>
        </w:rPr>
        <w:t xml:space="preserve">    （一）8月一般公共预算收入完成情况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仿宋_GB2312" w:cs="Times New Roman"/>
          <w:b w:val="0"/>
          <w:bCs w:val="0"/>
          <w:spacing w:val="0"/>
          <w:sz w:val="24"/>
          <w:szCs w:val="24"/>
          <w:highlight w:val="none"/>
          <w:u w:val="none"/>
          <w:lang w:val="en-US" w:eastAsia="zh-CN"/>
        </w:rPr>
      </w:pPr>
      <w:r>
        <w:rPr>
          <w:rFonts w:hint="eastAsia" w:ascii="楷体_GB2312" w:hAnsi="楷体_GB2312" w:eastAsia="楷体_GB2312" w:cs="楷体_GB2312"/>
          <w:b w:val="0"/>
          <w:bCs w:val="0"/>
          <w:spacing w:val="0"/>
          <w:sz w:val="24"/>
          <w:szCs w:val="24"/>
          <w:highlight w:val="none"/>
          <w:u w:val="none"/>
          <w:lang w:val="en-US" w:eastAsia="zh-CN"/>
        </w:rPr>
        <w:t xml:space="preserve">    （二）1-8月一般公共预算收入完成情况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二、</w:t>
      </w:r>
      <w:r>
        <w:rPr>
          <w:rFonts w:hint="default" w:ascii="Times New Roman" w:hAnsi="Times New Roman" w:eastAsia="黑体" w:cs="Times New Roman"/>
          <w:b w:val="0"/>
          <w:bCs w:val="0"/>
          <w:spacing w:val="0"/>
          <w:sz w:val="24"/>
          <w:szCs w:val="24"/>
          <w:highlight w:val="none"/>
          <w:u w:val="none"/>
        </w:rPr>
        <w:t>全</w:t>
      </w:r>
      <w:r>
        <w:rPr>
          <w:rFonts w:hint="eastAsia" w:ascii="Times New Roman" w:hAnsi="Times New Roman" w:eastAsia="黑体" w:cs="Times New Roman"/>
          <w:b w:val="0"/>
          <w:bCs w:val="0"/>
          <w:spacing w:val="0"/>
          <w:sz w:val="24"/>
          <w:szCs w:val="24"/>
          <w:highlight w:val="none"/>
          <w:u w:val="none"/>
          <w:lang w:val="en-US" w:eastAsia="zh-CN"/>
        </w:rPr>
        <w:t>旗</w:t>
      </w:r>
      <w:r>
        <w:rPr>
          <w:rFonts w:hint="default" w:ascii="Times New Roman" w:hAnsi="Times New Roman" w:eastAsia="黑体" w:cs="Times New Roman"/>
          <w:b w:val="0"/>
          <w:bCs w:val="0"/>
          <w:spacing w:val="0"/>
          <w:sz w:val="24"/>
          <w:szCs w:val="24"/>
          <w:highlight w:val="none"/>
          <w:u w:val="none"/>
        </w:rPr>
        <w:t>地方财政总收入完成情况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eastAsia"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三、一般公共预算支出完成情况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仿宋_GB2312" w:cs="Times New Roman"/>
          <w:b w:val="0"/>
          <w:bCs w:val="0"/>
          <w:spacing w:val="0"/>
          <w:sz w:val="24"/>
          <w:szCs w:val="24"/>
          <w:highlight w:val="none"/>
          <w:u w:val="none"/>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四、政府性基金收支完成情况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8</w:t>
      </w: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MWcht" w:hAnsi="MWcht" w:eastAsia="方正小标宋简体" w:cs="MWcht"/>
          <w:spacing w:val="-8"/>
          <w:sz w:val="24"/>
          <w:szCs w:val="24"/>
          <w:highlight w:val="none"/>
          <w:u w:val="none"/>
        </w:rPr>
        <w:sectPr>
          <w:headerReference r:id="rId3" w:type="default"/>
          <w:footerReference r:id="rId5" w:type="default"/>
          <w:headerReference r:id="rId4" w:type="even"/>
          <w:footerReference r:id="rId6" w:type="even"/>
          <w:footnotePr>
            <w:numFmt w:val="decimalEnclosedCircleChinese"/>
          </w:footnotePr>
          <w:type w:val="continuous"/>
          <w:pgSz w:w="8390" w:h="11905"/>
          <w:pgMar w:top="1134" w:right="850" w:bottom="850" w:left="850" w:header="851"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r>
        <w:rPr>
          <w:rFonts w:hint="eastAsia" w:ascii="MWcht" w:hAnsi="MWcht" w:eastAsia="方正小标宋简体" w:cs="MWcht"/>
          <w:spacing w:val="-8"/>
          <w:sz w:val="24"/>
          <w:szCs w:val="24"/>
          <w:highlight w:val="none"/>
          <w:u w:val="none"/>
          <w:lang w:eastAsia="zh-CN"/>
        </w:rPr>
        <w:drawing>
          <wp:anchor distT="0" distB="0" distL="114300" distR="114300" simplePos="0" relativeHeight="251676672" behindDoc="0" locked="0" layoutInCell="1" allowOverlap="1">
            <wp:simplePos x="0" y="0"/>
            <wp:positionH relativeFrom="column">
              <wp:posOffset>362585</wp:posOffset>
            </wp:positionH>
            <wp:positionV relativeFrom="paragraph">
              <wp:posOffset>314960</wp:posOffset>
            </wp:positionV>
            <wp:extent cx="3808730" cy="762000"/>
            <wp:effectExtent l="0" t="0" r="1270" b="0"/>
            <wp:wrapNone/>
            <wp:docPr id="3" name="图片 3" descr="鄂托克旗2022年4月收支简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鄂托克旗2022年4月收支简报-31"/>
                    <pic:cNvPicPr>
                      <a:picLocks noChangeAspect="1"/>
                    </pic:cNvPicPr>
                  </pic:nvPicPr>
                  <pic:blipFill>
                    <a:blip r:embed="rId11"/>
                    <a:stretch>
                      <a:fillRect/>
                    </a:stretch>
                  </pic:blipFill>
                  <pic:spPr>
                    <a:xfrm>
                      <a:off x="0" y="0"/>
                      <a:ext cx="3808730" cy="76200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jc w:val="both"/>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鄂托克旗</w:t>
      </w:r>
      <w:r>
        <w:rPr>
          <w:rFonts w:hint="eastAsia" w:ascii="方正小标宋简体" w:hAnsi="方正小标宋简体" w:eastAsia="方正小标宋简体" w:cs="方正小标宋简体"/>
          <w:sz w:val="36"/>
          <w:szCs w:val="36"/>
        </w:rPr>
        <w:t>财政收支预算执行情况分析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小标宋简体" w:hAnsi="方正小标宋简体" w:eastAsia="方正小标宋简体" w:cs="方正小标宋简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第 8期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小标宋简体" w:hAnsi="方正小标宋简体" w:eastAsia="方正小标宋简体" w:cs="方正小标宋简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楷体_GB2312" w:hAnsi="楷体_GB2312" w:eastAsia="楷体_GB2312" w:cs="楷体_GB2312"/>
          <w:sz w:val="24"/>
          <w:szCs w:val="24"/>
          <w:highlight w:val="none"/>
          <w:u w:val="none"/>
          <w:lang w:val="en-US"/>
        </w:rPr>
      </w:pPr>
      <w:r>
        <w:rPr>
          <w:rFonts w:hint="eastAsia" w:ascii="楷体_GB2312" w:hAnsi="楷体_GB2312" w:eastAsia="楷体_GB2312" w:cs="楷体_GB2312"/>
          <w:sz w:val="24"/>
          <w:szCs w:val="24"/>
          <w:highlight w:val="none"/>
          <w:u w:val="none"/>
          <w:lang w:val="en-US" w:eastAsia="zh-CN"/>
        </w:rPr>
        <w:t>签发人：李思乾                     2022年9月10日</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44450</wp:posOffset>
                </wp:positionV>
                <wp:extent cx="4252595" cy="0"/>
                <wp:effectExtent l="0" t="0" r="0" b="0"/>
                <wp:wrapNone/>
                <wp:docPr id="20" name="直接连接符 20"/>
                <wp:cNvGraphicFramePr/>
                <a:graphic xmlns:a="http://schemas.openxmlformats.org/drawingml/2006/main">
                  <a:graphicData uri="http://schemas.microsoft.com/office/word/2010/wordprocessingShape">
                    <wps:wsp>
                      <wps:cNvCnPr/>
                      <wps:spPr>
                        <a:xfrm>
                          <a:off x="687070" y="2796540"/>
                          <a:ext cx="4252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pt;margin-top:3.5pt;height:0pt;width:334.85pt;z-index:251659264;mso-width-relative:page;mso-height-relative:page;" filled="f" stroked="t" coordsize="21600,21600" o:gfxdata="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rBG9MAAAAGAQAA&#10;DwAAAAAAAAABACAAAAAiAAAAZHJzL2Rvd25yZXYueG1sUEsBAhQAFAAAAAgAh07iQJr9wvTlAQAA&#10;pwMAAA4AAAAAAAAAAQAgAAAAIgEAAGRycy9lMm9Eb2MueG1sUEsFBgAAAAAGAAYAWQEAAHkFAAAA&#10;AA==&#10;">
                <v:fill on="f" focussize="0,0"/>
                <v:stroke color="#000000 [3213]"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Times New Roman" w:hAnsi="Times New Roman" w:eastAsia="黑体" w:cs="Times New Roman"/>
          <w:spacing w:val="0"/>
          <w:kern w:val="21"/>
          <w:sz w:val="24"/>
          <w:szCs w:val="24"/>
          <w:highlight w:val="none"/>
          <w:u w:val="none"/>
        </w:rPr>
      </w:pPr>
      <w:r>
        <w:rPr>
          <w:rFonts w:ascii="Times New Roman" w:hAnsi="Times New Roman" w:eastAsia="黑体" w:cs="Times New Roman"/>
          <w:spacing w:val="0"/>
          <w:kern w:val="21"/>
          <w:sz w:val="24"/>
          <w:szCs w:val="24"/>
          <w:highlight w:val="none"/>
          <w:u w:val="none"/>
        </w:rPr>
        <w:t>一、全</w:t>
      </w:r>
      <w:r>
        <w:rPr>
          <w:rFonts w:hint="eastAsia" w:ascii="Times New Roman" w:hAnsi="Times New Roman" w:eastAsia="黑体" w:cs="Times New Roman"/>
          <w:spacing w:val="0"/>
          <w:kern w:val="21"/>
          <w:sz w:val="24"/>
          <w:szCs w:val="24"/>
          <w:highlight w:val="none"/>
          <w:u w:val="none"/>
          <w:lang w:val="en-US" w:eastAsia="zh-CN"/>
        </w:rPr>
        <w:t>旗一般公共预算收入</w:t>
      </w:r>
      <w:r>
        <w:rPr>
          <w:rFonts w:hint="eastAsia" w:ascii="Times New Roman" w:hAnsi="Times New Roman" w:eastAsia="黑体" w:cs="Times New Roman"/>
          <w:spacing w:val="0"/>
          <w:kern w:val="21"/>
          <w:sz w:val="24"/>
          <w:szCs w:val="24"/>
          <w:highlight w:val="none"/>
          <w:u w:val="none"/>
          <w:lang w:eastAsia="zh-CN"/>
        </w:rPr>
        <w:t>完成</w:t>
      </w:r>
      <w:r>
        <w:rPr>
          <w:rFonts w:ascii="Times New Roman" w:hAnsi="Times New Roman" w:eastAsia="黑体" w:cs="Times New Roman"/>
          <w:spacing w:val="0"/>
          <w:kern w:val="21"/>
          <w:sz w:val="24"/>
          <w:szCs w:val="24"/>
          <w:highlight w:val="none"/>
          <w:u w:val="none"/>
        </w:rPr>
        <w:t>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楷体_GB2312" w:hAnsi="楷体_GB2312" w:eastAsia="楷体_GB2312" w:cs="楷体_GB2312"/>
          <w:spacing w:val="0"/>
          <w:kern w:val="21"/>
          <w:sz w:val="24"/>
          <w:szCs w:val="24"/>
          <w:highlight w:val="none"/>
          <w:u w:val="none"/>
          <w:lang w:val="en-US" w:eastAsia="zh-CN"/>
        </w:rPr>
      </w:pPr>
      <w:bookmarkStart w:id="0" w:name="_Hlk502930230"/>
      <w:r>
        <w:rPr>
          <w:rFonts w:hint="eastAsia" w:ascii="楷体_GB2312" w:hAnsi="楷体_GB2312" w:eastAsia="楷体_GB2312" w:cs="楷体_GB2312"/>
          <w:spacing w:val="0"/>
          <w:kern w:val="21"/>
          <w:sz w:val="24"/>
          <w:szCs w:val="24"/>
          <w:highlight w:val="none"/>
          <w:u w:val="none"/>
          <w:lang w:val="en-US" w:eastAsia="zh-CN"/>
        </w:rPr>
        <w:t>（一）8月一般公共预算收入完成情况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color w:val="auto"/>
          <w:spacing w:val="0"/>
          <w:kern w:val="21"/>
          <w:sz w:val="24"/>
          <w:szCs w:val="24"/>
          <w:highlight w:val="yellow"/>
        </w:rPr>
      </w:pPr>
      <w:r>
        <w:rPr>
          <w:rFonts w:hint="eastAsia" w:ascii="仿宋_GB2312" w:hAnsi="仿宋_GB2312" w:eastAsia="仿宋_GB2312" w:cs="仿宋_GB2312"/>
          <w:spacing w:val="0"/>
          <w:kern w:val="21"/>
          <w:sz w:val="24"/>
          <w:szCs w:val="24"/>
          <w:highlight w:val="none"/>
          <w:u w:val="none"/>
          <w:lang w:val="en-US" w:eastAsia="zh-CN"/>
        </w:rPr>
        <w:t>2022年8月当月，全旗一般公共预算收入完成20547万元，较上年同期（下同）下降11.5%。</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黑体" w:hAnsi="黑体" w:eastAsia="黑体" w:cs="黑体"/>
          <w:spacing w:val="0"/>
          <w:kern w:val="21"/>
          <w:sz w:val="24"/>
          <w:szCs w:val="24"/>
          <w:highlight w:val="none"/>
          <w:u w:val="none"/>
          <w:lang w:val="en-US" w:eastAsia="zh-CN"/>
        </w:rPr>
        <w:t>分项目：</w:t>
      </w:r>
      <w:r>
        <w:rPr>
          <w:rFonts w:hint="eastAsia" w:ascii="仿宋_GB2312" w:hAnsi="仿宋_GB2312" w:eastAsia="仿宋_GB2312" w:cs="仿宋_GB2312"/>
          <w:b/>
          <w:bCs/>
          <w:spacing w:val="0"/>
          <w:kern w:val="21"/>
          <w:sz w:val="24"/>
          <w:szCs w:val="24"/>
          <w:highlight w:val="none"/>
          <w:u w:val="none"/>
          <w:lang w:val="en-US" w:eastAsia="zh-CN"/>
        </w:rPr>
        <w:t>1.增值税</w:t>
      </w:r>
      <w:r>
        <w:rPr>
          <w:rFonts w:hint="eastAsia" w:ascii="仿宋_GB2312" w:hAnsi="仿宋_GB2312" w:eastAsia="仿宋_GB2312" w:cs="仿宋_GB2312"/>
          <w:b w:val="0"/>
          <w:bCs w:val="0"/>
          <w:spacing w:val="0"/>
          <w:kern w:val="21"/>
          <w:sz w:val="24"/>
          <w:szCs w:val="24"/>
          <w:highlight w:val="none"/>
          <w:u w:val="none"/>
          <w:lang w:val="en-US" w:eastAsia="zh-CN"/>
        </w:rPr>
        <w:t>8638</w:t>
      </w:r>
      <w:r>
        <w:rPr>
          <w:rFonts w:hint="eastAsia" w:ascii="仿宋_GB2312" w:hAnsi="仿宋_GB2312" w:eastAsia="仿宋_GB2312" w:cs="仿宋_GB2312"/>
          <w:spacing w:val="0"/>
          <w:kern w:val="21"/>
          <w:sz w:val="24"/>
          <w:szCs w:val="24"/>
          <w:highlight w:val="none"/>
          <w:u w:val="none"/>
          <w:lang w:val="en-US" w:eastAsia="zh-CN"/>
        </w:rPr>
        <w:t>万元、较上年同期下降7.3%；</w:t>
      </w:r>
      <w:r>
        <w:rPr>
          <w:rFonts w:hint="eastAsia" w:ascii="仿宋_GB2312" w:hAnsi="仿宋_GB2312" w:eastAsia="仿宋_GB2312" w:cs="仿宋_GB2312"/>
          <w:b/>
          <w:bCs/>
          <w:spacing w:val="0"/>
          <w:kern w:val="21"/>
          <w:sz w:val="24"/>
          <w:szCs w:val="24"/>
          <w:highlight w:val="none"/>
          <w:u w:val="none"/>
          <w:lang w:val="en-US" w:eastAsia="zh-CN"/>
        </w:rPr>
        <w:t>2.企业所得税</w:t>
      </w:r>
      <w:r>
        <w:rPr>
          <w:rFonts w:hint="eastAsia" w:ascii="仿宋_GB2312" w:hAnsi="仿宋_GB2312" w:eastAsia="仿宋_GB2312" w:cs="仿宋_GB2312"/>
          <w:b w:val="0"/>
          <w:bCs w:val="0"/>
          <w:spacing w:val="0"/>
          <w:kern w:val="21"/>
          <w:sz w:val="24"/>
          <w:szCs w:val="24"/>
          <w:highlight w:val="none"/>
          <w:u w:val="none"/>
          <w:lang w:val="en-US" w:eastAsia="zh-CN"/>
        </w:rPr>
        <w:t>-72</w:t>
      </w:r>
      <w:r>
        <w:rPr>
          <w:rFonts w:hint="eastAsia" w:ascii="仿宋_GB2312" w:hAnsi="仿宋_GB2312" w:eastAsia="仿宋_GB2312" w:cs="仿宋_GB2312"/>
          <w:spacing w:val="0"/>
          <w:kern w:val="21"/>
          <w:sz w:val="24"/>
          <w:szCs w:val="24"/>
          <w:highlight w:val="none"/>
          <w:u w:val="none"/>
          <w:lang w:val="en-US" w:eastAsia="zh-CN"/>
        </w:rPr>
        <w:t>万元、较上年同期下降332.3%；</w:t>
      </w:r>
      <w:r>
        <w:rPr>
          <w:rFonts w:hint="eastAsia" w:ascii="仿宋_GB2312" w:hAnsi="仿宋_GB2312" w:eastAsia="仿宋_GB2312" w:cs="仿宋_GB2312"/>
          <w:b/>
          <w:bCs/>
          <w:spacing w:val="0"/>
          <w:kern w:val="21"/>
          <w:sz w:val="24"/>
          <w:szCs w:val="24"/>
          <w:highlight w:val="none"/>
          <w:u w:val="none"/>
          <w:lang w:val="en-US" w:eastAsia="zh-CN"/>
        </w:rPr>
        <w:t>3.资源税</w:t>
      </w:r>
      <w:r>
        <w:rPr>
          <w:rFonts w:hint="eastAsia" w:ascii="仿宋_GB2312" w:hAnsi="仿宋_GB2312" w:eastAsia="仿宋_GB2312" w:cs="仿宋_GB2312"/>
          <w:spacing w:val="0"/>
          <w:kern w:val="21"/>
          <w:sz w:val="24"/>
          <w:szCs w:val="24"/>
          <w:highlight w:val="none"/>
          <w:u w:val="none"/>
          <w:lang w:val="en-US" w:eastAsia="zh-CN"/>
        </w:rPr>
        <w:t>4164万元、较上年同期上升4.7%；</w:t>
      </w:r>
      <w:r>
        <w:rPr>
          <w:rFonts w:hint="eastAsia" w:ascii="仿宋_GB2312" w:hAnsi="仿宋_GB2312" w:eastAsia="仿宋_GB2312" w:cs="仿宋_GB2312"/>
          <w:b/>
          <w:bCs/>
          <w:spacing w:val="0"/>
          <w:kern w:val="21"/>
          <w:sz w:val="24"/>
          <w:szCs w:val="24"/>
          <w:highlight w:val="none"/>
          <w:u w:val="none"/>
          <w:lang w:val="en-US" w:eastAsia="zh-CN"/>
        </w:rPr>
        <w:t>4.个人所得税</w:t>
      </w:r>
      <w:r>
        <w:rPr>
          <w:rFonts w:hint="eastAsia" w:ascii="仿宋_GB2312" w:hAnsi="仿宋_GB2312" w:eastAsia="仿宋_GB2312" w:cs="仿宋_GB2312"/>
          <w:spacing w:val="0"/>
          <w:kern w:val="21"/>
          <w:sz w:val="24"/>
          <w:szCs w:val="24"/>
          <w:highlight w:val="none"/>
          <w:u w:val="none"/>
          <w:lang w:val="en-US" w:eastAsia="zh-CN"/>
        </w:rPr>
        <w:t>468万元、较上年同期上升41%</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lang w:val="en-US" w:eastAsia="zh-CN"/>
        </w:rPr>
        <w:t>5.城市维护建设税</w:t>
      </w:r>
      <w:r>
        <w:rPr>
          <w:rFonts w:hint="eastAsia" w:ascii="仿宋_GB2312" w:hAnsi="仿宋_GB2312" w:eastAsia="仿宋_GB2312" w:cs="仿宋_GB2312"/>
          <w:spacing w:val="0"/>
          <w:kern w:val="21"/>
          <w:sz w:val="24"/>
          <w:szCs w:val="24"/>
          <w:highlight w:val="none"/>
          <w:u w:val="none"/>
          <w:lang w:val="en-US" w:eastAsia="zh-CN"/>
        </w:rPr>
        <w:t>2053万元、较上年同期下降11.5%</w:t>
      </w:r>
      <w:r>
        <w:rPr>
          <w:rFonts w:hint="eastAsia" w:ascii="仿宋_GB2312" w:hAnsi="仿宋_GB2312" w:eastAsia="仿宋_GB2312" w:cs="仿宋_GB2312"/>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lang w:val="en-US" w:eastAsia="zh-CN"/>
        </w:rPr>
        <w:t>6.房产税</w:t>
      </w:r>
      <w:r>
        <w:rPr>
          <w:rFonts w:hint="eastAsia" w:ascii="仿宋_GB2312" w:hAnsi="仿宋_GB2312" w:eastAsia="仿宋_GB2312" w:cs="仿宋_GB2312"/>
          <w:spacing w:val="0"/>
          <w:kern w:val="21"/>
          <w:sz w:val="24"/>
          <w:szCs w:val="24"/>
          <w:highlight w:val="none"/>
          <w:lang w:val="en-US" w:eastAsia="zh-CN"/>
        </w:rPr>
        <w:t>57万元、较上年同期上升338.5%；</w:t>
      </w:r>
      <w:r>
        <w:rPr>
          <w:rFonts w:hint="eastAsia" w:ascii="仿宋_GB2312" w:hAnsi="仿宋_GB2312" w:eastAsia="仿宋_GB2312" w:cs="仿宋_GB2312"/>
          <w:b/>
          <w:bCs/>
          <w:spacing w:val="0"/>
          <w:kern w:val="21"/>
          <w:sz w:val="24"/>
          <w:szCs w:val="24"/>
          <w:highlight w:val="none"/>
          <w:lang w:val="en-US" w:eastAsia="zh-CN"/>
        </w:rPr>
        <w:t>7.</w:t>
      </w:r>
      <w:r>
        <w:rPr>
          <w:rFonts w:hint="eastAsia" w:ascii="仿宋_GB2312" w:hAnsi="仿宋_GB2312" w:eastAsia="仿宋_GB2312" w:cs="仿宋_GB2312"/>
          <w:b/>
          <w:bCs/>
          <w:color w:val="auto"/>
          <w:spacing w:val="0"/>
          <w:kern w:val="21"/>
          <w:sz w:val="24"/>
          <w:szCs w:val="24"/>
          <w:highlight w:val="none"/>
          <w:u w:val="none"/>
          <w:lang w:val="en-US" w:eastAsia="zh-CN"/>
        </w:rPr>
        <w:t>印花税</w:t>
      </w:r>
      <w:r>
        <w:rPr>
          <w:rFonts w:hint="eastAsia" w:ascii="仿宋_GB2312" w:hAnsi="仿宋_GB2312" w:eastAsia="仿宋_GB2312" w:cs="仿宋_GB2312"/>
          <w:color w:val="auto"/>
          <w:spacing w:val="0"/>
          <w:kern w:val="21"/>
          <w:sz w:val="24"/>
          <w:szCs w:val="24"/>
          <w:highlight w:val="none"/>
          <w:u w:val="none"/>
          <w:lang w:val="en-US" w:eastAsia="zh-CN"/>
        </w:rPr>
        <w:t>34万元、</w:t>
      </w:r>
      <w:r>
        <w:rPr>
          <w:rFonts w:hint="eastAsia" w:ascii="仿宋_GB2312" w:hAnsi="仿宋_GB2312" w:eastAsia="仿宋_GB2312" w:cs="仿宋_GB2312"/>
          <w:spacing w:val="0"/>
          <w:kern w:val="21"/>
          <w:sz w:val="24"/>
          <w:szCs w:val="24"/>
          <w:highlight w:val="none"/>
          <w:u w:val="none"/>
          <w:lang w:val="en-US" w:eastAsia="zh-CN"/>
        </w:rPr>
        <w:t>较上年同期下降94.2%；</w:t>
      </w:r>
      <w:r>
        <w:rPr>
          <w:rFonts w:hint="eastAsia" w:ascii="仿宋_GB2312" w:hAnsi="仿宋_GB2312" w:eastAsia="仿宋_GB2312" w:cs="仿宋_GB2312"/>
          <w:b/>
          <w:bCs/>
          <w:spacing w:val="0"/>
          <w:kern w:val="21"/>
          <w:sz w:val="24"/>
          <w:szCs w:val="24"/>
          <w:highlight w:val="none"/>
          <w:u w:val="none"/>
          <w:lang w:val="en-US" w:eastAsia="zh-CN"/>
        </w:rPr>
        <w:t>8.城镇土地使用税</w:t>
      </w:r>
      <w:r>
        <w:rPr>
          <w:rFonts w:hint="eastAsia" w:ascii="仿宋_GB2312" w:hAnsi="仿宋_GB2312" w:eastAsia="仿宋_GB2312" w:cs="仿宋_GB2312"/>
          <w:b w:val="0"/>
          <w:bCs w:val="0"/>
          <w:spacing w:val="0"/>
          <w:kern w:val="21"/>
          <w:sz w:val="24"/>
          <w:szCs w:val="24"/>
          <w:highlight w:val="none"/>
          <w:u w:val="none"/>
          <w:lang w:val="en-US" w:eastAsia="zh-CN"/>
        </w:rPr>
        <w:t>182</w:t>
      </w:r>
      <w:r>
        <w:rPr>
          <w:rFonts w:hint="eastAsia" w:ascii="仿宋_GB2312" w:hAnsi="仿宋_GB2312" w:eastAsia="仿宋_GB2312" w:cs="仿宋_GB2312"/>
          <w:spacing w:val="0"/>
          <w:kern w:val="21"/>
          <w:sz w:val="24"/>
          <w:szCs w:val="24"/>
          <w:highlight w:val="none"/>
          <w:u w:val="none"/>
          <w:lang w:val="en-US" w:eastAsia="zh-CN"/>
        </w:rPr>
        <w:t>万元、较上年同期上升1037.5%</w:t>
      </w:r>
      <w:r>
        <w:rPr>
          <w:rFonts w:hint="eastAsia" w:ascii="仿宋_GB2312" w:hAnsi="仿宋_GB2312" w:eastAsia="仿宋_GB2312" w:cs="仿宋_GB2312"/>
          <w:color w:val="auto"/>
          <w:spacing w:val="0"/>
          <w:kern w:val="21"/>
          <w:sz w:val="24"/>
          <w:szCs w:val="24"/>
          <w:highlight w:val="none"/>
          <w:u w:val="none" w:color="auto"/>
          <w:lang w:val="en-US" w:eastAsia="zh-CN"/>
        </w:rPr>
        <w:t>；</w:t>
      </w:r>
      <w:r>
        <w:rPr>
          <w:rFonts w:hint="eastAsia" w:ascii="仿宋_GB2312" w:hAnsi="仿宋_GB2312" w:eastAsia="仿宋_GB2312" w:cs="仿宋_GB2312"/>
          <w:b/>
          <w:bCs/>
          <w:spacing w:val="0"/>
          <w:kern w:val="21"/>
          <w:sz w:val="24"/>
          <w:szCs w:val="24"/>
          <w:highlight w:val="none"/>
          <w:u w:val="none"/>
          <w:lang w:val="en-US" w:eastAsia="zh-CN"/>
        </w:rPr>
        <w:t>9.土地增值税</w:t>
      </w:r>
      <w:r>
        <w:rPr>
          <w:rFonts w:hint="eastAsia" w:ascii="仿宋_GB2312" w:hAnsi="仿宋_GB2312" w:eastAsia="仿宋_GB2312" w:cs="仿宋_GB2312"/>
          <w:b w:val="0"/>
          <w:bCs w:val="0"/>
          <w:spacing w:val="0"/>
          <w:kern w:val="21"/>
          <w:sz w:val="24"/>
          <w:szCs w:val="24"/>
          <w:highlight w:val="none"/>
          <w:u w:val="none"/>
          <w:lang w:val="en-US" w:eastAsia="zh-CN"/>
        </w:rPr>
        <w:t>76</w:t>
      </w:r>
      <w:r>
        <w:rPr>
          <w:rFonts w:hint="eastAsia" w:ascii="仿宋_GB2312" w:hAnsi="仿宋_GB2312" w:eastAsia="仿宋_GB2312" w:cs="仿宋_GB2312"/>
          <w:spacing w:val="0"/>
          <w:kern w:val="21"/>
          <w:sz w:val="24"/>
          <w:szCs w:val="24"/>
          <w:highlight w:val="none"/>
          <w:u w:val="none"/>
          <w:lang w:val="en-US" w:eastAsia="zh-CN"/>
        </w:rPr>
        <w:t>万元、较上年同期上升8.6%；</w:t>
      </w:r>
      <w:r>
        <w:rPr>
          <w:rFonts w:hint="eastAsia" w:ascii="仿宋_GB2312" w:hAnsi="仿宋_GB2312" w:eastAsia="仿宋_GB2312" w:cs="仿宋_GB2312"/>
          <w:b/>
          <w:bCs/>
          <w:spacing w:val="0"/>
          <w:kern w:val="21"/>
          <w:sz w:val="24"/>
          <w:szCs w:val="24"/>
          <w:highlight w:val="none"/>
          <w:u w:val="none"/>
          <w:lang w:val="en-US" w:eastAsia="zh-CN"/>
        </w:rPr>
        <w:t>10.车船税</w:t>
      </w:r>
      <w:r>
        <w:rPr>
          <w:rFonts w:hint="eastAsia" w:ascii="仿宋_GB2312" w:hAnsi="仿宋_GB2312" w:eastAsia="仿宋_GB2312" w:cs="仿宋_GB2312"/>
          <w:spacing w:val="0"/>
          <w:kern w:val="21"/>
          <w:sz w:val="24"/>
          <w:szCs w:val="24"/>
          <w:highlight w:val="none"/>
          <w:u w:val="none"/>
          <w:lang w:val="en-US" w:eastAsia="zh-CN"/>
        </w:rPr>
        <w:t>177万元、较上年同期上升29.2%；</w:t>
      </w:r>
      <w:r>
        <w:rPr>
          <w:rFonts w:hint="eastAsia" w:ascii="仿宋_GB2312" w:hAnsi="仿宋_GB2312" w:eastAsia="仿宋_GB2312" w:cs="仿宋_GB2312"/>
          <w:b/>
          <w:bCs/>
          <w:spacing w:val="0"/>
          <w:kern w:val="21"/>
          <w:sz w:val="24"/>
          <w:szCs w:val="24"/>
          <w:highlight w:val="none"/>
          <w:u w:val="none"/>
          <w:lang w:val="en-US" w:eastAsia="zh-CN"/>
        </w:rPr>
        <w:t>11.耕地占用税</w:t>
      </w:r>
      <w:r>
        <w:rPr>
          <w:rFonts w:hint="eastAsia" w:ascii="仿宋_GB2312" w:hAnsi="仿宋_GB2312" w:eastAsia="仿宋_GB2312" w:cs="仿宋_GB2312"/>
          <w:spacing w:val="0"/>
          <w:kern w:val="21"/>
          <w:sz w:val="24"/>
          <w:szCs w:val="24"/>
          <w:highlight w:val="none"/>
          <w:u w:val="none"/>
          <w:lang w:val="en-US" w:eastAsia="zh-CN"/>
        </w:rPr>
        <w:t>1681万元、较上年同期下降24.1%</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lang w:val="en-US" w:eastAsia="zh-CN"/>
        </w:rPr>
        <w:t>12.契税</w:t>
      </w:r>
      <w:r>
        <w:rPr>
          <w:rFonts w:hint="eastAsia" w:ascii="仿宋_GB2312" w:hAnsi="仿宋_GB2312" w:eastAsia="仿宋_GB2312" w:cs="仿宋_GB2312"/>
          <w:spacing w:val="0"/>
          <w:kern w:val="21"/>
          <w:sz w:val="24"/>
          <w:szCs w:val="24"/>
          <w:highlight w:val="none"/>
          <w:u w:val="none"/>
          <w:lang w:val="en-US" w:eastAsia="zh-CN"/>
        </w:rPr>
        <w:t>126万元、较上年同期下降78.4%</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u w:val="none"/>
          <w:lang w:val="en-US" w:eastAsia="zh-CN"/>
        </w:rPr>
        <w:t>13.环境保护税</w:t>
      </w:r>
      <w:r>
        <w:rPr>
          <w:rFonts w:hint="eastAsia" w:ascii="仿宋_GB2312" w:hAnsi="仿宋_GB2312" w:eastAsia="仿宋_GB2312" w:cs="仿宋_GB2312"/>
          <w:spacing w:val="0"/>
          <w:kern w:val="21"/>
          <w:sz w:val="24"/>
          <w:szCs w:val="24"/>
          <w:highlight w:val="none"/>
          <w:u w:val="none"/>
          <w:lang w:val="en-US" w:eastAsia="zh-CN"/>
        </w:rPr>
        <w:t>4万元、较上年同期下降20%；</w:t>
      </w:r>
      <w:r>
        <w:rPr>
          <w:rFonts w:hint="eastAsia" w:ascii="仿宋_GB2312" w:hAnsi="仿宋_GB2312" w:eastAsia="仿宋_GB2312" w:cs="仿宋_GB2312"/>
          <w:b/>
          <w:bCs/>
          <w:spacing w:val="0"/>
          <w:kern w:val="21"/>
          <w:sz w:val="24"/>
          <w:szCs w:val="24"/>
          <w:highlight w:val="none"/>
          <w:u w:val="none"/>
          <w:lang w:val="en-US" w:eastAsia="zh-CN"/>
        </w:rPr>
        <w:t>14.非税收入</w:t>
      </w:r>
      <w:r>
        <w:rPr>
          <w:rFonts w:hint="eastAsia" w:ascii="仿宋_GB2312" w:hAnsi="仿宋_GB2312" w:eastAsia="仿宋_GB2312" w:cs="仿宋_GB2312"/>
          <w:spacing w:val="0"/>
          <w:kern w:val="21"/>
          <w:sz w:val="24"/>
          <w:szCs w:val="24"/>
          <w:highlight w:val="none"/>
          <w:u w:val="none"/>
          <w:lang w:val="en-US" w:eastAsia="zh-CN"/>
        </w:rPr>
        <w:t>完成2959万元、较上年同期下降18.5%。</w:t>
      </w:r>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both"/>
        <w:textAlignment w:val="auto"/>
        <w:outlineLvl w:val="9"/>
        <w:rPr>
          <w:rFonts w:hint="eastAsia" w:ascii="楷体_GB2312" w:hAnsi="楷体_GB2312" w:eastAsia="楷体_GB2312" w:cs="楷体_GB2312"/>
          <w:b w:val="0"/>
          <w:bCs w:val="0"/>
          <w:spacing w:val="0"/>
          <w:kern w:val="21"/>
          <w:sz w:val="24"/>
          <w:szCs w:val="24"/>
          <w:highlight w:val="none"/>
          <w:u w:val="none"/>
          <w:lang w:val="en-US" w:eastAsia="zh-CN"/>
        </w:rPr>
      </w:pPr>
      <w:r>
        <w:rPr>
          <w:rFonts w:hint="eastAsia" w:ascii="楷体_GB2312" w:hAnsi="楷体_GB2312" w:eastAsia="楷体_GB2312" w:cs="楷体_GB2312"/>
          <w:b w:val="0"/>
          <w:bCs w:val="0"/>
          <w:spacing w:val="0"/>
          <w:kern w:val="21"/>
          <w:sz w:val="24"/>
          <w:szCs w:val="24"/>
          <w:highlight w:val="none"/>
          <w:u w:val="none"/>
          <w:lang w:val="en-US" w:eastAsia="zh-CN"/>
        </w:rPr>
        <w:t>（二）1-8月一般公共预算收入完成情况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eastAsia="zh-CN"/>
        </w:rPr>
      </w:pPr>
      <w:r>
        <w:rPr>
          <w:rFonts w:hint="eastAsia" w:ascii="仿宋_GB2312" w:hAnsi="仿宋_GB2312" w:eastAsia="仿宋_GB2312" w:cs="仿宋_GB2312"/>
          <w:spacing w:val="0"/>
          <w:kern w:val="21"/>
          <w:sz w:val="24"/>
          <w:szCs w:val="24"/>
          <w:highlight w:val="none"/>
          <w:u w:val="none"/>
          <w:lang w:val="en-US" w:eastAsia="zh-CN"/>
        </w:rPr>
        <w:t>截至2022年8月底，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一般公共预算收入累计完成</w:t>
      </w:r>
      <w:r>
        <w:rPr>
          <w:rFonts w:hint="eastAsia" w:ascii="仿宋_GB2312" w:hAnsi="仿宋_GB2312" w:eastAsia="仿宋_GB2312" w:cs="仿宋_GB2312"/>
          <w:spacing w:val="0"/>
          <w:kern w:val="21"/>
          <w:sz w:val="24"/>
          <w:szCs w:val="24"/>
          <w:highlight w:val="none"/>
          <w:u w:val="none"/>
          <w:lang w:val="en-US" w:eastAsia="zh-CN"/>
        </w:rPr>
        <w:t>385754万元</w:t>
      </w:r>
      <w:r>
        <w:rPr>
          <w:rFonts w:hint="eastAsia" w:ascii="仿宋_GB2312" w:hAnsi="仿宋_GB2312" w:eastAsia="仿宋_GB2312" w:cs="仿宋_GB2312"/>
          <w:spacing w:val="0"/>
          <w:kern w:val="21"/>
          <w:sz w:val="24"/>
          <w:szCs w:val="24"/>
          <w:highlight w:val="none"/>
          <w:u w:val="none"/>
        </w:rPr>
        <w:t>，较上年同期</w:t>
      </w:r>
      <w:r>
        <w:rPr>
          <w:rFonts w:hint="eastAsia" w:ascii="仿宋_GB2312" w:hAnsi="仿宋_GB2312" w:eastAsia="仿宋_GB2312" w:cs="仿宋_GB2312"/>
          <w:spacing w:val="0"/>
          <w:kern w:val="21"/>
          <w:sz w:val="24"/>
          <w:szCs w:val="24"/>
          <w:highlight w:val="none"/>
          <w:u w:val="none"/>
          <w:lang w:val="en-US" w:eastAsia="zh-CN"/>
        </w:rPr>
        <w:t>上升74.2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468" w:firstLineChars="200"/>
        <w:textAlignment w:val="auto"/>
        <w:rPr>
          <w:rFonts w:hint="eastAsia" w:ascii="Times New Roman" w:hAnsi="Times New Roman" w:eastAsia="仿宋_GB2312" w:cs="Times New Roman"/>
          <w:spacing w:val="-3"/>
          <w:kern w:val="21"/>
          <w:sz w:val="24"/>
          <w:szCs w:val="24"/>
          <w:highlight w:val="yellow"/>
          <w:u w:val="none"/>
          <w:lang w:val="en-US" w:eastAsia="zh-CN"/>
        </w:rPr>
      </w:pPr>
      <w:r>
        <w:rPr>
          <w:rFonts w:hint="eastAsia" w:ascii="Times New Roman" w:hAnsi="Times New Roman" w:eastAsia="仿宋_GB2312" w:cs="Times New Roman"/>
          <w:spacing w:val="-3"/>
          <w:kern w:val="21"/>
          <w:sz w:val="24"/>
          <w:szCs w:val="24"/>
          <w:highlight w:val="none"/>
          <w:u w:val="none"/>
          <w:lang w:val="en-US" w:eastAsia="zh-CN"/>
        </w:rPr>
        <w:t>一般公共预算收入增幅较大的主要原因有：一是煤炭市场持续活跃，煤炭产品产销衔接顺畅，拉动整体经济增长，主要经济指标回升明显。二是受清缴以前年度税费。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黑体" w:hAnsi="黑体" w:eastAsia="黑体" w:cs="黑体"/>
          <w:spacing w:val="0"/>
          <w:kern w:val="21"/>
          <w:sz w:val="24"/>
          <w:szCs w:val="24"/>
          <w:highlight w:val="none"/>
          <w:u w:val="none"/>
        </w:rPr>
        <w:t>分性质：</w:t>
      </w:r>
      <w:r>
        <w:rPr>
          <w:rFonts w:hint="eastAsia" w:ascii="仿宋_GB2312" w:hAnsi="仿宋_GB2312" w:eastAsia="仿宋_GB2312" w:cs="仿宋_GB2312"/>
          <w:spacing w:val="0"/>
          <w:kern w:val="21"/>
          <w:sz w:val="24"/>
          <w:szCs w:val="24"/>
          <w:highlight w:val="none"/>
          <w:u w:val="none"/>
        </w:rPr>
        <w:t>税收收入</w:t>
      </w:r>
      <w:r>
        <w:rPr>
          <w:rFonts w:hint="eastAsia" w:ascii="仿宋_GB2312" w:hAnsi="仿宋_GB2312" w:eastAsia="仿宋_GB2312" w:cs="仿宋_GB2312"/>
          <w:spacing w:val="0"/>
          <w:kern w:val="21"/>
          <w:sz w:val="24"/>
          <w:szCs w:val="24"/>
          <w:highlight w:val="none"/>
          <w:u w:val="none"/>
          <w:lang w:val="en-US" w:eastAsia="zh-CN"/>
        </w:rPr>
        <w:t>354205万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上升78.8</w:t>
      </w:r>
      <w:r>
        <w:rPr>
          <w:rFonts w:hint="eastAsia" w:ascii="仿宋_GB2312" w:hAnsi="仿宋_GB2312" w:eastAsia="仿宋_GB2312" w:cs="仿宋_GB2312"/>
          <w:spacing w:val="0"/>
          <w:kern w:val="21"/>
          <w:sz w:val="24"/>
          <w:szCs w:val="24"/>
          <w:highlight w:val="none"/>
          <w:u w:val="none"/>
        </w:rPr>
        <w:t>%，非税收入</w:t>
      </w:r>
      <w:r>
        <w:rPr>
          <w:rFonts w:hint="eastAsia" w:ascii="仿宋_GB2312" w:hAnsi="仿宋_GB2312" w:eastAsia="仿宋_GB2312" w:cs="仿宋_GB2312"/>
          <w:spacing w:val="0"/>
          <w:kern w:val="21"/>
          <w:sz w:val="24"/>
          <w:szCs w:val="24"/>
          <w:highlight w:val="none"/>
          <w:u w:val="none"/>
          <w:lang w:val="en-US" w:eastAsia="zh-CN"/>
        </w:rPr>
        <w:t>31549万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上升34.8</w:t>
      </w:r>
      <w:r>
        <w:rPr>
          <w:rFonts w:hint="eastAsia" w:ascii="仿宋_GB2312" w:hAnsi="仿宋_GB2312" w:eastAsia="仿宋_GB2312" w:cs="仿宋_GB2312"/>
          <w:spacing w:val="0"/>
          <w:kern w:val="21"/>
          <w:sz w:val="24"/>
          <w:szCs w:val="24"/>
          <w:highlight w:val="none"/>
          <w:u w:val="none"/>
        </w:rPr>
        <w:t>%，占比分别为</w:t>
      </w:r>
      <w:r>
        <w:rPr>
          <w:rFonts w:hint="eastAsia" w:ascii="仿宋_GB2312" w:hAnsi="仿宋_GB2312" w:eastAsia="仿宋_GB2312" w:cs="仿宋_GB2312"/>
          <w:spacing w:val="0"/>
          <w:kern w:val="21"/>
          <w:sz w:val="24"/>
          <w:szCs w:val="24"/>
          <w:highlight w:val="none"/>
          <w:u w:val="none"/>
          <w:lang w:val="en-US" w:eastAsia="zh-CN"/>
        </w:rPr>
        <w:t>91.8%和8.2%</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黑体" w:hAnsi="黑体" w:eastAsia="黑体" w:cs="黑体"/>
          <w:color w:val="auto"/>
          <w:spacing w:val="0"/>
          <w:kern w:val="21"/>
          <w:sz w:val="24"/>
          <w:szCs w:val="24"/>
          <w:highlight w:val="none"/>
          <w:u w:val="none"/>
        </w:rPr>
        <w:t>分部门</w:t>
      </w:r>
      <w:r>
        <w:rPr>
          <w:rFonts w:hint="eastAsia" w:ascii="黑体" w:hAnsi="黑体" w:eastAsia="黑体" w:cs="黑体"/>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旗税务局</w:t>
      </w:r>
      <w:r>
        <w:rPr>
          <w:rFonts w:hint="eastAsia" w:ascii="仿宋_GB2312" w:hAnsi="仿宋_GB2312" w:eastAsia="仿宋_GB2312" w:cs="仿宋_GB2312"/>
          <w:spacing w:val="0"/>
          <w:kern w:val="21"/>
          <w:sz w:val="24"/>
          <w:szCs w:val="24"/>
          <w:highlight w:val="none"/>
          <w:u w:val="none"/>
        </w:rPr>
        <w:t>组织收入</w:t>
      </w:r>
      <w:r>
        <w:rPr>
          <w:rFonts w:hint="eastAsia" w:ascii="仿宋_GB2312" w:hAnsi="仿宋_GB2312" w:eastAsia="仿宋_GB2312" w:cs="仿宋_GB2312"/>
          <w:spacing w:val="0"/>
          <w:kern w:val="21"/>
          <w:sz w:val="24"/>
          <w:szCs w:val="24"/>
          <w:highlight w:val="none"/>
          <w:u w:val="none"/>
          <w:lang w:val="en-US" w:eastAsia="zh-CN"/>
        </w:rPr>
        <w:t>25265万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上升8.8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。开发区税务局组织</w:t>
      </w:r>
      <w:r>
        <w:rPr>
          <w:rFonts w:hint="eastAsia" w:ascii="仿宋_GB2312" w:hAnsi="仿宋_GB2312" w:eastAsia="仿宋_GB2312" w:cs="仿宋_GB2312"/>
          <w:spacing w:val="0"/>
          <w:kern w:val="21"/>
          <w:sz w:val="24"/>
          <w:szCs w:val="24"/>
          <w:highlight w:val="none"/>
          <w:u w:val="none"/>
        </w:rPr>
        <w:t>收入</w:t>
      </w:r>
      <w:r>
        <w:rPr>
          <w:rFonts w:hint="eastAsia" w:ascii="仿宋_GB2312" w:hAnsi="仿宋_GB2312" w:eastAsia="仿宋_GB2312" w:cs="仿宋_GB2312"/>
          <w:spacing w:val="0"/>
          <w:kern w:val="21"/>
          <w:sz w:val="24"/>
          <w:szCs w:val="24"/>
          <w:highlight w:val="none"/>
          <w:u w:val="none"/>
          <w:lang w:val="en-US" w:eastAsia="zh-CN"/>
        </w:rPr>
        <w:t>348500万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上升85.7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w:t>
      </w:r>
      <w:r>
        <w:rPr>
          <w:rFonts w:hint="eastAsia" w:ascii="仿宋_GB2312" w:hAnsi="仿宋_GB2312" w:eastAsia="仿宋_GB2312" w:cs="仿宋_GB2312"/>
          <w:spacing w:val="0"/>
          <w:kern w:val="21"/>
          <w:sz w:val="24"/>
          <w:szCs w:val="24"/>
          <w:highlight w:val="none"/>
          <w:u w:val="none"/>
        </w:rPr>
        <w:t>财政部门组织收入</w:t>
      </w:r>
      <w:r>
        <w:rPr>
          <w:rFonts w:hint="eastAsia" w:ascii="仿宋_GB2312" w:hAnsi="仿宋_GB2312" w:eastAsia="仿宋_GB2312" w:cs="仿宋_GB2312"/>
          <w:spacing w:val="0"/>
          <w:kern w:val="21"/>
          <w:sz w:val="24"/>
          <w:szCs w:val="24"/>
          <w:highlight w:val="none"/>
          <w:u w:val="none"/>
          <w:lang w:val="en-US" w:eastAsia="zh-CN"/>
        </w:rPr>
        <w:t>11989万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上升13.2%。</w:t>
      </w:r>
      <w:r>
        <w:rPr>
          <w:rFonts w:hint="eastAsia" w:ascii="仿宋_GB2312" w:hAnsi="仿宋_GB2312" w:eastAsia="仿宋_GB2312" w:cs="仿宋_GB2312"/>
          <w:spacing w:val="0"/>
          <w:kern w:val="21"/>
          <w:sz w:val="24"/>
          <w:szCs w:val="24"/>
          <w:highlight w:val="none"/>
          <w:u w:val="none"/>
        </w:rPr>
        <w:t>占比分别为</w:t>
      </w:r>
      <w:r>
        <w:rPr>
          <w:rFonts w:hint="eastAsia" w:ascii="仿宋_GB2312" w:hAnsi="仿宋_GB2312" w:eastAsia="仿宋_GB2312" w:cs="仿宋_GB2312"/>
          <w:spacing w:val="0"/>
          <w:kern w:val="21"/>
          <w:sz w:val="24"/>
          <w:szCs w:val="24"/>
          <w:highlight w:val="none"/>
          <w:u w:val="none"/>
          <w:lang w:val="en-US" w:eastAsia="zh-CN"/>
        </w:rPr>
        <w:t>6.6%、90.3%和3.1%</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bCs/>
          <w:color w:val="auto"/>
          <w:spacing w:val="0"/>
          <w:kern w:val="21"/>
          <w:sz w:val="24"/>
          <w:szCs w:val="24"/>
          <w:highlight w:val="none"/>
          <w:u w:val="single"/>
        </w:rPr>
      </w:pPr>
      <w:r>
        <w:rPr>
          <w:rFonts w:hint="eastAsia" w:ascii="黑体" w:hAnsi="黑体" w:eastAsia="黑体" w:cs="黑体"/>
          <w:color w:val="auto"/>
          <w:spacing w:val="0"/>
          <w:kern w:val="21"/>
          <w:sz w:val="24"/>
          <w:szCs w:val="24"/>
          <w:highlight w:val="none"/>
          <w:u w:val="none"/>
        </w:rPr>
        <w:t>分行业：</w:t>
      </w:r>
      <w:r>
        <w:rPr>
          <w:rFonts w:hint="eastAsia" w:ascii="仿宋_GB2312" w:hAnsi="仿宋_GB2312" w:eastAsia="仿宋_GB2312" w:cs="仿宋_GB2312"/>
          <w:b/>
          <w:color w:val="auto"/>
          <w:spacing w:val="0"/>
          <w:kern w:val="21"/>
          <w:sz w:val="24"/>
          <w:szCs w:val="24"/>
          <w:highlight w:val="none"/>
        </w:rPr>
        <w:t>第二产业</w:t>
      </w:r>
      <w:r>
        <w:rPr>
          <w:rFonts w:hint="eastAsia" w:ascii="仿宋_GB2312" w:hAnsi="仿宋_GB2312" w:eastAsia="仿宋_GB2312" w:cs="仿宋_GB2312"/>
          <w:color w:val="auto"/>
          <w:spacing w:val="0"/>
          <w:kern w:val="21"/>
          <w:sz w:val="24"/>
          <w:szCs w:val="24"/>
          <w:highlight w:val="none"/>
        </w:rPr>
        <w:t>实现一般公共预算收入</w:t>
      </w:r>
      <w:r>
        <w:rPr>
          <w:rFonts w:hint="eastAsia" w:ascii="仿宋_GB2312" w:hAnsi="仿宋_GB2312" w:eastAsia="仿宋_GB2312" w:cs="仿宋_GB2312"/>
          <w:color w:val="auto"/>
          <w:spacing w:val="0"/>
          <w:kern w:val="21"/>
          <w:sz w:val="24"/>
          <w:szCs w:val="24"/>
          <w:highlight w:val="none"/>
          <w:lang w:val="en-US" w:eastAsia="zh-CN"/>
        </w:rPr>
        <w:t>327684</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84.1%</w:t>
      </w:r>
      <w:r>
        <w:rPr>
          <w:rFonts w:hint="eastAsia" w:ascii="仿宋_GB2312" w:hAnsi="仿宋_GB2312" w:eastAsia="仿宋_GB2312" w:cs="仿宋_GB2312"/>
          <w:color w:val="auto"/>
          <w:spacing w:val="0"/>
          <w:kern w:val="21"/>
          <w:sz w:val="24"/>
          <w:szCs w:val="24"/>
          <w:highlight w:val="none"/>
        </w:rPr>
        <w:t>，占比</w:t>
      </w:r>
      <w:r>
        <w:rPr>
          <w:rFonts w:hint="eastAsia" w:ascii="仿宋_GB2312" w:hAnsi="仿宋_GB2312" w:eastAsia="仿宋_GB2312" w:cs="仿宋_GB2312"/>
          <w:color w:val="auto"/>
          <w:spacing w:val="0"/>
          <w:kern w:val="21"/>
          <w:sz w:val="24"/>
          <w:szCs w:val="24"/>
          <w:highlight w:val="none"/>
          <w:lang w:val="en-US" w:eastAsia="zh-CN"/>
        </w:rPr>
        <w:t>79.7</w:t>
      </w:r>
      <w:r>
        <w:rPr>
          <w:rFonts w:hint="eastAsia" w:ascii="仿宋_GB2312" w:hAnsi="仿宋_GB2312" w:eastAsia="仿宋_GB2312" w:cs="仿宋_GB2312"/>
          <w:color w:val="auto"/>
          <w:spacing w:val="0"/>
          <w:kern w:val="21"/>
          <w:sz w:val="24"/>
          <w:szCs w:val="24"/>
          <w:highlight w:val="none"/>
        </w:rPr>
        <w:t>%。具体来看：</w:t>
      </w:r>
      <w:r>
        <w:rPr>
          <w:rFonts w:hint="eastAsia" w:ascii="仿宋_GB2312" w:hAnsi="仿宋_GB2312" w:eastAsia="仿宋_GB2312" w:cs="仿宋_GB2312"/>
          <w:b/>
          <w:color w:val="auto"/>
          <w:spacing w:val="0"/>
          <w:kern w:val="21"/>
          <w:sz w:val="24"/>
          <w:szCs w:val="24"/>
          <w:highlight w:val="none"/>
        </w:rPr>
        <w:t>1.煤炭</w:t>
      </w:r>
      <w:r>
        <w:rPr>
          <w:rFonts w:hint="eastAsia" w:ascii="仿宋_GB2312" w:hAnsi="仿宋_GB2312" w:eastAsia="仿宋_GB2312" w:cs="仿宋_GB2312"/>
          <w:color w:val="auto"/>
          <w:spacing w:val="0"/>
          <w:kern w:val="21"/>
          <w:sz w:val="24"/>
          <w:szCs w:val="24"/>
          <w:highlight w:val="none"/>
          <w:lang w:val="en-US" w:eastAsia="zh-CN"/>
        </w:rPr>
        <w:t>158878</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156.9</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val="en-US" w:eastAsia="zh-CN"/>
        </w:rPr>
        <w:t>；</w:t>
      </w:r>
      <w:r>
        <w:rPr>
          <w:rFonts w:hint="eastAsia" w:ascii="仿宋_GB2312" w:hAnsi="仿宋_GB2312" w:eastAsia="仿宋_GB2312" w:cs="仿宋_GB2312"/>
          <w:b/>
          <w:bCs/>
          <w:color w:val="auto"/>
          <w:spacing w:val="0"/>
          <w:kern w:val="21"/>
          <w:sz w:val="24"/>
          <w:szCs w:val="24"/>
          <w:highlight w:val="none"/>
          <w:lang w:val="en-US" w:eastAsia="zh-CN"/>
        </w:rPr>
        <w:t>2.天然气</w:t>
      </w:r>
      <w:r>
        <w:rPr>
          <w:rFonts w:hint="eastAsia" w:ascii="仿宋_GB2312" w:hAnsi="仿宋_GB2312" w:eastAsia="仿宋_GB2312" w:cs="仿宋_GB2312"/>
          <w:b w:val="0"/>
          <w:bCs w:val="0"/>
          <w:color w:val="auto"/>
          <w:spacing w:val="0"/>
          <w:kern w:val="21"/>
          <w:sz w:val="24"/>
          <w:szCs w:val="24"/>
          <w:highlight w:val="none"/>
          <w:lang w:val="en-US" w:eastAsia="zh-CN"/>
        </w:rPr>
        <w:t>18822</w:t>
      </w:r>
      <w:r>
        <w:rPr>
          <w:rFonts w:hint="eastAsia" w:ascii="仿宋_GB2312" w:hAnsi="仿宋_GB2312" w:eastAsia="仿宋_GB2312" w:cs="仿宋_GB2312"/>
          <w:color w:val="auto"/>
          <w:spacing w:val="0"/>
          <w:kern w:val="21"/>
          <w:sz w:val="24"/>
          <w:szCs w:val="24"/>
          <w:highlight w:val="none"/>
          <w:lang w:val="en-US" w:eastAsia="zh-CN"/>
        </w:rPr>
        <w:t>万元、增长24.6%</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b/>
          <w:color w:val="auto"/>
          <w:spacing w:val="0"/>
          <w:kern w:val="21"/>
          <w:sz w:val="24"/>
          <w:szCs w:val="24"/>
          <w:highlight w:val="none"/>
          <w:lang w:val="en-US" w:eastAsia="zh-CN"/>
        </w:rPr>
        <w:t>3</w:t>
      </w:r>
      <w:r>
        <w:rPr>
          <w:rFonts w:hint="eastAsia" w:ascii="仿宋_GB2312" w:hAnsi="仿宋_GB2312" w:eastAsia="仿宋_GB2312" w:cs="仿宋_GB2312"/>
          <w:b/>
          <w:color w:val="auto"/>
          <w:spacing w:val="0"/>
          <w:kern w:val="21"/>
          <w:sz w:val="24"/>
          <w:szCs w:val="24"/>
          <w:highlight w:val="none"/>
        </w:rPr>
        <w:t>.化工</w:t>
      </w:r>
      <w:r>
        <w:rPr>
          <w:rFonts w:hint="eastAsia" w:ascii="仿宋_GB2312" w:hAnsi="仿宋_GB2312" w:eastAsia="仿宋_GB2312" w:cs="仿宋_GB2312"/>
          <w:b w:val="0"/>
          <w:bCs/>
          <w:color w:val="auto"/>
          <w:spacing w:val="0"/>
          <w:kern w:val="21"/>
          <w:sz w:val="24"/>
          <w:szCs w:val="24"/>
          <w:highlight w:val="none"/>
          <w:lang w:val="en-US" w:eastAsia="zh-CN"/>
        </w:rPr>
        <w:t>41248</w:t>
      </w:r>
      <w:r>
        <w:rPr>
          <w:rFonts w:hint="eastAsia" w:ascii="仿宋_GB2312" w:hAnsi="仿宋_GB2312" w:eastAsia="仿宋_GB2312" w:cs="仿宋_GB2312"/>
          <w:color w:val="auto"/>
          <w:spacing w:val="0"/>
          <w:kern w:val="21"/>
          <w:sz w:val="24"/>
          <w:szCs w:val="24"/>
          <w:highlight w:val="none"/>
        </w:rPr>
        <w:t>万元、增长</w:t>
      </w:r>
      <w:r>
        <w:rPr>
          <w:rFonts w:hint="eastAsia" w:ascii="仿宋_GB2312" w:hAnsi="仿宋_GB2312" w:eastAsia="仿宋_GB2312" w:cs="仿宋_GB2312"/>
          <w:color w:val="auto"/>
          <w:spacing w:val="0"/>
          <w:kern w:val="21"/>
          <w:sz w:val="24"/>
          <w:szCs w:val="24"/>
          <w:highlight w:val="none"/>
          <w:lang w:val="en-US" w:eastAsia="zh-CN"/>
        </w:rPr>
        <w:t>11.4</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lang w:val="en-US" w:eastAsia="zh-CN"/>
        </w:rPr>
        <w:t>4</w:t>
      </w:r>
      <w:r>
        <w:rPr>
          <w:rFonts w:hint="eastAsia" w:ascii="仿宋_GB2312" w:hAnsi="仿宋_GB2312" w:eastAsia="仿宋_GB2312" w:cs="仿宋_GB2312"/>
          <w:b/>
          <w:color w:val="auto"/>
          <w:spacing w:val="0"/>
          <w:kern w:val="21"/>
          <w:sz w:val="24"/>
          <w:szCs w:val="24"/>
          <w:highlight w:val="none"/>
        </w:rPr>
        <w:t>.电力</w:t>
      </w:r>
      <w:r>
        <w:rPr>
          <w:rFonts w:hint="eastAsia" w:ascii="仿宋_GB2312" w:hAnsi="仿宋_GB2312" w:eastAsia="仿宋_GB2312" w:cs="仿宋_GB2312"/>
          <w:color w:val="auto"/>
          <w:spacing w:val="0"/>
          <w:kern w:val="21"/>
          <w:sz w:val="24"/>
          <w:szCs w:val="24"/>
          <w:highlight w:val="none"/>
          <w:lang w:val="en-US" w:eastAsia="zh-CN"/>
        </w:rPr>
        <w:t>11659</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下降1.7</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lang w:val="en-US" w:eastAsia="zh-CN"/>
        </w:rPr>
        <w:t>5</w:t>
      </w:r>
      <w:r>
        <w:rPr>
          <w:rFonts w:hint="eastAsia" w:ascii="仿宋_GB2312" w:hAnsi="仿宋_GB2312" w:eastAsia="仿宋_GB2312" w:cs="仿宋_GB2312"/>
          <w:b/>
          <w:color w:val="auto"/>
          <w:spacing w:val="0"/>
          <w:kern w:val="21"/>
          <w:sz w:val="24"/>
          <w:szCs w:val="24"/>
          <w:highlight w:val="none"/>
        </w:rPr>
        <w:t>.建筑</w:t>
      </w:r>
      <w:r>
        <w:rPr>
          <w:rFonts w:hint="eastAsia" w:ascii="仿宋_GB2312" w:hAnsi="仿宋_GB2312" w:eastAsia="仿宋_GB2312" w:cs="仿宋_GB2312"/>
          <w:b w:val="0"/>
          <w:bCs/>
          <w:color w:val="auto"/>
          <w:spacing w:val="0"/>
          <w:kern w:val="21"/>
          <w:sz w:val="24"/>
          <w:szCs w:val="24"/>
          <w:highlight w:val="none"/>
          <w:lang w:val="en-US" w:eastAsia="zh-CN"/>
        </w:rPr>
        <w:t>5350</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增长18.3</w:t>
      </w:r>
      <w:r>
        <w:rPr>
          <w:rFonts w:hint="eastAsia" w:ascii="仿宋_GB2312" w:hAnsi="仿宋_GB2312" w:eastAsia="仿宋_GB2312" w:cs="仿宋_GB2312"/>
          <w:color w:val="auto"/>
          <w:spacing w:val="0"/>
          <w:kern w:val="21"/>
          <w:sz w:val="24"/>
          <w:szCs w:val="24"/>
          <w:highlight w:val="none"/>
        </w:rPr>
        <w:t>%</w:t>
      </w:r>
      <w:r>
        <w:rPr>
          <w:rFonts w:hint="eastAsia" w:ascii="Times New Roman" w:hAnsi="Times New Roman" w:eastAsia="仿宋_GB2312" w:cs="Times New Roman"/>
          <w:color w:val="auto"/>
          <w:spacing w:val="0"/>
          <w:kern w:val="21"/>
          <w:sz w:val="24"/>
          <w:szCs w:val="24"/>
          <w:highlight w:val="none"/>
          <w:u w:val="none"/>
          <w:lang w:eastAsia="zh-CN"/>
        </w:rPr>
        <w:t>；</w:t>
      </w:r>
      <w:r>
        <w:rPr>
          <w:rFonts w:hint="eastAsia" w:ascii="仿宋_GB2312" w:hAnsi="仿宋_GB2312" w:eastAsia="仿宋_GB2312" w:cs="仿宋_GB2312"/>
          <w:b/>
          <w:bCs/>
          <w:color w:val="auto"/>
          <w:spacing w:val="0"/>
          <w:kern w:val="21"/>
          <w:sz w:val="24"/>
          <w:szCs w:val="24"/>
          <w:highlight w:val="none"/>
          <w:lang w:val="en-US" w:eastAsia="zh-CN"/>
        </w:rPr>
        <w:t>6.其他</w:t>
      </w:r>
      <w:r>
        <w:rPr>
          <w:rFonts w:hint="eastAsia" w:ascii="仿宋_GB2312" w:hAnsi="仿宋_GB2312" w:eastAsia="仿宋_GB2312" w:cs="仿宋_GB2312"/>
          <w:color w:val="auto"/>
          <w:spacing w:val="0"/>
          <w:kern w:val="21"/>
          <w:sz w:val="24"/>
          <w:szCs w:val="24"/>
          <w:highlight w:val="none"/>
          <w:lang w:val="en-US" w:eastAsia="zh-CN"/>
        </w:rPr>
        <w:t>91727万元、增长92.4%。</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jc w:val="both"/>
        <w:textAlignment w:val="auto"/>
        <w:outlineLvl w:val="9"/>
        <w:rPr>
          <w:rFonts w:hint="eastAsia" w:ascii="仿宋_GB2312" w:hAnsi="仿宋_GB2312" w:eastAsia="仿宋_GB2312" w:cs="仿宋_GB2312"/>
          <w:color w:val="auto"/>
          <w:spacing w:val="0"/>
          <w:kern w:val="21"/>
          <w:sz w:val="24"/>
          <w:szCs w:val="24"/>
          <w:highlight w:val="none"/>
          <w:lang w:val="en-US" w:eastAsia="zh-CN"/>
        </w:rPr>
      </w:pPr>
      <w:r>
        <w:rPr>
          <w:rFonts w:hint="eastAsia" w:ascii="仿宋_GB2312" w:hAnsi="仿宋_GB2312" w:eastAsia="仿宋_GB2312" w:cs="仿宋_GB2312"/>
          <w:b/>
          <w:color w:val="auto"/>
          <w:spacing w:val="0"/>
          <w:kern w:val="21"/>
          <w:sz w:val="24"/>
          <w:szCs w:val="24"/>
          <w:highlight w:val="none"/>
        </w:rPr>
        <w:t>第三产业</w:t>
      </w:r>
      <w:r>
        <w:rPr>
          <w:rFonts w:hint="eastAsia" w:ascii="仿宋_GB2312" w:hAnsi="仿宋_GB2312" w:eastAsia="仿宋_GB2312" w:cs="仿宋_GB2312"/>
          <w:color w:val="auto"/>
          <w:spacing w:val="0"/>
          <w:kern w:val="21"/>
          <w:sz w:val="24"/>
          <w:szCs w:val="24"/>
          <w:highlight w:val="none"/>
        </w:rPr>
        <w:t>实现一般公共预算收入</w:t>
      </w:r>
      <w:r>
        <w:rPr>
          <w:rFonts w:hint="eastAsia" w:ascii="仿宋_GB2312" w:hAnsi="仿宋_GB2312" w:eastAsia="仿宋_GB2312" w:cs="仿宋_GB2312"/>
          <w:color w:val="auto"/>
          <w:spacing w:val="0"/>
          <w:kern w:val="21"/>
          <w:sz w:val="24"/>
          <w:szCs w:val="24"/>
          <w:highlight w:val="none"/>
          <w:lang w:val="en-US" w:eastAsia="zh-CN"/>
        </w:rPr>
        <w:t>45790</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增长45.2</w:t>
      </w:r>
      <w:r>
        <w:rPr>
          <w:rFonts w:hint="eastAsia" w:ascii="仿宋_GB2312" w:hAnsi="仿宋_GB2312" w:eastAsia="仿宋_GB2312" w:cs="仿宋_GB2312"/>
          <w:color w:val="auto"/>
          <w:spacing w:val="0"/>
          <w:kern w:val="21"/>
          <w:sz w:val="24"/>
          <w:szCs w:val="24"/>
          <w:highlight w:val="none"/>
        </w:rPr>
        <w:t>%，占比</w:t>
      </w:r>
      <w:r>
        <w:rPr>
          <w:rFonts w:hint="eastAsia" w:ascii="仿宋_GB2312" w:hAnsi="仿宋_GB2312" w:eastAsia="仿宋_GB2312" w:cs="仿宋_GB2312"/>
          <w:color w:val="auto"/>
          <w:spacing w:val="0"/>
          <w:kern w:val="21"/>
          <w:sz w:val="24"/>
          <w:szCs w:val="24"/>
          <w:highlight w:val="none"/>
          <w:lang w:val="en-US" w:eastAsia="zh-CN"/>
        </w:rPr>
        <w:t>11.9</w:t>
      </w:r>
      <w:r>
        <w:rPr>
          <w:rFonts w:hint="eastAsia" w:ascii="仿宋_GB2312" w:hAnsi="仿宋_GB2312" w:eastAsia="仿宋_GB2312" w:cs="仿宋_GB2312"/>
          <w:color w:val="auto"/>
          <w:spacing w:val="0"/>
          <w:kern w:val="21"/>
          <w:sz w:val="24"/>
          <w:szCs w:val="24"/>
          <w:highlight w:val="none"/>
        </w:rPr>
        <w:t>%。具体来看：</w:t>
      </w:r>
      <w:r>
        <w:rPr>
          <w:rFonts w:hint="eastAsia" w:ascii="仿宋_GB2312" w:hAnsi="仿宋_GB2312" w:eastAsia="仿宋_GB2312" w:cs="仿宋_GB2312"/>
          <w:b/>
          <w:color w:val="auto"/>
          <w:spacing w:val="0"/>
          <w:kern w:val="21"/>
          <w:sz w:val="24"/>
          <w:szCs w:val="24"/>
          <w:highlight w:val="none"/>
        </w:rPr>
        <w:t>1.批发零售业</w:t>
      </w:r>
      <w:r>
        <w:rPr>
          <w:rFonts w:hint="eastAsia" w:ascii="仿宋_GB2312" w:hAnsi="仿宋_GB2312" w:eastAsia="仿宋_GB2312" w:cs="仿宋_GB2312"/>
          <w:b w:val="0"/>
          <w:bCs/>
          <w:color w:val="auto"/>
          <w:spacing w:val="0"/>
          <w:kern w:val="21"/>
          <w:sz w:val="24"/>
          <w:szCs w:val="24"/>
          <w:highlight w:val="none"/>
          <w:lang w:val="en-US" w:eastAsia="zh-CN"/>
        </w:rPr>
        <w:t>11872</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111.5</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rPr>
        <w:t>2.服务业</w:t>
      </w:r>
      <w:r>
        <w:rPr>
          <w:rFonts w:hint="eastAsia" w:ascii="仿宋_GB2312" w:hAnsi="仿宋_GB2312" w:eastAsia="仿宋_GB2312" w:cs="仿宋_GB2312"/>
          <w:color w:val="auto"/>
          <w:spacing w:val="0"/>
          <w:kern w:val="21"/>
          <w:sz w:val="24"/>
          <w:szCs w:val="24"/>
          <w:highlight w:val="none"/>
          <w:lang w:val="en-US" w:eastAsia="zh-CN"/>
        </w:rPr>
        <w:t>13975</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增长257.5</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u w:val="none"/>
          <w:lang w:eastAsia="zh-CN"/>
        </w:rPr>
        <w:t>；</w:t>
      </w:r>
      <w:r>
        <w:rPr>
          <w:rFonts w:hint="eastAsia" w:ascii="仿宋_GB2312" w:hAnsi="仿宋_GB2312" w:eastAsia="仿宋_GB2312" w:cs="仿宋_GB2312"/>
          <w:b/>
          <w:bCs/>
          <w:color w:val="auto"/>
          <w:spacing w:val="0"/>
          <w:kern w:val="21"/>
          <w:sz w:val="24"/>
          <w:szCs w:val="24"/>
          <w:highlight w:val="none"/>
          <w:u w:val="none"/>
          <w:lang w:val="en-US" w:eastAsia="zh-CN"/>
        </w:rPr>
        <w:t>3</w:t>
      </w:r>
      <w:r>
        <w:rPr>
          <w:rFonts w:hint="eastAsia" w:ascii="仿宋_GB2312" w:hAnsi="仿宋_GB2312" w:eastAsia="仿宋_GB2312" w:cs="仿宋_GB2312"/>
          <w:b/>
          <w:color w:val="auto"/>
          <w:spacing w:val="0"/>
          <w:kern w:val="21"/>
          <w:sz w:val="24"/>
          <w:szCs w:val="24"/>
          <w:highlight w:val="none"/>
        </w:rPr>
        <w:t>.交通运输业</w:t>
      </w:r>
      <w:r>
        <w:rPr>
          <w:rFonts w:hint="eastAsia" w:ascii="仿宋_GB2312" w:hAnsi="仿宋_GB2312" w:eastAsia="仿宋_GB2312" w:cs="仿宋_GB2312"/>
          <w:color w:val="auto"/>
          <w:spacing w:val="0"/>
          <w:kern w:val="21"/>
          <w:sz w:val="24"/>
          <w:szCs w:val="24"/>
          <w:highlight w:val="none"/>
          <w:lang w:val="en-US" w:eastAsia="zh-CN"/>
        </w:rPr>
        <w:t>2855</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color w:val="auto"/>
          <w:spacing w:val="0"/>
          <w:kern w:val="21"/>
          <w:sz w:val="24"/>
          <w:szCs w:val="24"/>
          <w:highlight w:val="none"/>
          <w:lang w:val="en-US" w:eastAsia="zh-CN"/>
        </w:rPr>
        <w:t>增长19.7%</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b/>
          <w:color w:val="auto"/>
          <w:spacing w:val="0"/>
          <w:kern w:val="21"/>
          <w:sz w:val="24"/>
          <w:szCs w:val="24"/>
          <w:highlight w:val="none"/>
        </w:rPr>
        <w:t>4.金融业</w:t>
      </w:r>
      <w:r>
        <w:rPr>
          <w:rFonts w:hint="eastAsia" w:ascii="仿宋_GB2312" w:hAnsi="仿宋_GB2312" w:eastAsia="仿宋_GB2312" w:cs="仿宋_GB2312"/>
          <w:color w:val="auto"/>
          <w:spacing w:val="0"/>
          <w:kern w:val="21"/>
          <w:sz w:val="24"/>
          <w:szCs w:val="24"/>
          <w:highlight w:val="none"/>
          <w:lang w:val="en-US" w:eastAsia="zh-CN"/>
        </w:rPr>
        <w:t>1725</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下降24.5</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rPr>
        <w:t>5.房地产业</w:t>
      </w:r>
      <w:r>
        <w:rPr>
          <w:rFonts w:hint="eastAsia" w:ascii="仿宋_GB2312" w:hAnsi="仿宋_GB2312" w:eastAsia="仿宋_GB2312" w:cs="仿宋_GB2312"/>
          <w:color w:val="auto"/>
          <w:spacing w:val="0"/>
          <w:kern w:val="21"/>
          <w:sz w:val="24"/>
          <w:szCs w:val="24"/>
          <w:highlight w:val="none"/>
          <w:lang w:val="en-US" w:eastAsia="zh-CN"/>
        </w:rPr>
        <w:t>9598</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增长52.3</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color w:val="auto"/>
          <w:spacing w:val="0"/>
          <w:kern w:val="21"/>
          <w:sz w:val="24"/>
          <w:szCs w:val="24"/>
          <w:highlight w:val="none"/>
          <w:lang w:val="en-US" w:eastAsia="zh-CN"/>
        </w:rPr>
        <w:t>6.其他</w:t>
      </w:r>
      <w:r>
        <w:rPr>
          <w:rFonts w:hint="eastAsia" w:ascii="仿宋_GB2312" w:hAnsi="仿宋_GB2312" w:eastAsia="仿宋_GB2312" w:cs="仿宋_GB2312"/>
          <w:b w:val="0"/>
          <w:bCs w:val="0"/>
          <w:color w:val="auto"/>
          <w:spacing w:val="0"/>
          <w:kern w:val="21"/>
          <w:sz w:val="24"/>
          <w:szCs w:val="24"/>
          <w:highlight w:val="none"/>
          <w:lang w:val="en-US" w:eastAsia="zh-CN"/>
        </w:rPr>
        <w:t>5765</w:t>
      </w:r>
      <w:r>
        <w:rPr>
          <w:rFonts w:hint="eastAsia" w:ascii="仿宋_GB2312" w:hAnsi="仿宋_GB2312" w:eastAsia="仿宋_GB2312" w:cs="仿宋_GB2312"/>
          <w:color w:val="auto"/>
          <w:spacing w:val="0"/>
          <w:kern w:val="21"/>
          <w:sz w:val="24"/>
          <w:szCs w:val="24"/>
          <w:highlight w:val="none"/>
          <w:lang w:val="en-US" w:eastAsia="zh-CN"/>
        </w:rPr>
        <w:t>万元，下降47.8%。</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lightGray"/>
          <w:u w:val="none"/>
        </w:rPr>
        <w:pict>
          <v:shape id="_x0000_s1029" o:spid="_x0000_s1029" o:spt="75" type="#_x0000_t75" style="position:absolute;left:0pt;margin-left:10pt;margin-top:23.9pt;height:188.15pt;width:306.2pt;z-index:-251642880;mso-width-relative:page;mso-height-relative:page;" o:ole="t" filled="f" o:preferrelative="t" stroked="f" coordsize="21600,21600">
            <v:path/>
            <v:fill on="f" focussize="0,0"/>
            <v:stroke on="f" weight="0pt"/>
            <v:imagedata r:id="rId13" o:title=""/>
            <o:lock v:ext="edit" aspectratio="t"/>
          </v:shape>
          <o:OLEObject Type="Embed" ProgID="Excel.Chart.8" ShapeID="_x0000_s1029" DrawAspect="Content" ObjectID="_1468075725" r:id="rId12">
            <o:LockedField>false</o:LockedField>
          </o:OLEObject>
        </w:pict>
      </w: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行业</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9"/>
        <w:rPr>
          <w:rFonts w:hint="eastAsia" w:ascii="黑体" w:hAnsi="黑体" w:eastAsia="黑体" w:cs="黑体"/>
          <w:spacing w:val="0"/>
          <w:kern w:val="21"/>
          <w:sz w:val="24"/>
          <w:szCs w:val="24"/>
          <w:highlight w:val="none"/>
          <w:u w:val="none"/>
        </w:rPr>
      </w:pPr>
      <w:r>
        <w:rPr>
          <w:spacing w:val="0"/>
          <w:kern w:val="21"/>
          <w:sz w:val="24"/>
        </w:rPr>
        <mc:AlternateContent>
          <mc:Choice Requires="wps">
            <w:drawing>
              <wp:anchor distT="0" distB="0" distL="114300" distR="114300" simplePos="0" relativeHeight="251666432" behindDoc="0" locked="0" layoutInCell="1" allowOverlap="1">
                <wp:simplePos x="0" y="0"/>
                <wp:positionH relativeFrom="column">
                  <wp:posOffset>3517265</wp:posOffset>
                </wp:positionH>
                <wp:positionV relativeFrom="paragraph">
                  <wp:posOffset>488950</wp:posOffset>
                </wp:positionV>
                <wp:extent cx="560705" cy="370205"/>
                <wp:effectExtent l="0" t="0" r="10795" b="10795"/>
                <wp:wrapNone/>
                <wp:docPr id="1" name="文本框 1"/>
                <wp:cNvGraphicFramePr/>
                <a:graphic xmlns:a="http://schemas.openxmlformats.org/drawingml/2006/main">
                  <a:graphicData uri="http://schemas.microsoft.com/office/word/2010/wordprocessingShape">
                    <wps:wsp>
                      <wps:cNvSpPr txBox="1"/>
                      <wps:spPr>
                        <a:xfrm>
                          <a:off x="3972560" y="5052060"/>
                          <a:ext cx="560705" cy="370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第二产业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第三产业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11"/>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95pt;margin-top:38.5pt;height:29.15pt;width:44.15pt;z-index:251666432;mso-width-relative:page;mso-height-relative:page;" filled="f" stroked="f" coordsize="21600,21600" o:gfxdata="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cwZ/LbAAAACgEAAA8AAAAAAAAAAQAg&#10;AAAAIgAAAGRycy9kb3ducmV2LnhtbFBLAQIUABQAAAAIAIdO4kCTgjSsRAIAAHEEAAAOAAAAAAAA&#10;AAEAIAAAACo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第二产业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第三产业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11"/>
                          <w:szCs w:val="15"/>
                        </w:rPr>
                      </w:pPr>
                    </w:p>
                  </w:txbxContent>
                </v:textbox>
              </v:shape>
            </w:pict>
          </mc:Fallback>
        </mc:AlternateContent>
      </w:r>
      <w:r>
        <w:rPr>
          <w:spacing w:val="0"/>
          <w:kern w:val="21"/>
          <w:sz w:val="24"/>
        </w:rPr>
        <mc:AlternateContent>
          <mc:Choice Requires="wps">
            <w:drawing>
              <wp:anchor distT="0" distB="0" distL="114300" distR="114300" simplePos="0" relativeHeight="251669504" behindDoc="0" locked="0" layoutInCell="1" allowOverlap="1">
                <wp:simplePos x="0" y="0"/>
                <wp:positionH relativeFrom="column">
                  <wp:posOffset>3422015</wp:posOffset>
                </wp:positionH>
                <wp:positionV relativeFrom="paragraph">
                  <wp:posOffset>687705</wp:posOffset>
                </wp:positionV>
                <wp:extent cx="132715" cy="75565"/>
                <wp:effectExtent l="0" t="0" r="635" b="635"/>
                <wp:wrapNone/>
                <wp:docPr id="8" name="矩形 8"/>
                <wp:cNvGraphicFramePr/>
                <a:graphic xmlns:a="http://schemas.openxmlformats.org/drawingml/2006/main">
                  <a:graphicData uri="http://schemas.microsoft.com/office/word/2010/wordprocessingShape">
                    <wps:wsp>
                      <wps:cNvSpPr/>
                      <wps:spPr>
                        <a:xfrm>
                          <a:off x="0" y="0"/>
                          <a:ext cx="132715" cy="75565"/>
                        </a:xfrm>
                        <a:prstGeom prst="rect">
                          <a:avLst/>
                        </a:prstGeom>
                        <a:gradFill>
                          <a:gsLst>
                            <a:gs pos="0">
                              <a:srgbClr val="012D86"/>
                            </a:gs>
                            <a:gs pos="100000">
                              <a:srgbClr val="0E2557"/>
                            </a:gs>
                          </a:gsLst>
                          <a:lin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45pt;margin-top:54.15pt;height:5.95pt;width:10.45pt;z-index:251669504;v-text-anchor:middle;mso-width-relative:page;mso-height-relative:page;" fillcolor="#012D86" filled="t" stroked="f" coordsize="21600,21600" o:gfxdata="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92zjPbAAAACwEA&#10;AA8AAAAAAAAAAQAgAAAAIgAAAGRycy9kb3ducmV2LnhtbFBLAQIUABQAAAAIAIdO4kA3yBxliQIA&#10;AB4FAAAOAAAAAAAAAAEAIAAAACoBAABkcnMvZTJvRG9jLnhtbFBLBQYAAAAABgAGAFkBAAAlBgAA&#10;AAA=&#10;">
                <v:fill type="gradient" on="t" color2="#0E2557" angle="90" focus="100%" focussize="0,0" rotate="t">
                  <o:fill type="gradientUnscaled" v:ext="backwardCompatible"/>
                </v:fill>
                <v:stroke on="f" weight="2pt"/>
                <v:imagedata o:title=""/>
                <o:lock v:ext="edit" aspectratio="f"/>
              </v:rect>
            </w:pict>
          </mc:Fallback>
        </mc:AlternateContent>
      </w:r>
      <w:r>
        <w:rPr>
          <w:spacing w:val="0"/>
          <w:kern w:val="21"/>
          <w:sz w:val="24"/>
        </w:rPr>
        <mc:AlternateContent>
          <mc:Choice Requires="wps">
            <w:drawing>
              <wp:anchor distT="0" distB="0" distL="114300" distR="114300" simplePos="0" relativeHeight="251667456" behindDoc="0" locked="0" layoutInCell="1" allowOverlap="1">
                <wp:simplePos x="0" y="0"/>
                <wp:positionH relativeFrom="column">
                  <wp:posOffset>3421380</wp:posOffset>
                </wp:positionH>
                <wp:positionV relativeFrom="paragraph">
                  <wp:posOffset>569595</wp:posOffset>
                </wp:positionV>
                <wp:extent cx="132715" cy="75565"/>
                <wp:effectExtent l="0" t="0" r="635" b="635"/>
                <wp:wrapNone/>
                <wp:docPr id="7" name="矩形 7"/>
                <wp:cNvGraphicFramePr/>
                <a:graphic xmlns:a="http://schemas.openxmlformats.org/drawingml/2006/main">
                  <a:graphicData uri="http://schemas.microsoft.com/office/word/2010/wordprocessingShape">
                    <wps:wsp>
                      <wps:cNvSpPr/>
                      <wps:spPr>
                        <a:xfrm>
                          <a:off x="3834130" y="5022215"/>
                          <a:ext cx="132715" cy="75565"/>
                        </a:xfrm>
                        <a:prstGeom prst="rect">
                          <a:avLst/>
                        </a:prstGeom>
                        <a:gradFill>
                          <a:gsLst>
                            <a:gs pos="0">
                              <a:srgbClr val="007BD3"/>
                            </a:gs>
                            <a:gs pos="100000">
                              <a:srgbClr val="034373"/>
                            </a:gs>
                          </a:gsLst>
                          <a:lin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4pt;margin-top:44.85pt;height:5.95pt;width:10.45pt;z-index:251667456;v-text-anchor:middle;mso-width-relative:page;mso-height-relative:page;" fillcolor="#007BD3" filled="t" stroked="f" coordsize="21600,21600" o:gfxdata="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a0y&#10;CNcAAAAKAQAADwAAAAAAAAABACAAAAAiAAAAZHJzL2Rvd25yZXYueG1sUEsBAhQAFAAAAAgAh07i&#10;QL3as/6VAgAAKgUAAA4AAAAAAAAAAQAgAAAAJgEAAGRycy9lMm9Eb2MueG1sUEsFBgAAAAAGAAYA&#10;WQEAAC0GAAAAAA==&#10;">
                <v:fill type="gradient" on="t" color2="#034373" angle="90" focus="100%" focussize="0,0" rotate="t">
                  <o:fill type="gradientUnscaled" v:ext="backwardCompatible"/>
                </v:fill>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outlineLvl w:val="9"/>
        <w:rPr>
          <w:rFonts w:hint="eastAsia" w:ascii="仿宋_GB2312" w:hAnsi="仿宋_GB2312" w:eastAsia="仿宋_GB2312" w:cs="仿宋_GB2312"/>
          <w:spacing w:val="0"/>
          <w:kern w:val="21"/>
          <w:sz w:val="24"/>
          <w:szCs w:val="24"/>
          <w:highlight w:val="yellow"/>
          <w:u w:val="none"/>
        </w:rPr>
      </w:pPr>
      <w:r>
        <w:rPr>
          <w:rFonts w:hint="eastAsia" w:ascii="黑体" w:hAnsi="黑体" w:eastAsia="黑体" w:cs="黑体"/>
          <w:spacing w:val="0"/>
          <w:kern w:val="21"/>
          <w:sz w:val="24"/>
          <w:szCs w:val="24"/>
          <w:highlight w:val="none"/>
          <w:u w:val="none"/>
        </w:rPr>
        <w:t>分税种：</w:t>
      </w:r>
      <w:r>
        <w:rPr>
          <w:rFonts w:hint="eastAsia" w:ascii="仿宋_GB2312" w:hAnsi="仿宋_GB2312" w:eastAsia="仿宋_GB2312" w:cs="仿宋_GB2312"/>
          <w:b/>
          <w:bCs/>
          <w:spacing w:val="0"/>
          <w:kern w:val="21"/>
          <w:sz w:val="24"/>
          <w:szCs w:val="24"/>
          <w:highlight w:val="none"/>
          <w:u w:val="none"/>
        </w:rPr>
        <w:t>共享税种</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274652万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同比上升99.3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具体来看：</w:t>
      </w:r>
      <w:r>
        <w:rPr>
          <w:rFonts w:hint="eastAsia" w:ascii="仿宋_GB2312" w:hAnsi="仿宋_GB2312" w:eastAsia="仿宋_GB2312" w:cs="仿宋_GB2312"/>
          <w:b/>
          <w:bCs/>
          <w:spacing w:val="0"/>
          <w:kern w:val="21"/>
          <w:sz w:val="24"/>
          <w:szCs w:val="24"/>
          <w:highlight w:val="none"/>
          <w:u w:val="none"/>
        </w:rPr>
        <w:t>增值税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109433万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上升64.2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42779万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主要是煤炭</w:t>
      </w:r>
      <w:r>
        <w:rPr>
          <w:rFonts w:hint="eastAsia" w:ascii="仿宋_GB2312" w:hAnsi="仿宋_GB2312" w:eastAsia="仿宋_GB2312" w:cs="仿宋_GB2312"/>
          <w:spacing w:val="0"/>
          <w:kern w:val="21"/>
          <w:sz w:val="24"/>
          <w:szCs w:val="24"/>
          <w:highlight w:val="none"/>
          <w:u w:val="none"/>
          <w:lang w:val="en-US" w:eastAsia="zh-CN"/>
        </w:rPr>
        <w:t>价格大幅上涨，且</w:t>
      </w:r>
      <w:r>
        <w:rPr>
          <w:rFonts w:hint="eastAsia" w:ascii="仿宋_GB2312" w:hAnsi="仿宋_GB2312" w:eastAsia="仿宋_GB2312" w:cs="仿宋_GB2312"/>
          <w:spacing w:val="0"/>
          <w:kern w:val="21"/>
          <w:sz w:val="24"/>
          <w:szCs w:val="24"/>
          <w:highlight w:val="none"/>
          <w:u w:val="none"/>
          <w:lang w:eastAsia="zh-CN"/>
        </w:rPr>
        <w:t>市场需求巨大，相关行业产品销量不断上升，</w:t>
      </w:r>
      <w:r>
        <w:rPr>
          <w:rFonts w:hint="eastAsia" w:ascii="仿宋_GB2312" w:hAnsi="仿宋_GB2312" w:eastAsia="仿宋_GB2312" w:cs="仿宋_GB2312"/>
          <w:spacing w:val="0"/>
          <w:kern w:val="21"/>
          <w:sz w:val="24"/>
          <w:szCs w:val="24"/>
          <w:highlight w:val="none"/>
          <w:u w:val="none"/>
          <w:lang w:val="en-US" w:eastAsia="zh-CN"/>
        </w:rPr>
        <w:t>导致</w:t>
      </w:r>
      <w:r>
        <w:rPr>
          <w:rFonts w:hint="eastAsia" w:ascii="仿宋_GB2312" w:hAnsi="仿宋_GB2312" w:eastAsia="仿宋_GB2312" w:cs="仿宋_GB2312"/>
          <w:spacing w:val="0"/>
          <w:kern w:val="21"/>
          <w:sz w:val="24"/>
          <w:szCs w:val="24"/>
          <w:highlight w:val="none"/>
          <w:u w:val="none"/>
          <w:lang w:eastAsia="zh-CN"/>
        </w:rPr>
        <w:t>企业收入增加，增值税缴纳较多。</w:t>
      </w:r>
      <w:r>
        <w:rPr>
          <w:rFonts w:hint="eastAsia" w:ascii="仿宋_GB2312" w:hAnsi="仿宋_GB2312" w:eastAsia="仿宋_GB2312" w:cs="仿宋_GB2312"/>
          <w:b/>
          <w:bCs/>
          <w:spacing w:val="0"/>
          <w:kern w:val="21"/>
          <w:sz w:val="24"/>
          <w:szCs w:val="24"/>
          <w:highlight w:val="none"/>
          <w:u w:val="none"/>
        </w:rPr>
        <w:t>企业所得税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88816万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上升142.8%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rPr>
        <w:t>收</w:t>
      </w:r>
      <w:r>
        <w:rPr>
          <w:rFonts w:hint="eastAsia" w:ascii="仿宋_GB2312" w:hAnsi="仿宋_GB2312" w:eastAsia="仿宋_GB2312" w:cs="仿宋_GB2312"/>
          <w:spacing w:val="0"/>
          <w:kern w:val="21"/>
          <w:sz w:val="24"/>
          <w:szCs w:val="24"/>
          <w:highlight w:val="none"/>
          <w:u w:val="none"/>
          <w:lang w:val="en-US" w:eastAsia="zh-CN"/>
        </w:rPr>
        <w:t>52231</w:t>
      </w:r>
      <w:r>
        <w:rPr>
          <w:rFonts w:hint="eastAsia" w:ascii="仿宋_GB2312" w:hAnsi="仿宋_GB2312" w:eastAsia="仿宋_GB2312" w:cs="仿宋_GB2312"/>
          <w:spacing w:val="0"/>
          <w:kern w:val="21"/>
          <w:sz w:val="24"/>
          <w:szCs w:val="24"/>
          <w:highlight w:val="none"/>
          <w:u w:val="none"/>
          <w:lang w:eastAsia="zh-CN"/>
        </w:rPr>
        <w:t>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；主要是煤炭</w:t>
      </w:r>
      <w:r>
        <w:rPr>
          <w:rFonts w:hint="eastAsia" w:ascii="仿宋_GB2312" w:hAnsi="仿宋_GB2312" w:eastAsia="仿宋_GB2312" w:cs="仿宋_GB2312"/>
          <w:spacing w:val="0"/>
          <w:kern w:val="21"/>
          <w:sz w:val="24"/>
          <w:szCs w:val="24"/>
          <w:highlight w:val="none"/>
          <w:u w:val="none"/>
          <w:lang w:val="en-US" w:eastAsia="zh-CN"/>
        </w:rPr>
        <w:t>市场拉动</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个人所得税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8140万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上升110</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4264万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w:t>
      </w:r>
      <w:r>
        <w:rPr>
          <w:rFonts w:hint="eastAsia" w:ascii="Times New Roman" w:hAnsi="Times New Roman" w:eastAsia="仿宋_GB2312" w:cs="Times New Roman"/>
          <w:sz w:val="24"/>
          <w:szCs w:val="24"/>
          <w:highlight w:val="none"/>
          <w:u w:val="none"/>
          <w:lang w:val="en-US" w:eastAsia="zh-CN"/>
        </w:rPr>
        <w:t>企业逐步摆脱新冠肺炎疫情影响，盈利能力稳步增长，居民可支配收入稳步提高，从而拉动个税增收。</w:t>
      </w:r>
      <w:r>
        <w:rPr>
          <w:rFonts w:hint="eastAsia" w:ascii="仿宋_GB2312" w:hAnsi="仿宋_GB2312" w:eastAsia="仿宋_GB2312" w:cs="仿宋_GB2312"/>
          <w:b/>
          <w:bCs/>
          <w:spacing w:val="0"/>
          <w:kern w:val="21"/>
          <w:sz w:val="24"/>
          <w:szCs w:val="24"/>
          <w:highlight w:val="none"/>
          <w:u w:val="none"/>
        </w:rPr>
        <w:t>资源税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64130万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上升140.4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37459万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z w:val="24"/>
          <w:szCs w:val="24"/>
        </w:rPr>
        <w:t>主要是煤炭</w:t>
      </w:r>
      <w:r>
        <w:rPr>
          <w:rFonts w:hint="eastAsia" w:ascii="仿宋_GB2312" w:hAnsi="仿宋_GB2312" w:eastAsia="仿宋_GB2312" w:cs="仿宋_GB2312"/>
          <w:color w:val="auto"/>
          <w:sz w:val="24"/>
          <w:szCs w:val="24"/>
          <w:lang w:val="en-US" w:eastAsia="zh-CN"/>
        </w:rPr>
        <w:t>市场拉动</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rPr>
        <w:t>环境保护税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4133万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上升2.4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98万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b w:val="0"/>
          <w:bCs/>
          <w:color w:val="auto"/>
          <w:spacing w:val="0"/>
          <w:kern w:val="21"/>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82"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b/>
          <w:bCs/>
          <w:color w:val="auto"/>
          <w:spacing w:val="0"/>
          <w:kern w:val="21"/>
          <w:sz w:val="24"/>
          <w:szCs w:val="24"/>
          <w:highlight w:val="none"/>
          <w:u w:val="none"/>
        </w:rPr>
        <w:t>地</w:t>
      </w:r>
      <w:r>
        <w:rPr>
          <w:rFonts w:hint="eastAsia" w:ascii="仿宋_GB2312" w:hAnsi="仿宋_GB2312" w:eastAsia="仿宋_GB2312" w:cs="仿宋_GB2312"/>
          <w:b/>
          <w:bCs/>
          <w:spacing w:val="0"/>
          <w:kern w:val="21"/>
          <w:sz w:val="24"/>
          <w:szCs w:val="24"/>
          <w:highlight w:val="none"/>
          <w:u w:val="none"/>
        </w:rPr>
        <w:t>方税种</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79554万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上升32.1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color w:val="auto"/>
          <w:spacing w:val="0"/>
          <w:kern w:val="21"/>
          <w:sz w:val="24"/>
          <w:szCs w:val="24"/>
          <w:highlight w:val="none"/>
          <w:lang w:eastAsia="zh-CN"/>
        </w:rPr>
        <w:t>。具体来看：</w:t>
      </w:r>
      <w:r>
        <w:rPr>
          <w:rFonts w:hint="eastAsia" w:ascii="仿宋_GB2312" w:hAnsi="仿宋_GB2312" w:eastAsia="仿宋_GB2312" w:cs="仿宋_GB2312"/>
          <w:b/>
          <w:bCs/>
          <w:spacing w:val="0"/>
          <w:kern w:val="21"/>
          <w:sz w:val="24"/>
          <w:szCs w:val="24"/>
          <w:highlight w:val="none"/>
          <w:u w:val="none"/>
        </w:rPr>
        <w:t>城市维护建设税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24157万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上升48.5</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7889万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Times New Roman" w:hAnsi="Times New Roman" w:eastAsia="仿宋_GB2312" w:cs="Times New Roman"/>
          <w:sz w:val="24"/>
          <w:szCs w:val="24"/>
          <w:highlight w:val="none"/>
          <w:u w:val="none"/>
          <w:lang w:eastAsia="zh-CN"/>
        </w:rPr>
        <w:t>主要是受增值税增收拉动。</w:t>
      </w:r>
      <w:r>
        <w:rPr>
          <w:rFonts w:hint="eastAsia" w:ascii="仿宋_GB2312" w:hAnsi="仿宋_GB2312" w:eastAsia="仿宋_GB2312" w:cs="仿宋_GB2312"/>
          <w:b/>
          <w:bCs/>
          <w:spacing w:val="0"/>
          <w:kern w:val="21"/>
          <w:sz w:val="24"/>
          <w:szCs w:val="24"/>
          <w:highlight w:val="none"/>
          <w:u w:val="none"/>
        </w:rPr>
        <w:t>房产税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11828万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上升69.6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4852万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；主要是清缴以前年度</w:t>
      </w:r>
      <w:r>
        <w:rPr>
          <w:rFonts w:hint="eastAsia" w:ascii="仿宋_GB2312" w:hAnsi="仿宋_GB2312" w:eastAsia="仿宋_GB2312" w:cs="仿宋_GB2312"/>
          <w:spacing w:val="0"/>
          <w:kern w:val="21"/>
          <w:sz w:val="24"/>
          <w:szCs w:val="24"/>
          <w:highlight w:val="none"/>
          <w:u w:val="none"/>
          <w:lang w:val="en-US" w:eastAsia="zh-CN"/>
        </w:rPr>
        <w:t>税费</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印花税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6138万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上升46.9</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1959万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Times New Roman" w:hAnsi="Times New Roman" w:eastAsia="仿宋_GB2312" w:cs="Times New Roman"/>
          <w:sz w:val="24"/>
          <w:szCs w:val="24"/>
          <w:highlight w:val="none"/>
          <w:u w:val="none"/>
          <w:lang w:eastAsia="zh-CN"/>
        </w:rPr>
        <w:t>主要是</w:t>
      </w:r>
      <w:r>
        <w:rPr>
          <w:rFonts w:hint="eastAsia" w:ascii="Times New Roman" w:hAnsi="Times New Roman" w:eastAsia="仿宋_GB2312" w:cs="Times New Roman"/>
          <w:sz w:val="24"/>
          <w:szCs w:val="24"/>
          <w:highlight w:val="none"/>
          <w:u w:val="none"/>
          <w:lang w:val="en-US" w:eastAsia="zh-CN"/>
        </w:rPr>
        <w:t>工业品</w:t>
      </w:r>
      <w:r>
        <w:rPr>
          <w:rFonts w:hint="eastAsia" w:ascii="Times New Roman" w:hAnsi="Times New Roman" w:eastAsia="仿宋_GB2312" w:cs="Times New Roman"/>
          <w:sz w:val="24"/>
          <w:szCs w:val="24"/>
          <w:highlight w:val="none"/>
          <w:u w:val="none"/>
          <w:lang w:eastAsia="zh-CN"/>
        </w:rPr>
        <w:t>产销</w:t>
      </w:r>
      <w:r>
        <w:rPr>
          <w:rFonts w:hint="eastAsia" w:ascii="Times New Roman" w:hAnsi="Times New Roman" w:eastAsia="仿宋_GB2312" w:cs="Times New Roman"/>
          <w:sz w:val="24"/>
          <w:szCs w:val="24"/>
          <w:highlight w:val="none"/>
          <w:u w:val="none"/>
          <w:lang w:val="en-US" w:eastAsia="zh-CN"/>
        </w:rPr>
        <w:t>顺畅，销售环节形成的</w:t>
      </w:r>
      <w:r>
        <w:rPr>
          <w:rFonts w:hint="eastAsia" w:ascii="Times New Roman" w:hAnsi="Times New Roman" w:eastAsia="仿宋_GB2312" w:cs="Times New Roman"/>
          <w:sz w:val="24"/>
          <w:szCs w:val="24"/>
          <w:highlight w:val="none"/>
          <w:u w:val="none"/>
          <w:lang w:eastAsia="zh-CN"/>
        </w:rPr>
        <w:t>印花税增</w:t>
      </w:r>
      <w:r>
        <w:rPr>
          <w:rFonts w:hint="eastAsia" w:ascii="Times New Roman" w:hAnsi="Times New Roman" w:eastAsia="仿宋_GB2312" w:cs="Times New Roman"/>
          <w:sz w:val="24"/>
          <w:szCs w:val="24"/>
          <w:highlight w:val="none"/>
          <w:u w:val="none"/>
          <w:lang w:val="en-US" w:eastAsia="zh-CN"/>
        </w:rPr>
        <w:t>收</w:t>
      </w:r>
      <w:r>
        <w:rPr>
          <w:rFonts w:hint="eastAsia" w:ascii="Times New Roman" w:hAnsi="Times New Roman" w:eastAsia="仿宋_GB2312" w:cs="Times New Roman"/>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城镇土地使用税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18593万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上升93.9</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9005万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eastAsia="zh-CN"/>
        </w:rPr>
        <w:t>主要是</w:t>
      </w:r>
      <w:r>
        <w:rPr>
          <w:rFonts w:hint="eastAsia" w:ascii="仿宋_GB2312" w:hAnsi="仿宋_GB2312" w:eastAsia="仿宋_GB2312" w:cs="仿宋_GB2312"/>
          <w:spacing w:val="0"/>
          <w:kern w:val="21"/>
          <w:sz w:val="24"/>
          <w:szCs w:val="24"/>
          <w:highlight w:val="none"/>
          <w:u w:val="none"/>
          <w:lang w:val="en-US" w:eastAsia="zh-CN"/>
        </w:rPr>
        <w:t>清理欠</w:t>
      </w:r>
      <w:r>
        <w:rPr>
          <w:rFonts w:hint="eastAsia" w:ascii="仿宋_GB2312" w:hAnsi="仿宋_GB2312" w:eastAsia="仿宋_GB2312" w:cs="仿宋_GB2312"/>
          <w:spacing w:val="0"/>
          <w:kern w:val="21"/>
          <w:sz w:val="24"/>
          <w:szCs w:val="24"/>
          <w:highlight w:val="none"/>
          <w:u w:val="none"/>
          <w:lang w:eastAsia="zh-CN"/>
        </w:rPr>
        <w:t>缴税款</w:t>
      </w:r>
      <w:r>
        <w:rPr>
          <w:rFonts w:hint="eastAsia" w:ascii="仿宋_GB2312" w:hAnsi="仿宋_GB2312" w:eastAsia="仿宋_GB2312" w:cs="仿宋_GB2312"/>
          <w:spacing w:val="0"/>
          <w:kern w:val="21"/>
          <w:sz w:val="24"/>
          <w:szCs w:val="24"/>
          <w:highlight w:val="none"/>
          <w:u w:val="none"/>
          <w:lang w:val="en-US" w:eastAsia="zh-CN"/>
        </w:rPr>
        <w:t>入库</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土地增值税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885万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下降23.2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268万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主要是受上年同期加大清缴税款力度影响。</w:t>
      </w:r>
      <w:r>
        <w:rPr>
          <w:rFonts w:hint="eastAsia" w:ascii="仿宋_GB2312" w:hAnsi="仿宋_GB2312" w:eastAsia="仿宋_GB2312" w:cs="仿宋_GB2312"/>
          <w:b/>
          <w:bCs/>
          <w:spacing w:val="0"/>
          <w:kern w:val="21"/>
          <w:sz w:val="24"/>
          <w:szCs w:val="24"/>
          <w:highlight w:val="none"/>
          <w:u w:val="none"/>
        </w:rPr>
        <w:t>车船税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1457万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上升12.4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161万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耕地占用税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14769万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下降16.4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2893万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w:t>
      </w:r>
      <w:r>
        <w:rPr>
          <w:rFonts w:hint="eastAsia" w:ascii="仿宋_GB2312" w:hAnsi="仿宋_GB2312" w:eastAsia="仿宋_GB2312" w:cs="仿宋_GB2312"/>
          <w:spacing w:val="0"/>
          <w:kern w:val="21"/>
          <w:sz w:val="24"/>
          <w:szCs w:val="24"/>
          <w:highlight w:val="none"/>
          <w:u w:val="none"/>
          <w:lang w:val="en-US" w:eastAsia="zh-CN"/>
        </w:rPr>
        <w:t>上年同期</w:t>
      </w:r>
      <w:r>
        <w:rPr>
          <w:rFonts w:hint="eastAsia" w:ascii="仿宋_GB2312" w:hAnsi="仿宋_GB2312" w:eastAsia="仿宋_GB2312" w:cs="仿宋_GB2312"/>
          <w:spacing w:val="0"/>
          <w:kern w:val="21"/>
          <w:sz w:val="24"/>
          <w:szCs w:val="24"/>
          <w:highlight w:val="none"/>
          <w:u w:val="none"/>
          <w:lang w:eastAsia="zh-CN"/>
        </w:rPr>
        <w:t>清缴以前年度税</w:t>
      </w:r>
      <w:r>
        <w:rPr>
          <w:rFonts w:hint="eastAsia" w:ascii="仿宋_GB2312" w:hAnsi="仿宋_GB2312" w:eastAsia="仿宋_GB2312" w:cs="仿宋_GB2312"/>
          <w:spacing w:val="0"/>
          <w:kern w:val="21"/>
          <w:sz w:val="24"/>
          <w:szCs w:val="24"/>
          <w:highlight w:val="none"/>
          <w:u w:val="none"/>
          <w:lang w:val="en-US" w:eastAsia="zh-CN"/>
        </w:rPr>
        <w:t>费</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契税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1727万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下降44.6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1389万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82"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eastAsia" w:ascii="仿宋_GB2312" w:hAnsi="仿宋_GB2312" w:eastAsia="仿宋_GB2312" w:cs="仿宋_GB2312"/>
          <w:b/>
          <w:bCs/>
          <w:spacing w:val="0"/>
          <w:kern w:val="21"/>
          <w:sz w:val="24"/>
          <w:szCs w:val="24"/>
          <w:highlight w:val="none"/>
          <w:u w:val="none"/>
        </w:rPr>
        <w:t>非税收入</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31549万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上升34.8</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8138万元。</w:t>
      </w:r>
    </w:p>
    <w:p>
      <w:pPr>
        <w:keepNext w:val="0"/>
        <w:keepLines w:val="0"/>
        <w:pageBreakBefore w:val="0"/>
        <w:widowControl w:val="0"/>
        <w:kinsoku/>
        <w:wordWrap/>
        <w:overflowPunct/>
        <w:topLinePunct w:val="0"/>
        <w:autoSpaceDE/>
        <w:autoSpaceDN/>
        <w:bidi w:val="0"/>
        <w:adjustRightInd/>
        <w:snapToGrid/>
        <w:spacing w:line="520" w:lineRule="exact"/>
        <w:ind w:right="0" w:firstLine="1200" w:firstLineChars="5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税种</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pict>
          <v:shape id="_x0000_s1027" o:spid="_x0000_s1027" o:spt="75" type="#_x0000_t75" style="position:absolute;left:0pt;margin-left:7.85pt;margin-top:8.85pt;height:213.25pt;width:317.2pt;z-index:-251644928;mso-width-relative:page;mso-height-relative:page;" o:ole="t" filled="f" o:preferrelative="t" stroked="f" coordsize="21600,21600">
            <v:path/>
            <v:fill on="f" focussize="0,0"/>
            <v:stroke on="f"/>
            <v:imagedata r:id="rId15" o:title=""/>
            <o:lock v:ext="edit" aspectratio="t"/>
          </v:shape>
          <o:OLEObject Type="Embed" ProgID="Excel.Chart.8" ShapeID="_x0000_s1027" DrawAspect="Content" ObjectID="_1468075726" r:id="rId14">
            <o:LockedField>false</o:LockedField>
          </o:OLEObject>
        </w:pict>
      </w:r>
      <w:r>
        <w:rPr>
          <w:spacing w:val="0"/>
          <w:kern w:val="21"/>
          <w:sz w:val="24"/>
          <w:highlight w:val="none"/>
        </w:rPr>
        <mc:AlternateContent>
          <mc:Choice Requires="wps">
            <w:drawing>
              <wp:anchor distT="0" distB="0" distL="114300" distR="114300" simplePos="0" relativeHeight="251670528" behindDoc="0" locked="0" layoutInCell="1" allowOverlap="1">
                <wp:simplePos x="0" y="0"/>
                <wp:positionH relativeFrom="column">
                  <wp:posOffset>3943985</wp:posOffset>
                </wp:positionH>
                <wp:positionV relativeFrom="paragraph">
                  <wp:posOffset>248285</wp:posOffset>
                </wp:positionV>
                <wp:extent cx="371475" cy="97155"/>
                <wp:effectExtent l="0" t="0" r="0" b="0"/>
                <wp:wrapNone/>
                <wp:docPr id="10" name="文本框 10"/>
                <wp:cNvGraphicFramePr/>
                <a:graphic xmlns:a="http://schemas.openxmlformats.org/drawingml/2006/main">
                  <a:graphicData uri="http://schemas.microsoft.com/office/word/2010/wordprocessingShape">
                    <wps:wsp>
                      <wps:cNvSpPr txBox="1"/>
                      <wps:spPr>
                        <a:xfrm>
                          <a:off x="4463415" y="4232275"/>
                          <a:ext cx="371475" cy="97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11"/>
                                <w:szCs w:val="15"/>
                                <w:lang w:val="en-US" w:eastAsia="zh-CN"/>
                              </w:rPr>
                            </w:pPr>
                            <w:r>
                              <w:rPr>
                                <w:rFonts w:hint="eastAsia" w:ascii="宋体" w:hAnsi="宋体" w:eastAsia="宋体" w:cs="宋体"/>
                                <w:sz w:val="11"/>
                                <w:szCs w:val="15"/>
                                <w:lang w:val="en-US" w:eastAsia="zh-CN"/>
                              </w:rPr>
                              <w:t>1000%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5pt;margin-top:19.55pt;height:7.65pt;width:29.25pt;z-index:251670528;mso-width-relative:page;mso-height-relative:page;" filled="f" stroked="f" coordsize="21600,21600" o:gfxdata="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XCtH3AAAAAkBAAAPAAAAAAAA&#10;AAEAIAAAACIAAABkcnMvZG93bnJldi54bWxQSwECFAAUAAAACACHTuJAFpYxg0cCAAByBAAADgAA&#10;AAAAAAABACAAAAAr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11"/>
                          <w:szCs w:val="15"/>
                          <w:lang w:val="en-US" w:eastAsia="zh-CN"/>
                        </w:rPr>
                      </w:pPr>
                      <w:r>
                        <w:rPr>
                          <w:rFonts w:hint="eastAsia" w:ascii="宋体" w:hAnsi="宋体" w:eastAsia="宋体" w:cs="宋体"/>
                          <w:sz w:val="11"/>
                          <w:szCs w:val="15"/>
                          <w:lang w:val="en-US" w:eastAsia="zh-CN"/>
                        </w:rPr>
                        <w:t>1000%</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none"/>
          <w:u w:val="none"/>
          <w:lang w:eastAsia="zh-CN"/>
        </w:rPr>
      </w:pPr>
      <w:r>
        <w:rPr>
          <w:rFonts w:hint="eastAsia" w:ascii="仿宋_GB2312" w:hAnsi="仿宋_GB2312" w:eastAsia="仿宋_GB2312" w:cs="仿宋_GB2312"/>
          <w:color w:val="auto"/>
          <w:spacing w:val="0"/>
          <w:kern w:val="21"/>
          <w:sz w:val="24"/>
          <w:szCs w:val="24"/>
          <w:highlight w:val="none"/>
          <w:u w:val="none"/>
        </w:rPr>
        <w:t>全</w:t>
      </w:r>
      <w:r>
        <w:rPr>
          <w:rFonts w:hint="eastAsia" w:ascii="仿宋_GB2312" w:hAnsi="仿宋_GB2312" w:eastAsia="仿宋_GB2312" w:cs="仿宋_GB2312"/>
          <w:color w:val="auto"/>
          <w:spacing w:val="0"/>
          <w:kern w:val="21"/>
          <w:sz w:val="24"/>
          <w:szCs w:val="24"/>
          <w:highlight w:val="none"/>
          <w:u w:val="none"/>
          <w:lang w:val="en-US" w:eastAsia="zh-CN"/>
        </w:rPr>
        <w:t>市</w:t>
      </w:r>
      <w:r>
        <w:rPr>
          <w:rFonts w:hint="eastAsia" w:ascii="仿宋_GB2312" w:hAnsi="仿宋_GB2312" w:eastAsia="仿宋_GB2312" w:cs="仿宋_GB2312"/>
          <w:color w:val="auto"/>
          <w:spacing w:val="0"/>
          <w:kern w:val="21"/>
          <w:sz w:val="24"/>
          <w:szCs w:val="24"/>
          <w:highlight w:val="none"/>
          <w:u w:val="none"/>
        </w:rPr>
        <w:t>累计完成</w:t>
      </w:r>
      <w:r>
        <w:rPr>
          <w:rFonts w:hint="eastAsia" w:ascii="仿宋_GB2312" w:hAnsi="仿宋_GB2312" w:eastAsia="仿宋_GB2312" w:cs="仿宋_GB2312"/>
          <w:color w:val="auto"/>
          <w:spacing w:val="0"/>
          <w:kern w:val="21"/>
          <w:sz w:val="24"/>
          <w:szCs w:val="24"/>
          <w:highlight w:val="none"/>
          <w:u w:val="none"/>
          <w:lang w:eastAsia="zh-CN"/>
        </w:rPr>
        <w:t>一般公共预算</w:t>
      </w:r>
      <w:r>
        <w:rPr>
          <w:rFonts w:hint="eastAsia" w:ascii="仿宋_GB2312" w:hAnsi="仿宋_GB2312" w:eastAsia="仿宋_GB2312" w:cs="仿宋_GB2312"/>
          <w:color w:val="auto"/>
          <w:spacing w:val="0"/>
          <w:kern w:val="21"/>
          <w:sz w:val="24"/>
          <w:szCs w:val="24"/>
          <w:highlight w:val="none"/>
          <w:u w:val="none"/>
        </w:rPr>
        <w:t>收入</w:t>
      </w:r>
      <w:r>
        <w:rPr>
          <w:rFonts w:hint="eastAsia" w:ascii="仿宋_GB2312" w:hAnsi="仿宋_GB2312" w:eastAsia="仿宋_GB2312" w:cs="仿宋_GB2312"/>
          <w:color w:val="auto"/>
          <w:spacing w:val="0"/>
          <w:kern w:val="21"/>
          <w:sz w:val="24"/>
          <w:szCs w:val="24"/>
          <w:highlight w:val="none"/>
          <w:u w:val="none"/>
          <w:lang w:val="en-US" w:eastAsia="zh-CN"/>
        </w:rPr>
        <w:t>628.33</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67.7</w:t>
      </w:r>
      <w:r>
        <w:rPr>
          <w:rFonts w:hint="eastAsia" w:ascii="仿宋_GB2312" w:hAnsi="仿宋_GB2312" w:eastAsia="仿宋_GB2312" w:cs="仿宋_GB2312"/>
          <w:color w:val="auto"/>
          <w:spacing w:val="0"/>
          <w:kern w:val="21"/>
          <w:sz w:val="24"/>
          <w:szCs w:val="24"/>
          <w:highlight w:val="none"/>
          <w:u w:val="none"/>
          <w:lang w:eastAsia="zh-CN"/>
        </w:rPr>
        <w:t>%。其中：准格尔旗</w:t>
      </w:r>
      <w:r>
        <w:rPr>
          <w:rFonts w:hint="eastAsia" w:ascii="仿宋_GB2312" w:hAnsi="仿宋_GB2312" w:eastAsia="仿宋_GB2312" w:cs="仿宋_GB2312"/>
          <w:color w:val="auto"/>
          <w:spacing w:val="0"/>
          <w:kern w:val="21"/>
          <w:sz w:val="24"/>
          <w:szCs w:val="24"/>
          <w:highlight w:val="none"/>
          <w:u w:val="none"/>
          <w:lang w:val="en-US" w:eastAsia="zh-CN"/>
        </w:rPr>
        <w:t>125.16</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96.7</w:t>
      </w:r>
      <w:r>
        <w:rPr>
          <w:rFonts w:hint="eastAsia" w:ascii="仿宋_GB2312" w:hAnsi="仿宋_GB2312" w:eastAsia="仿宋_GB2312" w:cs="仿宋_GB2312"/>
          <w:color w:val="auto"/>
          <w:spacing w:val="0"/>
          <w:kern w:val="21"/>
          <w:sz w:val="24"/>
          <w:szCs w:val="24"/>
          <w:highlight w:val="none"/>
          <w:u w:val="none"/>
          <w:lang w:eastAsia="zh-CN"/>
        </w:rPr>
        <w:t>%；伊金霍洛旗</w:t>
      </w:r>
      <w:r>
        <w:rPr>
          <w:rFonts w:hint="eastAsia" w:ascii="仿宋_GB2312" w:hAnsi="仿宋_GB2312" w:eastAsia="仿宋_GB2312" w:cs="仿宋_GB2312"/>
          <w:color w:val="auto"/>
          <w:spacing w:val="0"/>
          <w:kern w:val="21"/>
          <w:sz w:val="24"/>
          <w:szCs w:val="24"/>
          <w:highlight w:val="none"/>
          <w:u w:val="none"/>
          <w:lang w:val="en-US" w:eastAsia="zh-CN"/>
        </w:rPr>
        <w:t>102.27</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81.3</w:t>
      </w:r>
      <w:r>
        <w:rPr>
          <w:rFonts w:hint="eastAsia" w:ascii="仿宋_GB2312" w:hAnsi="仿宋_GB2312" w:eastAsia="仿宋_GB2312" w:cs="仿宋_GB2312"/>
          <w:color w:val="auto"/>
          <w:spacing w:val="0"/>
          <w:kern w:val="21"/>
          <w:sz w:val="24"/>
          <w:szCs w:val="24"/>
          <w:highlight w:val="none"/>
          <w:u w:val="none"/>
          <w:lang w:eastAsia="zh-CN"/>
        </w:rPr>
        <w:t>%；东胜区</w:t>
      </w:r>
      <w:r>
        <w:rPr>
          <w:rFonts w:hint="eastAsia" w:ascii="仿宋_GB2312" w:hAnsi="仿宋_GB2312" w:eastAsia="仿宋_GB2312" w:cs="仿宋_GB2312"/>
          <w:color w:val="auto"/>
          <w:spacing w:val="0"/>
          <w:kern w:val="21"/>
          <w:sz w:val="24"/>
          <w:szCs w:val="24"/>
          <w:highlight w:val="none"/>
          <w:u w:val="none"/>
          <w:lang w:val="en-US" w:eastAsia="zh-CN"/>
        </w:rPr>
        <w:t>53.78</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37.9</w:t>
      </w:r>
      <w:r>
        <w:rPr>
          <w:rFonts w:hint="eastAsia" w:ascii="仿宋_GB2312" w:hAnsi="仿宋_GB2312" w:eastAsia="仿宋_GB2312" w:cs="仿宋_GB2312"/>
          <w:color w:val="auto"/>
          <w:spacing w:val="0"/>
          <w:kern w:val="21"/>
          <w:sz w:val="24"/>
          <w:szCs w:val="24"/>
          <w:highlight w:val="none"/>
          <w:u w:val="none"/>
          <w:lang w:eastAsia="zh-CN"/>
        </w:rPr>
        <w:t>%；鄂托克旗</w:t>
      </w:r>
      <w:r>
        <w:rPr>
          <w:rFonts w:hint="eastAsia" w:ascii="仿宋_GB2312" w:hAnsi="仿宋_GB2312" w:eastAsia="仿宋_GB2312" w:cs="仿宋_GB2312"/>
          <w:color w:val="auto"/>
          <w:spacing w:val="0"/>
          <w:kern w:val="21"/>
          <w:sz w:val="24"/>
          <w:szCs w:val="24"/>
          <w:highlight w:val="none"/>
          <w:u w:val="none"/>
          <w:lang w:val="en-US" w:eastAsia="zh-CN"/>
        </w:rPr>
        <w:t>38.58</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74.2</w:t>
      </w:r>
      <w:r>
        <w:rPr>
          <w:rFonts w:hint="eastAsia" w:ascii="仿宋_GB2312" w:hAnsi="仿宋_GB2312" w:eastAsia="仿宋_GB2312" w:cs="仿宋_GB2312"/>
          <w:color w:val="auto"/>
          <w:spacing w:val="0"/>
          <w:kern w:val="21"/>
          <w:sz w:val="24"/>
          <w:szCs w:val="24"/>
          <w:highlight w:val="none"/>
          <w:u w:val="none"/>
          <w:lang w:eastAsia="zh-CN"/>
        </w:rPr>
        <w:t>%；乌审旗</w:t>
      </w:r>
      <w:r>
        <w:rPr>
          <w:rFonts w:hint="eastAsia" w:ascii="仿宋_GB2312" w:hAnsi="仿宋_GB2312" w:eastAsia="仿宋_GB2312" w:cs="仿宋_GB2312"/>
          <w:color w:val="auto"/>
          <w:spacing w:val="0"/>
          <w:kern w:val="21"/>
          <w:sz w:val="24"/>
          <w:szCs w:val="24"/>
          <w:highlight w:val="none"/>
          <w:u w:val="none"/>
          <w:lang w:val="en-US" w:eastAsia="zh-CN"/>
        </w:rPr>
        <w:t>26.57</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20.8</w:t>
      </w:r>
      <w:r>
        <w:rPr>
          <w:rFonts w:hint="eastAsia" w:ascii="仿宋_GB2312" w:hAnsi="仿宋_GB2312" w:eastAsia="仿宋_GB2312" w:cs="仿宋_GB2312"/>
          <w:color w:val="auto"/>
          <w:spacing w:val="0"/>
          <w:kern w:val="21"/>
          <w:sz w:val="24"/>
          <w:szCs w:val="24"/>
          <w:highlight w:val="none"/>
          <w:u w:val="none"/>
          <w:lang w:eastAsia="zh-CN"/>
        </w:rPr>
        <w:t>%；达拉特旗</w:t>
      </w:r>
      <w:r>
        <w:rPr>
          <w:rFonts w:hint="eastAsia" w:ascii="仿宋_GB2312" w:hAnsi="仿宋_GB2312" w:eastAsia="仿宋_GB2312" w:cs="仿宋_GB2312"/>
          <w:color w:val="auto"/>
          <w:spacing w:val="0"/>
          <w:kern w:val="21"/>
          <w:sz w:val="24"/>
          <w:szCs w:val="24"/>
          <w:highlight w:val="none"/>
          <w:u w:val="none"/>
          <w:lang w:val="en-US" w:eastAsia="zh-CN"/>
        </w:rPr>
        <w:t>22.41</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83.5</w:t>
      </w:r>
      <w:r>
        <w:rPr>
          <w:rFonts w:hint="eastAsia" w:ascii="仿宋_GB2312" w:hAnsi="仿宋_GB2312" w:eastAsia="仿宋_GB2312" w:cs="仿宋_GB2312"/>
          <w:color w:val="auto"/>
          <w:spacing w:val="0"/>
          <w:kern w:val="21"/>
          <w:sz w:val="24"/>
          <w:szCs w:val="24"/>
          <w:highlight w:val="none"/>
          <w:u w:val="none"/>
          <w:lang w:eastAsia="zh-CN"/>
        </w:rPr>
        <w:t>%；鄂托克前旗</w:t>
      </w:r>
      <w:r>
        <w:rPr>
          <w:rFonts w:hint="eastAsia" w:ascii="仿宋_GB2312" w:hAnsi="仿宋_GB2312" w:eastAsia="仿宋_GB2312" w:cs="仿宋_GB2312"/>
          <w:color w:val="auto"/>
          <w:spacing w:val="0"/>
          <w:kern w:val="21"/>
          <w:sz w:val="24"/>
          <w:szCs w:val="24"/>
          <w:highlight w:val="none"/>
          <w:u w:val="none"/>
          <w:lang w:val="en-US" w:eastAsia="zh-CN"/>
        </w:rPr>
        <w:t>14.5</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116</w:t>
      </w:r>
      <w:r>
        <w:rPr>
          <w:rFonts w:hint="eastAsia" w:ascii="仿宋_GB2312" w:hAnsi="仿宋_GB2312" w:eastAsia="仿宋_GB2312" w:cs="仿宋_GB2312"/>
          <w:color w:val="auto"/>
          <w:spacing w:val="0"/>
          <w:kern w:val="21"/>
          <w:sz w:val="24"/>
          <w:szCs w:val="24"/>
          <w:highlight w:val="none"/>
          <w:u w:val="none"/>
          <w:lang w:eastAsia="zh-CN"/>
        </w:rPr>
        <w:t>%；康巴什区</w:t>
      </w:r>
      <w:r>
        <w:rPr>
          <w:rFonts w:hint="eastAsia" w:ascii="仿宋_GB2312" w:hAnsi="仿宋_GB2312" w:eastAsia="仿宋_GB2312" w:cs="仿宋_GB2312"/>
          <w:color w:val="auto"/>
          <w:spacing w:val="0"/>
          <w:kern w:val="21"/>
          <w:sz w:val="24"/>
          <w:szCs w:val="24"/>
          <w:highlight w:val="none"/>
          <w:u w:val="none"/>
          <w:lang w:val="en-US" w:eastAsia="zh-CN"/>
        </w:rPr>
        <w:t>7.43</w:t>
      </w:r>
      <w:r>
        <w:rPr>
          <w:rFonts w:hint="eastAsia" w:ascii="仿宋_GB2312" w:hAnsi="仿宋_GB2312" w:eastAsia="仿宋_GB2312" w:cs="仿宋_GB2312"/>
          <w:color w:val="auto"/>
          <w:spacing w:val="0"/>
          <w:kern w:val="21"/>
          <w:sz w:val="24"/>
          <w:szCs w:val="24"/>
          <w:highlight w:val="none"/>
          <w:u w:val="none"/>
          <w:lang w:eastAsia="zh-CN"/>
        </w:rPr>
        <w:t>亿元、</w:t>
      </w:r>
      <w:r>
        <w:rPr>
          <w:rFonts w:hint="eastAsia" w:ascii="仿宋_GB2312" w:hAnsi="仿宋_GB2312" w:eastAsia="仿宋_GB2312" w:cs="仿宋_GB2312"/>
          <w:color w:val="auto"/>
          <w:spacing w:val="0"/>
          <w:kern w:val="21"/>
          <w:sz w:val="24"/>
          <w:szCs w:val="24"/>
          <w:highlight w:val="none"/>
          <w:u w:val="none"/>
          <w:lang w:val="en-US" w:eastAsia="zh-CN"/>
        </w:rPr>
        <w:t>增长16.2</w:t>
      </w:r>
      <w:r>
        <w:rPr>
          <w:rFonts w:hint="eastAsia" w:ascii="仿宋_GB2312" w:hAnsi="仿宋_GB2312" w:eastAsia="仿宋_GB2312" w:cs="仿宋_GB2312"/>
          <w:color w:val="auto"/>
          <w:spacing w:val="0"/>
          <w:kern w:val="21"/>
          <w:sz w:val="24"/>
          <w:szCs w:val="24"/>
          <w:highlight w:val="none"/>
          <w:u w:val="none"/>
          <w:lang w:eastAsia="zh-CN"/>
        </w:rPr>
        <w:t>%；杭锦旗</w:t>
      </w:r>
      <w:r>
        <w:rPr>
          <w:rFonts w:hint="eastAsia" w:ascii="仿宋_GB2312" w:hAnsi="仿宋_GB2312" w:eastAsia="仿宋_GB2312" w:cs="仿宋_GB2312"/>
          <w:color w:val="auto"/>
          <w:spacing w:val="0"/>
          <w:kern w:val="21"/>
          <w:sz w:val="24"/>
          <w:szCs w:val="24"/>
          <w:highlight w:val="none"/>
          <w:u w:val="none"/>
          <w:lang w:val="en-US" w:eastAsia="zh-CN"/>
        </w:rPr>
        <w:t>7.20</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87.2</w:t>
      </w:r>
      <w:r>
        <w:rPr>
          <w:rFonts w:hint="eastAsia" w:ascii="仿宋_GB2312" w:hAnsi="仿宋_GB2312" w:eastAsia="仿宋_GB2312" w:cs="仿宋_GB2312"/>
          <w:color w:val="auto"/>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旗区</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r>
        <w:rPr>
          <w:rFonts w:hint="default" w:ascii="Times New Roman" w:hAnsi="Times New Roman" w:eastAsia="楷体_GB2312" w:cs="Times New Roman"/>
          <w:spacing w:val="0"/>
          <w:kern w:val="21"/>
          <w:sz w:val="24"/>
          <w:szCs w:val="24"/>
          <w:u w:val="none"/>
        </w:rPr>
        <w:pict>
          <v:shape id="_x0000_s1032" o:spid="_x0000_s1032" o:spt="75" type="#_x0000_t75" style="position:absolute;left:0pt;margin-left:9.9pt;margin-top:7pt;height:188.95pt;width:313.3pt;z-index:-251641856;mso-width-relative:page;mso-height-relative:page;" o:ole="t" filled="f" o:preferrelative="t" stroked="f" coordsize="21600,21600">
            <v:path/>
            <v:fill on="f" focussize="0,0"/>
            <v:stroke on="f"/>
            <v:imagedata r:id="rId17" o:title=""/>
            <o:lock v:ext="edit" aspectratio="t"/>
          </v:shape>
          <o:OLEObject Type="Embed" ProgID="Excel.Chart.8" ShapeID="_x0000_s1032" DrawAspect="Content" ObjectID="_1468075727" r:id="rId16">
            <o:LockedField>false</o:LockedField>
          </o:OLEObject>
        </w:pic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黑体" w:cs="Times New Roman"/>
          <w:spacing w:val="0"/>
          <w:kern w:val="21"/>
          <w:sz w:val="24"/>
          <w:szCs w:val="24"/>
          <w:highlight w:val="none"/>
          <w:u w:val="none"/>
        </w:rPr>
      </w:pPr>
      <w:r>
        <w:rPr>
          <w:rFonts w:hint="eastAsia" w:ascii="Times New Roman" w:hAnsi="Times New Roman" w:eastAsia="黑体" w:cs="Times New Roman"/>
          <w:spacing w:val="0"/>
          <w:kern w:val="21"/>
          <w:sz w:val="24"/>
          <w:szCs w:val="24"/>
          <w:highlight w:val="none"/>
          <w:u w:val="none"/>
          <w:lang w:val="en-US" w:eastAsia="zh-CN"/>
        </w:rPr>
        <w:t>二、</w:t>
      </w:r>
      <w:r>
        <w:rPr>
          <w:rFonts w:hint="default" w:ascii="Times New Roman" w:hAnsi="Times New Roman" w:eastAsia="黑体" w:cs="Times New Roman"/>
          <w:spacing w:val="0"/>
          <w:kern w:val="21"/>
          <w:sz w:val="24"/>
          <w:szCs w:val="24"/>
          <w:highlight w:val="none"/>
          <w:u w:val="none"/>
        </w:rPr>
        <w:t>全</w:t>
      </w:r>
      <w:r>
        <w:rPr>
          <w:rFonts w:hint="eastAsia" w:ascii="Times New Roman" w:hAnsi="Times New Roman" w:eastAsia="黑体" w:cs="Times New Roman"/>
          <w:spacing w:val="0"/>
          <w:kern w:val="21"/>
          <w:sz w:val="24"/>
          <w:szCs w:val="24"/>
          <w:highlight w:val="none"/>
          <w:u w:val="none"/>
          <w:lang w:val="en-US" w:eastAsia="zh-CN"/>
        </w:rPr>
        <w:t>旗</w:t>
      </w:r>
      <w:r>
        <w:rPr>
          <w:rFonts w:hint="default" w:ascii="Times New Roman" w:hAnsi="Times New Roman" w:eastAsia="黑体" w:cs="Times New Roman"/>
          <w:spacing w:val="0"/>
          <w:kern w:val="21"/>
          <w:sz w:val="24"/>
          <w:szCs w:val="24"/>
          <w:highlight w:val="none"/>
          <w:u w:val="none"/>
        </w:rPr>
        <w:t>地方财政总收入完成情况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仿宋_GB2312" w:hAnsi="仿宋_GB2312" w:eastAsia="仿宋_GB2312" w:cs="仿宋_GB2312"/>
          <w:bCs/>
          <w:spacing w:val="0"/>
          <w:kern w:val="21"/>
          <w:sz w:val="24"/>
          <w:szCs w:val="24"/>
          <w:highlight w:val="none"/>
          <w:u w:val="none"/>
          <w:lang w:val="en-US" w:eastAsia="zh-CN"/>
        </w:rPr>
        <w:t>截至2022年8月底，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地方财政总收入累计完成</w:t>
      </w:r>
      <w:r>
        <w:rPr>
          <w:rFonts w:hint="eastAsia" w:ascii="仿宋_GB2312" w:hAnsi="仿宋_GB2312" w:eastAsia="仿宋_GB2312" w:cs="仿宋_GB2312"/>
          <w:spacing w:val="0"/>
          <w:kern w:val="21"/>
          <w:sz w:val="24"/>
          <w:szCs w:val="24"/>
          <w:highlight w:val="none"/>
          <w:u w:val="none"/>
          <w:lang w:val="en-US" w:eastAsia="zh-CN"/>
        </w:rPr>
        <w:t>145.16</w:t>
      </w:r>
      <w:r>
        <w:rPr>
          <w:rFonts w:hint="eastAsia" w:ascii="仿宋_GB2312" w:hAnsi="仿宋_GB2312" w:eastAsia="仿宋_GB2312" w:cs="仿宋_GB2312"/>
          <w:bCs/>
          <w:spacing w:val="0"/>
          <w:kern w:val="21"/>
          <w:sz w:val="24"/>
          <w:szCs w:val="24"/>
          <w:highlight w:val="none"/>
          <w:u w:val="none"/>
        </w:rPr>
        <w:t>亿元、</w:t>
      </w:r>
      <w:r>
        <w:rPr>
          <w:rFonts w:hint="eastAsia" w:ascii="仿宋_GB2312" w:hAnsi="仿宋_GB2312" w:eastAsia="仿宋_GB2312" w:cs="仿宋_GB2312"/>
          <w:bCs/>
          <w:spacing w:val="0"/>
          <w:kern w:val="21"/>
          <w:sz w:val="24"/>
          <w:szCs w:val="24"/>
          <w:highlight w:val="none"/>
          <w:u w:val="none"/>
          <w:lang w:eastAsia="zh-CN"/>
        </w:rPr>
        <w:t>增长</w:t>
      </w:r>
      <w:r>
        <w:rPr>
          <w:rFonts w:hint="eastAsia" w:ascii="仿宋_GB2312" w:hAnsi="仿宋_GB2312" w:eastAsia="仿宋_GB2312" w:cs="仿宋_GB2312"/>
          <w:bCs/>
          <w:spacing w:val="0"/>
          <w:kern w:val="21"/>
          <w:sz w:val="24"/>
          <w:szCs w:val="24"/>
          <w:highlight w:val="none"/>
          <w:u w:val="none"/>
          <w:lang w:val="en-US" w:eastAsia="zh-CN"/>
        </w:rPr>
        <w:t>85.7</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Times New Roman" w:hAnsi="Times New Roman" w:eastAsia="仿宋_GB2312" w:cs="Times New Roman"/>
          <w:bCs/>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分级次：</w:t>
      </w:r>
      <w:r>
        <w:rPr>
          <w:rFonts w:hint="eastAsia" w:ascii="仿宋_GB2312" w:hAnsi="仿宋_GB2312" w:eastAsia="仿宋_GB2312" w:cs="仿宋_GB2312"/>
          <w:bCs/>
          <w:spacing w:val="0"/>
          <w:kern w:val="21"/>
          <w:sz w:val="24"/>
          <w:szCs w:val="24"/>
          <w:highlight w:val="none"/>
          <w:u w:val="none"/>
        </w:rPr>
        <w:t>上划中央税收</w:t>
      </w:r>
      <w:r>
        <w:rPr>
          <w:rFonts w:hint="eastAsia" w:ascii="仿宋_GB2312" w:hAnsi="仿宋_GB2312" w:eastAsia="仿宋_GB2312" w:cs="仿宋_GB2312"/>
          <w:bCs/>
          <w:spacing w:val="0"/>
          <w:kern w:val="21"/>
          <w:sz w:val="24"/>
          <w:szCs w:val="24"/>
          <w:highlight w:val="none"/>
          <w:u w:val="none"/>
          <w:lang w:val="en-US" w:eastAsia="zh-CN"/>
        </w:rPr>
        <w:t>55.99</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增长86.4%</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38.6</w:t>
      </w:r>
      <w:r>
        <w:rPr>
          <w:rFonts w:hint="eastAsia" w:ascii="仿宋_GB2312" w:hAnsi="仿宋_GB2312" w:eastAsia="仿宋_GB2312" w:cs="仿宋_GB2312"/>
          <w:bCs/>
          <w:spacing w:val="0"/>
          <w:kern w:val="21"/>
          <w:sz w:val="24"/>
          <w:szCs w:val="24"/>
          <w:highlight w:val="none"/>
          <w:u w:val="none"/>
        </w:rPr>
        <w:t>%；上划自治区税收</w:t>
      </w:r>
      <w:r>
        <w:rPr>
          <w:rFonts w:hint="eastAsia" w:ascii="仿宋_GB2312" w:hAnsi="仿宋_GB2312" w:eastAsia="仿宋_GB2312" w:cs="仿宋_GB2312"/>
          <w:bCs/>
          <w:spacing w:val="0"/>
          <w:kern w:val="21"/>
          <w:sz w:val="24"/>
          <w:szCs w:val="24"/>
          <w:highlight w:val="none"/>
          <w:u w:val="none"/>
          <w:lang w:val="en-US" w:eastAsia="zh-CN"/>
        </w:rPr>
        <w:t>30.93</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增长92.2</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21.3</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,上划市级税收19.67</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增长99.1</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13.5</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分部门：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税务部门组织收入</w:t>
      </w:r>
      <w:r>
        <w:rPr>
          <w:rFonts w:hint="eastAsia" w:ascii="仿宋_GB2312" w:hAnsi="仿宋_GB2312" w:eastAsia="仿宋_GB2312" w:cs="仿宋_GB2312"/>
          <w:spacing w:val="0"/>
          <w:kern w:val="21"/>
          <w:sz w:val="24"/>
          <w:szCs w:val="24"/>
          <w:highlight w:val="none"/>
          <w:u w:val="none"/>
          <w:lang w:val="en-US" w:eastAsia="zh-CN"/>
        </w:rPr>
        <w:t>6.3</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下降0.9</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4.4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开发区</w:t>
      </w:r>
      <w:r>
        <w:rPr>
          <w:rFonts w:hint="eastAsia" w:ascii="仿宋_GB2312" w:hAnsi="仿宋_GB2312" w:eastAsia="仿宋_GB2312" w:cs="仿宋_GB2312"/>
          <w:spacing w:val="0"/>
          <w:kern w:val="21"/>
          <w:sz w:val="24"/>
          <w:szCs w:val="24"/>
          <w:highlight w:val="none"/>
          <w:u w:val="none"/>
        </w:rPr>
        <w:t>税务部门组织收入</w:t>
      </w:r>
      <w:r>
        <w:rPr>
          <w:rFonts w:hint="eastAsia" w:ascii="仿宋_GB2312" w:hAnsi="仿宋_GB2312" w:eastAsia="仿宋_GB2312" w:cs="仿宋_GB2312"/>
          <w:spacing w:val="0"/>
          <w:kern w:val="21"/>
          <w:sz w:val="24"/>
          <w:szCs w:val="24"/>
          <w:highlight w:val="none"/>
          <w:u w:val="none"/>
          <w:lang w:val="en-US" w:eastAsia="zh-CN"/>
        </w:rPr>
        <w:t>137.67</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增长94.6</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94.8</w:t>
      </w:r>
      <w:r>
        <w:rPr>
          <w:rFonts w:hint="eastAsia" w:ascii="仿宋_GB2312" w:hAnsi="仿宋_GB2312" w:eastAsia="仿宋_GB2312" w:cs="仿宋_GB2312"/>
          <w:spacing w:val="0"/>
          <w:kern w:val="21"/>
          <w:sz w:val="24"/>
          <w:szCs w:val="24"/>
          <w:highlight w:val="none"/>
          <w:u w:val="none"/>
        </w:rPr>
        <w:t>%；财政部门组织收入</w:t>
      </w:r>
      <w:r>
        <w:rPr>
          <w:rFonts w:hint="eastAsia" w:ascii="仿宋_GB2312" w:hAnsi="仿宋_GB2312" w:eastAsia="仿宋_GB2312" w:cs="仿宋_GB2312"/>
          <w:spacing w:val="0"/>
          <w:kern w:val="21"/>
          <w:sz w:val="24"/>
          <w:szCs w:val="24"/>
          <w:highlight w:val="none"/>
          <w:u w:val="none"/>
          <w:lang w:val="en-US" w:eastAsia="zh-CN"/>
        </w:rPr>
        <w:t>1.2</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增长13.2</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0.8</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eastAsia" w:ascii="Times New Roman" w:hAnsi="Times New Roman" w:eastAsia="黑体" w:cs="Times New Roman"/>
          <w:spacing w:val="0"/>
          <w:kern w:val="21"/>
          <w:sz w:val="24"/>
          <w:szCs w:val="24"/>
          <w:highlight w:val="none"/>
          <w:u w:val="none"/>
          <w:lang w:val="en-US" w:eastAsia="zh-CN"/>
        </w:rPr>
        <w:t>三、一般公共预算支出完成情况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仿宋_GB2312" w:hAnsi="仿宋_GB2312" w:eastAsia="仿宋_GB2312" w:cs="仿宋_GB2312"/>
          <w:bCs/>
          <w:spacing w:val="0"/>
          <w:kern w:val="21"/>
          <w:sz w:val="24"/>
          <w:szCs w:val="24"/>
          <w:highlight w:val="none"/>
          <w:u w:val="none"/>
          <w:lang w:val="en-US" w:eastAsia="zh-CN"/>
        </w:rPr>
        <w:t>截至2022年8月底，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一般公共预算支出累计完成</w:t>
      </w:r>
      <w:r>
        <w:rPr>
          <w:rFonts w:hint="eastAsia" w:ascii="仿宋_GB2312" w:hAnsi="仿宋_GB2312" w:eastAsia="仿宋_GB2312" w:cs="仿宋_GB2312"/>
          <w:spacing w:val="0"/>
          <w:kern w:val="21"/>
          <w:sz w:val="24"/>
          <w:szCs w:val="24"/>
          <w:highlight w:val="none"/>
          <w:u w:val="none"/>
          <w:lang w:val="en-US" w:eastAsia="zh-CN"/>
        </w:rPr>
        <w:t>374843万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增长39</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其中</w:t>
      </w:r>
      <w:r>
        <w:rPr>
          <w:rFonts w:hint="eastAsia" w:ascii="仿宋_GB2312" w:hAnsi="仿宋_GB2312" w:eastAsia="仿宋_GB2312" w:cs="仿宋_GB2312"/>
          <w:spacing w:val="0"/>
          <w:kern w:val="21"/>
          <w:sz w:val="24"/>
          <w:szCs w:val="24"/>
          <w:highlight w:val="none"/>
          <w:u w:val="none"/>
        </w:rPr>
        <w:t>民生支出</w:t>
      </w:r>
      <w:r>
        <w:rPr>
          <w:rFonts w:hint="eastAsia" w:ascii="仿宋_GB2312" w:hAnsi="仿宋_GB2312" w:eastAsia="仿宋_GB2312" w:cs="仿宋_GB2312"/>
          <w:spacing w:val="0"/>
          <w:kern w:val="21"/>
          <w:sz w:val="24"/>
          <w:szCs w:val="24"/>
          <w:highlight w:val="none"/>
          <w:u w:val="none"/>
          <w:lang w:val="en-US" w:eastAsia="zh-CN"/>
        </w:rPr>
        <w:t>289141万</w:t>
      </w:r>
      <w:r>
        <w:rPr>
          <w:rFonts w:hint="eastAsia" w:ascii="仿宋_GB2312" w:hAnsi="仿宋_GB2312" w:eastAsia="仿宋_GB2312" w:cs="仿宋_GB2312"/>
          <w:spacing w:val="0"/>
          <w:kern w:val="21"/>
          <w:sz w:val="24"/>
          <w:szCs w:val="24"/>
          <w:highlight w:val="none"/>
          <w:u w:val="none"/>
        </w:rPr>
        <w:t>元，占一般公共预算支出的</w:t>
      </w:r>
      <w:r>
        <w:rPr>
          <w:rFonts w:hint="eastAsia" w:ascii="仿宋_GB2312" w:hAnsi="仿宋_GB2312" w:eastAsia="仿宋_GB2312" w:cs="仿宋_GB2312"/>
          <w:spacing w:val="0"/>
          <w:kern w:val="21"/>
          <w:sz w:val="24"/>
          <w:szCs w:val="24"/>
          <w:highlight w:val="none"/>
          <w:u w:val="none"/>
          <w:lang w:val="en-US" w:eastAsia="zh-CN"/>
        </w:rPr>
        <w:t>77.1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eastAsia" w:ascii="仿宋_GB2312" w:hAnsi="仿宋_GB2312" w:eastAsia="仿宋_GB2312" w:cs="仿宋_GB2312"/>
          <w:spacing w:val="-2"/>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w:t>
      </w:r>
      <w:r>
        <w:rPr>
          <w:rFonts w:hint="eastAsia" w:ascii="Times New Roman" w:hAnsi="Times New Roman" w:eastAsia="黑体" w:cs="Times New Roman"/>
          <w:spacing w:val="0"/>
          <w:kern w:val="21"/>
          <w:sz w:val="24"/>
          <w:szCs w:val="24"/>
          <w:highlight w:val="none"/>
          <w:u w:val="none"/>
          <w:lang w:val="en-US" w:eastAsia="zh-CN"/>
        </w:rPr>
        <w:t>主要项目</w:t>
      </w:r>
      <w:r>
        <w:rPr>
          <w:rFonts w:hint="default" w:ascii="Times New Roman" w:hAnsi="Times New Roman" w:eastAsia="黑体" w:cs="Times New Roman"/>
          <w:spacing w:val="0"/>
          <w:kern w:val="21"/>
          <w:sz w:val="24"/>
          <w:szCs w:val="24"/>
          <w:highlight w:val="none"/>
          <w:u w:val="none"/>
        </w:rPr>
        <w:t>：</w:t>
      </w:r>
      <w:r>
        <w:rPr>
          <w:rFonts w:hint="eastAsia" w:ascii="仿宋_GB2312" w:hAnsi="仿宋_GB2312" w:eastAsia="仿宋_GB2312" w:cs="仿宋_GB2312"/>
          <w:b/>
          <w:bCs/>
          <w:spacing w:val="0"/>
          <w:kern w:val="21"/>
          <w:sz w:val="24"/>
          <w:szCs w:val="24"/>
          <w:highlight w:val="none"/>
          <w:u w:val="none"/>
          <w:lang w:val="en-US" w:eastAsia="zh-CN"/>
        </w:rPr>
        <w:t>公共安全支出</w:t>
      </w:r>
      <w:r>
        <w:rPr>
          <w:rFonts w:hint="eastAsia" w:ascii="仿宋_GB2312" w:hAnsi="仿宋_GB2312" w:eastAsia="仿宋_GB2312" w:cs="仿宋_GB2312"/>
          <w:spacing w:val="0"/>
          <w:kern w:val="21"/>
          <w:sz w:val="24"/>
          <w:szCs w:val="24"/>
          <w:highlight w:val="none"/>
          <w:u w:val="none"/>
          <w:lang w:val="en-US" w:eastAsia="zh-CN"/>
        </w:rPr>
        <w:t>11248万元，增长40.3%。</w:t>
      </w:r>
      <w:r>
        <w:rPr>
          <w:rFonts w:hint="eastAsia" w:ascii="仿宋_GB2312" w:hAnsi="仿宋_GB2312" w:eastAsia="仿宋_GB2312" w:cs="仿宋_GB2312"/>
          <w:b/>
          <w:bCs/>
          <w:spacing w:val="0"/>
          <w:kern w:val="21"/>
          <w:sz w:val="24"/>
          <w:szCs w:val="24"/>
          <w:highlight w:val="none"/>
          <w:u w:val="none"/>
          <w:lang w:val="en-US" w:eastAsia="zh-CN"/>
        </w:rPr>
        <w:t>教育支出</w:t>
      </w:r>
      <w:r>
        <w:rPr>
          <w:rFonts w:hint="eastAsia" w:ascii="仿宋_GB2312" w:hAnsi="仿宋_GB2312" w:eastAsia="仿宋_GB2312" w:cs="仿宋_GB2312"/>
          <w:spacing w:val="0"/>
          <w:kern w:val="21"/>
          <w:sz w:val="24"/>
          <w:szCs w:val="24"/>
          <w:highlight w:val="none"/>
          <w:u w:val="none"/>
          <w:lang w:val="en-US" w:eastAsia="zh-CN"/>
        </w:rPr>
        <w:t>38712万元，增长48.1%，按时拨付了各项教育资金。</w:t>
      </w:r>
      <w:r>
        <w:rPr>
          <w:rFonts w:hint="eastAsia" w:ascii="仿宋_GB2312" w:hAnsi="仿宋_GB2312" w:eastAsia="仿宋_GB2312" w:cs="仿宋_GB2312"/>
          <w:b/>
          <w:bCs/>
          <w:spacing w:val="0"/>
          <w:kern w:val="21"/>
          <w:sz w:val="24"/>
          <w:szCs w:val="24"/>
          <w:highlight w:val="none"/>
          <w:u w:val="none"/>
          <w:lang w:val="en-US" w:eastAsia="zh-CN"/>
        </w:rPr>
        <w:t>科技支出</w:t>
      </w:r>
      <w:r>
        <w:rPr>
          <w:rFonts w:hint="eastAsia" w:ascii="仿宋_GB2312" w:hAnsi="仿宋_GB2312" w:eastAsia="仿宋_GB2312" w:cs="仿宋_GB2312"/>
          <w:spacing w:val="0"/>
          <w:kern w:val="21"/>
          <w:sz w:val="24"/>
          <w:szCs w:val="24"/>
          <w:highlight w:val="none"/>
          <w:u w:val="none"/>
          <w:lang w:val="en-US" w:eastAsia="zh-CN"/>
        </w:rPr>
        <w:t>4782万元，增长89.9%，主要是兑付了科技创新驱动发展战略专项结转资金。</w:t>
      </w:r>
      <w:r>
        <w:rPr>
          <w:rFonts w:hint="eastAsia" w:ascii="仿宋_GB2312" w:hAnsi="仿宋_GB2312" w:eastAsia="仿宋_GB2312" w:cs="仿宋_GB2312"/>
          <w:b/>
          <w:bCs/>
          <w:spacing w:val="0"/>
          <w:kern w:val="21"/>
          <w:sz w:val="24"/>
          <w:szCs w:val="24"/>
          <w:highlight w:val="none"/>
          <w:u w:val="none"/>
          <w:lang w:val="en-US" w:eastAsia="zh-CN"/>
        </w:rPr>
        <w:t>文化旅游体育与传媒支出</w:t>
      </w:r>
      <w:r>
        <w:rPr>
          <w:rFonts w:hint="eastAsia" w:ascii="仿宋_GB2312" w:hAnsi="仿宋_GB2312" w:eastAsia="仿宋_GB2312" w:cs="仿宋_GB2312"/>
          <w:b w:val="0"/>
          <w:bCs w:val="0"/>
          <w:spacing w:val="0"/>
          <w:kern w:val="21"/>
          <w:sz w:val="24"/>
          <w:szCs w:val="24"/>
          <w:highlight w:val="none"/>
          <w:u w:val="none"/>
          <w:lang w:val="en-US" w:eastAsia="zh-CN"/>
        </w:rPr>
        <w:t>6294</w:t>
      </w:r>
      <w:r>
        <w:rPr>
          <w:rFonts w:hint="eastAsia" w:ascii="仿宋_GB2312" w:hAnsi="仿宋_GB2312" w:eastAsia="仿宋_GB2312" w:cs="仿宋_GB2312"/>
          <w:spacing w:val="0"/>
          <w:kern w:val="21"/>
          <w:sz w:val="24"/>
          <w:szCs w:val="24"/>
          <w:highlight w:val="none"/>
          <w:u w:val="none"/>
          <w:lang w:val="en-US" w:eastAsia="zh-CN"/>
        </w:rPr>
        <w:t>万元，下降7.3%。</w:t>
      </w:r>
      <w:r>
        <w:rPr>
          <w:rFonts w:hint="eastAsia" w:ascii="仿宋_GB2312" w:hAnsi="仿宋_GB2312" w:eastAsia="仿宋_GB2312" w:cs="仿宋_GB2312"/>
          <w:b/>
          <w:bCs/>
          <w:spacing w:val="0"/>
          <w:kern w:val="21"/>
          <w:sz w:val="24"/>
          <w:szCs w:val="24"/>
          <w:highlight w:val="none"/>
          <w:u w:val="none"/>
          <w:lang w:val="en-US" w:eastAsia="zh-CN"/>
        </w:rPr>
        <w:t>社会保障和就业支出</w:t>
      </w:r>
      <w:r>
        <w:rPr>
          <w:rFonts w:hint="eastAsia" w:ascii="仿宋_GB2312" w:hAnsi="仿宋_GB2312" w:eastAsia="仿宋_GB2312" w:cs="仿宋_GB2312"/>
          <w:spacing w:val="0"/>
          <w:kern w:val="21"/>
          <w:sz w:val="24"/>
          <w:szCs w:val="24"/>
          <w:highlight w:val="none"/>
          <w:u w:val="none"/>
          <w:lang w:val="en-US" w:eastAsia="zh-CN"/>
        </w:rPr>
        <w:t>31676万元，增长25.5%，按时拨付了各项社保民生资金。</w:t>
      </w:r>
      <w:r>
        <w:rPr>
          <w:rFonts w:hint="eastAsia" w:ascii="仿宋_GB2312" w:hAnsi="仿宋_GB2312" w:eastAsia="仿宋_GB2312" w:cs="仿宋_GB2312"/>
          <w:b/>
          <w:bCs/>
          <w:spacing w:val="0"/>
          <w:kern w:val="21"/>
          <w:sz w:val="24"/>
          <w:szCs w:val="24"/>
          <w:highlight w:val="none"/>
          <w:u w:val="none"/>
          <w:lang w:val="en-US" w:eastAsia="zh-CN"/>
        </w:rPr>
        <w:t>卫生健康支出</w:t>
      </w:r>
      <w:r>
        <w:rPr>
          <w:rFonts w:hint="eastAsia" w:ascii="仿宋_GB2312" w:hAnsi="仿宋_GB2312" w:eastAsia="仿宋_GB2312" w:cs="仿宋_GB2312"/>
          <w:spacing w:val="0"/>
          <w:kern w:val="21"/>
          <w:sz w:val="24"/>
          <w:szCs w:val="24"/>
          <w:highlight w:val="none"/>
          <w:u w:val="none"/>
          <w:lang w:val="en-US" w:eastAsia="zh-CN"/>
        </w:rPr>
        <w:t>22367万元，增长55.1%，主要是兑付了政务服务中心提升改造项目、疾控中心建设项目等资金。</w:t>
      </w:r>
      <w:r>
        <w:rPr>
          <w:rFonts w:hint="eastAsia" w:ascii="仿宋_GB2312" w:hAnsi="仿宋_GB2312" w:eastAsia="仿宋_GB2312" w:cs="仿宋_GB2312"/>
          <w:b/>
          <w:bCs/>
          <w:spacing w:val="0"/>
          <w:kern w:val="21"/>
          <w:sz w:val="24"/>
          <w:szCs w:val="24"/>
          <w:highlight w:val="none"/>
          <w:u w:val="none"/>
          <w:lang w:val="en-US" w:eastAsia="zh-CN"/>
        </w:rPr>
        <w:t>节能环保支出</w:t>
      </w:r>
      <w:r>
        <w:rPr>
          <w:rFonts w:hint="eastAsia" w:ascii="仿宋_GB2312" w:hAnsi="仿宋_GB2312" w:eastAsia="仿宋_GB2312" w:cs="仿宋_GB2312"/>
          <w:b w:val="0"/>
          <w:bCs w:val="0"/>
          <w:spacing w:val="0"/>
          <w:kern w:val="21"/>
          <w:sz w:val="24"/>
          <w:szCs w:val="24"/>
          <w:highlight w:val="none"/>
          <w:u w:val="none"/>
          <w:lang w:val="en-US" w:eastAsia="zh-CN"/>
        </w:rPr>
        <w:t>22034</w:t>
      </w:r>
      <w:r>
        <w:rPr>
          <w:rFonts w:hint="eastAsia" w:ascii="仿宋_GB2312" w:hAnsi="仿宋_GB2312" w:eastAsia="仿宋_GB2312" w:cs="仿宋_GB2312"/>
          <w:spacing w:val="0"/>
          <w:kern w:val="21"/>
          <w:sz w:val="24"/>
          <w:szCs w:val="24"/>
          <w:highlight w:val="none"/>
          <w:u w:val="none"/>
          <w:lang w:val="en-US" w:eastAsia="zh-CN"/>
        </w:rPr>
        <w:t>万元，增长46.5%，主要是兑付了退出自然保护区企业的补偿款。</w:t>
      </w:r>
      <w:r>
        <w:rPr>
          <w:rFonts w:hint="eastAsia" w:ascii="仿宋_GB2312" w:hAnsi="仿宋_GB2312" w:eastAsia="仿宋_GB2312" w:cs="仿宋_GB2312"/>
          <w:b/>
          <w:bCs/>
          <w:spacing w:val="0"/>
          <w:kern w:val="21"/>
          <w:sz w:val="24"/>
          <w:szCs w:val="24"/>
          <w:highlight w:val="none"/>
          <w:u w:val="none"/>
          <w:lang w:val="en-US" w:eastAsia="zh-CN"/>
        </w:rPr>
        <w:t>城乡社区支出</w:t>
      </w:r>
      <w:r>
        <w:rPr>
          <w:rFonts w:hint="eastAsia" w:ascii="仿宋_GB2312" w:hAnsi="仿宋_GB2312" w:eastAsia="仿宋_GB2312" w:cs="仿宋_GB2312"/>
          <w:spacing w:val="0"/>
          <w:kern w:val="21"/>
          <w:sz w:val="24"/>
          <w:szCs w:val="24"/>
          <w:highlight w:val="none"/>
          <w:u w:val="none"/>
          <w:lang w:val="en-US" w:eastAsia="zh-CN"/>
        </w:rPr>
        <w:t>53686万元，增长35.7</w:t>
      </w:r>
      <w:r>
        <w:rPr>
          <w:rFonts w:hint="eastAsia" w:ascii="仿宋_GB2312" w:hAnsi="仿宋_GB2312" w:eastAsia="仿宋_GB2312" w:cs="仿宋_GB2312"/>
          <w:color w:val="auto"/>
          <w:spacing w:val="0"/>
          <w:kern w:val="21"/>
          <w:sz w:val="24"/>
          <w:szCs w:val="24"/>
          <w:highlight w:val="none"/>
          <w:u w:val="none"/>
          <w:lang w:val="en-US" w:eastAsia="zh-CN"/>
        </w:rPr>
        <w:t>%，</w:t>
      </w:r>
      <w:r>
        <w:rPr>
          <w:rFonts w:hint="eastAsia" w:ascii="仿宋_GB2312" w:hAnsi="仿宋_GB2312" w:eastAsia="仿宋_GB2312" w:cs="仿宋_GB2312"/>
          <w:color w:val="auto"/>
          <w:spacing w:val="-2"/>
          <w:kern w:val="21"/>
          <w:sz w:val="24"/>
          <w:szCs w:val="24"/>
          <w:highlight w:val="none"/>
          <w:u w:val="none"/>
          <w:lang w:val="en-US" w:eastAsia="zh-CN"/>
        </w:rPr>
        <w:t>主要是兑付了供热公司煤价上涨补贴及乌兰镇市政道路附属设施综合改造</w:t>
      </w:r>
      <w:r>
        <w:rPr>
          <w:rFonts w:hint="eastAsia" w:ascii="仿宋" w:hAnsi="仿宋" w:eastAsia="仿宋" w:cs="仿宋"/>
          <w:b w:val="0"/>
          <w:i w:val="0"/>
          <w:caps w:val="0"/>
          <w:color w:val="000000"/>
          <w:spacing w:val="0"/>
          <w:sz w:val="24"/>
          <w:szCs w:val="24"/>
          <w:highlight w:val="none"/>
          <w:lang w:val="en-US" w:eastAsia="zh-CN"/>
        </w:rPr>
        <w:t>资金</w:t>
      </w:r>
      <w:r>
        <w:rPr>
          <w:rFonts w:hint="eastAsia" w:ascii="仿宋" w:hAnsi="仿宋" w:eastAsia="仿宋" w:cs="仿宋"/>
          <w:b w:val="0"/>
          <w:i w:val="0"/>
          <w:caps w:val="0"/>
          <w:color w:val="000000"/>
          <w:spacing w:val="0"/>
          <w:sz w:val="24"/>
          <w:szCs w:val="24"/>
          <w:highlight w:val="none"/>
          <w:lang w:eastAsia="zh-CN"/>
        </w:rPr>
        <w:t>。</w:t>
      </w:r>
      <w:r>
        <w:rPr>
          <w:rFonts w:hint="eastAsia" w:ascii="仿宋_GB2312" w:hAnsi="仿宋_GB2312" w:eastAsia="仿宋_GB2312" w:cs="仿宋_GB2312"/>
          <w:b/>
          <w:bCs/>
          <w:spacing w:val="-2"/>
          <w:kern w:val="21"/>
          <w:sz w:val="24"/>
          <w:szCs w:val="24"/>
          <w:highlight w:val="none"/>
          <w:u w:val="none"/>
          <w:lang w:val="en-US" w:eastAsia="zh-CN"/>
        </w:rPr>
        <w:t>农林水支出</w:t>
      </w:r>
      <w:r>
        <w:rPr>
          <w:rFonts w:hint="eastAsia" w:ascii="仿宋_GB2312" w:hAnsi="仿宋_GB2312" w:eastAsia="仿宋_GB2312" w:cs="仿宋_GB2312"/>
          <w:b w:val="0"/>
          <w:bCs w:val="0"/>
          <w:spacing w:val="-2"/>
          <w:kern w:val="21"/>
          <w:sz w:val="24"/>
          <w:szCs w:val="24"/>
          <w:highlight w:val="none"/>
          <w:u w:val="none"/>
          <w:lang w:val="en-US" w:eastAsia="zh-CN"/>
        </w:rPr>
        <w:t>77464</w:t>
      </w:r>
      <w:r>
        <w:rPr>
          <w:rFonts w:hint="eastAsia" w:ascii="仿宋_GB2312" w:hAnsi="仿宋_GB2312" w:eastAsia="仿宋_GB2312" w:cs="仿宋_GB2312"/>
          <w:spacing w:val="-2"/>
          <w:kern w:val="21"/>
          <w:sz w:val="24"/>
          <w:szCs w:val="24"/>
          <w:highlight w:val="none"/>
          <w:u w:val="none"/>
          <w:lang w:val="en-US" w:eastAsia="zh-CN"/>
        </w:rPr>
        <w:t>万元，增长165.4%，</w:t>
      </w:r>
      <w:r>
        <w:rPr>
          <w:rFonts w:hint="eastAsia" w:ascii="仿宋" w:hAnsi="仿宋" w:eastAsia="仿宋" w:cs="仿宋"/>
          <w:spacing w:val="-2"/>
          <w:kern w:val="21"/>
          <w:sz w:val="24"/>
          <w:szCs w:val="24"/>
          <w:highlight w:val="none"/>
          <w:u w:val="none"/>
          <w:lang w:val="en-US" w:eastAsia="zh-CN"/>
        </w:rPr>
        <w:t>主要是兑付了草原生态保护补助奖励</w:t>
      </w:r>
      <w:r>
        <w:rPr>
          <w:rFonts w:hint="eastAsia" w:ascii="仿宋" w:hAnsi="仿宋" w:eastAsia="仿宋" w:cs="仿宋"/>
          <w:b w:val="0"/>
          <w:i w:val="0"/>
          <w:caps w:val="0"/>
          <w:color w:val="000000"/>
          <w:spacing w:val="0"/>
          <w:sz w:val="24"/>
          <w:szCs w:val="24"/>
          <w:highlight w:val="none"/>
        </w:rPr>
        <w:t>资金</w:t>
      </w:r>
      <w:r>
        <w:rPr>
          <w:rFonts w:hint="eastAsia" w:ascii="仿宋" w:hAnsi="仿宋" w:eastAsia="仿宋" w:cs="仿宋"/>
          <w:b w:val="0"/>
          <w:i w:val="0"/>
          <w:caps w:val="0"/>
          <w:color w:val="000000"/>
          <w:spacing w:val="0"/>
          <w:sz w:val="24"/>
          <w:szCs w:val="24"/>
          <w:lang w:eastAsia="zh-CN"/>
        </w:rPr>
        <w:t>。</w:t>
      </w:r>
      <w:r>
        <w:rPr>
          <w:rFonts w:hint="eastAsia" w:ascii="仿宋_GB2312" w:hAnsi="仿宋_GB2312" w:eastAsia="仿宋_GB2312" w:cs="仿宋_GB2312"/>
          <w:b/>
          <w:bCs/>
          <w:spacing w:val="-2"/>
          <w:kern w:val="21"/>
          <w:sz w:val="24"/>
          <w:szCs w:val="24"/>
          <w:highlight w:val="none"/>
          <w:u w:val="none"/>
          <w:lang w:val="en-US" w:eastAsia="zh-CN"/>
        </w:rPr>
        <w:t>交通运输支出</w:t>
      </w:r>
      <w:r>
        <w:rPr>
          <w:rFonts w:hint="eastAsia" w:ascii="仿宋_GB2312" w:hAnsi="仿宋_GB2312" w:eastAsia="仿宋_GB2312" w:cs="仿宋_GB2312"/>
          <w:spacing w:val="-2"/>
          <w:kern w:val="21"/>
          <w:sz w:val="24"/>
          <w:szCs w:val="24"/>
          <w:highlight w:val="none"/>
          <w:u w:val="none"/>
          <w:lang w:val="en-US" w:eastAsia="zh-CN"/>
        </w:rPr>
        <w:t>9451万元，增长19.3%，</w:t>
      </w:r>
      <w:r>
        <w:rPr>
          <w:rFonts w:hint="eastAsia" w:ascii="仿宋_GB2312" w:hAnsi="仿宋_GB2312" w:eastAsia="仿宋_GB2312" w:cs="仿宋_GB2312"/>
          <w:b w:val="0"/>
          <w:bCs w:val="0"/>
          <w:spacing w:val="-2"/>
          <w:kern w:val="21"/>
          <w:sz w:val="24"/>
          <w:szCs w:val="24"/>
          <w:highlight w:val="none"/>
          <w:u w:val="none"/>
          <w:lang w:val="en-US" w:eastAsia="zh-CN"/>
        </w:rPr>
        <w:t>主要是兑付了通用机场专项资金及棋碱线收购款</w:t>
      </w:r>
      <w:r>
        <w:rPr>
          <w:rFonts w:hint="eastAsia" w:ascii="仿宋_GB2312" w:hAnsi="仿宋_GB2312" w:eastAsia="仿宋_GB2312" w:cs="仿宋_GB2312"/>
          <w:spacing w:val="-2"/>
          <w:kern w:val="21"/>
          <w:sz w:val="24"/>
          <w:szCs w:val="24"/>
          <w:highlight w:val="none"/>
          <w:u w:val="none"/>
          <w:lang w:val="en-US" w:eastAsia="zh-CN"/>
        </w:rPr>
        <w:t>。</w:t>
      </w:r>
      <w:r>
        <w:rPr>
          <w:rFonts w:hint="eastAsia" w:ascii="仿宋_GB2312" w:hAnsi="仿宋_GB2312" w:eastAsia="仿宋_GB2312" w:cs="仿宋_GB2312"/>
          <w:b/>
          <w:bCs/>
          <w:spacing w:val="-2"/>
          <w:kern w:val="21"/>
          <w:sz w:val="24"/>
          <w:szCs w:val="24"/>
          <w:highlight w:val="none"/>
          <w:u w:val="none"/>
          <w:lang w:val="en-US" w:eastAsia="zh-CN"/>
        </w:rPr>
        <w:t>住房保障支出</w:t>
      </w:r>
      <w:r>
        <w:rPr>
          <w:rFonts w:hint="eastAsia" w:ascii="仿宋_GB2312" w:hAnsi="仿宋_GB2312" w:eastAsia="仿宋_GB2312" w:cs="仿宋_GB2312"/>
          <w:b w:val="0"/>
          <w:bCs w:val="0"/>
          <w:spacing w:val="-2"/>
          <w:kern w:val="21"/>
          <w:sz w:val="24"/>
          <w:szCs w:val="24"/>
          <w:highlight w:val="none"/>
          <w:u w:val="none"/>
          <w:lang w:val="en-US" w:eastAsia="zh-CN"/>
        </w:rPr>
        <w:t>14877万元，增长211.7%，主要是兑付了棚户区改造安置房源购房款。</w:t>
      </w:r>
      <w:r>
        <w:rPr>
          <w:rFonts w:hint="eastAsia" w:ascii="仿宋_GB2312" w:hAnsi="仿宋_GB2312" w:eastAsia="仿宋_GB2312" w:cs="仿宋_GB2312"/>
          <w:b/>
          <w:bCs/>
          <w:spacing w:val="-2"/>
          <w:kern w:val="21"/>
          <w:sz w:val="24"/>
          <w:szCs w:val="24"/>
          <w:highlight w:val="none"/>
          <w:u w:val="none"/>
          <w:lang w:val="en-US" w:eastAsia="zh-CN"/>
        </w:rPr>
        <w:t>债务付息支出</w:t>
      </w:r>
      <w:r>
        <w:rPr>
          <w:rFonts w:hint="eastAsia" w:ascii="仿宋_GB2312" w:hAnsi="仿宋_GB2312" w:eastAsia="仿宋_GB2312" w:cs="仿宋_GB2312"/>
          <w:spacing w:val="-2"/>
          <w:kern w:val="21"/>
          <w:sz w:val="24"/>
          <w:szCs w:val="24"/>
          <w:highlight w:val="none"/>
          <w:u w:val="none"/>
          <w:lang w:val="en-US" w:eastAsia="zh-CN"/>
        </w:rPr>
        <w:t>12008万元，增长10.3%。</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firstLine="480" w:firstLineChars="200"/>
        <w:jc w:val="center"/>
        <w:textAlignment w:val="auto"/>
        <w:outlineLvl w:val="9"/>
        <w:rPr>
          <w:rFonts w:hint="default" w:ascii="Times New Roman" w:hAnsi="Times New Roman" w:eastAsia="楷体_GB2312" w:cs="Times New Roman"/>
          <w:spacing w:val="0"/>
          <w:kern w:val="21"/>
          <w:sz w:val="24"/>
          <w:szCs w:val="24"/>
          <w:u w:val="none"/>
        </w:rPr>
      </w:pPr>
      <w:r>
        <w:rPr>
          <w:rFonts w:hint="default" w:ascii="Times New Roman" w:hAnsi="Times New Roman" w:eastAsia="楷体_GB2312" w:cs="Times New Roman"/>
          <w:spacing w:val="0"/>
          <w:kern w:val="21"/>
          <w:sz w:val="24"/>
          <w:szCs w:val="24"/>
          <w:u w:val="none"/>
        </w:rPr>
        <w:t>（</w:t>
      </w:r>
      <w:r>
        <w:rPr>
          <w:rFonts w:hint="eastAsia" w:ascii="Times New Roman" w:hAnsi="Times New Roman" w:eastAsia="楷体_GB2312" w:cs="Times New Roman"/>
          <w:spacing w:val="0"/>
          <w:kern w:val="21"/>
          <w:sz w:val="24"/>
          <w:szCs w:val="24"/>
          <w:u w:val="none"/>
          <w:lang w:val="en-US" w:eastAsia="zh-CN"/>
        </w:rPr>
        <w:t>一般公共预算支出</w:t>
      </w:r>
      <w:r>
        <w:rPr>
          <w:rFonts w:hint="default" w:ascii="Times New Roman" w:hAnsi="Times New Roman" w:eastAsia="楷体_GB2312" w:cs="Times New Roman"/>
          <w:spacing w:val="0"/>
          <w:kern w:val="21"/>
          <w:sz w:val="24"/>
          <w:szCs w:val="24"/>
          <w:u w:val="none"/>
        </w:rPr>
        <w:t>分项目情况见下图）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r>
        <w:rPr>
          <w:rFonts w:hint="eastAsia"/>
          <w:spacing w:val="0"/>
          <w:kern w:val="21"/>
          <w:lang w:eastAsia="zh-CN"/>
        </w:rPr>
        <w:drawing>
          <wp:anchor distT="0" distB="0" distL="114300" distR="114300" simplePos="0" relativeHeight="251675648" behindDoc="1" locked="0" layoutInCell="1" allowOverlap="1">
            <wp:simplePos x="0" y="0"/>
            <wp:positionH relativeFrom="column">
              <wp:posOffset>-34290</wp:posOffset>
            </wp:positionH>
            <wp:positionV relativeFrom="paragraph">
              <wp:posOffset>59690</wp:posOffset>
            </wp:positionV>
            <wp:extent cx="4293870" cy="2634615"/>
            <wp:effectExtent l="4445" t="4445" r="6985" b="889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outlineLvl w:val="9"/>
        <w:rPr>
          <w:rFonts w:hint="default"/>
          <w:spacing w:val="0"/>
          <w:kern w:val="21"/>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eastAsia" w:ascii="Times New Roman" w:hAnsi="Times New Roman" w:eastAsia="黑体" w:cs="Times New Roman"/>
          <w:spacing w:val="0"/>
          <w:kern w:val="21"/>
          <w:sz w:val="24"/>
          <w:szCs w:val="24"/>
          <w:highlight w:val="none"/>
          <w:u w:val="none"/>
          <w:lang w:val="en-US" w:eastAsia="zh-CN"/>
        </w:rPr>
        <w:t>四、政府性基金收支完成情况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bCs/>
          <w:spacing w:val="0"/>
          <w:kern w:val="21"/>
          <w:sz w:val="24"/>
          <w:szCs w:val="24"/>
          <w:highlight w:val="none"/>
          <w:u w:val="none"/>
          <w:lang w:val="en-US" w:eastAsia="zh-CN"/>
        </w:rPr>
        <w:t>截至2022年8月底，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政府性基金预算收入累计完成</w:t>
      </w:r>
      <w:r>
        <w:rPr>
          <w:rFonts w:hint="eastAsia" w:ascii="仿宋_GB2312" w:hAnsi="仿宋_GB2312" w:eastAsia="仿宋_GB2312" w:cs="仿宋_GB2312"/>
          <w:spacing w:val="0"/>
          <w:kern w:val="21"/>
          <w:sz w:val="24"/>
          <w:szCs w:val="24"/>
          <w:highlight w:val="none"/>
          <w:u w:val="none"/>
          <w:lang w:val="en-US" w:eastAsia="zh-CN"/>
        </w:rPr>
        <w:t>19470万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下降16.8</w:t>
      </w:r>
      <w:r>
        <w:rPr>
          <w:rFonts w:hint="eastAsia" w:ascii="仿宋_GB2312" w:hAnsi="仿宋_GB2312" w:eastAsia="仿宋_GB2312" w:cs="仿宋_GB2312"/>
          <w:spacing w:val="0"/>
          <w:kern w:val="21"/>
          <w:sz w:val="24"/>
          <w:szCs w:val="24"/>
          <w:highlight w:val="none"/>
          <w:u w:val="none"/>
        </w:rPr>
        <w:t>%，其中国有土地使用权出让收入</w:t>
      </w:r>
      <w:r>
        <w:rPr>
          <w:rFonts w:hint="eastAsia" w:ascii="仿宋_GB2312" w:hAnsi="仿宋_GB2312" w:eastAsia="仿宋_GB2312" w:cs="仿宋_GB2312"/>
          <w:spacing w:val="0"/>
          <w:kern w:val="21"/>
          <w:sz w:val="24"/>
          <w:szCs w:val="24"/>
          <w:highlight w:val="none"/>
          <w:u w:val="none"/>
          <w:lang w:val="en-US" w:eastAsia="zh-CN"/>
        </w:rPr>
        <w:t>18477万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下降19.3%</w:t>
      </w:r>
      <w:r>
        <w:rPr>
          <w:rFonts w:hint="eastAsia" w:ascii="仿宋_GB2312" w:hAnsi="仿宋_GB2312" w:eastAsia="仿宋_GB2312" w:cs="仿宋_GB2312"/>
          <w:spacing w:val="0"/>
          <w:kern w:val="21"/>
          <w:sz w:val="24"/>
          <w:szCs w:val="24"/>
          <w:highlight w:val="none"/>
          <w:u w:val="none"/>
        </w:rPr>
        <w:t>；政府性基金预算支出累计完成</w:t>
      </w:r>
      <w:r>
        <w:rPr>
          <w:rFonts w:hint="eastAsia" w:ascii="仿宋_GB2312" w:hAnsi="仿宋_GB2312" w:eastAsia="仿宋_GB2312" w:cs="仿宋_GB2312"/>
          <w:spacing w:val="0"/>
          <w:kern w:val="21"/>
          <w:sz w:val="24"/>
          <w:szCs w:val="24"/>
          <w:highlight w:val="none"/>
          <w:u w:val="none"/>
          <w:lang w:val="en-US" w:eastAsia="zh-CN"/>
        </w:rPr>
        <w:t>17194万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增长9.7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附表：1.2022年1-8月鄂托克旗财政收入分项目执行情况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1200" w:firstLineChars="5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2.2022年1-8月鄂托克旗财政支出分项目执行情况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1200" w:firstLineChars="500"/>
        <w:jc w:val="both"/>
        <w:textAlignment w:val="auto"/>
        <w:outlineLvl w:val="9"/>
        <w:rPr>
          <w:rFonts w:hint="eastAsia" w:ascii="仿宋_GB2312" w:hAnsi="仿宋_GB2312" w:eastAsia="仿宋_GB2312" w:cs="仿宋_GB2312"/>
          <w:spacing w:val="-3"/>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3.</w:t>
      </w:r>
      <w:r>
        <w:rPr>
          <w:rFonts w:hint="eastAsia" w:ascii="仿宋_GB2312" w:hAnsi="仿宋_GB2312" w:eastAsia="仿宋_GB2312" w:cs="仿宋_GB2312"/>
          <w:spacing w:val="-3"/>
          <w:kern w:val="21"/>
          <w:sz w:val="24"/>
          <w:szCs w:val="24"/>
          <w:highlight w:val="none"/>
          <w:u w:val="none"/>
          <w:lang w:val="en-US" w:eastAsia="zh-CN"/>
        </w:rPr>
        <w:t>2022年1-8月鄂托克旗财政收入重点税源纳税情况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1200" w:firstLineChars="500"/>
        <w:jc w:val="both"/>
        <w:textAlignment w:val="auto"/>
        <w:outlineLvl w:val="9"/>
        <w:rPr>
          <w:rFonts w:hint="eastAsia" w:ascii="仿宋_GB2312" w:hAnsi="仿宋_GB2312" w:eastAsia="仿宋_GB2312" w:cs="仿宋_GB2312"/>
          <w:spacing w:val="-4"/>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4.</w:t>
      </w:r>
      <w:r>
        <w:rPr>
          <w:rFonts w:hint="eastAsia" w:ascii="仿宋_GB2312" w:hAnsi="仿宋_GB2312" w:eastAsia="仿宋_GB2312" w:cs="仿宋_GB2312"/>
          <w:spacing w:val="-4"/>
          <w:kern w:val="21"/>
          <w:sz w:val="24"/>
          <w:szCs w:val="24"/>
          <w:highlight w:val="none"/>
          <w:u w:val="none"/>
          <w:lang w:val="en-US" w:eastAsia="zh-CN"/>
        </w:rPr>
        <w:t>2022年1-8月鄂托克旗工业园区财政收支完成情况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Times New Roman" w:hAnsi="Times New Roman" w:eastAsia="黑体" w:cs="Times New Roman"/>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24"/>
          <w:szCs w:val="24"/>
          <w:highlight w:val="none"/>
          <w:u w:val="none"/>
          <w:lang w:val="en-US" w:eastAsia="zh-CN"/>
        </w:rPr>
      </w:pPr>
    </w:p>
    <w:tbl>
      <w:tblPr>
        <w:tblStyle w:val="10"/>
        <w:tblpPr w:leftFromText="180" w:rightFromText="180" w:vertAnchor="text" w:horzAnchor="page" w:tblpXSpec="center" w:tblpY="101"/>
        <w:tblOverlap w:val="never"/>
        <w:tblW w:w="7066"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144"/>
        <w:gridCol w:w="1105"/>
        <w:gridCol w:w="1044"/>
        <w:gridCol w:w="944"/>
        <w:gridCol w:w="15"/>
        <w:gridCol w:w="1109"/>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4"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2022年1-8月鄂托克旗财政收入分项目执行情况(一)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185"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39" w:hRule="atLeas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项   目</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val="0"/>
                <w:color w:val="000000"/>
                <w:w w:val="100"/>
                <w:sz w:val="22"/>
                <w:szCs w:val="22"/>
                <w:lang w:val="en-US"/>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60" w:hRule="atLeas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w w:val="90"/>
                <w:kern w:val="0"/>
                <w:sz w:val="22"/>
                <w:szCs w:val="22"/>
                <w:u w:val="none"/>
                <w:lang w:val="en-US" w:eastAsia="zh-CN" w:bidi="ar"/>
              </w:rPr>
              <w:t>地方财政总收入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62697</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1451628</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781607</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670021</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85.7%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b/>
                <w:bCs/>
                <w:i w:val="0"/>
                <w:iCs w:val="0"/>
                <w:color w:val="000000"/>
                <w:w w:val="80"/>
                <w:kern w:val="0"/>
                <w:sz w:val="22"/>
                <w:szCs w:val="22"/>
                <w:u w:val="none"/>
                <w:lang w:val="en-US" w:eastAsia="zh-CN" w:bidi="ar"/>
              </w:rPr>
              <w:t>一般公共预算收入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20547</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385754</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221500</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164254</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74.2%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b/>
                <w:bCs/>
                <w:i w:val="0"/>
                <w:iCs w:val="0"/>
                <w:color w:val="000000"/>
                <w:w w:val="100"/>
                <w:kern w:val="0"/>
                <w:sz w:val="22"/>
                <w:szCs w:val="22"/>
                <w:u w:val="none"/>
                <w:lang w:val="en-US" w:eastAsia="zh-CN" w:bidi="ar"/>
              </w:rPr>
              <w:t>（一）税收收入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17588</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354205</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198089</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156116</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78.8%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增值税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8638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109433</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66654</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42779</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64.2%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企业所得税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-72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88816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36585</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52231</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142.8%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个人所得税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468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8140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3876</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4264</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110.0%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资源税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4164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64130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26671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37459</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140.4%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城市维护建设税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2053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24157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16268</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7889</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48.5%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房产税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57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11828</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6976</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4852</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69.6%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印花税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34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6138</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4179</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1959</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46.9%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城镇土地使用税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182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18593</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9588</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9005</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93.9%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土地增值税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76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885</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1153</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-268</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-23.2%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54"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车船税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lang w:val="en-US"/>
              </w:rPr>
            </w:pPr>
            <w:r>
              <w:rPr>
                <w:rFonts w:hint="eastAsia" w:ascii="仿宋_GB2312" w:hAnsi="仿宋_GB2312" w:eastAsia="仿宋_GB2312" w:cs="仿宋_GB2312"/>
                <w:b w:val="0"/>
                <w:bCs w:val="0"/>
                <w:i w:val="0"/>
                <w:color w:val="000000"/>
                <w:kern w:val="0"/>
                <w:sz w:val="22"/>
                <w:szCs w:val="22"/>
                <w:u w:val="none"/>
                <w:lang w:val="en-US" w:eastAsia="zh-CN" w:bidi="ar"/>
              </w:rPr>
              <w:t xml:space="preserve">177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1457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1296</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161</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12.4%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454"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耕地占用税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1681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14769</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17662</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-2893</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4"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eastAsia="宋体"/>
                <w:color w:val="FFFFFF"/>
                <w:sz w:val="24"/>
                <w:szCs w:val="24"/>
                <w:vertAlign w:val="baseline"/>
                <w:lang w:eastAsia="zh-CN"/>
              </w:rPr>
            </w:pPr>
            <w:r>
              <w:rPr>
                <w:rFonts w:hint="eastAsia" w:ascii="黑体" w:hAnsi="黑体" w:eastAsia="黑体" w:cs="黑体"/>
                <w:b/>
                <w:bCs/>
                <w:i w:val="0"/>
                <w:iCs w:val="0"/>
                <w:color w:val="FFFFFF"/>
                <w:kern w:val="0"/>
                <w:sz w:val="28"/>
                <w:szCs w:val="28"/>
                <w:u w:val="none"/>
                <w:lang w:val="en-US" w:eastAsia="zh-CN" w:bidi="ar"/>
              </w:rPr>
              <w:t>2022年1-8月鄂托克旗财政收入分项目执行情况(二)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185"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39" w:hRule="atLeas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项   目</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60" w:hRule="atLeas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eastAsia="zh-CN"/>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契税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126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1727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3116</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-1389</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-44.6%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eastAsia="zh-CN"/>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环境保护税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4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4133</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4035</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98</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eastAsia="zh-CN"/>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其他税收收入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30</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-31</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-103.3%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w w:val="100"/>
                <w:kern w:val="0"/>
                <w:sz w:val="22"/>
                <w:szCs w:val="22"/>
                <w:u w:val="none"/>
                <w:lang w:val="en-US" w:eastAsia="zh-CN" w:bidi="ar"/>
              </w:rPr>
              <w:t>（二）非税收入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lang w:val="en-US"/>
              </w:rPr>
            </w:pPr>
            <w:r>
              <w:rPr>
                <w:rFonts w:hint="eastAsia" w:ascii="仿宋_GB2312" w:hAnsi="仿宋_GB2312" w:eastAsia="仿宋_GB2312" w:cs="仿宋_GB2312"/>
                <w:b w:val="0"/>
                <w:bCs w:val="0"/>
                <w:i w:val="0"/>
                <w:color w:val="000000"/>
                <w:kern w:val="0"/>
                <w:sz w:val="22"/>
                <w:szCs w:val="22"/>
                <w:u w:val="none"/>
                <w:lang w:val="en-US" w:eastAsia="zh-CN" w:bidi="ar"/>
              </w:rPr>
              <w:t xml:space="preserve">2959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31549</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23411</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8138</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34.8%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专项收入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1275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12777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9911</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2866</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行政性收费收入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646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8297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6132</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2165</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35.3%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罚没收入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699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8354</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2262</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6092</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269.3%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7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国有资源（资产）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有偿使用收入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32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1441</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4377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-2936</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-67.1%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捐赠收入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27</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-27</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80"/>
                <w:kern w:val="0"/>
                <w:sz w:val="22"/>
                <w:szCs w:val="22"/>
                <w:u w:val="none"/>
                <w:lang w:val="en-US" w:eastAsia="zh-CN" w:bidi="ar"/>
              </w:rPr>
              <w:t>政府住房基金收入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1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25</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18</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38.9%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其他收入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306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655</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684</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-29</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bCs/>
                <w:i w:val="0"/>
                <w:iCs w:val="0"/>
                <w:color w:val="000000"/>
                <w:w w:val="90"/>
                <w:kern w:val="0"/>
                <w:sz w:val="22"/>
                <w:szCs w:val="22"/>
                <w:u w:val="none"/>
                <w:lang w:val="en-US" w:eastAsia="zh-CN" w:bidi="ar"/>
              </w:rPr>
              <w:t>政府性基金收入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257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19470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23411</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-3941</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60"/>
                <w:kern w:val="0"/>
                <w:sz w:val="22"/>
                <w:szCs w:val="22"/>
                <w:u w:val="none"/>
                <w:lang w:val="en-US" w:eastAsia="zh-CN" w:bidi="ar"/>
              </w:rPr>
              <w:t>国有土地使用权出让收入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53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18477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22897</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-4420</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-19.3%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w w:val="60"/>
                <w:kern w:val="0"/>
                <w:sz w:val="22"/>
                <w:szCs w:val="22"/>
                <w:u w:val="none"/>
                <w:lang w:val="en-US" w:eastAsia="zh-CN" w:bidi="ar"/>
              </w:rPr>
            </w:pPr>
            <w:r>
              <w:rPr>
                <w:rFonts w:hint="eastAsia" w:ascii="仿宋_GB2312" w:hAnsi="仿宋_GB2312" w:eastAsia="仿宋_GB2312" w:cs="仿宋_GB2312"/>
                <w:b w:val="0"/>
                <w:bCs w:val="0"/>
                <w:i w:val="0"/>
                <w:iCs w:val="0"/>
                <w:color w:val="000000"/>
                <w:w w:val="60"/>
                <w:kern w:val="0"/>
                <w:sz w:val="22"/>
                <w:szCs w:val="22"/>
                <w:u w:val="none"/>
                <w:lang w:val="en-US" w:eastAsia="zh-CN" w:bidi="ar"/>
              </w:rPr>
              <w:t>城市基础设施配套费收入</w:t>
            </w:r>
          </w:p>
        </w:tc>
        <w:tc>
          <w:tcPr>
            <w:tcW w:w="1144" w:type="dxa"/>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174 </w:t>
            </w:r>
          </w:p>
        </w:tc>
        <w:tc>
          <w:tcPr>
            <w:tcW w:w="1105" w:type="dxa"/>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828</w:t>
            </w:r>
          </w:p>
        </w:tc>
        <w:tc>
          <w:tcPr>
            <w:tcW w:w="1044" w:type="dxa"/>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307</w:t>
            </w:r>
          </w:p>
        </w:tc>
        <w:tc>
          <w:tcPr>
            <w:tcW w:w="944" w:type="dxa"/>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521</w:t>
            </w:r>
          </w:p>
        </w:tc>
        <w:tc>
          <w:tcPr>
            <w:tcW w:w="1124" w:type="dxa"/>
            <w:gridSpan w:val="2"/>
            <w:tcBorders>
              <w:tl2br w:val="nil"/>
              <w:tr2bl w:val="nil"/>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169.7%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污水处理费</w:t>
            </w:r>
          </w:p>
        </w:tc>
        <w:tc>
          <w:tcPr>
            <w:tcW w:w="11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30 </w:t>
            </w:r>
          </w:p>
        </w:tc>
        <w:tc>
          <w:tcPr>
            <w:tcW w:w="110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165</w:t>
            </w:r>
          </w:p>
        </w:tc>
        <w:tc>
          <w:tcPr>
            <w:tcW w:w="10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207</w:t>
            </w:r>
          </w:p>
        </w:tc>
        <w:tc>
          <w:tcPr>
            <w:tcW w:w="9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-42</w:t>
            </w:r>
          </w:p>
        </w:tc>
        <w:tc>
          <w:tcPr>
            <w:tcW w:w="112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-20.3%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5"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2022年1-8月鄂托克旗财政支出分项目执行情况（一）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83"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rPr>
            </w:pP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5"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一般公共预算支出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rPr>
            </w:pPr>
            <w:r>
              <w:rPr>
                <w:rFonts w:hint="eastAsia" w:ascii="仿宋_GB2312" w:hAnsi="仿宋_GB2312" w:eastAsia="仿宋_GB2312" w:cs="仿宋_GB2312"/>
                <w:i w:val="0"/>
                <w:color w:val="000000"/>
                <w:kern w:val="0"/>
                <w:sz w:val="22"/>
                <w:szCs w:val="22"/>
                <w:u w:val="none"/>
                <w:lang w:val="en-US" w:eastAsia="zh-CN" w:bidi="ar"/>
              </w:rPr>
              <w:t>43725</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374843</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269700</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105143</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39.0%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9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一般公共服务支出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3929</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30219</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23120</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7099</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30.7%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43"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外交支出</w:t>
            </w:r>
          </w:p>
        </w:tc>
        <w:tc>
          <w:tcPr>
            <w:tcW w:w="1144" w:type="dxa"/>
            <w:tcBorders>
              <w:tl2br w:val="nil"/>
              <w:tr2bl w:val="nil"/>
            </w:tcBorders>
            <w:shd w:val="clear" w:color="auto" w:fill="FFFFFF"/>
            <w:vAlign w:val="center"/>
          </w:tcPr>
          <w:p>
            <w:pPr>
              <w:jc w:val="center"/>
              <w:rPr>
                <w:rFonts w:hint="eastAsia" w:ascii="仿宋_GB2312" w:hAnsi="仿宋_GB2312" w:eastAsia="仿宋_GB2312" w:cs="仿宋_GB2312"/>
                <w:sz w:val="22"/>
                <w:szCs w:val="22"/>
                <w:lang w:val="en-US" w:eastAsia="zh-CN"/>
              </w:rPr>
            </w:pPr>
          </w:p>
        </w:tc>
        <w:tc>
          <w:tcPr>
            <w:tcW w:w="1105" w:type="dxa"/>
            <w:tcBorders>
              <w:tl2br w:val="nil"/>
              <w:tr2bl w:val="nil"/>
            </w:tcBorders>
            <w:shd w:val="clear" w:color="auto" w:fill="FFFFFF"/>
            <w:vAlign w:val="center"/>
          </w:tcPr>
          <w:p>
            <w:pPr>
              <w:jc w:val="center"/>
              <w:rPr>
                <w:rFonts w:hint="eastAsia" w:ascii="仿宋_GB2312" w:hAnsi="仿宋_GB2312" w:eastAsia="仿宋_GB2312" w:cs="仿宋_GB2312"/>
                <w:sz w:val="22"/>
                <w:szCs w:val="22"/>
                <w:lang w:eastAsia="zh-CN"/>
              </w:rPr>
            </w:pPr>
          </w:p>
        </w:tc>
        <w:tc>
          <w:tcPr>
            <w:tcW w:w="1044" w:type="dxa"/>
            <w:tcBorders>
              <w:tl2br w:val="nil"/>
              <w:tr2bl w:val="nil"/>
            </w:tcBorders>
            <w:shd w:val="clear" w:color="auto" w:fill="FFFFFF"/>
            <w:vAlign w:val="center"/>
          </w:tcPr>
          <w:p>
            <w:pPr>
              <w:jc w:val="center"/>
              <w:rPr>
                <w:rFonts w:hint="eastAsia" w:ascii="仿宋_GB2312" w:hAnsi="仿宋_GB2312" w:eastAsia="仿宋_GB2312" w:cs="仿宋_GB2312"/>
                <w:sz w:val="22"/>
                <w:szCs w:val="22"/>
              </w:rPr>
            </w:pP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57"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国防支出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35</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148</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-113</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-76.4%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43"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公共安全支出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1306</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11248</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8015</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3233</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40.3%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教育支出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rPr>
            </w:pPr>
            <w:r>
              <w:rPr>
                <w:rFonts w:hint="eastAsia" w:ascii="仿宋_GB2312" w:hAnsi="仿宋_GB2312" w:eastAsia="仿宋_GB2312" w:cs="仿宋_GB2312"/>
                <w:i w:val="0"/>
                <w:color w:val="000000"/>
                <w:kern w:val="0"/>
                <w:sz w:val="22"/>
                <w:szCs w:val="22"/>
                <w:u w:val="none"/>
                <w:lang w:val="en-US" w:eastAsia="zh-CN" w:bidi="ar"/>
              </w:rPr>
              <w:t>5864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38712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26135</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12577</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48.1%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科学技术支出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594</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4782</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2518</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2264</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89.9%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文化旅游体育与传媒支出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890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6294</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6787</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-493</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社会保障和就业支出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3299</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31676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25241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6435</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25.5%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7"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卫生健康支出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2441</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22367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14423</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7944</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55.1%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5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节能环保支出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2623</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22034</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15039</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6995</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46.5%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7"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城乡社区支出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6963</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53686</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39572</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14114</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35.7%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23"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农林水支出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10025</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77464</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29191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48273</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165.4%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783"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2022年1-8月鄂托克旗财政支出分项目执行情况（二）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交通运输支出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1442</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9451</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7923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1528</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3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资源勘探信息等支出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443</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28084</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46285</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-18201</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9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商业服务业等支出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198</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1448</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445</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金融支出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287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-287</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11"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自然资源海洋气象等支出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345</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6093</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5223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870</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住房保障支出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1316</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14877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4773</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10104</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211.7%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63"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粮油物资储备支出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8</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257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425</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36"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灾害防治及应急管理支出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469</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4108</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1700</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2408</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141.6%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1001</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-1001</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债务付息支出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1568</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12008</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10891</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1117</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0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债务发行费用支出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p>
        </w:tc>
        <w:tc>
          <w:tcPr>
            <w:tcW w:w="1044" w:type="dxa"/>
            <w:tcBorders>
              <w:tl2br w:val="nil"/>
              <w:tr2bl w:val="nil"/>
            </w:tcBorders>
            <w:shd w:val="clear" w:color="auto" w:fill="FFFFFF"/>
            <w:vAlign w:val="center"/>
          </w:tcPr>
          <w:p>
            <w:pPr>
              <w:jc w:val="center"/>
              <w:rPr>
                <w:rFonts w:hint="eastAsia" w:ascii="仿宋_GB2312" w:hAnsi="仿宋_GB2312" w:eastAsia="仿宋_GB2312" w:cs="仿宋_GB2312"/>
                <w:color w:val="000000"/>
                <w:sz w:val="22"/>
                <w:szCs w:val="22"/>
              </w:rPr>
            </w:pP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7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政府性基金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4434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17194</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15668</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1526</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2022年1-8月鄂托克旗财政支出分项目执行情况（三）</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文化旅游体育与传媒支出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城乡社区支出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3897</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12819</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9297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3522</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376</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735</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255</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480</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188.2%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债务付息支出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71</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1972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1830</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142</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债务发行费用支出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抗疫特别国债安排的支出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90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1668</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4277</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-2609</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-61.0%</w:t>
            </w:r>
          </w:p>
        </w:tc>
      </w:tr>
    </w:tbl>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
    <w:p/>
    <w:p/>
    <w:p/>
    <w:p/>
    <w:p/>
    <w:p/>
    <w:p/>
    <w:p/>
    <w:p/>
    <w:tbl>
      <w:tblPr>
        <w:tblStyle w:val="10"/>
        <w:tblW w:w="6971"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144"/>
        <w:gridCol w:w="1105"/>
        <w:gridCol w:w="1044"/>
        <w:gridCol w:w="959"/>
        <w:gridCol w:w="1014"/>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4BACC6"/>
            <w:vAlign w:val="center"/>
          </w:tcPr>
          <w:p>
            <w:pPr>
              <w:keepNext w:val="0"/>
              <w:keepLines w:val="0"/>
              <w:widowControl/>
              <w:suppressLineNumbers w:val="0"/>
              <w:jc w:val="center"/>
              <w:textAlignment w:val="center"/>
              <w:rPr>
                <w:rFonts w:hint="default" w:ascii="黑体" w:hAnsi="黑体" w:eastAsia="黑体" w:cs="黑体"/>
                <w:color w:val="FFFFFF"/>
                <w:sz w:val="24"/>
                <w:szCs w:val="24"/>
                <w:vertAlign w:val="baseline"/>
                <w:lang w:val="en-US" w:eastAsia="zh-CN"/>
              </w:rPr>
            </w:pPr>
            <w:r>
              <w:rPr>
                <w:rFonts w:hint="eastAsia" w:ascii="黑体" w:hAnsi="黑体" w:eastAsia="黑体" w:cs="黑体"/>
                <w:b/>
                <w:bCs/>
                <w:color w:val="FFFFFF" w:themeColor="background1"/>
                <w:w w:val="90"/>
                <w:sz w:val="28"/>
                <w:szCs w:val="28"/>
                <w:highlight w:val="none"/>
                <w:u w:val="none"/>
                <w:lang w:val="en-US" w:eastAsia="zh-CN"/>
                <w14:textFill>
                  <w14:solidFill>
                    <w14:schemeClr w14:val="bg1"/>
                  </w14:solidFill>
                </w14:textFill>
              </w:rPr>
              <w:t>2022年1-8月鄂托克旗财政收入重点税源纳税情况（一）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1"/>
                <w:szCs w:val="21"/>
                <w:vertAlign w:val="baseline"/>
                <w:lang w:eastAsia="zh-CN"/>
              </w:rPr>
            </w:pPr>
            <w:r>
              <w:rPr>
                <w:rFonts w:hint="eastAsia" w:ascii="黑体" w:hAnsi="黑体" w:eastAsia="黑体" w:cs="黑体"/>
                <w:b w:val="0"/>
                <w:bCs w:val="0"/>
                <w:color w:val="0000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973"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合  计</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14104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default" w:ascii="仿宋_GB2312" w:hAnsi="宋体" w:eastAsia="仿宋_GB2312" w:cs="仿宋_GB2312"/>
                <w:i w:val="0"/>
                <w:color w:val="000000"/>
                <w:kern w:val="0"/>
                <w:sz w:val="22"/>
                <w:szCs w:val="22"/>
                <w:u w:val="none"/>
                <w:lang w:val="en-US" w:eastAsia="zh-CN" w:bidi="ar"/>
              </w:rPr>
              <w:t xml:space="preserve">321552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234515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87037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37.1%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8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君正能源化工有限公司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981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49347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52623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-3276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-6.2%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鄂尔多斯电力有限责任公司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174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default" w:ascii="仿宋_GB2312" w:hAnsi="宋体" w:eastAsia="仿宋_GB2312" w:cs="仿宋_GB2312"/>
                <w:i w:val="0"/>
                <w:color w:val="000000"/>
                <w:kern w:val="0"/>
                <w:sz w:val="22"/>
                <w:szCs w:val="22"/>
                <w:u w:val="none"/>
                <w:lang w:val="en-US" w:eastAsia="zh-CN" w:bidi="ar"/>
              </w:rPr>
              <w:t xml:space="preserve">21235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16355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4880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29.8%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神华蒙西煤化股份有限公司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4587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default" w:ascii="仿宋_GB2312" w:hAnsi="宋体" w:eastAsia="仿宋_GB2312" w:cs="仿宋_GB2312"/>
                <w:i w:val="0"/>
                <w:color w:val="000000"/>
                <w:kern w:val="0"/>
                <w:sz w:val="22"/>
                <w:szCs w:val="22"/>
                <w:u w:val="none"/>
                <w:lang w:val="en-US" w:eastAsia="zh-CN" w:bidi="ar"/>
              </w:rPr>
              <w:t xml:space="preserve">102555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35111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67444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192.1%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内蒙古中谷矿业有限责任公司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130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default" w:ascii="仿宋_GB2312" w:hAnsi="宋体" w:eastAsia="仿宋_GB2312" w:cs="仿宋_GB2312"/>
                <w:i w:val="0"/>
                <w:color w:val="000000"/>
                <w:kern w:val="0"/>
                <w:sz w:val="22"/>
                <w:szCs w:val="22"/>
                <w:u w:val="none"/>
                <w:lang w:val="en-US" w:eastAsia="zh-CN" w:bidi="ar"/>
              </w:rPr>
              <w:t xml:space="preserve">651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7603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-6952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-91.4%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5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内蒙古星光煤炭集团有限责任公司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1812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default" w:ascii="仿宋_GB2312" w:hAnsi="宋体" w:eastAsia="仿宋_GB2312" w:cs="仿宋_GB2312"/>
                <w:i w:val="0"/>
                <w:color w:val="000000"/>
                <w:kern w:val="0"/>
                <w:sz w:val="22"/>
                <w:szCs w:val="22"/>
                <w:u w:val="none"/>
                <w:lang w:val="en-US" w:eastAsia="zh-CN" w:bidi="ar"/>
              </w:rPr>
              <w:t xml:space="preserve">82346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43431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38915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89.6%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内蒙古鄂尔多斯高新材料有限公司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693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5405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15387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-9982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-64.9%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鄂托克旗福强煤业有限公司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0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639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-111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750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-675.7%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鄂尔多斯市双欣化学工业有限公司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2093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16348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21575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-5227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-24.2%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内蒙古星光煤炭集团鄂托克旗华誉煤焦化有限公司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590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6240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15675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-9435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-60.2%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color w:val="FFFFFF" w:themeColor="background1"/>
                <w:w w:val="90"/>
                <w:sz w:val="28"/>
                <w:szCs w:val="28"/>
                <w:highlight w:val="none"/>
                <w:u w:val="none"/>
                <w:lang w:val="en-US" w:eastAsia="zh-CN"/>
                <w14:textFill>
                  <w14:solidFill>
                    <w14:schemeClr w14:val="bg1"/>
                  </w14:solidFill>
                </w14:textFill>
              </w:rPr>
              <w:t>2022年1-8月鄂托克旗财政收入重点税源纳税情况（二）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1"/>
                <w:szCs w:val="21"/>
                <w:vertAlign w:val="baseline"/>
                <w:lang w:eastAsia="zh-CN"/>
              </w:rPr>
            </w:pPr>
            <w:r>
              <w:rPr>
                <w:rFonts w:hint="eastAsia" w:ascii="黑体" w:hAnsi="黑体" w:eastAsia="黑体" w:cs="黑体"/>
                <w:b w:val="0"/>
                <w:bCs w:val="0"/>
                <w:color w:val="0000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973"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内蒙古德晟金属制品有限公司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550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default" w:ascii="仿宋_GB2312" w:hAnsi="宋体" w:eastAsia="仿宋_GB2312" w:cs="仿宋_GB2312"/>
                <w:i w:val="0"/>
                <w:color w:val="000000"/>
                <w:kern w:val="0"/>
                <w:sz w:val="22"/>
                <w:szCs w:val="22"/>
                <w:u w:val="none"/>
                <w:lang w:val="en-US" w:eastAsia="zh-CN" w:bidi="ar"/>
              </w:rPr>
              <w:t xml:space="preserve">-877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default" w:ascii="仿宋_GB2312" w:hAnsi="宋体" w:eastAsia="仿宋_GB2312" w:cs="仿宋_GB2312"/>
                <w:i w:val="0"/>
                <w:color w:val="000000"/>
                <w:kern w:val="0"/>
                <w:sz w:val="22"/>
                <w:szCs w:val="22"/>
                <w:u w:val="none"/>
                <w:lang w:val="en-US" w:eastAsia="zh-CN" w:bidi="ar"/>
              </w:rPr>
              <w:t xml:space="preserve">15185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-16062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-105.8%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内蒙古利民煤焦有限责任公司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2494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37663 </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11681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25982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222.4%</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tbl>
      <w:tblPr>
        <w:tblStyle w:val="10"/>
        <w:tblW w:w="6906"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224"/>
        <w:gridCol w:w="1205"/>
        <w:gridCol w:w="1380"/>
        <w:gridCol w:w="1392"/>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9" w:hRule="atLeast"/>
          <w:jc w:val="center"/>
        </w:trPr>
        <w:tc>
          <w:tcPr>
            <w:tcW w:w="6906" w:type="dxa"/>
            <w:gridSpan w:val="5"/>
            <w:tcBorders>
              <w:tl2br w:val="nil"/>
              <w:tr2bl w:val="nil"/>
            </w:tcBorders>
            <w:shd w:val="clear" w:color="auto" w:fill="4BACC6"/>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FFFFFF"/>
                <w:sz w:val="24"/>
                <w:szCs w:val="24"/>
                <w:vertAlign w:val="baseline"/>
                <w:lang w:val="en-US" w:eastAsia="zh-CN"/>
              </w:rPr>
            </w:pPr>
            <w:r>
              <w:rPr>
                <w:rFonts w:hint="eastAsia" w:ascii="黑体" w:hAnsi="黑体" w:eastAsia="黑体" w:cs="黑体"/>
                <w:b/>
                <w:bCs/>
                <w:color w:val="FFFFFF"/>
                <w:w w:val="90"/>
                <w:sz w:val="28"/>
                <w:szCs w:val="28"/>
                <w:highlight w:val="none"/>
                <w:vertAlign w:val="baseline"/>
                <w:lang w:val="en-US" w:eastAsia="zh-CN"/>
              </w:rPr>
              <w:t>鄂托克旗工业园区2022年1-8月份财政收支完成情况表</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95" w:hRule="atLeast"/>
          <w:jc w:val="center"/>
        </w:trPr>
        <w:tc>
          <w:tcPr>
            <w:tcW w:w="6906" w:type="dxa"/>
            <w:gridSpan w:val="5"/>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color w:val="000000"/>
                <w:sz w:val="15"/>
                <w:szCs w:val="18"/>
              </w:rPr>
            </w:pPr>
            <w:r>
              <w:rPr>
                <w:rFonts w:hint="eastAsia"/>
                <w:color w:val="000000"/>
                <w:sz w:val="21"/>
                <w:szCs w:val="21"/>
                <w:vertAlign w:val="baseline"/>
                <w:lang w:val="en-US" w:eastAsia="zh-CN"/>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34"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地  区</w:t>
            </w:r>
          </w:p>
        </w:tc>
        <w:tc>
          <w:tcPr>
            <w:tcW w:w="2429"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分成完成数</w:t>
            </w:r>
          </w:p>
        </w:tc>
        <w:tc>
          <w:tcPr>
            <w:tcW w:w="2772"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支出完成数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17" w:hRule="atLeast"/>
          <w:jc w:val="center"/>
        </w:trPr>
        <w:tc>
          <w:tcPr>
            <w:tcW w:w="1705" w:type="dxa"/>
            <w:vMerge w:val="continue"/>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p>
        </w:tc>
        <w:tc>
          <w:tcPr>
            <w:tcW w:w="1224"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sz w:val="22"/>
                <w:szCs w:val="22"/>
                <w:highlight w:val="none"/>
                <w:vertAlign w:val="baseline"/>
                <w:lang w:val="en-US" w:eastAsia="zh-CN"/>
              </w:rPr>
              <w:t>本月</w:t>
            </w:r>
          </w:p>
        </w:tc>
        <w:tc>
          <w:tcPr>
            <w:tcW w:w="1205"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vertAlign w:val="baseline"/>
                <w:lang w:eastAsia="zh-CN"/>
              </w:rPr>
            </w:pPr>
            <w:r>
              <w:rPr>
                <w:rFonts w:hint="eastAsia" w:ascii="黑体" w:hAnsi="黑体" w:eastAsia="黑体" w:cs="黑体"/>
                <w:b w:val="0"/>
                <w:bCs w:val="0"/>
                <w:color w:val="000000"/>
                <w:sz w:val="22"/>
                <w:szCs w:val="22"/>
                <w:highlight w:val="none"/>
                <w:vertAlign w:val="baseline"/>
                <w:lang w:val="en-US" w:eastAsia="zh-CN"/>
              </w:rPr>
              <w:t>累计</w:t>
            </w:r>
          </w:p>
        </w:tc>
        <w:tc>
          <w:tcPr>
            <w:tcW w:w="1380"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sz w:val="22"/>
                <w:szCs w:val="22"/>
                <w:highlight w:val="none"/>
                <w:vertAlign w:val="baseline"/>
                <w:lang w:val="en-US" w:eastAsia="zh-CN"/>
              </w:rPr>
              <w:t>本月</w:t>
            </w:r>
          </w:p>
        </w:tc>
        <w:tc>
          <w:tcPr>
            <w:tcW w:w="1392"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vertAlign w:val="baseline"/>
                <w:lang w:eastAsia="zh-CN"/>
              </w:rPr>
            </w:pPr>
            <w:r>
              <w:rPr>
                <w:rFonts w:hint="eastAsia" w:ascii="黑体" w:hAnsi="黑体" w:eastAsia="黑体" w:cs="黑体"/>
                <w:b w:val="0"/>
                <w:bCs w:val="0"/>
                <w:color w:val="000000"/>
                <w:sz w:val="22"/>
                <w:szCs w:val="22"/>
                <w:highlight w:val="none"/>
                <w:vertAlign w:val="baseline"/>
                <w:lang w:val="en-US" w:eastAsia="zh-CN"/>
              </w:rPr>
              <w:t>累计</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77" w:hRule="atLeast"/>
          <w:jc w:val="center"/>
        </w:trPr>
        <w:tc>
          <w:tcPr>
            <w:tcW w:w="170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color w:val="000000"/>
                <w:sz w:val="22"/>
                <w:szCs w:val="22"/>
                <w:vertAlign w:val="baseline"/>
                <w:lang w:val="en-US" w:eastAsia="zh-CN"/>
              </w:rPr>
              <w:t>蒙西高新技术</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color w:val="000000"/>
                <w:sz w:val="22"/>
                <w:szCs w:val="22"/>
                <w:vertAlign w:val="baseline"/>
                <w:lang w:val="en-US" w:eastAsia="zh-CN"/>
              </w:rPr>
              <w:t>产业园区</w:t>
            </w:r>
          </w:p>
        </w:tc>
        <w:tc>
          <w:tcPr>
            <w:tcW w:w="122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i w:val="0"/>
                <w:color w:val="000000"/>
                <w:kern w:val="0"/>
                <w:sz w:val="22"/>
                <w:szCs w:val="22"/>
                <w:u w:val="none"/>
                <w:lang w:val="en-US" w:eastAsia="zh-CN" w:bidi="ar"/>
              </w:rPr>
              <w:t xml:space="preserve">399 </w:t>
            </w:r>
          </w:p>
        </w:tc>
        <w:tc>
          <w:tcPr>
            <w:tcW w:w="12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highlight w:val="none"/>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14984 </w:t>
            </w:r>
          </w:p>
        </w:tc>
        <w:tc>
          <w:tcPr>
            <w:tcW w:w="138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2"/>
                <w:szCs w:val="22"/>
                <w:highlight w:val="none"/>
                <w:lang w:val="en-US"/>
              </w:rPr>
            </w:pPr>
            <w:r>
              <w:rPr>
                <w:rFonts w:hint="eastAsia" w:ascii="仿宋_GB2312" w:hAnsi="仿宋_GB2312" w:eastAsia="仿宋_GB2312" w:cs="仿宋_GB2312"/>
                <w:i w:val="0"/>
                <w:color w:val="000000"/>
                <w:kern w:val="0"/>
                <w:sz w:val="22"/>
                <w:szCs w:val="22"/>
                <w:u w:val="none"/>
                <w:lang w:val="en-US" w:eastAsia="zh-CN" w:bidi="ar"/>
              </w:rPr>
              <w:t>1530</w:t>
            </w:r>
          </w:p>
        </w:tc>
        <w:tc>
          <w:tcPr>
            <w:tcW w:w="139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10778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8" w:hRule="atLeast"/>
          <w:jc w:val="center"/>
        </w:trPr>
        <w:tc>
          <w:tcPr>
            <w:tcW w:w="1705"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color w:val="000000"/>
                <w:sz w:val="22"/>
                <w:szCs w:val="22"/>
                <w:vertAlign w:val="baseline"/>
                <w:lang w:val="en-US" w:eastAsia="zh-CN"/>
              </w:rPr>
              <w:t>鄂托克旗</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color w:val="000000"/>
                <w:sz w:val="22"/>
                <w:szCs w:val="22"/>
                <w:vertAlign w:val="baseline"/>
                <w:lang w:val="en-US" w:eastAsia="zh-CN"/>
              </w:rPr>
              <w:t>经济开发区</w:t>
            </w:r>
          </w:p>
        </w:tc>
        <w:tc>
          <w:tcPr>
            <w:tcW w:w="1224"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1440</w:t>
            </w:r>
          </w:p>
        </w:tc>
        <w:tc>
          <w:tcPr>
            <w:tcW w:w="12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51276 </w:t>
            </w:r>
          </w:p>
        </w:tc>
        <w:tc>
          <w:tcPr>
            <w:tcW w:w="138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147 </w:t>
            </w:r>
          </w:p>
        </w:tc>
        <w:tc>
          <w:tcPr>
            <w:tcW w:w="1392" w:type="dxa"/>
            <w:tcBorders>
              <w:tl2br w:val="nil"/>
              <w:tr2bl w:val="nil"/>
            </w:tcBorders>
            <w:shd w:val="clear" w:color="auto" w:fill="E9F1F5"/>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35885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21" w:hRule="atLeast"/>
          <w:jc w:val="center"/>
        </w:trPr>
        <w:tc>
          <w:tcPr>
            <w:tcW w:w="170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w w:val="80"/>
                <w:sz w:val="22"/>
                <w:szCs w:val="22"/>
                <w:vertAlign w:val="baseline"/>
                <w:lang w:eastAsia="zh-CN"/>
              </w:rPr>
            </w:pPr>
            <w:r>
              <w:rPr>
                <w:rFonts w:hint="eastAsia" w:ascii="仿宋_GB2312" w:hAnsi="仿宋_GB2312" w:eastAsia="仿宋_GB2312" w:cs="仿宋_GB2312"/>
                <w:b/>
                <w:bCs/>
                <w:color w:val="000000"/>
                <w:sz w:val="22"/>
                <w:szCs w:val="22"/>
                <w:vertAlign w:val="baseline"/>
                <w:lang w:val="en-US" w:eastAsia="zh-CN"/>
              </w:rPr>
              <w:t>合  计</w:t>
            </w:r>
          </w:p>
        </w:tc>
        <w:tc>
          <w:tcPr>
            <w:tcW w:w="122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2"/>
                <w:szCs w:val="22"/>
                <w:highlight w:val="none"/>
                <w:lang w:val="en-US"/>
              </w:rPr>
            </w:pPr>
            <w:r>
              <w:rPr>
                <w:rFonts w:hint="eastAsia" w:ascii="仿宋_GB2312" w:hAnsi="仿宋_GB2312" w:eastAsia="仿宋_GB2312" w:cs="仿宋_GB2312"/>
                <w:i w:val="0"/>
                <w:color w:val="000000"/>
                <w:kern w:val="0"/>
                <w:sz w:val="22"/>
                <w:szCs w:val="22"/>
                <w:u w:val="none"/>
                <w:lang w:val="en-US" w:eastAsia="zh-CN" w:bidi="ar"/>
              </w:rPr>
              <w:t>1839</w:t>
            </w:r>
          </w:p>
        </w:tc>
        <w:tc>
          <w:tcPr>
            <w:tcW w:w="12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highlight w:val="none"/>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66260 </w:t>
            </w:r>
          </w:p>
        </w:tc>
        <w:tc>
          <w:tcPr>
            <w:tcW w:w="138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i w:val="0"/>
                <w:color w:val="000000"/>
                <w:kern w:val="0"/>
                <w:sz w:val="22"/>
                <w:szCs w:val="22"/>
                <w:u w:val="none"/>
                <w:lang w:val="en-US" w:eastAsia="zh-CN" w:bidi="ar"/>
              </w:rPr>
              <w:t xml:space="preserve">1677 </w:t>
            </w:r>
          </w:p>
        </w:tc>
        <w:tc>
          <w:tcPr>
            <w:tcW w:w="139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46663</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仿宋_GB2312" w:hAnsi="仿宋_GB2312" w:eastAsia="仿宋_GB2312" w:cs="仿宋_GB2312"/>
          <w:sz w:val="24"/>
          <w:szCs w:val="24"/>
          <w:lang w:val="en-US" w:eastAsia="zh-CN"/>
        </w:rPr>
      </w:pPr>
    </w:p>
    <w:sectPr>
      <w:footerReference r:id="rId7" w:type="default"/>
      <w:footerReference r:id="rId8" w:type="even"/>
      <w:footnotePr>
        <w:numFmt w:val="decimalEnclosedCircleChinese"/>
      </w:footnotePr>
      <w:pgSz w:w="8390" w:h="11905"/>
      <w:pgMar w:top="1134" w:right="850" w:bottom="1020" w:left="850" w:header="851" w:footer="73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Wcht">
    <w:altName w:val="Segoe Print"/>
    <w:panose1 w:val="000004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汉真广标">
    <w:altName w:val="微软雅黑"/>
    <w:panose1 w:val="02010609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粗黑体">
    <w:altName w:val="黑体"/>
    <w:panose1 w:val="02010609000101010101"/>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column">
                <wp:posOffset>3160395</wp:posOffset>
              </wp:positionH>
              <wp:positionV relativeFrom="paragraph">
                <wp:posOffset>-135890</wp:posOffset>
              </wp:positionV>
              <wp:extent cx="1189355" cy="28575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18935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85pt;margin-top:-10.7pt;height:22.5pt;width:93.65pt;z-index:251663360;mso-width-relative:page;mso-height-relative:page;" filled="f" stroked="f" coordsize="21600,21600" o:gfxdata="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ZMoD3AAAAAoBAAAPAAAAAAAAAAEAIAAAACIA&#10;AABkcnMvZG93bnJldi54bWxQSwECFAAUAAAACACHTuJAJrGC8z4CAABoBAAADgAAAAAAAAABACAA&#10;AAArAQAAZHJzL2Uyb0RvYy54bWxQSwUGAAAAAAYABgBZAQAA2wUAAAAA&#10;">
              <v:fill on="f" focussize="0,0"/>
              <v:stroke on="f" weight="0.5pt"/>
              <v:imagedata o:title=""/>
              <o:lock v:ext="edit" aspectratio="f"/>
              <v:textbo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-629285</wp:posOffset>
              </wp:positionH>
              <wp:positionV relativeFrom="paragraph">
                <wp:posOffset>-86360</wp:posOffset>
              </wp:positionV>
              <wp:extent cx="5053330" cy="126365"/>
              <wp:effectExtent l="0" t="0" r="13970" b="6985"/>
              <wp:wrapNone/>
              <wp:docPr id="48" name="矩形 48"/>
              <wp:cNvGraphicFramePr/>
              <a:graphic xmlns:a="http://schemas.openxmlformats.org/drawingml/2006/main">
                <a:graphicData uri="http://schemas.microsoft.com/office/word/2010/wordprocessingShape">
                  <wps:wsp>
                    <wps:cNvSpPr/>
                    <wps:spPr>
                      <a:xfrm rot="10800000">
                        <a:off x="0" y="0"/>
                        <a:ext cx="5053330" cy="126365"/>
                      </a:xfrm>
                      <a:prstGeom prst="rect">
                        <a:avLst/>
                      </a:prstGeom>
                      <a:gradFill>
                        <a:gsLst>
                          <a:gs pos="9000">
                            <a:schemeClr val="bg1"/>
                          </a:gs>
                          <a:gs pos="94000">
                            <a:srgbClr val="0070C0"/>
                          </a:gs>
                        </a:gsLst>
                        <a:lin ang="7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55pt;margin-top:-6.8pt;height:9.95pt;width:397.9pt;rotation:11796480f;z-index:251662336;v-text-anchor:middle;mso-width-relative:page;mso-height-relative:page;" fillcolor="#FFFFFF [3212]" filled="t" stroked="f" coordsize="21600,21600" o:gfxdata="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2L5aDaAAAACQEAAA8AAAAAAAAAAQAgAAAAIgAAAGRycy9kb3ducmV2LnhtbFBLAQIUABQAAAAI&#10;AIdO4kAWrBwDlgIAAEEFAAAOAAAAAAAAAAEAIAAAACkBAABkcnMvZTJvRG9jLnhtbFBLBQYAAAAA&#10;BgAGAFkBAAAxBgAAAAA=&#10;">
              <v:fill type="gradient" on="t" color2="#0070C0" angle="320" focus="100%" focussize="0,0" rotate="t">
                <o:fill type="gradientUnscaled" v:ext="backwardCompatible"/>
              </v:fill>
              <v:stroke on="f" weight="2pt"/>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sz w:val="18"/>
      </w:rPr>
      <mc:AlternateContent>
        <mc:Choice Requires="wps">
          <w:drawing>
            <wp:anchor distT="0" distB="0" distL="114300" distR="114300" simplePos="0" relativeHeight="251667456" behindDoc="0" locked="0" layoutInCell="1" allowOverlap="1">
              <wp:simplePos x="0" y="0"/>
              <wp:positionH relativeFrom="column">
                <wp:posOffset>245110</wp:posOffset>
              </wp:positionH>
              <wp:positionV relativeFrom="paragraph">
                <wp:posOffset>-241935</wp:posOffset>
              </wp:positionV>
              <wp:extent cx="353695" cy="375285"/>
              <wp:effectExtent l="0" t="0" r="5715" b="8255"/>
              <wp:wrapNone/>
              <wp:docPr id="19" name="L 形 19"/>
              <wp:cNvGraphicFramePr/>
              <a:graphic xmlns:a="http://schemas.openxmlformats.org/drawingml/2006/main">
                <a:graphicData uri="http://schemas.microsoft.com/office/word/2010/wordprocessingShape">
                  <wps:wsp>
                    <wps:cNvSpPr/>
                    <wps:spPr>
                      <a:xfrm rot="16200000">
                        <a:off x="0" y="0"/>
                        <a:ext cx="353695" cy="375285"/>
                      </a:xfrm>
                      <a:prstGeom prst="corner">
                        <a:avLst>
                          <a:gd name="adj1" fmla="val 31777"/>
                          <a:gd name="adj2" fmla="val 969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3pt;margin-top:-19.05pt;height:29.55pt;width:27.85pt;rotation:-5898240f;z-index:251667456;v-text-anchor:middle;mso-width-relative:page;mso-height-relative:page;" fillcolor="#0070C0" filled="t" stroked="f" coordsize="353695,375285" o:gfxdata="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p3UB3VAAAACAEAAA8AAAAAAAAA&#10;AQAgAAAAIgAAAGRycy9kb3ducmV2LnhtbFBLAQIUABQAAAAIAIdO4kBazDf/hgIAABUFAAAOAAAA&#10;AAAAAAEAIAAAACQBAABkcnMvZTJvRG9jLnhtbFBLBQYAAAAABgAGAFkBAAAcBgAAAAA=&#10;" path="m0,0l34287,0,34287,262891,353695,262891,353695,375285,0,375285xe">
              <v:path o:connectlocs="353695,319088;176847,375285;0,187642;17143,0" o:connectangles="0,82,164,247"/>
              <v:fill on="t" focussize="0,0"/>
              <v:stroke on="f" weight="2pt"/>
              <v:imagedata o:title=""/>
              <o:lock v:ext="edit" aspectratio="f"/>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549910</wp:posOffset>
              </wp:positionH>
              <wp:positionV relativeFrom="paragraph">
                <wp:posOffset>-83185</wp:posOffset>
              </wp:positionV>
              <wp:extent cx="3681730" cy="126365"/>
              <wp:effectExtent l="0" t="0" r="13970" b="6985"/>
              <wp:wrapNone/>
              <wp:docPr id="4" name="矩形 4"/>
              <wp:cNvGraphicFramePr/>
              <a:graphic xmlns:a="http://schemas.openxmlformats.org/drawingml/2006/main">
                <a:graphicData uri="http://schemas.microsoft.com/office/word/2010/wordprocessingShape">
                  <wps:wsp>
                    <wps:cNvSpPr/>
                    <wps:spPr>
                      <a:xfrm>
                        <a:off x="0" y="0"/>
                        <a:ext cx="3681730" cy="126365"/>
                      </a:xfrm>
                      <a:prstGeom prst="rect">
                        <a:avLst/>
                      </a:prstGeom>
                      <a:gradFill>
                        <a:gsLst>
                          <a:gs pos="9000">
                            <a:schemeClr val="bg1"/>
                          </a:gs>
                          <a:gs pos="94000">
                            <a:srgbClr val="0070C0"/>
                          </a:gs>
                        </a:gsLst>
                        <a:lin ang="7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3pt;margin-top:-6.55pt;height:9.95pt;width:289.9pt;z-index:251664384;v-text-anchor:middle;mso-width-relative:page;mso-height-relative:page;" fillcolor="#FFFFFF [3212]" filled="t" stroked="f" coordsize="21600,21600" o:gfxdata="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equ6H2AAA&#10;AAgBAAAPAAAAAAAAAAEAIAAAACIAAABkcnMvZG93bnJldi54bWxQSwECFAAUAAAACACHTuJANF/p&#10;D5ACAAAwBQAADgAAAAAAAAABACAAAAAnAQAAZHJzL2Uyb0RvYy54bWxQSwUGAAAAAAYABgBZAQAA&#10;KQYAAAAA&#10;">
              <v:fill type="gradient" on="t" color2="#0070C0" angle="320" focus="100%" focussize="0,0" rotate="t">
                <o:fill type="gradientUnscaled" v:ext="backwardCompatible"/>
              </v:fill>
              <v:stroke on="f" weight="2pt"/>
              <v:imagedata o:title=""/>
              <o:lock v:ext="edit" aspectratio="f"/>
            </v:rect>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-132715</wp:posOffset>
              </wp:positionH>
              <wp:positionV relativeFrom="paragraph">
                <wp:posOffset>-318135</wp:posOffset>
              </wp:positionV>
              <wp:extent cx="353695" cy="375285"/>
              <wp:effectExtent l="0" t="0" r="5715" b="8255"/>
              <wp:wrapNone/>
              <wp:docPr id="18" name="L 形 18"/>
              <wp:cNvGraphicFramePr/>
              <a:graphic xmlns:a="http://schemas.openxmlformats.org/drawingml/2006/main">
                <a:graphicData uri="http://schemas.microsoft.com/office/word/2010/wordprocessingShape">
                  <wps:wsp>
                    <wps:cNvSpPr/>
                    <wps:spPr>
                      <a:xfrm rot="5400000">
                        <a:off x="0" y="0"/>
                        <a:ext cx="353695" cy="375285"/>
                      </a:xfrm>
                      <a:prstGeom prst="corner">
                        <a:avLst>
                          <a:gd name="adj1" fmla="val 27289"/>
                          <a:gd name="adj2" fmla="val 16337"/>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45pt;margin-top:-25.05pt;height:29.55pt;width:27.85pt;rotation:5898240f;z-index:251666432;v-text-anchor:middle;mso-width-relative:page;mso-height-relative:page;" fillcolor="#0070C0" filled="t" stroked="f" coordsize="353695,375285" o:gfxdata="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Iku/nXAAAACAEAAA8AAAAA&#10;AAAAAQAgAAAAIgAAAGRycy9kb3ducmV2LnhtbFBLAQIUABQAAAAIAIdO4kCOi6nhhwIAABUFAAAO&#10;AAAAAAAAAAEAIAAAACYBAABkcnMvZTJvRG9jLnhtbFBLBQYAAAAABgAGAFkBAAAfBgAAAAA=&#10;" path="m0,0l57783,0,57783,278765,353695,278765,353695,375285,0,375285xe">
              <v:path o:connectlocs="353695,327025;176847,375285;0,187642;28891,0" o:connectangles="0,82,164,247"/>
              <v:fill on="t" focussize="0,0"/>
              <v:stroke on="f" weight="2pt"/>
              <v:imagedata o:title=""/>
              <o:lock v:ext="edit" aspectratio="f"/>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-123190</wp:posOffset>
              </wp:positionH>
              <wp:positionV relativeFrom="paragraph">
                <wp:posOffset>-276860</wp:posOffset>
              </wp:positionV>
              <wp:extent cx="1543685" cy="5016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543685"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0070C0"/>
                              <w:sz w:val="16"/>
                              <w:szCs w:val="20"/>
                              <w:lang w:val="en-US" w:eastAsia="zh-CN"/>
                            </w:rPr>
                          </w:pPr>
                          <w:r>
                            <w:rPr>
                              <w:rFonts w:hint="eastAsia" w:ascii="汉真广标" w:hAnsi="汉真广标" w:eastAsia="汉真广标" w:cs="汉真广标"/>
                              <w:color w:val="0070C0"/>
                              <w:sz w:val="40"/>
                              <w:szCs w:val="48"/>
                              <w:lang w:val="en-US" w:eastAsia="zh-CN"/>
                            </w:rPr>
                            <w:t xml:space="preserve">财政  </w:t>
                          </w:r>
                          <w:r>
                            <w:rPr>
                              <w:rFonts w:hint="eastAsia" w:ascii="粗黑体" w:hAnsi="粗黑体" w:eastAsia="粗黑体" w:cs="粗黑体"/>
                              <w:color w:val="FFFFFF" w:themeColor="background1"/>
                              <w:sz w:val="16"/>
                              <w:szCs w:val="20"/>
                              <w:lang w:val="en-US" w:eastAsia="zh-CN"/>
                              <w14:textFill>
                                <w14:solidFill>
                                  <w14:schemeClr w14:val="bg1"/>
                                </w14:solidFill>
                              </w14:textFill>
                            </w:rPr>
                            <w:t>收支分析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pt;margin-top:-21.8pt;height:39.5pt;width:121.55pt;z-index:251665408;mso-width-relative:page;mso-height-relative:page;" filled="f" stroked="f" coordsize="21600,21600" o:gfxdata="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qNXpdwAAAAKAQAADwAAAAAAAAABACAAAAAiAAAA&#10;ZHJzL2Rvd25yZXYueG1sUEsBAhQAFAAAAAgAh07iQEayCt88AgAAaAQAAA4AAAAAAAAAAQAgAAAA&#10;KwEAAGRycy9lMm9Eb2MueG1sUEsFBgAAAAAGAAYAWQEAANkFAAAAAA==&#10;">
              <v:fill on="f" focussize="0,0"/>
              <v:stroke on="f" weight="0.5pt"/>
              <v:imagedata o:title=""/>
              <o:lock v:ext="edit" aspectratio="f"/>
              <v:textbox>
                <w:txbxContent>
                  <w:p>
                    <w:pPr>
                      <w:rPr>
                        <w:rFonts w:hint="eastAsia" w:ascii="汉真广标" w:hAnsi="汉真广标" w:eastAsia="汉真广标" w:cs="汉真广标"/>
                        <w:color w:val="0070C0"/>
                        <w:sz w:val="16"/>
                        <w:szCs w:val="20"/>
                        <w:lang w:val="en-US" w:eastAsia="zh-CN"/>
                      </w:rPr>
                    </w:pPr>
                    <w:r>
                      <w:rPr>
                        <w:rFonts w:hint="eastAsia" w:ascii="汉真广标" w:hAnsi="汉真广标" w:eastAsia="汉真广标" w:cs="汉真广标"/>
                        <w:color w:val="0070C0"/>
                        <w:sz w:val="40"/>
                        <w:szCs w:val="48"/>
                        <w:lang w:val="en-US" w:eastAsia="zh-CN"/>
                      </w:rPr>
                      <w:t xml:space="preserve">财政  </w:t>
                    </w:r>
                    <w:r>
                      <w:rPr>
                        <w:rFonts w:hint="eastAsia" w:ascii="粗黑体" w:hAnsi="粗黑体" w:eastAsia="粗黑体" w:cs="粗黑体"/>
                        <w:color w:val="FFFFFF" w:themeColor="background1"/>
                        <w:sz w:val="16"/>
                        <w:szCs w:val="20"/>
                        <w:lang w:val="en-US" w:eastAsia="zh-CN"/>
                        <w14:textFill>
                          <w14:solidFill>
                            <w14:schemeClr w14:val="bg1"/>
                          </w14:solidFill>
                        </w14:textFill>
                      </w:rPr>
                      <w:t>收支分析</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ZGY0MTZlMzYxZTc4M2VmNDE5YjY2NjgwM2YxYjgifQ=="/>
  </w:docVars>
  <w:rsids>
    <w:rsidRoot w:val="00172A27"/>
    <w:rsid w:val="00046E56"/>
    <w:rsid w:val="00065DAD"/>
    <w:rsid w:val="000C7620"/>
    <w:rsid w:val="00511298"/>
    <w:rsid w:val="005807DB"/>
    <w:rsid w:val="006E0456"/>
    <w:rsid w:val="00911E2A"/>
    <w:rsid w:val="00BC46EF"/>
    <w:rsid w:val="00CB1EBC"/>
    <w:rsid w:val="00DF0877"/>
    <w:rsid w:val="00E327E7"/>
    <w:rsid w:val="00E755C8"/>
    <w:rsid w:val="00F71253"/>
    <w:rsid w:val="01045EF1"/>
    <w:rsid w:val="01224276"/>
    <w:rsid w:val="012310E1"/>
    <w:rsid w:val="015161E2"/>
    <w:rsid w:val="01531E39"/>
    <w:rsid w:val="0156177E"/>
    <w:rsid w:val="0171218F"/>
    <w:rsid w:val="01747C2F"/>
    <w:rsid w:val="01772BAE"/>
    <w:rsid w:val="01777839"/>
    <w:rsid w:val="018030A2"/>
    <w:rsid w:val="018C7F99"/>
    <w:rsid w:val="01B77390"/>
    <w:rsid w:val="01BE490E"/>
    <w:rsid w:val="01C517BD"/>
    <w:rsid w:val="01C9314E"/>
    <w:rsid w:val="01DC2C55"/>
    <w:rsid w:val="0206304D"/>
    <w:rsid w:val="020C36B9"/>
    <w:rsid w:val="02176E2F"/>
    <w:rsid w:val="021A71E6"/>
    <w:rsid w:val="022078E7"/>
    <w:rsid w:val="022B6721"/>
    <w:rsid w:val="026530FE"/>
    <w:rsid w:val="02680AD9"/>
    <w:rsid w:val="026C54CD"/>
    <w:rsid w:val="02756B4F"/>
    <w:rsid w:val="027812F4"/>
    <w:rsid w:val="0278146E"/>
    <w:rsid w:val="027E5817"/>
    <w:rsid w:val="028A7883"/>
    <w:rsid w:val="02982612"/>
    <w:rsid w:val="029E6366"/>
    <w:rsid w:val="02A11761"/>
    <w:rsid w:val="02B360D5"/>
    <w:rsid w:val="02D46F37"/>
    <w:rsid w:val="02D50CD9"/>
    <w:rsid w:val="02E20CFE"/>
    <w:rsid w:val="02E7697C"/>
    <w:rsid w:val="030F16FD"/>
    <w:rsid w:val="031D6D56"/>
    <w:rsid w:val="032821E3"/>
    <w:rsid w:val="033248AF"/>
    <w:rsid w:val="033F375B"/>
    <w:rsid w:val="033F3B43"/>
    <w:rsid w:val="03451B61"/>
    <w:rsid w:val="034C489F"/>
    <w:rsid w:val="034C77B0"/>
    <w:rsid w:val="03511E5E"/>
    <w:rsid w:val="03524CD3"/>
    <w:rsid w:val="03665380"/>
    <w:rsid w:val="03874EB8"/>
    <w:rsid w:val="038E7B1F"/>
    <w:rsid w:val="03926802"/>
    <w:rsid w:val="03B405A6"/>
    <w:rsid w:val="03B966B3"/>
    <w:rsid w:val="03EB11EA"/>
    <w:rsid w:val="040757DD"/>
    <w:rsid w:val="040E5F16"/>
    <w:rsid w:val="041C5F52"/>
    <w:rsid w:val="0424225B"/>
    <w:rsid w:val="043949E6"/>
    <w:rsid w:val="044654BA"/>
    <w:rsid w:val="04556113"/>
    <w:rsid w:val="04586458"/>
    <w:rsid w:val="04597688"/>
    <w:rsid w:val="046547D3"/>
    <w:rsid w:val="046A6E17"/>
    <w:rsid w:val="046C4B3F"/>
    <w:rsid w:val="047A7131"/>
    <w:rsid w:val="049241FC"/>
    <w:rsid w:val="04951C3A"/>
    <w:rsid w:val="04A22540"/>
    <w:rsid w:val="04A4722A"/>
    <w:rsid w:val="04AC64FA"/>
    <w:rsid w:val="04B27B68"/>
    <w:rsid w:val="04CF771D"/>
    <w:rsid w:val="04E36478"/>
    <w:rsid w:val="04F10BCA"/>
    <w:rsid w:val="04F50737"/>
    <w:rsid w:val="05166722"/>
    <w:rsid w:val="053730A2"/>
    <w:rsid w:val="053B19AC"/>
    <w:rsid w:val="054E0740"/>
    <w:rsid w:val="05647715"/>
    <w:rsid w:val="057300A0"/>
    <w:rsid w:val="05896C67"/>
    <w:rsid w:val="058E3326"/>
    <w:rsid w:val="05A31707"/>
    <w:rsid w:val="05BE6967"/>
    <w:rsid w:val="05C06587"/>
    <w:rsid w:val="05C61F26"/>
    <w:rsid w:val="05EB7002"/>
    <w:rsid w:val="05EC237C"/>
    <w:rsid w:val="05F55CA5"/>
    <w:rsid w:val="061B45C8"/>
    <w:rsid w:val="06372B9B"/>
    <w:rsid w:val="063E2926"/>
    <w:rsid w:val="065A439B"/>
    <w:rsid w:val="066300A9"/>
    <w:rsid w:val="06795045"/>
    <w:rsid w:val="068C0DAD"/>
    <w:rsid w:val="06993539"/>
    <w:rsid w:val="069D3F9E"/>
    <w:rsid w:val="06AC6BFF"/>
    <w:rsid w:val="06B60E4C"/>
    <w:rsid w:val="06B67994"/>
    <w:rsid w:val="06DE0B05"/>
    <w:rsid w:val="06E61C2C"/>
    <w:rsid w:val="06F36C39"/>
    <w:rsid w:val="071B4F62"/>
    <w:rsid w:val="07220D87"/>
    <w:rsid w:val="072348F4"/>
    <w:rsid w:val="07256196"/>
    <w:rsid w:val="07437BE4"/>
    <w:rsid w:val="07442AEF"/>
    <w:rsid w:val="074A4A05"/>
    <w:rsid w:val="07615C8D"/>
    <w:rsid w:val="07655EAB"/>
    <w:rsid w:val="079767B6"/>
    <w:rsid w:val="079B1D2B"/>
    <w:rsid w:val="079B3AB3"/>
    <w:rsid w:val="0810530C"/>
    <w:rsid w:val="081222B5"/>
    <w:rsid w:val="08150A88"/>
    <w:rsid w:val="08447529"/>
    <w:rsid w:val="085F7207"/>
    <w:rsid w:val="086B36D6"/>
    <w:rsid w:val="086C54D2"/>
    <w:rsid w:val="0879694A"/>
    <w:rsid w:val="088416A5"/>
    <w:rsid w:val="08872BFA"/>
    <w:rsid w:val="088C2C03"/>
    <w:rsid w:val="088D0B8A"/>
    <w:rsid w:val="088F2D5F"/>
    <w:rsid w:val="089024C1"/>
    <w:rsid w:val="08AE6BF8"/>
    <w:rsid w:val="08AF3021"/>
    <w:rsid w:val="08BC43DC"/>
    <w:rsid w:val="08E81878"/>
    <w:rsid w:val="091D0A35"/>
    <w:rsid w:val="093D2159"/>
    <w:rsid w:val="09423B75"/>
    <w:rsid w:val="09600591"/>
    <w:rsid w:val="09653653"/>
    <w:rsid w:val="0970453B"/>
    <w:rsid w:val="0983162C"/>
    <w:rsid w:val="09974E49"/>
    <w:rsid w:val="09BD0E2C"/>
    <w:rsid w:val="09C6642A"/>
    <w:rsid w:val="09CC13EC"/>
    <w:rsid w:val="09CF6F31"/>
    <w:rsid w:val="09E33668"/>
    <w:rsid w:val="0A014B4A"/>
    <w:rsid w:val="0A0165C2"/>
    <w:rsid w:val="0A2605EF"/>
    <w:rsid w:val="0A29786E"/>
    <w:rsid w:val="0A5336FE"/>
    <w:rsid w:val="0AB45767"/>
    <w:rsid w:val="0AE94316"/>
    <w:rsid w:val="0AF36519"/>
    <w:rsid w:val="0AF85B92"/>
    <w:rsid w:val="0AFA4183"/>
    <w:rsid w:val="0B036D53"/>
    <w:rsid w:val="0B094569"/>
    <w:rsid w:val="0B1C10B3"/>
    <w:rsid w:val="0B2B29FD"/>
    <w:rsid w:val="0B505197"/>
    <w:rsid w:val="0B653158"/>
    <w:rsid w:val="0B7D1FFD"/>
    <w:rsid w:val="0B7F2240"/>
    <w:rsid w:val="0B840F95"/>
    <w:rsid w:val="0BA41CDB"/>
    <w:rsid w:val="0BBD7D57"/>
    <w:rsid w:val="0BCD4C63"/>
    <w:rsid w:val="0BD41339"/>
    <w:rsid w:val="0BDB140A"/>
    <w:rsid w:val="0BDE3074"/>
    <w:rsid w:val="0BDF68B2"/>
    <w:rsid w:val="0BE97E8B"/>
    <w:rsid w:val="0BEE7CD6"/>
    <w:rsid w:val="0BFD182C"/>
    <w:rsid w:val="0BFD701C"/>
    <w:rsid w:val="0C07480C"/>
    <w:rsid w:val="0C0B2129"/>
    <w:rsid w:val="0C325FFF"/>
    <w:rsid w:val="0C366B7A"/>
    <w:rsid w:val="0C417D2C"/>
    <w:rsid w:val="0C5E6314"/>
    <w:rsid w:val="0C6C7A01"/>
    <w:rsid w:val="0C754A95"/>
    <w:rsid w:val="0C851F3C"/>
    <w:rsid w:val="0C92590F"/>
    <w:rsid w:val="0C9C1D21"/>
    <w:rsid w:val="0CBF19C9"/>
    <w:rsid w:val="0CBF7554"/>
    <w:rsid w:val="0CC95561"/>
    <w:rsid w:val="0CEA7A84"/>
    <w:rsid w:val="0CF11BBB"/>
    <w:rsid w:val="0CF464E3"/>
    <w:rsid w:val="0D23530D"/>
    <w:rsid w:val="0D2D6598"/>
    <w:rsid w:val="0D2F3B7E"/>
    <w:rsid w:val="0D346C56"/>
    <w:rsid w:val="0D4728C2"/>
    <w:rsid w:val="0D507578"/>
    <w:rsid w:val="0D5D6039"/>
    <w:rsid w:val="0D7520CD"/>
    <w:rsid w:val="0D81644E"/>
    <w:rsid w:val="0D8E6664"/>
    <w:rsid w:val="0DA556F4"/>
    <w:rsid w:val="0DB1587E"/>
    <w:rsid w:val="0DBB4D47"/>
    <w:rsid w:val="0DBD3F2B"/>
    <w:rsid w:val="0DBE26AE"/>
    <w:rsid w:val="0DC37C4B"/>
    <w:rsid w:val="0DE04FF7"/>
    <w:rsid w:val="0DF065E9"/>
    <w:rsid w:val="0DF25245"/>
    <w:rsid w:val="0DF81E0C"/>
    <w:rsid w:val="0E020192"/>
    <w:rsid w:val="0E073A79"/>
    <w:rsid w:val="0E106F2A"/>
    <w:rsid w:val="0E146012"/>
    <w:rsid w:val="0E1700C6"/>
    <w:rsid w:val="0E232583"/>
    <w:rsid w:val="0E2341A2"/>
    <w:rsid w:val="0E4152C5"/>
    <w:rsid w:val="0E4B7DB8"/>
    <w:rsid w:val="0E4F5E3A"/>
    <w:rsid w:val="0E6F684F"/>
    <w:rsid w:val="0E70375D"/>
    <w:rsid w:val="0E7B0734"/>
    <w:rsid w:val="0E951321"/>
    <w:rsid w:val="0E9B409C"/>
    <w:rsid w:val="0EAC46F6"/>
    <w:rsid w:val="0EB8319A"/>
    <w:rsid w:val="0EBC21D2"/>
    <w:rsid w:val="0EC77EA9"/>
    <w:rsid w:val="0ED660C5"/>
    <w:rsid w:val="0EE63367"/>
    <w:rsid w:val="0F0206A3"/>
    <w:rsid w:val="0F457A63"/>
    <w:rsid w:val="0F4B524E"/>
    <w:rsid w:val="0F5F6F25"/>
    <w:rsid w:val="0F7D511F"/>
    <w:rsid w:val="0F8B4796"/>
    <w:rsid w:val="0F8E45AC"/>
    <w:rsid w:val="0F944E4B"/>
    <w:rsid w:val="0FB465A9"/>
    <w:rsid w:val="0FD76BC3"/>
    <w:rsid w:val="0FD83E8C"/>
    <w:rsid w:val="0FDA7A1E"/>
    <w:rsid w:val="0FE25850"/>
    <w:rsid w:val="0FE45EF1"/>
    <w:rsid w:val="0FE57360"/>
    <w:rsid w:val="0FF27E1A"/>
    <w:rsid w:val="0FFA7610"/>
    <w:rsid w:val="0FFE7C6A"/>
    <w:rsid w:val="100017E2"/>
    <w:rsid w:val="101D546B"/>
    <w:rsid w:val="10250C2A"/>
    <w:rsid w:val="1032712F"/>
    <w:rsid w:val="10381E8C"/>
    <w:rsid w:val="103E151E"/>
    <w:rsid w:val="105E26E0"/>
    <w:rsid w:val="10702130"/>
    <w:rsid w:val="107C0C93"/>
    <w:rsid w:val="10852AB5"/>
    <w:rsid w:val="108C56E4"/>
    <w:rsid w:val="10A457FD"/>
    <w:rsid w:val="10A73935"/>
    <w:rsid w:val="10AB230B"/>
    <w:rsid w:val="10C009BC"/>
    <w:rsid w:val="10C50306"/>
    <w:rsid w:val="10CA399E"/>
    <w:rsid w:val="10E84A0F"/>
    <w:rsid w:val="10FC5772"/>
    <w:rsid w:val="10FE4FEC"/>
    <w:rsid w:val="11053052"/>
    <w:rsid w:val="11095AE5"/>
    <w:rsid w:val="11134EFD"/>
    <w:rsid w:val="1113685D"/>
    <w:rsid w:val="1132332E"/>
    <w:rsid w:val="11410E7A"/>
    <w:rsid w:val="11474649"/>
    <w:rsid w:val="11632FBD"/>
    <w:rsid w:val="11736482"/>
    <w:rsid w:val="117B69AE"/>
    <w:rsid w:val="11BF168E"/>
    <w:rsid w:val="11C35DF5"/>
    <w:rsid w:val="11CB03D5"/>
    <w:rsid w:val="11CB71A7"/>
    <w:rsid w:val="11D3366C"/>
    <w:rsid w:val="11E36E77"/>
    <w:rsid w:val="11EB0205"/>
    <w:rsid w:val="12053623"/>
    <w:rsid w:val="121D25F8"/>
    <w:rsid w:val="121F0AC2"/>
    <w:rsid w:val="12287632"/>
    <w:rsid w:val="12476CAF"/>
    <w:rsid w:val="124A3DA7"/>
    <w:rsid w:val="12616EDA"/>
    <w:rsid w:val="126273B8"/>
    <w:rsid w:val="126F5496"/>
    <w:rsid w:val="127668FD"/>
    <w:rsid w:val="128400C0"/>
    <w:rsid w:val="12906D89"/>
    <w:rsid w:val="12BA5D88"/>
    <w:rsid w:val="12C14AF0"/>
    <w:rsid w:val="12CC72B7"/>
    <w:rsid w:val="12CD5EF3"/>
    <w:rsid w:val="12D30092"/>
    <w:rsid w:val="12EA43E0"/>
    <w:rsid w:val="12F207FB"/>
    <w:rsid w:val="12FE0B24"/>
    <w:rsid w:val="130B0F50"/>
    <w:rsid w:val="130F4CDF"/>
    <w:rsid w:val="13375DFC"/>
    <w:rsid w:val="135C032C"/>
    <w:rsid w:val="137B44B3"/>
    <w:rsid w:val="13826EF9"/>
    <w:rsid w:val="138867E1"/>
    <w:rsid w:val="138C7E6B"/>
    <w:rsid w:val="138F7936"/>
    <w:rsid w:val="13953E25"/>
    <w:rsid w:val="13A35C64"/>
    <w:rsid w:val="13D62E35"/>
    <w:rsid w:val="13F11D0A"/>
    <w:rsid w:val="13FB2E7D"/>
    <w:rsid w:val="14033ACD"/>
    <w:rsid w:val="141E1D6C"/>
    <w:rsid w:val="142D4436"/>
    <w:rsid w:val="1433604E"/>
    <w:rsid w:val="143F6249"/>
    <w:rsid w:val="145A1F77"/>
    <w:rsid w:val="146E11DB"/>
    <w:rsid w:val="147514AC"/>
    <w:rsid w:val="14921D75"/>
    <w:rsid w:val="149245B7"/>
    <w:rsid w:val="14A20EF9"/>
    <w:rsid w:val="14A47A00"/>
    <w:rsid w:val="14B27322"/>
    <w:rsid w:val="14B91B57"/>
    <w:rsid w:val="14C12672"/>
    <w:rsid w:val="14C57338"/>
    <w:rsid w:val="14C93A9A"/>
    <w:rsid w:val="14D41C07"/>
    <w:rsid w:val="14D6556D"/>
    <w:rsid w:val="14F46355"/>
    <w:rsid w:val="14F67AD6"/>
    <w:rsid w:val="15011594"/>
    <w:rsid w:val="151D38EF"/>
    <w:rsid w:val="15215F12"/>
    <w:rsid w:val="154C1F83"/>
    <w:rsid w:val="1551497C"/>
    <w:rsid w:val="155E206D"/>
    <w:rsid w:val="156430AD"/>
    <w:rsid w:val="15686A35"/>
    <w:rsid w:val="156B01DE"/>
    <w:rsid w:val="15853975"/>
    <w:rsid w:val="158C2283"/>
    <w:rsid w:val="159B2CF7"/>
    <w:rsid w:val="15A63383"/>
    <w:rsid w:val="15B6375D"/>
    <w:rsid w:val="15CC19D4"/>
    <w:rsid w:val="15CD3AFF"/>
    <w:rsid w:val="15CF00B7"/>
    <w:rsid w:val="15DF1880"/>
    <w:rsid w:val="15E45D42"/>
    <w:rsid w:val="15E74779"/>
    <w:rsid w:val="15ED05A6"/>
    <w:rsid w:val="15F17251"/>
    <w:rsid w:val="1610756A"/>
    <w:rsid w:val="16136E2F"/>
    <w:rsid w:val="161B669A"/>
    <w:rsid w:val="163776FC"/>
    <w:rsid w:val="16591530"/>
    <w:rsid w:val="166859A0"/>
    <w:rsid w:val="1674081C"/>
    <w:rsid w:val="169D65C8"/>
    <w:rsid w:val="16A35FDC"/>
    <w:rsid w:val="16A45129"/>
    <w:rsid w:val="16AE7A47"/>
    <w:rsid w:val="16B54FFC"/>
    <w:rsid w:val="16C378D0"/>
    <w:rsid w:val="16CB369D"/>
    <w:rsid w:val="16D853A9"/>
    <w:rsid w:val="16D86DA9"/>
    <w:rsid w:val="16DB628A"/>
    <w:rsid w:val="170D375B"/>
    <w:rsid w:val="170E7DF5"/>
    <w:rsid w:val="17296A1B"/>
    <w:rsid w:val="17310418"/>
    <w:rsid w:val="174213A1"/>
    <w:rsid w:val="1747404C"/>
    <w:rsid w:val="17584769"/>
    <w:rsid w:val="175D7687"/>
    <w:rsid w:val="17777043"/>
    <w:rsid w:val="17781027"/>
    <w:rsid w:val="17827B30"/>
    <w:rsid w:val="179C7FCB"/>
    <w:rsid w:val="17B978D0"/>
    <w:rsid w:val="17C47DC2"/>
    <w:rsid w:val="17E26153"/>
    <w:rsid w:val="17F203A8"/>
    <w:rsid w:val="17FA3987"/>
    <w:rsid w:val="181A45F4"/>
    <w:rsid w:val="18232A46"/>
    <w:rsid w:val="182C7857"/>
    <w:rsid w:val="183335A7"/>
    <w:rsid w:val="18403DE3"/>
    <w:rsid w:val="18464C88"/>
    <w:rsid w:val="184D4BA4"/>
    <w:rsid w:val="185F4FAB"/>
    <w:rsid w:val="187E51B4"/>
    <w:rsid w:val="18841379"/>
    <w:rsid w:val="188F5267"/>
    <w:rsid w:val="18977571"/>
    <w:rsid w:val="18B20267"/>
    <w:rsid w:val="18B77D0D"/>
    <w:rsid w:val="18BE3BA5"/>
    <w:rsid w:val="18BE7CA7"/>
    <w:rsid w:val="18C25A33"/>
    <w:rsid w:val="18D76BB6"/>
    <w:rsid w:val="19090609"/>
    <w:rsid w:val="19093A9E"/>
    <w:rsid w:val="191C2E55"/>
    <w:rsid w:val="19205850"/>
    <w:rsid w:val="193C36BB"/>
    <w:rsid w:val="194153A8"/>
    <w:rsid w:val="194E00C1"/>
    <w:rsid w:val="19696900"/>
    <w:rsid w:val="19707C0A"/>
    <w:rsid w:val="19754B7A"/>
    <w:rsid w:val="198253AE"/>
    <w:rsid w:val="198F7DD1"/>
    <w:rsid w:val="19931150"/>
    <w:rsid w:val="199B7D35"/>
    <w:rsid w:val="19A12B2A"/>
    <w:rsid w:val="19A849BF"/>
    <w:rsid w:val="19BF6B37"/>
    <w:rsid w:val="19C451C0"/>
    <w:rsid w:val="19D32B92"/>
    <w:rsid w:val="19FC38D3"/>
    <w:rsid w:val="19FE1017"/>
    <w:rsid w:val="1A0B136E"/>
    <w:rsid w:val="1A4F690C"/>
    <w:rsid w:val="1A631281"/>
    <w:rsid w:val="1A67778E"/>
    <w:rsid w:val="1A6E4D99"/>
    <w:rsid w:val="1A726054"/>
    <w:rsid w:val="1A753591"/>
    <w:rsid w:val="1A8102AE"/>
    <w:rsid w:val="1A942A52"/>
    <w:rsid w:val="1AC8608D"/>
    <w:rsid w:val="1ACC6416"/>
    <w:rsid w:val="1ADA2480"/>
    <w:rsid w:val="1AE552DE"/>
    <w:rsid w:val="1AF55AD7"/>
    <w:rsid w:val="1AF85414"/>
    <w:rsid w:val="1AFB15D3"/>
    <w:rsid w:val="1B096D4A"/>
    <w:rsid w:val="1B3874C2"/>
    <w:rsid w:val="1B422D4A"/>
    <w:rsid w:val="1B54411C"/>
    <w:rsid w:val="1B861CEA"/>
    <w:rsid w:val="1B8A054A"/>
    <w:rsid w:val="1BAB5731"/>
    <w:rsid w:val="1BB03947"/>
    <w:rsid w:val="1BC073F8"/>
    <w:rsid w:val="1BC53BE1"/>
    <w:rsid w:val="1BC71B7A"/>
    <w:rsid w:val="1BD1045D"/>
    <w:rsid w:val="1BE15102"/>
    <w:rsid w:val="1C08536C"/>
    <w:rsid w:val="1C3F779A"/>
    <w:rsid w:val="1C465FAA"/>
    <w:rsid w:val="1C474536"/>
    <w:rsid w:val="1C603D5A"/>
    <w:rsid w:val="1C624755"/>
    <w:rsid w:val="1C646D36"/>
    <w:rsid w:val="1C820505"/>
    <w:rsid w:val="1C864A21"/>
    <w:rsid w:val="1C9D0AAB"/>
    <w:rsid w:val="1CA1438C"/>
    <w:rsid w:val="1CAA5EC6"/>
    <w:rsid w:val="1CAB4073"/>
    <w:rsid w:val="1CB45D9E"/>
    <w:rsid w:val="1CB97E53"/>
    <w:rsid w:val="1CD53A5F"/>
    <w:rsid w:val="1D0656B9"/>
    <w:rsid w:val="1D197B7C"/>
    <w:rsid w:val="1D213AF7"/>
    <w:rsid w:val="1D3117D0"/>
    <w:rsid w:val="1D4E1ACA"/>
    <w:rsid w:val="1D632BAB"/>
    <w:rsid w:val="1D6A5C3E"/>
    <w:rsid w:val="1D7D0597"/>
    <w:rsid w:val="1D7E5C8E"/>
    <w:rsid w:val="1D8450B1"/>
    <w:rsid w:val="1DA5212C"/>
    <w:rsid w:val="1DB17B34"/>
    <w:rsid w:val="1DB75EB7"/>
    <w:rsid w:val="1DCC3D2B"/>
    <w:rsid w:val="1DD56871"/>
    <w:rsid w:val="1DEA4177"/>
    <w:rsid w:val="1DF47525"/>
    <w:rsid w:val="1E01429B"/>
    <w:rsid w:val="1E052C35"/>
    <w:rsid w:val="1E054696"/>
    <w:rsid w:val="1E077B3D"/>
    <w:rsid w:val="1E0873CC"/>
    <w:rsid w:val="1E170912"/>
    <w:rsid w:val="1E290DBC"/>
    <w:rsid w:val="1E347DB9"/>
    <w:rsid w:val="1E410386"/>
    <w:rsid w:val="1E4752C4"/>
    <w:rsid w:val="1E593EEF"/>
    <w:rsid w:val="1E64666F"/>
    <w:rsid w:val="1E717FDF"/>
    <w:rsid w:val="1E881CB1"/>
    <w:rsid w:val="1E945B97"/>
    <w:rsid w:val="1EAF5F3C"/>
    <w:rsid w:val="1EB0087E"/>
    <w:rsid w:val="1EB83BF5"/>
    <w:rsid w:val="1EBA05F9"/>
    <w:rsid w:val="1ECB0460"/>
    <w:rsid w:val="1EE00E4C"/>
    <w:rsid w:val="1EF32A87"/>
    <w:rsid w:val="1EFC5BFB"/>
    <w:rsid w:val="1F004D9B"/>
    <w:rsid w:val="1F031592"/>
    <w:rsid w:val="1F0E3F3F"/>
    <w:rsid w:val="1F0F1896"/>
    <w:rsid w:val="1F0F19B1"/>
    <w:rsid w:val="1F2C0C32"/>
    <w:rsid w:val="1F3A06CD"/>
    <w:rsid w:val="1F50594B"/>
    <w:rsid w:val="1F610A5A"/>
    <w:rsid w:val="1F677ABC"/>
    <w:rsid w:val="1F693DD6"/>
    <w:rsid w:val="1F7A0F0F"/>
    <w:rsid w:val="1F8F7B9C"/>
    <w:rsid w:val="1FA9279F"/>
    <w:rsid w:val="1FAA5242"/>
    <w:rsid w:val="1FAD1D43"/>
    <w:rsid w:val="1FAF2E88"/>
    <w:rsid w:val="1FBE5490"/>
    <w:rsid w:val="1FDB32B2"/>
    <w:rsid w:val="1FDB6889"/>
    <w:rsid w:val="1FE059E6"/>
    <w:rsid w:val="1FE07075"/>
    <w:rsid w:val="1FE320D9"/>
    <w:rsid w:val="20022746"/>
    <w:rsid w:val="200C32FC"/>
    <w:rsid w:val="200E6332"/>
    <w:rsid w:val="20504A23"/>
    <w:rsid w:val="205D6A7E"/>
    <w:rsid w:val="206F2542"/>
    <w:rsid w:val="20794048"/>
    <w:rsid w:val="20841250"/>
    <w:rsid w:val="208E3BCE"/>
    <w:rsid w:val="20A64E1E"/>
    <w:rsid w:val="20B13608"/>
    <w:rsid w:val="20C15F92"/>
    <w:rsid w:val="20D2403D"/>
    <w:rsid w:val="20DF19CB"/>
    <w:rsid w:val="20DF62A0"/>
    <w:rsid w:val="20EC3AE1"/>
    <w:rsid w:val="20F213A9"/>
    <w:rsid w:val="210B39F0"/>
    <w:rsid w:val="21174678"/>
    <w:rsid w:val="211A0A87"/>
    <w:rsid w:val="21420090"/>
    <w:rsid w:val="2147436B"/>
    <w:rsid w:val="215830DF"/>
    <w:rsid w:val="21612C11"/>
    <w:rsid w:val="217A2679"/>
    <w:rsid w:val="217B6B45"/>
    <w:rsid w:val="21901C6C"/>
    <w:rsid w:val="21910EA5"/>
    <w:rsid w:val="21A61719"/>
    <w:rsid w:val="21B60E10"/>
    <w:rsid w:val="21B66021"/>
    <w:rsid w:val="21B93877"/>
    <w:rsid w:val="21BB576E"/>
    <w:rsid w:val="21C5083C"/>
    <w:rsid w:val="21E431E7"/>
    <w:rsid w:val="21EC3696"/>
    <w:rsid w:val="220A3853"/>
    <w:rsid w:val="22211305"/>
    <w:rsid w:val="22235027"/>
    <w:rsid w:val="22237B22"/>
    <w:rsid w:val="222A6A6C"/>
    <w:rsid w:val="22310679"/>
    <w:rsid w:val="224118D5"/>
    <w:rsid w:val="22432047"/>
    <w:rsid w:val="224E061C"/>
    <w:rsid w:val="225E0FC4"/>
    <w:rsid w:val="22670B30"/>
    <w:rsid w:val="228C70FF"/>
    <w:rsid w:val="228F3215"/>
    <w:rsid w:val="22964988"/>
    <w:rsid w:val="22AB1A52"/>
    <w:rsid w:val="22AE54AB"/>
    <w:rsid w:val="22B07690"/>
    <w:rsid w:val="22B72F8D"/>
    <w:rsid w:val="22D67E4D"/>
    <w:rsid w:val="22DA102D"/>
    <w:rsid w:val="22E13B56"/>
    <w:rsid w:val="231426CB"/>
    <w:rsid w:val="231A53DC"/>
    <w:rsid w:val="231F0B79"/>
    <w:rsid w:val="23255838"/>
    <w:rsid w:val="232C6837"/>
    <w:rsid w:val="233876DC"/>
    <w:rsid w:val="233D2589"/>
    <w:rsid w:val="233F29DA"/>
    <w:rsid w:val="23403BE4"/>
    <w:rsid w:val="2342123A"/>
    <w:rsid w:val="23453250"/>
    <w:rsid w:val="23502AED"/>
    <w:rsid w:val="23513562"/>
    <w:rsid w:val="2353345A"/>
    <w:rsid w:val="23547E4D"/>
    <w:rsid w:val="235E79B6"/>
    <w:rsid w:val="239670AB"/>
    <w:rsid w:val="23D802C6"/>
    <w:rsid w:val="23DC205C"/>
    <w:rsid w:val="23DD151B"/>
    <w:rsid w:val="23E31E2C"/>
    <w:rsid w:val="23F154D8"/>
    <w:rsid w:val="23F817DE"/>
    <w:rsid w:val="23FC2E84"/>
    <w:rsid w:val="242416B3"/>
    <w:rsid w:val="242849CB"/>
    <w:rsid w:val="242D1BFA"/>
    <w:rsid w:val="242D259E"/>
    <w:rsid w:val="244814CF"/>
    <w:rsid w:val="244E526C"/>
    <w:rsid w:val="24561884"/>
    <w:rsid w:val="245A5890"/>
    <w:rsid w:val="245A5C01"/>
    <w:rsid w:val="24600CE8"/>
    <w:rsid w:val="24710B7D"/>
    <w:rsid w:val="24771887"/>
    <w:rsid w:val="24912E0F"/>
    <w:rsid w:val="24934201"/>
    <w:rsid w:val="24A634C6"/>
    <w:rsid w:val="24B4785E"/>
    <w:rsid w:val="24BA64E4"/>
    <w:rsid w:val="24C500D8"/>
    <w:rsid w:val="24E11F4A"/>
    <w:rsid w:val="24FB0A58"/>
    <w:rsid w:val="250E7F7F"/>
    <w:rsid w:val="25295A79"/>
    <w:rsid w:val="25414523"/>
    <w:rsid w:val="254A29F0"/>
    <w:rsid w:val="254D7E1A"/>
    <w:rsid w:val="25585D32"/>
    <w:rsid w:val="25B94092"/>
    <w:rsid w:val="25CD74DC"/>
    <w:rsid w:val="25D121E1"/>
    <w:rsid w:val="25F01041"/>
    <w:rsid w:val="2604404A"/>
    <w:rsid w:val="26076916"/>
    <w:rsid w:val="262413A8"/>
    <w:rsid w:val="2633498F"/>
    <w:rsid w:val="265107AF"/>
    <w:rsid w:val="26513591"/>
    <w:rsid w:val="265832E5"/>
    <w:rsid w:val="26604043"/>
    <w:rsid w:val="268266D9"/>
    <w:rsid w:val="26880147"/>
    <w:rsid w:val="268C4178"/>
    <w:rsid w:val="268E1F38"/>
    <w:rsid w:val="268F110A"/>
    <w:rsid w:val="26A2127F"/>
    <w:rsid w:val="26A47737"/>
    <w:rsid w:val="26A566F0"/>
    <w:rsid w:val="26D07DC7"/>
    <w:rsid w:val="26F53C3C"/>
    <w:rsid w:val="27102320"/>
    <w:rsid w:val="272123F7"/>
    <w:rsid w:val="27301F38"/>
    <w:rsid w:val="273A2AFE"/>
    <w:rsid w:val="273B5F22"/>
    <w:rsid w:val="273F2577"/>
    <w:rsid w:val="274F2F61"/>
    <w:rsid w:val="27684ABB"/>
    <w:rsid w:val="277546BE"/>
    <w:rsid w:val="277F2613"/>
    <w:rsid w:val="279679F3"/>
    <w:rsid w:val="27AB7CF8"/>
    <w:rsid w:val="27CE5442"/>
    <w:rsid w:val="27DC1611"/>
    <w:rsid w:val="27EC05FC"/>
    <w:rsid w:val="2805039A"/>
    <w:rsid w:val="280A085A"/>
    <w:rsid w:val="280F2499"/>
    <w:rsid w:val="281109A6"/>
    <w:rsid w:val="281915DE"/>
    <w:rsid w:val="282034FC"/>
    <w:rsid w:val="284E076E"/>
    <w:rsid w:val="286449C2"/>
    <w:rsid w:val="286A596C"/>
    <w:rsid w:val="286B08D8"/>
    <w:rsid w:val="28701061"/>
    <w:rsid w:val="28874178"/>
    <w:rsid w:val="289A754C"/>
    <w:rsid w:val="28A733CE"/>
    <w:rsid w:val="28B64B0E"/>
    <w:rsid w:val="28C42045"/>
    <w:rsid w:val="28C561D9"/>
    <w:rsid w:val="28DF6388"/>
    <w:rsid w:val="28F57593"/>
    <w:rsid w:val="29150C1F"/>
    <w:rsid w:val="292B036D"/>
    <w:rsid w:val="29485F41"/>
    <w:rsid w:val="29561917"/>
    <w:rsid w:val="295966C7"/>
    <w:rsid w:val="297E257E"/>
    <w:rsid w:val="29871CC3"/>
    <w:rsid w:val="29B97196"/>
    <w:rsid w:val="29CB5CA6"/>
    <w:rsid w:val="29D82903"/>
    <w:rsid w:val="29DA5A4E"/>
    <w:rsid w:val="29DD1E0E"/>
    <w:rsid w:val="2A001770"/>
    <w:rsid w:val="2A0C6D1E"/>
    <w:rsid w:val="2A147325"/>
    <w:rsid w:val="2A2004DD"/>
    <w:rsid w:val="2A422ADF"/>
    <w:rsid w:val="2A4B754A"/>
    <w:rsid w:val="2A575F99"/>
    <w:rsid w:val="2A59017D"/>
    <w:rsid w:val="2A67719A"/>
    <w:rsid w:val="2A6A3954"/>
    <w:rsid w:val="2A862F5D"/>
    <w:rsid w:val="2A91633E"/>
    <w:rsid w:val="2AA34F23"/>
    <w:rsid w:val="2AAA33C4"/>
    <w:rsid w:val="2ABC0D70"/>
    <w:rsid w:val="2AD16847"/>
    <w:rsid w:val="2ADD14DD"/>
    <w:rsid w:val="2AE07F86"/>
    <w:rsid w:val="2AED555A"/>
    <w:rsid w:val="2AEF0276"/>
    <w:rsid w:val="2B110BFD"/>
    <w:rsid w:val="2B117EE6"/>
    <w:rsid w:val="2B181F13"/>
    <w:rsid w:val="2B2679A2"/>
    <w:rsid w:val="2B337600"/>
    <w:rsid w:val="2B4531B8"/>
    <w:rsid w:val="2B7604E2"/>
    <w:rsid w:val="2B86072F"/>
    <w:rsid w:val="2B9B40AD"/>
    <w:rsid w:val="2BA973BF"/>
    <w:rsid w:val="2BAC03FB"/>
    <w:rsid w:val="2BB31CF8"/>
    <w:rsid w:val="2BB965C0"/>
    <w:rsid w:val="2BC43303"/>
    <w:rsid w:val="2BC61A6F"/>
    <w:rsid w:val="2BC62080"/>
    <w:rsid w:val="2BC745B0"/>
    <w:rsid w:val="2BCE1C3A"/>
    <w:rsid w:val="2BD47143"/>
    <w:rsid w:val="2C0306FF"/>
    <w:rsid w:val="2C0E6BA1"/>
    <w:rsid w:val="2C223010"/>
    <w:rsid w:val="2C234D1E"/>
    <w:rsid w:val="2C3A5C79"/>
    <w:rsid w:val="2C436F5F"/>
    <w:rsid w:val="2C484BA7"/>
    <w:rsid w:val="2C520C10"/>
    <w:rsid w:val="2C7A0602"/>
    <w:rsid w:val="2C936FCE"/>
    <w:rsid w:val="2CAE0848"/>
    <w:rsid w:val="2CB6049A"/>
    <w:rsid w:val="2CDB5B71"/>
    <w:rsid w:val="2CFF368A"/>
    <w:rsid w:val="2D0228D7"/>
    <w:rsid w:val="2D064D5F"/>
    <w:rsid w:val="2D0B7785"/>
    <w:rsid w:val="2D1000E1"/>
    <w:rsid w:val="2D130CDD"/>
    <w:rsid w:val="2D2F54EF"/>
    <w:rsid w:val="2D3403FC"/>
    <w:rsid w:val="2D3F0917"/>
    <w:rsid w:val="2D400C10"/>
    <w:rsid w:val="2D467292"/>
    <w:rsid w:val="2D475E7A"/>
    <w:rsid w:val="2D5321CD"/>
    <w:rsid w:val="2D5533D4"/>
    <w:rsid w:val="2D75253D"/>
    <w:rsid w:val="2D7961B7"/>
    <w:rsid w:val="2D7B6574"/>
    <w:rsid w:val="2D816055"/>
    <w:rsid w:val="2D8E37EF"/>
    <w:rsid w:val="2D96306E"/>
    <w:rsid w:val="2DA5274D"/>
    <w:rsid w:val="2DB76961"/>
    <w:rsid w:val="2DBC2D82"/>
    <w:rsid w:val="2DBD1A18"/>
    <w:rsid w:val="2DD04B8D"/>
    <w:rsid w:val="2DF41946"/>
    <w:rsid w:val="2DF80C6B"/>
    <w:rsid w:val="2DFD2D2A"/>
    <w:rsid w:val="2E0E72BE"/>
    <w:rsid w:val="2E3A6CF5"/>
    <w:rsid w:val="2E4B3F3C"/>
    <w:rsid w:val="2E4D0124"/>
    <w:rsid w:val="2E4F6418"/>
    <w:rsid w:val="2E660C44"/>
    <w:rsid w:val="2E6730C1"/>
    <w:rsid w:val="2E693FEF"/>
    <w:rsid w:val="2E8F3CFA"/>
    <w:rsid w:val="2E94771C"/>
    <w:rsid w:val="2EB201D9"/>
    <w:rsid w:val="2EF00A96"/>
    <w:rsid w:val="2F042803"/>
    <w:rsid w:val="2F355BCF"/>
    <w:rsid w:val="2F436B76"/>
    <w:rsid w:val="2F4B026F"/>
    <w:rsid w:val="2F563BFD"/>
    <w:rsid w:val="2F5E262D"/>
    <w:rsid w:val="2F63034E"/>
    <w:rsid w:val="2F7D2661"/>
    <w:rsid w:val="2F8355B5"/>
    <w:rsid w:val="2F9E628E"/>
    <w:rsid w:val="2FB021B0"/>
    <w:rsid w:val="2FBF6CB7"/>
    <w:rsid w:val="2FE74586"/>
    <w:rsid w:val="2FFC3FA9"/>
    <w:rsid w:val="300633F7"/>
    <w:rsid w:val="300D6409"/>
    <w:rsid w:val="30113BF6"/>
    <w:rsid w:val="301B7FD8"/>
    <w:rsid w:val="30232200"/>
    <w:rsid w:val="30356CF7"/>
    <w:rsid w:val="30383EA5"/>
    <w:rsid w:val="30393EF6"/>
    <w:rsid w:val="304A181A"/>
    <w:rsid w:val="304D433A"/>
    <w:rsid w:val="305E4DE3"/>
    <w:rsid w:val="30650DC6"/>
    <w:rsid w:val="3070271E"/>
    <w:rsid w:val="307911B4"/>
    <w:rsid w:val="307B314E"/>
    <w:rsid w:val="30A02BD6"/>
    <w:rsid w:val="30AB3AD7"/>
    <w:rsid w:val="30C16364"/>
    <w:rsid w:val="30FC4B1E"/>
    <w:rsid w:val="30FD2EA0"/>
    <w:rsid w:val="311174F5"/>
    <w:rsid w:val="3114323C"/>
    <w:rsid w:val="312E6C33"/>
    <w:rsid w:val="3135410A"/>
    <w:rsid w:val="3149149A"/>
    <w:rsid w:val="314D5143"/>
    <w:rsid w:val="31534C46"/>
    <w:rsid w:val="31606E00"/>
    <w:rsid w:val="3168639F"/>
    <w:rsid w:val="31741D61"/>
    <w:rsid w:val="3199032F"/>
    <w:rsid w:val="319B4AAD"/>
    <w:rsid w:val="31CF5EDD"/>
    <w:rsid w:val="3203266B"/>
    <w:rsid w:val="32044096"/>
    <w:rsid w:val="320C3980"/>
    <w:rsid w:val="320E382B"/>
    <w:rsid w:val="32184301"/>
    <w:rsid w:val="325A54E8"/>
    <w:rsid w:val="325F4087"/>
    <w:rsid w:val="32A9622C"/>
    <w:rsid w:val="32B07776"/>
    <w:rsid w:val="32B31CD1"/>
    <w:rsid w:val="32CB2F5E"/>
    <w:rsid w:val="32D429C0"/>
    <w:rsid w:val="32DF4F4B"/>
    <w:rsid w:val="32E024AA"/>
    <w:rsid w:val="32E15043"/>
    <w:rsid w:val="32E73C83"/>
    <w:rsid w:val="32E866F1"/>
    <w:rsid w:val="32EA0BEA"/>
    <w:rsid w:val="33046D40"/>
    <w:rsid w:val="33310A23"/>
    <w:rsid w:val="33402CB8"/>
    <w:rsid w:val="334A4FD9"/>
    <w:rsid w:val="335F0CA3"/>
    <w:rsid w:val="33602E32"/>
    <w:rsid w:val="336E4816"/>
    <w:rsid w:val="337A018F"/>
    <w:rsid w:val="337A0276"/>
    <w:rsid w:val="33B07EDA"/>
    <w:rsid w:val="33D66F21"/>
    <w:rsid w:val="33DC2422"/>
    <w:rsid w:val="33DE6588"/>
    <w:rsid w:val="33FB4198"/>
    <w:rsid w:val="33FE36E4"/>
    <w:rsid w:val="343904AE"/>
    <w:rsid w:val="3451362E"/>
    <w:rsid w:val="34653293"/>
    <w:rsid w:val="34671568"/>
    <w:rsid w:val="347B5F9E"/>
    <w:rsid w:val="34927D9F"/>
    <w:rsid w:val="34996365"/>
    <w:rsid w:val="349C4D58"/>
    <w:rsid w:val="34A67989"/>
    <w:rsid w:val="34B13158"/>
    <w:rsid w:val="34BE64FD"/>
    <w:rsid w:val="34D1004F"/>
    <w:rsid w:val="34D43597"/>
    <w:rsid w:val="34F76965"/>
    <w:rsid w:val="34FB2BFA"/>
    <w:rsid w:val="351566A0"/>
    <w:rsid w:val="352A3C5B"/>
    <w:rsid w:val="354002A2"/>
    <w:rsid w:val="35566E20"/>
    <w:rsid w:val="35637093"/>
    <w:rsid w:val="35642B71"/>
    <w:rsid w:val="356C1A30"/>
    <w:rsid w:val="35764F64"/>
    <w:rsid w:val="35860B74"/>
    <w:rsid w:val="359B6990"/>
    <w:rsid w:val="359D7E31"/>
    <w:rsid w:val="35B82A01"/>
    <w:rsid w:val="35C15A78"/>
    <w:rsid w:val="35CA680B"/>
    <w:rsid w:val="35CF579B"/>
    <w:rsid w:val="35D078C6"/>
    <w:rsid w:val="35DE51D0"/>
    <w:rsid w:val="35E34FE2"/>
    <w:rsid w:val="35FD4A2E"/>
    <w:rsid w:val="36114705"/>
    <w:rsid w:val="3618764A"/>
    <w:rsid w:val="361B02C4"/>
    <w:rsid w:val="36230ADB"/>
    <w:rsid w:val="362D5AB6"/>
    <w:rsid w:val="36535546"/>
    <w:rsid w:val="36780540"/>
    <w:rsid w:val="367F418B"/>
    <w:rsid w:val="368C2615"/>
    <w:rsid w:val="36A97035"/>
    <w:rsid w:val="36EA2E8D"/>
    <w:rsid w:val="37200B07"/>
    <w:rsid w:val="372B65A6"/>
    <w:rsid w:val="37356E1E"/>
    <w:rsid w:val="3749298B"/>
    <w:rsid w:val="376436EA"/>
    <w:rsid w:val="3776411B"/>
    <w:rsid w:val="37821EA6"/>
    <w:rsid w:val="37913F6D"/>
    <w:rsid w:val="3794497F"/>
    <w:rsid w:val="37A4748D"/>
    <w:rsid w:val="37B84853"/>
    <w:rsid w:val="37B92B12"/>
    <w:rsid w:val="37F332A3"/>
    <w:rsid w:val="38005B02"/>
    <w:rsid w:val="381072ED"/>
    <w:rsid w:val="381C42E2"/>
    <w:rsid w:val="38216989"/>
    <w:rsid w:val="382F3B56"/>
    <w:rsid w:val="38357C60"/>
    <w:rsid w:val="383E109A"/>
    <w:rsid w:val="387E3C97"/>
    <w:rsid w:val="389970B8"/>
    <w:rsid w:val="38C476A9"/>
    <w:rsid w:val="38D14710"/>
    <w:rsid w:val="38DB3435"/>
    <w:rsid w:val="38E8660F"/>
    <w:rsid w:val="38EA24F3"/>
    <w:rsid w:val="38FD2513"/>
    <w:rsid w:val="38FD6E1C"/>
    <w:rsid w:val="38FF7072"/>
    <w:rsid w:val="390C7DD5"/>
    <w:rsid w:val="391645D1"/>
    <w:rsid w:val="39220281"/>
    <w:rsid w:val="392E1315"/>
    <w:rsid w:val="39341C5A"/>
    <w:rsid w:val="393D76B3"/>
    <w:rsid w:val="395B6F4C"/>
    <w:rsid w:val="39607B46"/>
    <w:rsid w:val="39760769"/>
    <w:rsid w:val="398855FD"/>
    <w:rsid w:val="398C41F1"/>
    <w:rsid w:val="398E6E49"/>
    <w:rsid w:val="39991158"/>
    <w:rsid w:val="39A9748A"/>
    <w:rsid w:val="39AC7AA2"/>
    <w:rsid w:val="39B23DFF"/>
    <w:rsid w:val="39B81AC8"/>
    <w:rsid w:val="39C2782D"/>
    <w:rsid w:val="39C37CF9"/>
    <w:rsid w:val="39D31B46"/>
    <w:rsid w:val="39D4453D"/>
    <w:rsid w:val="39F66877"/>
    <w:rsid w:val="3A063029"/>
    <w:rsid w:val="3A2B1C4D"/>
    <w:rsid w:val="3A6806CC"/>
    <w:rsid w:val="3A79025B"/>
    <w:rsid w:val="3A79500B"/>
    <w:rsid w:val="3A7F4156"/>
    <w:rsid w:val="3A84337B"/>
    <w:rsid w:val="3A934393"/>
    <w:rsid w:val="3A9707CE"/>
    <w:rsid w:val="3A98382E"/>
    <w:rsid w:val="3AA11861"/>
    <w:rsid w:val="3ACB3B14"/>
    <w:rsid w:val="3AD76523"/>
    <w:rsid w:val="3AE172B2"/>
    <w:rsid w:val="3AF95CA4"/>
    <w:rsid w:val="3B0A6B5A"/>
    <w:rsid w:val="3B397455"/>
    <w:rsid w:val="3B457983"/>
    <w:rsid w:val="3B8170D6"/>
    <w:rsid w:val="3B8D791F"/>
    <w:rsid w:val="3BAD2A98"/>
    <w:rsid w:val="3BCC73C9"/>
    <w:rsid w:val="3BDB12E2"/>
    <w:rsid w:val="3BE717FE"/>
    <w:rsid w:val="3C002B89"/>
    <w:rsid w:val="3C12242C"/>
    <w:rsid w:val="3C1B73B6"/>
    <w:rsid w:val="3C1C54F2"/>
    <w:rsid w:val="3C3C6499"/>
    <w:rsid w:val="3C4077D7"/>
    <w:rsid w:val="3C53755B"/>
    <w:rsid w:val="3C5E5053"/>
    <w:rsid w:val="3C7F729A"/>
    <w:rsid w:val="3C851966"/>
    <w:rsid w:val="3C8856E5"/>
    <w:rsid w:val="3C892D71"/>
    <w:rsid w:val="3C8A12AA"/>
    <w:rsid w:val="3C9A4090"/>
    <w:rsid w:val="3CAF1C2F"/>
    <w:rsid w:val="3CBF4B0D"/>
    <w:rsid w:val="3CCB7977"/>
    <w:rsid w:val="3CD736D4"/>
    <w:rsid w:val="3CF7402E"/>
    <w:rsid w:val="3D102E9C"/>
    <w:rsid w:val="3D180BD2"/>
    <w:rsid w:val="3D383CB7"/>
    <w:rsid w:val="3D4E07D5"/>
    <w:rsid w:val="3D4E4165"/>
    <w:rsid w:val="3D5B6314"/>
    <w:rsid w:val="3D6B637D"/>
    <w:rsid w:val="3D70575F"/>
    <w:rsid w:val="3D716DEF"/>
    <w:rsid w:val="3D7B073B"/>
    <w:rsid w:val="3D886524"/>
    <w:rsid w:val="3DAA5F13"/>
    <w:rsid w:val="3DBD7514"/>
    <w:rsid w:val="3DBF4303"/>
    <w:rsid w:val="3DC2439D"/>
    <w:rsid w:val="3DC968B5"/>
    <w:rsid w:val="3DD724FF"/>
    <w:rsid w:val="3DDB658B"/>
    <w:rsid w:val="3DE768E7"/>
    <w:rsid w:val="3DEE21D2"/>
    <w:rsid w:val="3E2658DF"/>
    <w:rsid w:val="3E2C685B"/>
    <w:rsid w:val="3E2E0E60"/>
    <w:rsid w:val="3E3933B5"/>
    <w:rsid w:val="3E3C6007"/>
    <w:rsid w:val="3E4203B8"/>
    <w:rsid w:val="3E714AB3"/>
    <w:rsid w:val="3E864F15"/>
    <w:rsid w:val="3E936640"/>
    <w:rsid w:val="3E994910"/>
    <w:rsid w:val="3EA16047"/>
    <w:rsid w:val="3EA95918"/>
    <w:rsid w:val="3EB119F9"/>
    <w:rsid w:val="3EB375E7"/>
    <w:rsid w:val="3EBB6664"/>
    <w:rsid w:val="3EC71FA5"/>
    <w:rsid w:val="3EDD35B7"/>
    <w:rsid w:val="3EF3148E"/>
    <w:rsid w:val="3EF76E33"/>
    <w:rsid w:val="3EF81BE0"/>
    <w:rsid w:val="3F0474CA"/>
    <w:rsid w:val="3F235AC2"/>
    <w:rsid w:val="3F2721D8"/>
    <w:rsid w:val="3F2D7AEE"/>
    <w:rsid w:val="3F321852"/>
    <w:rsid w:val="3F514D57"/>
    <w:rsid w:val="3F7427C1"/>
    <w:rsid w:val="3F745A32"/>
    <w:rsid w:val="3F857DB0"/>
    <w:rsid w:val="3F897A7E"/>
    <w:rsid w:val="3F9D0C7D"/>
    <w:rsid w:val="3FA14896"/>
    <w:rsid w:val="3FAB3C23"/>
    <w:rsid w:val="3FAD011D"/>
    <w:rsid w:val="3FBD52F1"/>
    <w:rsid w:val="3FC219AB"/>
    <w:rsid w:val="3FC71361"/>
    <w:rsid w:val="3FE6359F"/>
    <w:rsid w:val="3FEA3158"/>
    <w:rsid w:val="3FEB1463"/>
    <w:rsid w:val="3FEC2CD2"/>
    <w:rsid w:val="3FF40BC2"/>
    <w:rsid w:val="4024721E"/>
    <w:rsid w:val="40296BEB"/>
    <w:rsid w:val="402A192A"/>
    <w:rsid w:val="404158CD"/>
    <w:rsid w:val="404A2E0B"/>
    <w:rsid w:val="404F253B"/>
    <w:rsid w:val="40833E1B"/>
    <w:rsid w:val="409F5C3D"/>
    <w:rsid w:val="40B0451C"/>
    <w:rsid w:val="40B2554C"/>
    <w:rsid w:val="40BD2BB0"/>
    <w:rsid w:val="40D16C4B"/>
    <w:rsid w:val="40D83EF0"/>
    <w:rsid w:val="40E14AF7"/>
    <w:rsid w:val="40FB360D"/>
    <w:rsid w:val="40FF5B59"/>
    <w:rsid w:val="41130B01"/>
    <w:rsid w:val="41265013"/>
    <w:rsid w:val="412E7557"/>
    <w:rsid w:val="414E7B8C"/>
    <w:rsid w:val="415D0DB1"/>
    <w:rsid w:val="41634696"/>
    <w:rsid w:val="416E4D2C"/>
    <w:rsid w:val="41703CF9"/>
    <w:rsid w:val="417115E1"/>
    <w:rsid w:val="41736B1D"/>
    <w:rsid w:val="41745781"/>
    <w:rsid w:val="41756704"/>
    <w:rsid w:val="4192676E"/>
    <w:rsid w:val="41E00614"/>
    <w:rsid w:val="41E50407"/>
    <w:rsid w:val="41EB4BA9"/>
    <w:rsid w:val="41EF6AA3"/>
    <w:rsid w:val="41F769BB"/>
    <w:rsid w:val="42050B5F"/>
    <w:rsid w:val="421639F2"/>
    <w:rsid w:val="421A0859"/>
    <w:rsid w:val="4223228C"/>
    <w:rsid w:val="423B7657"/>
    <w:rsid w:val="42436716"/>
    <w:rsid w:val="424821B1"/>
    <w:rsid w:val="425F2C92"/>
    <w:rsid w:val="42927483"/>
    <w:rsid w:val="42990CA6"/>
    <w:rsid w:val="42B7578F"/>
    <w:rsid w:val="42E60F7D"/>
    <w:rsid w:val="42EF2F5B"/>
    <w:rsid w:val="42FC5183"/>
    <w:rsid w:val="43053389"/>
    <w:rsid w:val="432C30B3"/>
    <w:rsid w:val="4348125E"/>
    <w:rsid w:val="434E51B4"/>
    <w:rsid w:val="437E45C3"/>
    <w:rsid w:val="43867F2F"/>
    <w:rsid w:val="4393238C"/>
    <w:rsid w:val="43B86DAF"/>
    <w:rsid w:val="43BB61EA"/>
    <w:rsid w:val="43C576FA"/>
    <w:rsid w:val="43D31E79"/>
    <w:rsid w:val="43FA73B9"/>
    <w:rsid w:val="4414585E"/>
    <w:rsid w:val="44374DA6"/>
    <w:rsid w:val="445C6678"/>
    <w:rsid w:val="4462549B"/>
    <w:rsid w:val="44780F8C"/>
    <w:rsid w:val="44AF0AA0"/>
    <w:rsid w:val="44B8631A"/>
    <w:rsid w:val="44C95C02"/>
    <w:rsid w:val="44DC3001"/>
    <w:rsid w:val="44FF6477"/>
    <w:rsid w:val="450700F1"/>
    <w:rsid w:val="4510794B"/>
    <w:rsid w:val="45191903"/>
    <w:rsid w:val="451E41C3"/>
    <w:rsid w:val="453224BC"/>
    <w:rsid w:val="4547590E"/>
    <w:rsid w:val="454967F2"/>
    <w:rsid w:val="45557BBE"/>
    <w:rsid w:val="455C3634"/>
    <w:rsid w:val="45630354"/>
    <w:rsid w:val="45674A17"/>
    <w:rsid w:val="456A547C"/>
    <w:rsid w:val="457366F4"/>
    <w:rsid w:val="45787C88"/>
    <w:rsid w:val="457F4D5E"/>
    <w:rsid w:val="459045CF"/>
    <w:rsid w:val="45910A69"/>
    <w:rsid w:val="4593031D"/>
    <w:rsid w:val="45937524"/>
    <w:rsid w:val="45A3532B"/>
    <w:rsid w:val="45CB16FC"/>
    <w:rsid w:val="45E834F5"/>
    <w:rsid w:val="45FC5957"/>
    <w:rsid w:val="46115240"/>
    <w:rsid w:val="46144D75"/>
    <w:rsid w:val="461536C0"/>
    <w:rsid w:val="461A3AAC"/>
    <w:rsid w:val="462562CB"/>
    <w:rsid w:val="463E6649"/>
    <w:rsid w:val="46446B62"/>
    <w:rsid w:val="46454EEA"/>
    <w:rsid w:val="464A6099"/>
    <w:rsid w:val="46913067"/>
    <w:rsid w:val="469A5C98"/>
    <w:rsid w:val="46BE047D"/>
    <w:rsid w:val="46CA3FE0"/>
    <w:rsid w:val="46CD663C"/>
    <w:rsid w:val="46D23F85"/>
    <w:rsid w:val="46E70CA0"/>
    <w:rsid w:val="46EB3C9E"/>
    <w:rsid w:val="46F223B2"/>
    <w:rsid w:val="46F61F0D"/>
    <w:rsid w:val="47020F86"/>
    <w:rsid w:val="470458D6"/>
    <w:rsid w:val="47092594"/>
    <w:rsid w:val="472559C6"/>
    <w:rsid w:val="472713BB"/>
    <w:rsid w:val="47354D1C"/>
    <w:rsid w:val="473B469B"/>
    <w:rsid w:val="473F3410"/>
    <w:rsid w:val="4748319D"/>
    <w:rsid w:val="47511CD6"/>
    <w:rsid w:val="475F5DFF"/>
    <w:rsid w:val="47643588"/>
    <w:rsid w:val="477B5758"/>
    <w:rsid w:val="478957DB"/>
    <w:rsid w:val="47A81641"/>
    <w:rsid w:val="47AA2D9E"/>
    <w:rsid w:val="47DD5C1D"/>
    <w:rsid w:val="47ED091C"/>
    <w:rsid w:val="47EF7803"/>
    <w:rsid w:val="47F41D66"/>
    <w:rsid w:val="47F6035B"/>
    <w:rsid w:val="47F86D5D"/>
    <w:rsid w:val="480A4D05"/>
    <w:rsid w:val="4815472D"/>
    <w:rsid w:val="481B4D15"/>
    <w:rsid w:val="482B4F59"/>
    <w:rsid w:val="483B72B0"/>
    <w:rsid w:val="483E19C8"/>
    <w:rsid w:val="484B1D38"/>
    <w:rsid w:val="48543FBB"/>
    <w:rsid w:val="485F42FF"/>
    <w:rsid w:val="48703B7B"/>
    <w:rsid w:val="489F0BAB"/>
    <w:rsid w:val="48AA0E94"/>
    <w:rsid w:val="48B4127F"/>
    <w:rsid w:val="48CB27CF"/>
    <w:rsid w:val="48D70627"/>
    <w:rsid w:val="48FE7DD3"/>
    <w:rsid w:val="49087921"/>
    <w:rsid w:val="49191E77"/>
    <w:rsid w:val="49233C2C"/>
    <w:rsid w:val="4938010D"/>
    <w:rsid w:val="499745FC"/>
    <w:rsid w:val="49B368FF"/>
    <w:rsid w:val="49BB4ECD"/>
    <w:rsid w:val="49C73D5E"/>
    <w:rsid w:val="49CE5C40"/>
    <w:rsid w:val="49E91F64"/>
    <w:rsid w:val="49EA64D4"/>
    <w:rsid w:val="49F66C27"/>
    <w:rsid w:val="4A0B55F5"/>
    <w:rsid w:val="4A1F557B"/>
    <w:rsid w:val="4A291240"/>
    <w:rsid w:val="4A4D4FB1"/>
    <w:rsid w:val="4A767604"/>
    <w:rsid w:val="4A8039E1"/>
    <w:rsid w:val="4A8C1339"/>
    <w:rsid w:val="4A940B24"/>
    <w:rsid w:val="4AA47DD1"/>
    <w:rsid w:val="4AC265F2"/>
    <w:rsid w:val="4AC62288"/>
    <w:rsid w:val="4AC9567C"/>
    <w:rsid w:val="4ACA1CB9"/>
    <w:rsid w:val="4ACD148A"/>
    <w:rsid w:val="4ADD5677"/>
    <w:rsid w:val="4ADE6345"/>
    <w:rsid w:val="4AF74563"/>
    <w:rsid w:val="4B057D3A"/>
    <w:rsid w:val="4B0E7E60"/>
    <w:rsid w:val="4B2D4044"/>
    <w:rsid w:val="4B3014D5"/>
    <w:rsid w:val="4B3241CD"/>
    <w:rsid w:val="4B3C4D39"/>
    <w:rsid w:val="4B532119"/>
    <w:rsid w:val="4B5D14FD"/>
    <w:rsid w:val="4B605FC7"/>
    <w:rsid w:val="4B6C292B"/>
    <w:rsid w:val="4B6E7E38"/>
    <w:rsid w:val="4B8052FB"/>
    <w:rsid w:val="4B8D3201"/>
    <w:rsid w:val="4BA130B3"/>
    <w:rsid w:val="4BB20956"/>
    <w:rsid w:val="4BCC3117"/>
    <w:rsid w:val="4BD54757"/>
    <w:rsid w:val="4BDB502C"/>
    <w:rsid w:val="4BE22384"/>
    <w:rsid w:val="4BEC3A67"/>
    <w:rsid w:val="4C025983"/>
    <w:rsid w:val="4C433C79"/>
    <w:rsid w:val="4C4547C2"/>
    <w:rsid w:val="4C5C441C"/>
    <w:rsid w:val="4C5E5A5A"/>
    <w:rsid w:val="4C910358"/>
    <w:rsid w:val="4C9E4D26"/>
    <w:rsid w:val="4CB3186A"/>
    <w:rsid w:val="4CB621E7"/>
    <w:rsid w:val="4CBB2ED4"/>
    <w:rsid w:val="4CC61158"/>
    <w:rsid w:val="4CF26E2E"/>
    <w:rsid w:val="4CFF1B08"/>
    <w:rsid w:val="4D411042"/>
    <w:rsid w:val="4D503E81"/>
    <w:rsid w:val="4D6E1551"/>
    <w:rsid w:val="4DA1744F"/>
    <w:rsid w:val="4DAA7889"/>
    <w:rsid w:val="4DE627FD"/>
    <w:rsid w:val="4DEC5DB6"/>
    <w:rsid w:val="4DF725A8"/>
    <w:rsid w:val="4E0949F7"/>
    <w:rsid w:val="4E156C32"/>
    <w:rsid w:val="4E4C4B92"/>
    <w:rsid w:val="4E5D49A3"/>
    <w:rsid w:val="4E7838BE"/>
    <w:rsid w:val="4E797D25"/>
    <w:rsid w:val="4EAB6938"/>
    <w:rsid w:val="4EC92950"/>
    <w:rsid w:val="4ED954E7"/>
    <w:rsid w:val="4EDD6746"/>
    <w:rsid w:val="4EE96D5A"/>
    <w:rsid w:val="4F1711AD"/>
    <w:rsid w:val="4F1C5FA9"/>
    <w:rsid w:val="4F1D519B"/>
    <w:rsid w:val="4F34047D"/>
    <w:rsid w:val="4F4D06E2"/>
    <w:rsid w:val="4F57512A"/>
    <w:rsid w:val="4F6F0A80"/>
    <w:rsid w:val="4F8A4EE4"/>
    <w:rsid w:val="4FB47FE2"/>
    <w:rsid w:val="4FB91F8F"/>
    <w:rsid w:val="4FC44853"/>
    <w:rsid w:val="4FDA3FD1"/>
    <w:rsid w:val="4FE56B2B"/>
    <w:rsid w:val="4FF31659"/>
    <w:rsid w:val="4FF8580C"/>
    <w:rsid w:val="4FFF0D16"/>
    <w:rsid w:val="50325D99"/>
    <w:rsid w:val="50384543"/>
    <w:rsid w:val="503F43CD"/>
    <w:rsid w:val="50503878"/>
    <w:rsid w:val="50652809"/>
    <w:rsid w:val="50741186"/>
    <w:rsid w:val="50743208"/>
    <w:rsid w:val="508672BB"/>
    <w:rsid w:val="50913DD1"/>
    <w:rsid w:val="50D5138F"/>
    <w:rsid w:val="50D601BC"/>
    <w:rsid w:val="50F2322A"/>
    <w:rsid w:val="50F74298"/>
    <w:rsid w:val="510B3F9B"/>
    <w:rsid w:val="510D0B58"/>
    <w:rsid w:val="51135211"/>
    <w:rsid w:val="51170440"/>
    <w:rsid w:val="51255057"/>
    <w:rsid w:val="514E047E"/>
    <w:rsid w:val="515039A3"/>
    <w:rsid w:val="51521A6D"/>
    <w:rsid w:val="51622DF4"/>
    <w:rsid w:val="517276E6"/>
    <w:rsid w:val="51833592"/>
    <w:rsid w:val="518F14A8"/>
    <w:rsid w:val="518F60D4"/>
    <w:rsid w:val="51C44185"/>
    <w:rsid w:val="51D82D01"/>
    <w:rsid w:val="51DE03BA"/>
    <w:rsid w:val="51DE4C8C"/>
    <w:rsid w:val="51DF66AF"/>
    <w:rsid w:val="52002D6C"/>
    <w:rsid w:val="52047E3D"/>
    <w:rsid w:val="52256028"/>
    <w:rsid w:val="522737A6"/>
    <w:rsid w:val="524E1CF4"/>
    <w:rsid w:val="525F1FEE"/>
    <w:rsid w:val="52604BF7"/>
    <w:rsid w:val="5273143A"/>
    <w:rsid w:val="52873591"/>
    <w:rsid w:val="528D0FB9"/>
    <w:rsid w:val="528F5903"/>
    <w:rsid w:val="52C71F43"/>
    <w:rsid w:val="52CA4F53"/>
    <w:rsid w:val="52D91AF9"/>
    <w:rsid w:val="52F93212"/>
    <w:rsid w:val="52FC5647"/>
    <w:rsid w:val="530000F4"/>
    <w:rsid w:val="53014B5F"/>
    <w:rsid w:val="531652E6"/>
    <w:rsid w:val="53291111"/>
    <w:rsid w:val="53347D25"/>
    <w:rsid w:val="533869E1"/>
    <w:rsid w:val="539314BE"/>
    <w:rsid w:val="53955A31"/>
    <w:rsid w:val="539D0577"/>
    <w:rsid w:val="53A10F74"/>
    <w:rsid w:val="53A47464"/>
    <w:rsid w:val="53C14870"/>
    <w:rsid w:val="53C323FB"/>
    <w:rsid w:val="53CA1C9D"/>
    <w:rsid w:val="53CC2E87"/>
    <w:rsid w:val="53E00978"/>
    <w:rsid w:val="53E04A40"/>
    <w:rsid w:val="53E175EE"/>
    <w:rsid w:val="53ED4B21"/>
    <w:rsid w:val="53EF42E8"/>
    <w:rsid w:val="54085483"/>
    <w:rsid w:val="540F4BA3"/>
    <w:rsid w:val="54112BA1"/>
    <w:rsid w:val="54283886"/>
    <w:rsid w:val="54331C81"/>
    <w:rsid w:val="54344DA9"/>
    <w:rsid w:val="54382DD2"/>
    <w:rsid w:val="54423663"/>
    <w:rsid w:val="5444306B"/>
    <w:rsid w:val="544D65EB"/>
    <w:rsid w:val="54596F47"/>
    <w:rsid w:val="547F572A"/>
    <w:rsid w:val="54975816"/>
    <w:rsid w:val="54A905E7"/>
    <w:rsid w:val="54B355DC"/>
    <w:rsid w:val="54CF10CC"/>
    <w:rsid w:val="54D4007A"/>
    <w:rsid w:val="54DD5FAB"/>
    <w:rsid w:val="54DD66B8"/>
    <w:rsid w:val="54E50897"/>
    <w:rsid w:val="5508642B"/>
    <w:rsid w:val="550F1BE8"/>
    <w:rsid w:val="55284958"/>
    <w:rsid w:val="55387C17"/>
    <w:rsid w:val="554528CF"/>
    <w:rsid w:val="55646765"/>
    <w:rsid w:val="55675DCD"/>
    <w:rsid w:val="556A6733"/>
    <w:rsid w:val="55822BC4"/>
    <w:rsid w:val="558B1747"/>
    <w:rsid w:val="55A92E34"/>
    <w:rsid w:val="55B20498"/>
    <w:rsid w:val="55B4712C"/>
    <w:rsid w:val="55B70714"/>
    <w:rsid w:val="55B96FE6"/>
    <w:rsid w:val="55C37945"/>
    <w:rsid w:val="55CA2FB5"/>
    <w:rsid w:val="55DE4DCA"/>
    <w:rsid w:val="55F300E5"/>
    <w:rsid w:val="55FB6E41"/>
    <w:rsid w:val="560132BD"/>
    <w:rsid w:val="560E5C3B"/>
    <w:rsid w:val="5613582B"/>
    <w:rsid w:val="56240B88"/>
    <w:rsid w:val="562B7679"/>
    <w:rsid w:val="5635503A"/>
    <w:rsid w:val="56757155"/>
    <w:rsid w:val="56774F92"/>
    <w:rsid w:val="568C115F"/>
    <w:rsid w:val="56C23A69"/>
    <w:rsid w:val="57022F2E"/>
    <w:rsid w:val="5719426D"/>
    <w:rsid w:val="572006A5"/>
    <w:rsid w:val="577411CC"/>
    <w:rsid w:val="577E1C80"/>
    <w:rsid w:val="57830D69"/>
    <w:rsid w:val="578F1DDE"/>
    <w:rsid w:val="57900406"/>
    <w:rsid w:val="57AA1DE1"/>
    <w:rsid w:val="57B27348"/>
    <w:rsid w:val="57B56BFF"/>
    <w:rsid w:val="57CC1813"/>
    <w:rsid w:val="57D33CE4"/>
    <w:rsid w:val="57D91077"/>
    <w:rsid w:val="57E44AE7"/>
    <w:rsid w:val="57E873DB"/>
    <w:rsid w:val="57E97B1E"/>
    <w:rsid w:val="57F53C6E"/>
    <w:rsid w:val="57FF7457"/>
    <w:rsid w:val="58036386"/>
    <w:rsid w:val="580F343A"/>
    <w:rsid w:val="58102982"/>
    <w:rsid w:val="581C5C37"/>
    <w:rsid w:val="583E7492"/>
    <w:rsid w:val="58426A9C"/>
    <w:rsid w:val="58475529"/>
    <w:rsid w:val="586111E4"/>
    <w:rsid w:val="586244C0"/>
    <w:rsid w:val="588E0E9B"/>
    <w:rsid w:val="58A34317"/>
    <w:rsid w:val="58AA3DF9"/>
    <w:rsid w:val="58B0742D"/>
    <w:rsid w:val="58B946EE"/>
    <w:rsid w:val="58BB7CD0"/>
    <w:rsid w:val="58BC3A6E"/>
    <w:rsid w:val="58C4669E"/>
    <w:rsid w:val="58CE2F82"/>
    <w:rsid w:val="58D01F59"/>
    <w:rsid w:val="58DB634A"/>
    <w:rsid w:val="59185461"/>
    <w:rsid w:val="5923193B"/>
    <w:rsid w:val="593D2D13"/>
    <w:rsid w:val="5944419A"/>
    <w:rsid w:val="59567E98"/>
    <w:rsid w:val="59795801"/>
    <w:rsid w:val="597C7A56"/>
    <w:rsid w:val="597F0B59"/>
    <w:rsid w:val="59920478"/>
    <w:rsid w:val="59926240"/>
    <w:rsid w:val="599A62D3"/>
    <w:rsid w:val="59A162B1"/>
    <w:rsid w:val="59AB4D42"/>
    <w:rsid w:val="59B85771"/>
    <w:rsid w:val="59C40A6B"/>
    <w:rsid w:val="5A025E2E"/>
    <w:rsid w:val="5A075B7B"/>
    <w:rsid w:val="5A22243F"/>
    <w:rsid w:val="5A2423BD"/>
    <w:rsid w:val="5A3437AB"/>
    <w:rsid w:val="5A3812BC"/>
    <w:rsid w:val="5A4C29B5"/>
    <w:rsid w:val="5A5203D9"/>
    <w:rsid w:val="5A702838"/>
    <w:rsid w:val="5A9A3903"/>
    <w:rsid w:val="5A9B4CBB"/>
    <w:rsid w:val="5AA40D6F"/>
    <w:rsid w:val="5AAF5826"/>
    <w:rsid w:val="5AB300E9"/>
    <w:rsid w:val="5AD00E97"/>
    <w:rsid w:val="5AD85556"/>
    <w:rsid w:val="5AEE1330"/>
    <w:rsid w:val="5AF65F0D"/>
    <w:rsid w:val="5AFA3261"/>
    <w:rsid w:val="5B106A47"/>
    <w:rsid w:val="5B124D7A"/>
    <w:rsid w:val="5B191037"/>
    <w:rsid w:val="5B1F2679"/>
    <w:rsid w:val="5B3028AE"/>
    <w:rsid w:val="5B305D11"/>
    <w:rsid w:val="5B360352"/>
    <w:rsid w:val="5B505B95"/>
    <w:rsid w:val="5B6B6662"/>
    <w:rsid w:val="5B701B1C"/>
    <w:rsid w:val="5B861DD0"/>
    <w:rsid w:val="5B88511F"/>
    <w:rsid w:val="5B904753"/>
    <w:rsid w:val="5B95226D"/>
    <w:rsid w:val="5B987ABA"/>
    <w:rsid w:val="5BA81440"/>
    <w:rsid w:val="5BC10E8E"/>
    <w:rsid w:val="5BC94D1D"/>
    <w:rsid w:val="5BCA737A"/>
    <w:rsid w:val="5BD85010"/>
    <w:rsid w:val="5BDA1E29"/>
    <w:rsid w:val="5BDC09C2"/>
    <w:rsid w:val="5BE33B24"/>
    <w:rsid w:val="5BE4644B"/>
    <w:rsid w:val="5BF366BC"/>
    <w:rsid w:val="5BF36B7D"/>
    <w:rsid w:val="5C0F57F7"/>
    <w:rsid w:val="5C190243"/>
    <w:rsid w:val="5C412D83"/>
    <w:rsid w:val="5C68234B"/>
    <w:rsid w:val="5C7B120D"/>
    <w:rsid w:val="5C831EA1"/>
    <w:rsid w:val="5C83525B"/>
    <w:rsid w:val="5C850A90"/>
    <w:rsid w:val="5C8B5318"/>
    <w:rsid w:val="5C935381"/>
    <w:rsid w:val="5C9C2E0B"/>
    <w:rsid w:val="5CBA6FE3"/>
    <w:rsid w:val="5CCB772B"/>
    <w:rsid w:val="5CD14F52"/>
    <w:rsid w:val="5CD305BF"/>
    <w:rsid w:val="5CF26D8F"/>
    <w:rsid w:val="5CFE0E07"/>
    <w:rsid w:val="5D004A76"/>
    <w:rsid w:val="5D0143FB"/>
    <w:rsid w:val="5D06027A"/>
    <w:rsid w:val="5D094B01"/>
    <w:rsid w:val="5D323152"/>
    <w:rsid w:val="5D374FDF"/>
    <w:rsid w:val="5D380B84"/>
    <w:rsid w:val="5D3B6548"/>
    <w:rsid w:val="5D5F685A"/>
    <w:rsid w:val="5D65678D"/>
    <w:rsid w:val="5D6C3080"/>
    <w:rsid w:val="5D7516D4"/>
    <w:rsid w:val="5D7A40D2"/>
    <w:rsid w:val="5D800CEF"/>
    <w:rsid w:val="5DA91A22"/>
    <w:rsid w:val="5DBE4362"/>
    <w:rsid w:val="5DF1699C"/>
    <w:rsid w:val="5DF5146D"/>
    <w:rsid w:val="5DFA2CDB"/>
    <w:rsid w:val="5DFA7138"/>
    <w:rsid w:val="5E130140"/>
    <w:rsid w:val="5E217D16"/>
    <w:rsid w:val="5E2801D1"/>
    <w:rsid w:val="5E371AAA"/>
    <w:rsid w:val="5E5F3EFA"/>
    <w:rsid w:val="5E730583"/>
    <w:rsid w:val="5E754530"/>
    <w:rsid w:val="5E76076F"/>
    <w:rsid w:val="5E77204F"/>
    <w:rsid w:val="5E7926FF"/>
    <w:rsid w:val="5E7E38EB"/>
    <w:rsid w:val="5E9602B3"/>
    <w:rsid w:val="5EA35B10"/>
    <w:rsid w:val="5EB601E2"/>
    <w:rsid w:val="5EBE5E29"/>
    <w:rsid w:val="5EC529A8"/>
    <w:rsid w:val="5ED1731B"/>
    <w:rsid w:val="5EE24347"/>
    <w:rsid w:val="5EEE40CF"/>
    <w:rsid w:val="5F0718AB"/>
    <w:rsid w:val="5F0A412D"/>
    <w:rsid w:val="5F0F3F1E"/>
    <w:rsid w:val="5F19355D"/>
    <w:rsid w:val="5F1A7236"/>
    <w:rsid w:val="5F335DCF"/>
    <w:rsid w:val="5F380ED5"/>
    <w:rsid w:val="5F5875E4"/>
    <w:rsid w:val="5F5D0468"/>
    <w:rsid w:val="5F6F1E8C"/>
    <w:rsid w:val="5F6F27CA"/>
    <w:rsid w:val="5F7D6F92"/>
    <w:rsid w:val="5F7E6C49"/>
    <w:rsid w:val="5F9B5415"/>
    <w:rsid w:val="5FA4749E"/>
    <w:rsid w:val="5FBA3A80"/>
    <w:rsid w:val="5FCD0AEE"/>
    <w:rsid w:val="5FD95CB1"/>
    <w:rsid w:val="5FDE4D54"/>
    <w:rsid w:val="5FF66989"/>
    <w:rsid w:val="5FF72E6D"/>
    <w:rsid w:val="6003052B"/>
    <w:rsid w:val="60074F8B"/>
    <w:rsid w:val="600E6F29"/>
    <w:rsid w:val="602A7214"/>
    <w:rsid w:val="602D5A7D"/>
    <w:rsid w:val="603C6C2F"/>
    <w:rsid w:val="60647D43"/>
    <w:rsid w:val="60651416"/>
    <w:rsid w:val="607275B8"/>
    <w:rsid w:val="607B2649"/>
    <w:rsid w:val="607C3BD5"/>
    <w:rsid w:val="60841A2F"/>
    <w:rsid w:val="60894F77"/>
    <w:rsid w:val="608D7E30"/>
    <w:rsid w:val="60940CA2"/>
    <w:rsid w:val="609B1876"/>
    <w:rsid w:val="609B6CFA"/>
    <w:rsid w:val="60A400CE"/>
    <w:rsid w:val="60CE4D21"/>
    <w:rsid w:val="60EB1F69"/>
    <w:rsid w:val="610D0146"/>
    <w:rsid w:val="61430FE6"/>
    <w:rsid w:val="617E3B52"/>
    <w:rsid w:val="61822F22"/>
    <w:rsid w:val="618B75B1"/>
    <w:rsid w:val="61AD396D"/>
    <w:rsid w:val="61D13245"/>
    <w:rsid w:val="61D222BB"/>
    <w:rsid w:val="61DA2E6B"/>
    <w:rsid w:val="61EF4A64"/>
    <w:rsid w:val="61F33732"/>
    <w:rsid w:val="61FC68CF"/>
    <w:rsid w:val="62142BC3"/>
    <w:rsid w:val="62150DB6"/>
    <w:rsid w:val="621A31CE"/>
    <w:rsid w:val="621C29D1"/>
    <w:rsid w:val="621F751A"/>
    <w:rsid w:val="622D10AC"/>
    <w:rsid w:val="623F0C7C"/>
    <w:rsid w:val="624131F7"/>
    <w:rsid w:val="624575A7"/>
    <w:rsid w:val="624F1738"/>
    <w:rsid w:val="626C7837"/>
    <w:rsid w:val="6273727D"/>
    <w:rsid w:val="627E4ECF"/>
    <w:rsid w:val="629306E1"/>
    <w:rsid w:val="62B14184"/>
    <w:rsid w:val="62BE48B3"/>
    <w:rsid w:val="631B1924"/>
    <w:rsid w:val="63224B85"/>
    <w:rsid w:val="633244CC"/>
    <w:rsid w:val="634B2C19"/>
    <w:rsid w:val="634D6DC5"/>
    <w:rsid w:val="634D7C4C"/>
    <w:rsid w:val="63501FF4"/>
    <w:rsid w:val="637C7B92"/>
    <w:rsid w:val="63AC58C7"/>
    <w:rsid w:val="63AC6CA5"/>
    <w:rsid w:val="63CB7580"/>
    <w:rsid w:val="63CD34CB"/>
    <w:rsid w:val="63DA702B"/>
    <w:rsid w:val="63EF1684"/>
    <w:rsid w:val="641835A6"/>
    <w:rsid w:val="641B3AB4"/>
    <w:rsid w:val="641C47F7"/>
    <w:rsid w:val="641E116B"/>
    <w:rsid w:val="64241A2F"/>
    <w:rsid w:val="64412F48"/>
    <w:rsid w:val="64443B21"/>
    <w:rsid w:val="64497A5F"/>
    <w:rsid w:val="644D33F7"/>
    <w:rsid w:val="64742B80"/>
    <w:rsid w:val="64813477"/>
    <w:rsid w:val="64A25626"/>
    <w:rsid w:val="64B27796"/>
    <w:rsid w:val="64C317A8"/>
    <w:rsid w:val="64D93BE7"/>
    <w:rsid w:val="64E03E0B"/>
    <w:rsid w:val="64E6105A"/>
    <w:rsid w:val="650E3E0A"/>
    <w:rsid w:val="6510659A"/>
    <w:rsid w:val="652307C3"/>
    <w:rsid w:val="65403EB7"/>
    <w:rsid w:val="65414DDC"/>
    <w:rsid w:val="65463F88"/>
    <w:rsid w:val="65623251"/>
    <w:rsid w:val="65796F3A"/>
    <w:rsid w:val="658C19A5"/>
    <w:rsid w:val="65A82210"/>
    <w:rsid w:val="65AB2BCE"/>
    <w:rsid w:val="65CC06D1"/>
    <w:rsid w:val="65CC66B7"/>
    <w:rsid w:val="65CF4873"/>
    <w:rsid w:val="65D2781F"/>
    <w:rsid w:val="65D311C0"/>
    <w:rsid w:val="65DF56D0"/>
    <w:rsid w:val="65F85B9A"/>
    <w:rsid w:val="65FA28E7"/>
    <w:rsid w:val="66150C95"/>
    <w:rsid w:val="66167D4C"/>
    <w:rsid w:val="66267B2C"/>
    <w:rsid w:val="66446865"/>
    <w:rsid w:val="66582BC6"/>
    <w:rsid w:val="668511FF"/>
    <w:rsid w:val="66AC59A3"/>
    <w:rsid w:val="66BD5449"/>
    <w:rsid w:val="66C038B6"/>
    <w:rsid w:val="66CE2110"/>
    <w:rsid w:val="66D42107"/>
    <w:rsid w:val="66D56A3C"/>
    <w:rsid w:val="66E762B1"/>
    <w:rsid w:val="672A25EC"/>
    <w:rsid w:val="673A3F78"/>
    <w:rsid w:val="67475C51"/>
    <w:rsid w:val="67624E20"/>
    <w:rsid w:val="67682399"/>
    <w:rsid w:val="676D41CA"/>
    <w:rsid w:val="677956ED"/>
    <w:rsid w:val="678C4C75"/>
    <w:rsid w:val="6797047B"/>
    <w:rsid w:val="67E96EBC"/>
    <w:rsid w:val="680F2480"/>
    <w:rsid w:val="68123075"/>
    <w:rsid w:val="681A7892"/>
    <w:rsid w:val="68317DD1"/>
    <w:rsid w:val="68343A71"/>
    <w:rsid w:val="683D3B11"/>
    <w:rsid w:val="68437B16"/>
    <w:rsid w:val="684412EC"/>
    <w:rsid w:val="68465690"/>
    <w:rsid w:val="68517234"/>
    <w:rsid w:val="68642224"/>
    <w:rsid w:val="68750023"/>
    <w:rsid w:val="68813D76"/>
    <w:rsid w:val="688143B6"/>
    <w:rsid w:val="688F5B1A"/>
    <w:rsid w:val="6896139D"/>
    <w:rsid w:val="68A63399"/>
    <w:rsid w:val="68B14D38"/>
    <w:rsid w:val="68B9321D"/>
    <w:rsid w:val="68DA244D"/>
    <w:rsid w:val="68E37A74"/>
    <w:rsid w:val="68E82F4E"/>
    <w:rsid w:val="68E9208E"/>
    <w:rsid w:val="690175CF"/>
    <w:rsid w:val="690E1242"/>
    <w:rsid w:val="693B2B5A"/>
    <w:rsid w:val="69420A99"/>
    <w:rsid w:val="69464CD1"/>
    <w:rsid w:val="694E3BD0"/>
    <w:rsid w:val="69796DF8"/>
    <w:rsid w:val="697D4729"/>
    <w:rsid w:val="697F0860"/>
    <w:rsid w:val="69A57BD2"/>
    <w:rsid w:val="69BC7086"/>
    <w:rsid w:val="69C23F6B"/>
    <w:rsid w:val="69CF36DE"/>
    <w:rsid w:val="69D66396"/>
    <w:rsid w:val="69DC4E96"/>
    <w:rsid w:val="69E63318"/>
    <w:rsid w:val="69F22079"/>
    <w:rsid w:val="6A045754"/>
    <w:rsid w:val="6A080807"/>
    <w:rsid w:val="6A0A5E44"/>
    <w:rsid w:val="6A0F5299"/>
    <w:rsid w:val="6A1B07E5"/>
    <w:rsid w:val="6A1C4C09"/>
    <w:rsid w:val="6A2001CE"/>
    <w:rsid w:val="6A2A0CD6"/>
    <w:rsid w:val="6A2F4C15"/>
    <w:rsid w:val="6A4858C1"/>
    <w:rsid w:val="6A576684"/>
    <w:rsid w:val="6A581EA4"/>
    <w:rsid w:val="6A7560C4"/>
    <w:rsid w:val="6A8E5DBC"/>
    <w:rsid w:val="6AB0722C"/>
    <w:rsid w:val="6ABD3E45"/>
    <w:rsid w:val="6ACA1783"/>
    <w:rsid w:val="6AE804F5"/>
    <w:rsid w:val="6AE8063E"/>
    <w:rsid w:val="6AEB66B6"/>
    <w:rsid w:val="6AF00213"/>
    <w:rsid w:val="6B03359E"/>
    <w:rsid w:val="6B0A61EF"/>
    <w:rsid w:val="6B0C434F"/>
    <w:rsid w:val="6B111005"/>
    <w:rsid w:val="6B13730E"/>
    <w:rsid w:val="6B1F5CD8"/>
    <w:rsid w:val="6B23017D"/>
    <w:rsid w:val="6B342919"/>
    <w:rsid w:val="6B393CDB"/>
    <w:rsid w:val="6B5F48B9"/>
    <w:rsid w:val="6B663217"/>
    <w:rsid w:val="6B6A4D22"/>
    <w:rsid w:val="6B6E100E"/>
    <w:rsid w:val="6B713D7F"/>
    <w:rsid w:val="6B7A1B25"/>
    <w:rsid w:val="6B7C24F7"/>
    <w:rsid w:val="6B8535B2"/>
    <w:rsid w:val="6B9C4810"/>
    <w:rsid w:val="6BA6697D"/>
    <w:rsid w:val="6BAF3790"/>
    <w:rsid w:val="6BB67763"/>
    <w:rsid w:val="6BCD1D21"/>
    <w:rsid w:val="6BE77DA5"/>
    <w:rsid w:val="6BE841CE"/>
    <w:rsid w:val="6BEF7354"/>
    <w:rsid w:val="6C2F371D"/>
    <w:rsid w:val="6C4731BA"/>
    <w:rsid w:val="6C5A68D9"/>
    <w:rsid w:val="6C652476"/>
    <w:rsid w:val="6C6D213A"/>
    <w:rsid w:val="6C6E5706"/>
    <w:rsid w:val="6C760176"/>
    <w:rsid w:val="6C79713D"/>
    <w:rsid w:val="6C896C7E"/>
    <w:rsid w:val="6C9753F4"/>
    <w:rsid w:val="6CB17414"/>
    <w:rsid w:val="6CB17579"/>
    <w:rsid w:val="6CBB7287"/>
    <w:rsid w:val="6CCB0111"/>
    <w:rsid w:val="6CCE3AC6"/>
    <w:rsid w:val="6CD46C09"/>
    <w:rsid w:val="6CDA770E"/>
    <w:rsid w:val="6CE5037D"/>
    <w:rsid w:val="6CFB6A1F"/>
    <w:rsid w:val="6D0322F0"/>
    <w:rsid w:val="6D3C2256"/>
    <w:rsid w:val="6D4D3BD6"/>
    <w:rsid w:val="6D737D44"/>
    <w:rsid w:val="6D74543A"/>
    <w:rsid w:val="6D7B34B9"/>
    <w:rsid w:val="6D820B95"/>
    <w:rsid w:val="6D925F67"/>
    <w:rsid w:val="6DBF10E5"/>
    <w:rsid w:val="6DC74389"/>
    <w:rsid w:val="6DD36C4E"/>
    <w:rsid w:val="6DD769DD"/>
    <w:rsid w:val="6DDD3644"/>
    <w:rsid w:val="6DDF7241"/>
    <w:rsid w:val="6DE05D7D"/>
    <w:rsid w:val="6DE74E21"/>
    <w:rsid w:val="6E132431"/>
    <w:rsid w:val="6E2057DA"/>
    <w:rsid w:val="6E387FDA"/>
    <w:rsid w:val="6E3A2278"/>
    <w:rsid w:val="6E7E76EB"/>
    <w:rsid w:val="6E83261B"/>
    <w:rsid w:val="6E8D6EEA"/>
    <w:rsid w:val="6E9145D4"/>
    <w:rsid w:val="6E915661"/>
    <w:rsid w:val="6E965A6D"/>
    <w:rsid w:val="6E974890"/>
    <w:rsid w:val="6EA5340D"/>
    <w:rsid w:val="6EAE7986"/>
    <w:rsid w:val="6EDF7983"/>
    <w:rsid w:val="6EF01547"/>
    <w:rsid w:val="6EF868A0"/>
    <w:rsid w:val="6F423639"/>
    <w:rsid w:val="6F4B3B88"/>
    <w:rsid w:val="6F4D5369"/>
    <w:rsid w:val="6F525EDC"/>
    <w:rsid w:val="6F560468"/>
    <w:rsid w:val="6F58633F"/>
    <w:rsid w:val="6F597CD4"/>
    <w:rsid w:val="6F5D5FDE"/>
    <w:rsid w:val="6F9E5125"/>
    <w:rsid w:val="6FA02C0D"/>
    <w:rsid w:val="6FAE1167"/>
    <w:rsid w:val="6FB11380"/>
    <w:rsid w:val="6FB75C16"/>
    <w:rsid w:val="6FC92EF0"/>
    <w:rsid w:val="6FDB4E1C"/>
    <w:rsid w:val="6FE528AC"/>
    <w:rsid w:val="6FE8690B"/>
    <w:rsid w:val="6FFE50AD"/>
    <w:rsid w:val="70100110"/>
    <w:rsid w:val="702646C2"/>
    <w:rsid w:val="702A17CE"/>
    <w:rsid w:val="703C71D6"/>
    <w:rsid w:val="70483FC4"/>
    <w:rsid w:val="70564232"/>
    <w:rsid w:val="70595347"/>
    <w:rsid w:val="705A515A"/>
    <w:rsid w:val="7068083D"/>
    <w:rsid w:val="706E1617"/>
    <w:rsid w:val="709B7025"/>
    <w:rsid w:val="70EE164F"/>
    <w:rsid w:val="70F361E5"/>
    <w:rsid w:val="710B23DD"/>
    <w:rsid w:val="710D1793"/>
    <w:rsid w:val="713401B4"/>
    <w:rsid w:val="71483689"/>
    <w:rsid w:val="71841885"/>
    <w:rsid w:val="71941C5C"/>
    <w:rsid w:val="719D3CBF"/>
    <w:rsid w:val="71AA49AC"/>
    <w:rsid w:val="71AD4448"/>
    <w:rsid w:val="71AD7406"/>
    <w:rsid w:val="71C845B1"/>
    <w:rsid w:val="71D02177"/>
    <w:rsid w:val="71E47C67"/>
    <w:rsid w:val="71E93D5A"/>
    <w:rsid w:val="71FA5876"/>
    <w:rsid w:val="71FF0E62"/>
    <w:rsid w:val="7209098A"/>
    <w:rsid w:val="72255E29"/>
    <w:rsid w:val="722F4A3A"/>
    <w:rsid w:val="72377563"/>
    <w:rsid w:val="724E15C5"/>
    <w:rsid w:val="725F2F61"/>
    <w:rsid w:val="72606284"/>
    <w:rsid w:val="72820DF5"/>
    <w:rsid w:val="72871DD3"/>
    <w:rsid w:val="728C3065"/>
    <w:rsid w:val="729C7C59"/>
    <w:rsid w:val="72AA5DDE"/>
    <w:rsid w:val="72B5151D"/>
    <w:rsid w:val="72C22A6A"/>
    <w:rsid w:val="72CE148F"/>
    <w:rsid w:val="73083214"/>
    <w:rsid w:val="731B4A7C"/>
    <w:rsid w:val="73473E8C"/>
    <w:rsid w:val="735D61B9"/>
    <w:rsid w:val="738563F2"/>
    <w:rsid w:val="739C2AC1"/>
    <w:rsid w:val="73AD64E8"/>
    <w:rsid w:val="73C051CB"/>
    <w:rsid w:val="73C34267"/>
    <w:rsid w:val="73DA4D86"/>
    <w:rsid w:val="73E23C26"/>
    <w:rsid w:val="73E93DCD"/>
    <w:rsid w:val="73EC084B"/>
    <w:rsid w:val="74327CE1"/>
    <w:rsid w:val="743F176F"/>
    <w:rsid w:val="74434B8B"/>
    <w:rsid w:val="744E786F"/>
    <w:rsid w:val="74500B6B"/>
    <w:rsid w:val="74631D2A"/>
    <w:rsid w:val="7470036B"/>
    <w:rsid w:val="74711A29"/>
    <w:rsid w:val="7476043F"/>
    <w:rsid w:val="7495684F"/>
    <w:rsid w:val="74A473B6"/>
    <w:rsid w:val="74BB6D30"/>
    <w:rsid w:val="74CF57F7"/>
    <w:rsid w:val="74EE4A26"/>
    <w:rsid w:val="74F141B3"/>
    <w:rsid w:val="74F4782B"/>
    <w:rsid w:val="75093A44"/>
    <w:rsid w:val="75146FFC"/>
    <w:rsid w:val="752550C9"/>
    <w:rsid w:val="754546F0"/>
    <w:rsid w:val="756E5ECB"/>
    <w:rsid w:val="756F536D"/>
    <w:rsid w:val="75713018"/>
    <w:rsid w:val="75862CA5"/>
    <w:rsid w:val="75905670"/>
    <w:rsid w:val="75BC32D6"/>
    <w:rsid w:val="75BD2281"/>
    <w:rsid w:val="75D64B85"/>
    <w:rsid w:val="75E1089C"/>
    <w:rsid w:val="75E455B2"/>
    <w:rsid w:val="75F62642"/>
    <w:rsid w:val="75FD1375"/>
    <w:rsid w:val="76003F4B"/>
    <w:rsid w:val="760305A7"/>
    <w:rsid w:val="762245F4"/>
    <w:rsid w:val="762651C4"/>
    <w:rsid w:val="763D0FF2"/>
    <w:rsid w:val="766A32FA"/>
    <w:rsid w:val="76703998"/>
    <w:rsid w:val="76765FD5"/>
    <w:rsid w:val="76D65972"/>
    <w:rsid w:val="76E824A1"/>
    <w:rsid w:val="76E95C45"/>
    <w:rsid w:val="76FD1DF7"/>
    <w:rsid w:val="77064A68"/>
    <w:rsid w:val="771868CC"/>
    <w:rsid w:val="772F3ECD"/>
    <w:rsid w:val="77420723"/>
    <w:rsid w:val="774C5F0F"/>
    <w:rsid w:val="774C645C"/>
    <w:rsid w:val="7770288B"/>
    <w:rsid w:val="777A1CF6"/>
    <w:rsid w:val="77906AEE"/>
    <w:rsid w:val="77933823"/>
    <w:rsid w:val="77A504CC"/>
    <w:rsid w:val="77A5374F"/>
    <w:rsid w:val="77B32669"/>
    <w:rsid w:val="77BF2BD4"/>
    <w:rsid w:val="77C55F52"/>
    <w:rsid w:val="77CB4BC0"/>
    <w:rsid w:val="77DF469C"/>
    <w:rsid w:val="77FE283A"/>
    <w:rsid w:val="784461AC"/>
    <w:rsid w:val="784464DF"/>
    <w:rsid w:val="78485A36"/>
    <w:rsid w:val="784C1248"/>
    <w:rsid w:val="786D46D5"/>
    <w:rsid w:val="787640C9"/>
    <w:rsid w:val="78802CC4"/>
    <w:rsid w:val="789D0C72"/>
    <w:rsid w:val="78A477B4"/>
    <w:rsid w:val="78A70AC5"/>
    <w:rsid w:val="78B029AD"/>
    <w:rsid w:val="78BB5B1C"/>
    <w:rsid w:val="792720A9"/>
    <w:rsid w:val="792E7F36"/>
    <w:rsid w:val="79362610"/>
    <w:rsid w:val="79404650"/>
    <w:rsid w:val="79693193"/>
    <w:rsid w:val="797532B6"/>
    <w:rsid w:val="79767CB3"/>
    <w:rsid w:val="79783393"/>
    <w:rsid w:val="79794BEB"/>
    <w:rsid w:val="797E5920"/>
    <w:rsid w:val="79800B09"/>
    <w:rsid w:val="79837A1C"/>
    <w:rsid w:val="799038F3"/>
    <w:rsid w:val="79944B95"/>
    <w:rsid w:val="79976BF9"/>
    <w:rsid w:val="79B149D4"/>
    <w:rsid w:val="79B67861"/>
    <w:rsid w:val="79B84F43"/>
    <w:rsid w:val="79C37D0E"/>
    <w:rsid w:val="79C43B5A"/>
    <w:rsid w:val="79C9650F"/>
    <w:rsid w:val="79D67F42"/>
    <w:rsid w:val="79DA4D0D"/>
    <w:rsid w:val="79DB1720"/>
    <w:rsid w:val="79E01483"/>
    <w:rsid w:val="79E10D06"/>
    <w:rsid w:val="79E90EC1"/>
    <w:rsid w:val="7A021DB8"/>
    <w:rsid w:val="7A065747"/>
    <w:rsid w:val="7A195E96"/>
    <w:rsid w:val="7A1A0DDF"/>
    <w:rsid w:val="7A2411BB"/>
    <w:rsid w:val="7A2F1F08"/>
    <w:rsid w:val="7A4B6187"/>
    <w:rsid w:val="7A4C0910"/>
    <w:rsid w:val="7A564ADF"/>
    <w:rsid w:val="7A5709EF"/>
    <w:rsid w:val="7A5C0C0C"/>
    <w:rsid w:val="7A784262"/>
    <w:rsid w:val="7AA72B86"/>
    <w:rsid w:val="7AAD37AF"/>
    <w:rsid w:val="7AAF0A24"/>
    <w:rsid w:val="7AB64C94"/>
    <w:rsid w:val="7ACC5C2F"/>
    <w:rsid w:val="7AE449C9"/>
    <w:rsid w:val="7AE76A03"/>
    <w:rsid w:val="7B137A41"/>
    <w:rsid w:val="7B180060"/>
    <w:rsid w:val="7B39664D"/>
    <w:rsid w:val="7B4702FD"/>
    <w:rsid w:val="7B4E7835"/>
    <w:rsid w:val="7B5F0483"/>
    <w:rsid w:val="7B61234A"/>
    <w:rsid w:val="7B6B425F"/>
    <w:rsid w:val="7B6E6537"/>
    <w:rsid w:val="7B7E62F6"/>
    <w:rsid w:val="7B863B2D"/>
    <w:rsid w:val="7B8B5EA0"/>
    <w:rsid w:val="7BAB0A4E"/>
    <w:rsid w:val="7BAD346B"/>
    <w:rsid w:val="7BDC5ECF"/>
    <w:rsid w:val="7BE423E7"/>
    <w:rsid w:val="7BFC0B98"/>
    <w:rsid w:val="7C0336D4"/>
    <w:rsid w:val="7C0F2600"/>
    <w:rsid w:val="7C196510"/>
    <w:rsid w:val="7C2E0FA1"/>
    <w:rsid w:val="7C4906E7"/>
    <w:rsid w:val="7C4918B5"/>
    <w:rsid w:val="7C6176BD"/>
    <w:rsid w:val="7C636249"/>
    <w:rsid w:val="7C693741"/>
    <w:rsid w:val="7C900963"/>
    <w:rsid w:val="7C9217F0"/>
    <w:rsid w:val="7CB14A73"/>
    <w:rsid w:val="7CBB7ACC"/>
    <w:rsid w:val="7D026FD3"/>
    <w:rsid w:val="7D0F49BC"/>
    <w:rsid w:val="7D1A773A"/>
    <w:rsid w:val="7D420FB2"/>
    <w:rsid w:val="7D515F62"/>
    <w:rsid w:val="7D691ED1"/>
    <w:rsid w:val="7D9A0639"/>
    <w:rsid w:val="7DA03C01"/>
    <w:rsid w:val="7DA11C58"/>
    <w:rsid w:val="7DAF5816"/>
    <w:rsid w:val="7DB46C6E"/>
    <w:rsid w:val="7DD21AFF"/>
    <w:rsid w:val="7DD67516"/>
    <w:rsid w:val="7DDD40B9"/>
    <w:rsid w:val="7DF10672"/>
    <w:rsid w:val="7DFE5751"/>
    <w:rsid w:val="7E066261"/>
    <w:rsid w:val="7E3C1B82"/>
    <w:rsid w:val="7E420FE4"/>
    <w:rsid w:val="7E4A779A"/>
    <w:rsid w:val="7E7B370D"/>
    <w:rsid w:val="7E9937C1"/>
    <w:rsid w:val="7E9A3485"/>
    <w:rsid w:val="7E9C2FAD"/>
    <w:rsid w:val="7EA25E2E"/>
    <w:rsid w:val="7ED304A1"/>
    <w:rsid w:val="7EDF11C5"/>
    <w:rsid w:val="7EDF1DE5"/>
    <w:rsid w:val="7EF044B3"/>
    <w:rsid w:val="7EFD32AB"/>
    <w:rsid w:val="7F0E0C64"/>
    <w:rsid w:val="7F2A01FB"/>
    <w:rsid w:val="7F347A63"/>
    <w:rsid w:val="7F5943B5"/>
    <w:rsid w:val="7F807065"/>
    <w:rsid w:val="7F850FF6"/>
    <w:rsid w:val="7F9965C6"/>
    <w:rsid w:val="7FB50781"/>
    <w:rsid w:val="7FBC17BA"/>
    <w:rsid w:val="7FC74BEE"/>
    <w:rsid w:val="7FCD490C"/>
    <w:rsid w:val="7FD84BC5"/>
    <w:rsid w:val="7FFA36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18"/>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rFonts w:cs="Times New Roman"/>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List Paragraph1"/>
    <w:basedOn w:val="1"/>
    <w:qFormat/>
    <w:uiPriority w:val="99"/>
    <w:pPr>
      <w:ind w:firstLine="420" w:firstLineChars="200"/>
    </w:pPr>
    <w:rPr>
      <w:rFonts w:ascii="Times New Roman" w:hAnsi="Times New Roman"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xml"/><Relationship Id="rId17" Type="http://schemas.openxmlformats.org/officeDocument/2006/relationships/image" Target="media/image5.emf"/><Relationship Id="rId16" Type="http://schemas.openxmlformats.org/officeDocument/2006/relationships/oleObject" Target="embeddings/oleObject3.bin"/><Relationship Id="rId15" Type="http://schemas.openxmlformats.org/officeDocument/2006/relationships/image" Target="media/image4.emf"/><Relationship Id="rId14" Type="http://schemas.openxmlformats.org/officeDocument/2006/relationships/oleObject" Target="embeddings/oleObject2.bin"/><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spc="100" baseline="0">
                <a:ln>
                  <a:noFill/>
                </a:ln>
                <a:solidFill>
                  <a:schemeClr val="dk1"/>
                </a:solidFill>
                <a:effectLst/>
                <a:latin typeface="+mn-lt"/>
                <a:ea typeface="+mn-ea"/>
                <a:cs typeface="+mn-cs"/>
              </a:defRPr>
            </a:pPr>
            <a:r>
              <a:rPr sz="1000">
                <a:ln>
                  <a:noFill/>
                </a:ln>
                <a:solidFill>
                  <a:schemeClr val="tx1"/>
                </a:solidFill>
                <a:effectLst/>
                <a:uFillTx/>
                <a:latin typeface="+mj-ea"/>
                <a:ea typeface="宋体" panose="02010600030101010101" charset="-122"/>
                <a:cs typeface="黑体" panose="02010609060101010101" charset="-122"/>
              </a:rPr>
              <a:t>202</a:t>
            </a:r>
            <a:r>
              <a:rPr lang="en-US" altLang="zh-CN" sz="1000">
                <a:ln>
                  <a:noFill/>
                </a:ln>
                <a:solidFill>
                  <a:schemeClr val="tx1"/>
                </a:solidFill>
                <a:effectLst/>
                <a:uFillTx/>
                <a:latin typeface="+mj-ea"/>
                <a:ea typeface="宋体" panose="02010600030101010101" charset="-122"/>
                <a:cs typeface="黑体" panose="02010609060101010101" charset="-122"/>
              </a:rPr>
              <a:t>2</a:t>
            </a:r>
            <a:r>
              <a:rPr sz="1000">
                <a:ln>
                  <a:noFill/>
                </a:ln>
                <a:solidFill>
                  <a:schemeClr val="tx1"/>
                </a:solidFill>
                <a:effectLst/>
                <a:uFillTx/>
                <a:latin typeface="+mj-ea"/>
                <a:ea typeface="宋体" panose="02010600030101010101" charset="-122"/>
                <a:cs typeface="黑体" panose="02010609060101010101" charset="-122"/>
              </a:rPr>
              <a:t>年</a:t>
            </a:r>
            <a:r>
              <a:rPr lang="en-US" altLang="zh-CN" sz="1000">
                <a:ln>
                  <a:noFill/>
                </a:ln>
                <a:solidFill>
                  <a:schemeClr val="tx1"/>
                </a:solidFill>
                <a:effectLst/>
                <a:uFillTx/>
                <a:latin typeface="+mj-ea"/>
                <a:ea typeface="宋体" panose="02010600030101010101" charset="-122"/>
                <a:cs typeface="黑体" panose="02010609060101010101" charset="-122"/>
              </a:rPr>
              <a:t>1-8</a:t>
            </a:r>
            <a:r>
              <a:rPr sz="1000">
                <a:ln>
                  <a:noFill/>
                </a:ln>
                <a:solidFill>
                  <a:schemeClr val="tx1"/>
                </a:solidFill>
                <a:effectLst/>
                <a:uFillTx/>
                <a:latin typeface="+mj-ea"/>
                <a:ea typeface="宋体" panose="02010600030101010101" charset="-122"/>
                <a:cs typeface="黑体" panose="02010609060101010101" charset="-122"/>
              </a:rPr>
              <a:t>月一般公共预算支出分</a:t>
            </a:r>
            <a:r>
              <a:rPr sz="1000">
                <a:ln>
                  <a:noFill/>
                </a:ln>
                <a:solidFill>
                  <a:schemeClr val="tx1"/>
                </a:solidFill>
                <a:effectLst/>
                <a:uFillTx/>
                <a:latin typeface="+中文标题" charset="0"/>
                <a:ea typeface="宋体" panose="02010600030101010101" charset="-122"/>
                <a:cs typeface="黑体" panose="02010609060101010101" charset="-122"/>
              </a:rPr>
              <a:t>项占比图</a:t>
            </a:r>
            <a:endParaRPr sz="1000">
              <a:ln>
                <a:noFill/>
              </a:ln>
              <a:solidFill>
                <a:schemeClr val="tx1"/>
              </a:solidFill>
              <a:effectLst/>
              <a:uFillTx/>
              <a:latin typeface="+中文标题" charset="0"/>
              <a:ea typeface="宋体" panose="02010600030101010101" charset="-122"/>
              <a:cs typeface="黑体" panose="02010609060101010101" charset="-122"/>
            </a:endParaRPr>
          </a:p>
        </c:rich>
      </c:tx>
      <c:layout>
        <c:manualLayout>
          <c:xMode val="edge"/>
          <c:yMode val="edge"/>
          <c:x val="0.20106537498202"/>
          <c:y val="0.00693160813308688"/>
        </c:manualLayout>
      </c:layout>
      <c:overlay val="0"/>
      <c:spPr>
        <a:noFill/>
        <a:ln w="25400" cap="flat" cmpd="sng" algn="ctr">
          <a:noFill/>
          <a:prstDash val="solid"/>
        </a:ln>
        <a:effectLst/>
        <a:sp3d>
          <a:extrusionClr>
            <a:srgbClr val="FFFFFF"/>
          </a:extrusionClr>
          <a:contourClr>
            <a:srgbClr val="FFFFFF"/>
          </a:contourClr>
        </a:sp3d>
      </c:spPr>
    </c:title>
    <c:autoTitleDeleted val="0"/>
    <c:plotArea>
      <c:layout>
        <c:manualLayout>
          <c:layoutTarget val="inner"/>
          <c:xMode val="edge"/>
          <c:yMode val="edge"/>
          <c:x val="0.273443004115226"/>
          <c:y val="0.166666666666667"/>
          <c:w val="0.463007407407407"/>
          <c:h val="0.781325"/>
        </c:manualLayout>
      </c:layout>
      <c:pieChart>
        <c:varyColors val="1"/>
        <c:ser>
          <c:idx val="0"/>
          <c:order val="0"/>
          <c:tx>
            <c:strRef>
              <c:f>Sheet1!$B$1</c:f>
              <c:strCache>
                <c:ptCount val="1"/>
                <c:pt idx="0">
                  <c:v>2022年1-8月一般公共预算支出分项占比图</c:v>
                </c:pt>
              </c:strCache>
            </c:strRef>
          </c:tx>
          <c:spPr/>
          <c:explosion val="1"/>
          <c:dPt>
            <c:idx val="0"/>
            <c:bubble3D val="0"/>
            <c:spPr>
              <a:gradFill rotWithShape="1">
                <a:gsLst>
                  <a:gs pos="0">
                    <a:schemeClr val="accent2">
                      <a:shade val="45000"/>
                      <a:satMod val="103000"/>
                      <a:lumMod val="102000"/>
                      <a:tint val="94000"/>
                    </a:schemeClr>
                  </a:gs>
                  <a:gs pos="50000">
                    <a:schemeClr val="accent2">
                      <a:shade val="45000"/>
                      <a:satMod val="110000"/>
                      <a:lumMod val="100000"/>
                      <a:shade val="100000"/>
                    </a:schemeClr>
                  </a:gs>
                  <a:gs pos="100000">
                    <a:schemeClr val="accent2">
                      <a:shade val="45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hade val="61000"/>
                      <a:satMod val="103000"/>
                      <a:lumMod val="102000"/>
                      <a:tint val="94000"/>
                    </a:schemeClr>
                  </a:gs>
                  <a:gs pos="50000">
                    <a:schemeClr val="accent2">
                      <a:shade val="61000"/>
                      <a:satMod val="110000"/>
                      <a:lumMod val="100000"/>
                      <a:shade val="100000"/>
                    </a:schemeClr>
                  </a:gs>
                  <a:gs pos="100000">
                    <a:schemeClr val="accent2">
                      <a:shade val="61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0"/>
            <c:spPr>
              <a:gradFill rotWithShape="1">
                <a:gsLst>
                  <a:gs pos="0">
                    <a:schemeClr val="accent2">
                      <a:shade val="92000"/>
                      <a:satMod val="103000"/>
                      <a:lumMod val="102000"/>
                      <a:tint val="94000"/>
                    </a:schemeClr>
                  </a:gs>
                  <a:gs pos="50000">
                    <a:schemeClr val="accent2">
                      <a:shade val="92000"/>
                      <a:satMod val="110000"/>
                      <a:lumMod val="100000"/>
                      <a:shade val="100000"/>
                    </a:schemeClr>
                  </a:gs>
                  <a:gs pos="100000">
                    <a:schemeClr val="accent2">
                      <a:shade val="9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2">
                      <a:tint val="93000"/>
                      <a:satMod val="103000"/>
                      <a:lumMod val="102000"/>
                      <a:tint val="94000"/>
                    </a:schemeClr>
                  </a:gs>
                  <a:gs pos="50000">
                    <a:schemeClr val="accent2">
                      <a:tint val="93000"/>
                      <a:satMod val="110000"/>
                      <a:lumMod val="100000"/>
                      <a:shade val="100000"/>
                    </a:schemeClr>
                  </a:gs>
                  <a:gs pos="100000">
                    <a:schemeClr val="accent2">
                      <a:tint val="93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1"/>
            <c:spPr>
              <a:gradFill rotWithShape="1">
                <a:gsLst>
                  <a:gs pos="0">
                    <a:schemeClr val="accent2">
                      <a:tint val="62000"/>
                      <a:satMod val="103000"/>
                      <a:lumMod val="102000"/>
                      <a:tint val="94000"/>
                    </a:schemeClr>
                  </a:gs>
                  <a:gs pos="50000">
                    <a:schemeClr val="accent2">
                      <a:tint val="62000"/>
                      <a:satMod val="110000"/>
                      <a:lumMod val="100000"/>
                      <a:shade val="100000"/>
                    </a:schemeClr>
                  </a:gs>
                  <a:gs pos="100000">
                    <a:schemeClr val="accent2">
                      <a:tint val="6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2">
                      <a:tint val="46000"/>
                      <a:satMod val="103000"/>
                      <a:lumMod val="102000"/>
                      <a:tint val="94000"/>
                    </a:schemeClr>
                  </a:gs>
                  <a:gs pos="50000">
                    <a:schemeClr val="accent2">
                      <a:tint val="46000"/>
                      <a:satMod val="110000"/>
                      <a:lumMod val="100000"/>
                      <a:shade val="100000"/>
                    </a:schemeClr>
                  </a:gs>
                  <a:gs pos="100000">
                    <a:schemeClr val="accent2">
                      <a:tint val="4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2">
                      <a:shade val="96316"/>
                      <a:satMod val="103000"/>
                      <a:lumMod val="102000"/>
                      <a:tint val="94000"/>
                    </a:schemeClr>
                  </a:gs>
                  <a:gs pos="50000">
                    <a:schemeClr val="accent2">
                      <a:shade val="96316"/>
                      <a:satMod val="110000"/>
                      <a:lumMod val="100000"/>
                      <a:shade val="100000"/>
                    </a:schemeClr>
                  </a:gs>
                  <a:gs pos="100000">
                    <a:schemeClr val="accent2">
                      <a:shade val="9631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2">
                      <a:tint val="96316"/>
                      <a:satMod val="103000"/>
                      <a:lumMod val="102000"/>
                      <a:tint val="94000"/>
                    </a:schemeClr>
                  </a:gs>
                  <a:gs pos="50000">
                    <a:schemeClr val="accent2">
                      <a:tint val="96316"/>
                      <a:satMod val="110000"/>
                      <a:lumMod val="100000"/>
                      <a:shade val="100000"/>
                    </a:schemeClr>
                  </a:gs>
                  <a:gs pos="100000">
                    <a:schemeClr val="accent2">
                      <a:tint val="9631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0"/>
            <c:bubble3D val="0"/>
            <c:spPr>
              <a:gradFill rotWithShape="1">
                <a:gsLst>
                  <a:gs pos="0">
                    <a:schemeClr val="accent2">
                      <a:tint val="88947"/>
                      <a:satMod val="103000"/>
                      <a:lumMod val="102000"/>
                      <a:tint val="94000"/>
                    </a:schemeClr>
                  </a:gs>
                  <a:gs pos="50000">
                    <a:schemeClr val="accent2">
                      <a:tint val="88947"/>
                      <a:satMod val="110000"/>
                      <a:lumMod val="100000"/>
                      <a:shade val="100000"/>
                    </a:schemeClr>
                  </a:gs>
                  <a:gs pos="100000">
                    <a:schemeClr val="accent2">
                      <a:tint val="8894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1"/>
            <c:bubble3D val="0"/>
            <c:spPr>
              <a:gradFill rotWithShape="1">
                <a:gsLst>
                  <a:gs pos="0">
                    <a:schemeClr val="accent2">
                      <a:tint val="81579"/>
                      <a:satMod val="103000"/>
                      <a:lumMod val="102000"/>
                      <a:tint val="94000"/>
                    </a:schemeClr>
                  </a:gs>
                  <a:gs pos="50000">
                    <a:schemeClr val="accent2">
                      <a:tint val="81579"/>
                      <a:satMod val="110000"/>
                      <a:lumMod val="100000"/>
                      <a:shade val="100000"/>
                    </a:schemeClr>
                  </a:gs>
                  <a:gs pos="100000">
                    <a:schemeClr val="accent2">
                      <a:tint val="81579"/>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2"/>
            <c:bubble3D val="0"/>
            <c:spPr>
              <a:gradFill rotWithShape="1">
                <a:gsLst>
                  <a:gs pos="0">
                    <a:schemeClr val="accent2">
                      <a:tint val="74211"/>
                      <a:satMod val="103000"/>
                      <a:lumMod val="102000"/>
                      <a:tint val="94000"/>
                    </a:schemeClr>
                  </a:gs>
                  <a:gs pos="50000">
                    <a:schemeClr val="accent2">
                      <a:tint val="74211"/>
                      <a:satMod val="110000"/>
                      <a:lumMod val="100000"/>
                      <a:shade val="100000"/>
                    </a:schemeClr>
                  </a:gs>
                  <a:gs pos="100000">
                    <a:schemeClr val="accent2">
                      <a:tint val="7421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3"/>
            <c:bubble3D val="0"/>
            <c:spPr>
              <a:gradFill rotWithShape="1">
                <a:gsLst>
                  <a:gs pos="0">
                    <a:schemeClr val="accent2">
                      <a:tint val="66842"/>
                      <a:satMod val="103000"/>
                      <a:lumMod val="102000"/>
                      <a:tint val="94000"/>
                    </a:schemeClr>
                  </a:gs>
                  <a:gs pos="50000">
                    <a:schemeClr val="accent2">
                      <a:tint val="66842"/>
                      <a:satMod val="110000"/>
                      <a:lumMod val="100000"/>
                      <a:shade val="100000"/>
                    </a:schemeClr>
                  </a:gs>
                  <a:gs pos="100000">
                    <a:schemeClr val="accent2">
                      <a:tint val="6684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4"/>
            <c:bubble3D val="0"/>
            <c:spPr>
              <a:gradFill rotWithShape="1">
                <a:gsLst>
                  <a:gs pos="0">
                    <a:schemeClr val="accent2">
                      <a:tint val="59474"/>
                      <a:satMod val="103000"/>
                      <a:lumMod val="102000"/>
                      <a:tint val="94000"/>
                    </a:schemeClr>
                  </a:gs>
                  <a:gs pos="50000">
                    <a:schemeClr val="accent2">
                      <a:tint val="59474"/>
                      <a:satMod val="110000"/>
                      <a:lumMod val="100000"/>
                      <a:shade val="100000"/>
                    </a:schemeClr>
                  </a:gs>
                  <a:gs pos="100000">
                    <a:schemeClr val="accent2">
                      <a:tint val="5947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5"/>
            <c:bubble3D val="0"/>
            <c:spPr>
              <a:gradFill rotWithShape="1">
                <a:gsLst>
                  <a:gs pos="0">
                    <a:schemeClr val="accent2">
                      <a:tint val="52105"/>
                      <a:satMod val="103000"/>
                      <a:lumMod val="102000"/>
                      <a:tint val="94000"/>
                    </a:schemeClr>
                  </a:gs>
                  <a:gs pos="50000">
                    <a:schemeClr val="accent2">
                      <a:tint val="52105"/>
                      <a:satMod val="110000"/>
                      <a:lumMod val="100000"/>
                      <a:shade val="100000"/>
                    </a:schemeClr>
                  </a:gs>
                  <a:gs pos="100000">
                    <a:schemeClr val="accent2">
                      <a:tint val="5210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6"/>
            <c:bubble3D val="0"/>
            <c:spPr>
              <a:gradFill rotWithShape="1">
                <a:gsLst>
                  <a:gs pos="0">
                    <a:schemeClr val="accent2">
                      <a:tint val="44737"/>
                      <a:satMod val="103000"/>
                      <a:lumMod val="102000"/>
                      <a:tint val="94000"/>
                    </a:schemeClr>
                  </a:gs>
                  <a:gs pos="50000">
                    <a:schemeClr val="accent2">
                      <a:tint val="44737"/>
                      <a:satMod val="110000"/>
                      <a:lumMod val="100000"/>
                      <a:shade val="100000"/>
                    </a:schemeClr>
                  </a:gs>
                  <a:gs pos="100000">
                    <a:schemeClr val="accent2">
                      <a:tint val="4473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7"/>
            <c:bubble3D val="0"/>
            <c:spPr>
              <a:gradFill rotWithShape="1">
                <a:gsLst>
                  <a:gs pos="0">
                    <a:schemeClr val="accent2">
                      <a:tint val="37368"/>
                      <a:satMod val="103000"/>
                      <a:lumMod val="102000"/>
                      <a:tint val="94000"/>
                    </a:schemeClr>
                  </a:gs>
                  <a:gs pos="50000">
                    <a:schemeClr val="accent2">
                      <a:tint val="37368"/>
                      <a:satMod val="110000"/>
                      <a:lumMod val="100000"/>
                      <a:shade val="100000"/>
                    </a:schemeClr>
                  </a:gs>
                  <a:gs pos="100000">
                    <a:schemeClr val="accent2">
                      <a:tint val="37368"/>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208741046860916"/>
                  <c:y val="0.0125585478841203"/>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资源勘探信息等21%</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9257616089914"/>
                      <c:h val="0.074234755362738"/>
                    </c:manualLayout>
                  </c15:layout>
                </c:ext>
              </c:extLst>
            </c:dLbl>
            <c:dLbl>
              <c:idx val="1"/>
              <c:layout>
                <c:manualLayout>
                  <c:x val="-0.162019669995874"/>
                  <c:y val="-0.0454239259364418"/>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城乡社区</a:t>
                    </a:r>
                    <a:r>
                      <a:rPr lang="en-US" altLang="zh-CN"/>
                      <a:t>,</a:t>
                    </a:r>
                    <a:r>
                      <a:t>14%</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7227266176683"/>
                      <c:h val="0.0706547338671691"/>
                    </c:manualLayout>
                  </c15:layout>
                </c:ext>
              </c:extLst>
            </c:dLbl>
            <c:dLbl>
              <c:idx val="2"/>
              <c:layout>
                <c:manualLayout>
                  <c:x val="-0.0808421536958723"/>
                  <c:y val="0.0100146868941169"/>
                </c:manualLayout>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91921916183269"/>
                  <c:y val="0.0215027036598455"/>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教育</a:t>
                    </a:r>
                    <a:r>
                      <a:rPr lang="en-US" altLang="zh-CN"/>
                      <a:t>,</a:t>
                    </a:r>
                    <a:r>
                      <a:t>9%</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21343133016285"/>
                      <c:h val="0.0843558282208589"/>
                    </c:manualLayout>
                  </c15:layout>
                </c:ext>
              </c:extLst>
            </c:dLbl>
            <c:dLbl>
              <c:idx val="4"/>
              <c:layout>
                <c:manualLayout>
                  <c:x val="-0.13472918100046"/>
                  <c:y val="0.0250571118356566"/>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一般公共服务</a:t>
                    </a:r>
                    <a:r>
                      <a:rPr lang="en-US" altLang="zh-CN"/>
                      <a:t>,</a:t>
                    </a:r>
                    <a:r>
                      <a:t>9%</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1382043522121"/>
                      <c:h val="0.0812529439472445"/>
                    </c:manualLayout>
                  </c15:layout>
                </c:ext>
              </c:extLst>
            </c:dLbl>
            <c:dLbl>
              <c:idx val="5"/>
              <c:layout>
                <c:manualLayout>
                  <c:x val="0.0525751167513754"/>
                  <c:y val="-0.0362873735948051"/>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农林水</a:t>
                    </a:r>
                    <a:r>
                      <a:rPr lang="en-US" altLang="zh-CN"/>
                      <a:t>,</a:t>
                    </a:r>
                    <a:r>
                      <a:t>6%</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780543032986954"/>
                  <c:y val="-0.0546993972083327"/>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自然资源海洋气象等</a:t>
                    </a:r>
                    <a:r>
                      <a:rPr lang="en-US" altLang="zh-CN"/>
                      <a:t>,</a:t>
                    </a:r>
                    <a:r>
                      <a:t>1%</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1621271076524"/>
                      <c:h val="0.0635892604804522"/>
                    </c:manualLayout>
                  </c15:layout>
                </c:ext>
              </c:extLst>
            </c:dLbl>
            <c:dLbl>
              <c:idx val="7"/>
              <c:layout>
                <c:manualLayout>
                  <c:x val="0.302647409246842"/>
                  <c:y val="-0.0573000834439766"/>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节能环保</a:t>
                    </a:r>
                    <a:r>
                      <a:rPr lang="en-US" altLang="zh-CN"/>
                      <a:t>,</a:t>
                    </a:r>
                    <a:r>
                      <a:t>6%</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2750261858447"/>
                      <c:h val="0.0598428835489834"/>
                    </c:manualLayout>
                  </c15:layout>
                </c:ext>
              </c:extLst>
            </c:dLbl>
            <c:dLbl>
              <c:idx val="8"/>
              <c:layout>
                <c:manualLayout>
                  <c:x val="0.20768895420633"/>
                  <c:y val="-0.0649564121913725"/>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卫生健康</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4272033517881"/>
                      <c:h val="0.0533733826247689"/>
                    </c:manualLayout>
                  </c15:layout>
                </c:ext>
              </c:extLst>
            </c:dLbl>
            <c:dLbl>
              <c:idx val="9"/>
              <c:layout>
                <c:manualLayout>
                  <c:x val="0.13895856724353"/>
                  <c:y val="-0.0836204180632653"/>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债务付息</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5294029627413"/>
                      <c:h val="0.053373382624769"/>
                    </c:manualLayout>
                  </c15:layout>
                </c:ext>
              </c:extLst>
            </c:dLbl>
            <c:dLbl>
              <c:idx val="10"/>
              <c:layout>
                <c:manualLayout>
                  <c:x val="0.110289738955228"/>
                  <c:y val="-0.093588236221833"/>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交通运输</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0942498919153"/>
                      <c:h val="0.0573678290213723"/>
                    </c:manualLayout>
                  </c15:layout>
                </c:ext>
              </c:extLst>
            </c:dLbl>
            <c:dLbl>
              <c:idx val="11"/>
              <c:layout>
                <c:manualLayout>
                  <c:x val="0.0857227309744069"/>
                  <c:y val="-0.0947343039882176"/>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公共安全</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3248306672431"/>
                      <c:h val="0.0476940382452193"/>
                    </c:manualLayout>
                  </c15:layout>
                </c:ext>
              </c:extLst>
            </c:dLbl>
            <c:dLbl>
              <c:idx val="12"/>
              <c:layout>
                <c:manualLayout>
                  <c:x val="0.0868917310811662"/>
                  <c:y val="-0.136362416233324"/>
                </c:manualLayout>
              </c:layout>
              <c:tx>
                <c:rich>
                  <a:bodyPr rot="0" spcFirstLastPara="0" vertOverflow="clip" vert="horz" wrap="square" lIns="36576" tIns="18288" rIns="36576" bIns="18288" anchor="ctr" anchorCtr="1"/>
                  <a:lstStyle/>
                  <a:p>
                    <a:pPr defTabSz="914400">
                      <a:defRPr lang="zh-CN" sz="700" b="0" i="0" u="none" strike="noStrike" kern="1200" cap="none"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住房保障</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2%</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2183311716386"/>
                      <c:h val="0.0632170978627671"/>
                    </c:manualLayout>
                  </c15:layout>
                </c:ext>
              </c:extLst>
            </c:dLbl>
            <c:dLbl>
              <c:idx val="13"/>
              <c:layout>
                <c:manualLayout>
                  <c:x val="0.0948175841955378"/>
                  <c:y val="-0.098836947658779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文化旅游体育与传媒</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2%</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4814490213263"/>
                      <c:h val="0.0653645833333333"/>
                    </c:manualLayout>
                  </c15:layout>
                </c:ext>
              </c:extLst>
            </c:dLbl>
            <c:dLbl>
              <c:idx val="14"/>
              <c:layout>
                <c:manualLayout>
                  <c:x val="0.186787416409352"/>
                  <c:y val="-0.059870730757908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科学技术</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1%</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6562905317769"/>
                      <c:h val="0.0672665916760405"/>
                    </c:manualLayout>
                  </c15:layout>
                </c:ext>
              </c:extLst>
            </c:dLbl>
            <c:dLbl>
              <c:idx val="15"/>
              <c:layout>
                <c:manualLayout>
                  <c:x val="0.117666252787692"/>
                  <c:y val="-0.015279812884405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灾害防治及应急管理</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1%</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7786424556853"/>
                      <c:h val="0.0736196319018405"/>
                    </c:manualLayout>
                  </c15:layout>
                </c:ext>
              </c:extLst>
            </c:dLbl>
            <c:dLbl>
              <c:idx val="16"/>
              <c:layout>
                <c:manualLayout>
                  <c:x val="0.177378399674949"/>
                  <c:y val="0.0284209467086075"/>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商业服务业等</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1%</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1150021616948"/>
                      <c:h val="0.0607424071991001"/>
                    </c:manualLayout>
                  </c15:layout>
                </c:ext>
              </c:extLst>
            </c:dLbl>
            <c:dLbl>
              <c:idx val="17"/>
              <c:layout>
                <c:manualLayout>
                  <c:x val="0.169899010553262"/>
                  <c:y val="0.068823621315353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粮油物资储备</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0%</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7290675889898"/>
                      <c:h val="0.0616422947131609"/>
                    </c:manualLayout>
                  </c15:layout>
                </c:ext>
              </c:extLst>
            </c:dLbl>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a:solidFill>
                        <a:sysClr val="windowText" lastClr="000000">
                          <a:alpha val="54000"/>
                        </a:sysClr>
                      </a:solidFill>
                    </a:ln>
                    <a:effectLst/>
                  </c:spPr>
                </c15:leaderLines>
              </c:ext>
            </c:extLst>
          </c:dLbls>
          <c:cat>
            <c:strRef>
              <c:f>Sheet1!$A$2:$A$19</c:f>
              <c:strCache>
                <c:ptCount val="18"/>
                <c:pt idx="0">
                  <c:v>资源勘探信息等</c:v>
                </c:pt>
                <c:pt idx="1">
                  <c:v>城乡社区</c:v>
                </c:pt>
                <c:pt idx="2">
                  <c:v>社会保障和就业</c:v>
                </c:pt>
                <c:pt idx="3">
                  <c:v>教育</c:v>
                </c:pt>
                <c:pt idx="4">
                  <c:v>一般公共服务</c:v>
                </c:pt>
                <c:pt idx="5">
                  <c:v>农林水</c:v>
                </c:pt>
                <c:pt idx="6">
                  <c:v>自然资源海洋气象等</c:v>
                </c:pt>
                <c:pt idx="7">
                  <c:v>节能环保</c:v>
                </c:pt>
                <c:pt idx="8">
                  <c:v>卫生健康</c:v>
                </c:pt>
                <c:pt idx="9">
                  <c:v>债务付息</c:v>
                </c:pt>
                <c:pt idx="10">
                  <c:v>交通运输</c:v>
                </c:pt>
                <c:pt idx="11">
                  <c:v>公共安全</c:v>
                </c:pt>
                <c:pt idx="12">
                  <c:v>住房保障</c:v>
                </c:pt>
                <c:pt idx="13">
                  <c:v>文化旅游体育与传媒</c:v>
                </c:pt>
                <c:pt idx="14">
                  <c:v>科学技术</c:v>
                </c:pt>
                <c:pt idx="15">
                  <c:v>灾害防治及应急管理</c:v>
                </c:pt>
                <c:pt idx="16">
                  <c:v>商业服务业等</c:v>
                </c:pt>
                <c:pt idx="17">
                  <c:v>粮油物资储备</c:v>
                </c:pt>
              </c:strCache>
            </c:strRef>
          </c:cat>
          <c:val>
            <c:numRef>
              <c:f>Sheet1!$B$2:$B$19</c:f>
              <c:numCache>
                <c:formatCode>General</c:formatCode>
                <c:ptCount val="18"/>
                <c:pt idx="0">
                  <c:v>28084</c:v>
                </c:pt>
                <c:pt idx="1">
                  <c:v>53686</c:v>
                </c:pt>
                <c:pt idx="2">
                  <c:v>31676</c:v>
                </c:pt>
                <c:pt idx="3">
                  <c:v>38712</c:v>
                </c:pt>
                <c:pt idx="4">
                  <c:v>30219</c:v>
                </c:pt>
                <c:pt idx="5">
                  <c:v>77464</c:v>
                </c:pt>
                <c:pt idx="6">
                  <c:v>6093</c:v>
                </c:pt>
                <c:pt idx="7">
                  <c:v>22034</c:v>
                </c:pt>
                <c:pt idx="8">
                  <c:v>22367</c:v>
                </c:pt>
                <c:pt idx="9">
                  <c:v>12008</c:v>
                </c:pt>
                <c:pt idx="10">
                  <c:v>9451</c:v>
                </c:pt>
                <c:pt idx="11">
                  <c:v>11248</c:v>
                </c:pt>
                <c:pt idx="12">
                  <c:v>14877</c:v>
                </c:pt>
                <c:pt idx="13">
                  <c:v>6294</c:v>
                </c:pt>
                <c:pt idx="14">
                  <c:v>4782</c:v>
                </c:pt>
                <c:pt idx="15">
                  <c:v>4108</c:v>
                </c:pt>
                <c:pt idx="16">
                  <c:v>1448</c:v>
                </c:pt>
                <c:pt idx="17">
                  <c:v>257</c:v>
                </c:pt>
              </c:numCache>
            </c:numRef>
          </c:val>
        </c:ser>
        <c:dLbls>
          <c:showLegendKey val="0"/>
          <c:showVal val="1"/>
          <c:showCatName val="0"/>
          <c:showSerName val="0"/>
          <c:showPercent val="0"/>
          <c:showBubbleSize val="0"/>
          <c:showLeaderLines val="1"/>
        </c:dLbls>
        <c:firstSliceAng val="139"/>
      </c:pieChart>
      <c:spPr>
        <a:noFill/>
        <a:ln>
          <a:noFill/>
        </a:ln>
        <a:effectLst/>
      </c:spPr>
    </c:plotArea>
    <c:plotVisOnly val="1"/>
    <c:dispBlanksAs val="gap"/>
    <c:showDLblsOverMax val="0"/>
  </c:chart>
  <c:spPr>
    <a:noFill/>
    <a:ln w="3175">
      <a:solidFill>
        <a:sysClr val="windowText" lastClr="000000"/>
      </a:solidFill>
    </a:ln>
    <a:effectLst/>
  </c:spPr>
  <c:txPr>
    <a:bodyPr/>
    <a:lstStyle/>
    <a:p>
      <a:pPr>
        <a:defRPr lang="zh-CN">
          <a:latin typeface="微软雅黑" panose="020B0503020204020204" charset="-122"/>
          <a:ea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
    <a:dk1>
      <a:sysClr val="windowText" lastClr="000000"/>
    </a:dk1>
    <a:lt1>
      <a:sysClr val="window" lastClr="FFFFFF"/>
    </a:lt1>
    <a:dk2>
      <a:srgbClr val="9C27B0"/>
    </a:dk2>
    <a:lt2>
      <a:srgbClr val="673AB7"/>
    </a:lt2>
    <a:accent1>
      <a:srgbClr val="2196F3"/>
    </a:accent1>
    <a:accent2>
      <a:srgbClr val="00BCD4"/>
    </a:accent2>
    <a:accent3>
      <a:srgbClr val="4CAF50"/>
    </a:accent3>
    <a:accent4>
      <a:srgbClr val="CDDC39"/>
    </a:accent4>
    <a:accent5>
      <a:srgbClr val="FFC107"/>
    </a:accent5>
    <a:accent6>
      <a:srgbClr val="FF5722"/>
    </a:accent6>
    <a:hlink>
      <a:srgbClr val="9C27B0"/>
    </a:hlink>
    <a:folHlink>
      <a:srgbClr val="673AB7"/>
    </a:folHlink>
  </a:clrScheme>
  <a:fontScheme name="Office 主题​​">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textRotate="1"/>
    <customShpInfo spid="_x0000_s1027"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3892</Words>
  <Characters>5917</Characters>
  <Lines>0</Lines>
  <Paragraphs>0</Paragraphs>
  <TotalTime>40</TotalTime>
  <ScaleCrop>false</ScaleCrop>
  <LinksUpToDate>false</LinksUpToDate>
  <CharactersWithSpaces>6039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2021-03-21T23:16:00Z</dcterms:created>
  <dc:creator>失律的钟</dc:creator>
  <cp:lastModifiedBy>czj</cp:lastModifiedBy>
  <cp:lastPrinted>2022-08-03T08:37:00Z</cp:lastPrinted>
  <dcterms:modified xsi:type="dcterms:W3CDTF">2022-09-06T07:33:27Z</dcterms:modified>
  <dc:title>失律的钟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B2A9EE8A1A4541749590519B008BD0B6</vt:lpwstr>
  </property>
  <property fmtid="{D5CDD505-2E9C-101B-9397-08002B2CF9AE}" pid="4" name="KSOSaveFontToCloudKey">
    <vt:lpwstr>1221542077_btnclosed</vt:lpwstr>
  </property>
</Properties>
</file>