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420" w:firstLineChars="0"/>
        <w:rPr>
          <w:rFonts w:hint="default" w:ascii="MWcht" w:hAnsi="MWcht" w:eastAsia="方正小标宋简体" w:cs="MWcht"/>
          <w:spacing w:val="-8"/>
          <w:sz w:val="24"/>
          <w:szCs w:val="24"/>
          <w:highlight w:val="none"/>
          <w:u w:val="none"/>
          <w:lang w:val="en-US" w:eastAsia="zh-CN"/>
        </w:rPr>
      </w:pPr>
      <w:bookmarkStart w:id="1" w:name="_GoBack"/>
      <w:bookmarkEnd w:id="1"/>
      <w:r>
        <w:rPr>
          <w:rFonts w:hint="eastAsia" w:ascii="MWcht" w:hAnsi="MWcht" w:eastAsia="方正小标宋简体" w:cs="MWcht"/>
          <w:spacing w:val="-8"/>
          <w:sz w:val="24"/>
          <w:szCs w:val="24"/>
          <w:highlight w:val="none"/>
          <w:u w:val="none"/>
          <w:lang w:eastAsia="zh-CN"/>
        </w:rPr>
        <w:drawing>
          <wp:anchor distT="0" distB="0" distL="114300" distR="114300" simplePos="0" relativeHeight="251672576" behindDoc="1" locked="0" layoutInCell="1" allowOverlap="1">
            <wp:simplePos x="0" y="0"/>
            <wp:positionH relativeFrom="column">
              <wp:posOffset>-516255</wp:posOffset>
            </wp:positionH>
            <wp:positionV relativeFrom="paragraph">
              <wp:posOffset>-351155</wp:posOffset>
            </wp:positionV>
            <wp:extent cx="5286375" cy="7499985"/>
            <wp:effectExtent l="0" t="0" r="0" b="0"/>
            <wp:wrapNone/>
            <wp:docPr id="2" name="图片 2"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最终 鄂托克旗2021年3月收支简报-1"/>
                    <pic:cNvPicPr>
                      <a:picLocks noChangeAspect="1"/>
                    </pic:cNvPicPr>
                  </pic:nvPicPr>
                  <pic:blipFill>
                    <a:blip r:embed="rId10"/>
                    <a:stretch>
                      <a:fillRect/>
                    </a:stretch>
                  </pic:blipFill>
                  <pic:spPr>
                    <a:xfrm>
                      <a:off x="0" y="0"/>
                      <a:ext cx="5286375" cy="74999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20" w:firstLineChars="0"/>
        <w:rPr>
          <w:rFonts w:hint="eastAsia" w:ascii="MWcht" w:hAnsi="MWcht" w:eastAsia="方正小标宋简体" w:cs="MWcht"/>
          <w:spacing w:val="-8"/>
          <w:sz w:val="24"/>
          <w:szCs w:val="24"/>
          <w:highlight w:val="none"/>
          <w:u w:val="none"/>
          <w:lang w:eastAsia="zh-CN"/>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68480" behindDoc="1" locked="0" layoutInCell="1" allowOverlap="1">
            <wp:simplePos x="0" y="0"/>
            <wp:positionH relativeFrom="column">
              <wp:posOffset>-523875</wp:posOffset>
            </wp:positionH>
            <wp:positionV relativeFrom="paragraph">
              <wp:posOffset>-706755</wp:posOffset>
            </wp:positionV>
            <wp:extent cx="5286375" cy="7499985"/>
            <wp:effectExtent l="0" t="0" r="0" b="0"/>
            <wp:wrapNone/>
            <wp:docPr id="11" name="图片 11"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最终 鄂托克旗2021年3月收支简报-1"/>
                    <pic:cNvPicPr>
                      <a:picLocks noChangeAspect="1"/>
                    </pic:cNvPicPr>
                  </pic:nvPicPr>
                  <pic:blipFill>
                    <a:blip r:embed="rId10"/>
                    <a:stretch>
                      <a:fillRect/>
                    </a:stretch>
                  </pic:blipFill>
                  <pic:spPr>
                    <a:xfrm>
                      <a:off x="0" y="0"/>
                      <a:ext cx="5286375" cy="7499985"/>
                    </a:xfrm>
                    <a:prstGeom prst="rect">
                      <a:avLst/>
                    </a:prstGeom>
                  </pic:spPr>
                </pic:pic>
              </a:graphicData>
            </a:graphic>
          </wp:anchor>
        </w:drawing>
      </w:r>
      <w:r>
        <w:rPr>
          <w:rFonts w:hint="eastAsia" w:ascii="MWcht" w:hAnsi="MWcht" w:eastAsia="方正小标宋简体" w:cs="MWcht"/>
          <w:spacing w:val="-8"/>
          <w:sz w:val="24"/>
          <w:szCs w:val="24"/>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12"/>
          <w:sz w:val="52"/>
          <w:szCs w:val="52"/>
          <w:highlight w:val="none"/>
          <w:u w:val="none"/>
          <w:lang w:val="en-US" w:eastAsia="zh-CN"/>
        </w:rPr>
      </w:pPr>
      <w:r>
        <w:rPr>
          <w:rFonts w:hint="eastAsia" w:ascii="汉真广标" w:hAnsi="汉真广标" w:eastAsia="汉真广标" w:cs="汉真广标"/>
          <w:spacing w:val="12"/>
          <w:sz w:val="52"/>
          <w:szCs w:val="52"/>
          <w:highlight w:val="none"/>
          <w:u w:val="none"/>
          <w:lang w:val="en-US" w:eastAsia="zh-CN"/>
        </w:rPr>
        <w:t>鄂托克旗财政收支分析</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default" w:ascii="Times New Roman" w:hAnsi="Times New Roman" w:eastAsia="黑体" w:cs="Times New Roman"/>
          <w:b w:val="0"/>
          <w:bCs w:val="0"/>
          <w:spacing w:val="-8"/>
          <w:sz w:val="28"/>
          <w:szCs w:val="28"/>
          <w:highlight w:val="none"/>
          <w:u w:val="none"/>
          <w:lang w:val="en-US" w:eastAsia="zh-CN"/>
        </w:rPr>
        <w:t>202</w:t>
      </w:r>
      <w:r>
        <w:rPr>
          <w:rFonts w:hint="eastAsia" w:ascii="Times New Roman" w:hAnsi="Times New Roman" w:eastAsia="黑体" w:cs="Times New Roman"/>
          <w:b w:val="0"/>
          <w:bCs w:val="0"/>
          <w:spacing w:val="-8"/>
          <w:sz w:val="28"/>
          <w:szCs w:val="28"/>
          <w:highlight w:val="none"/>
          <w:u w:val="none"/>
          <w:lang w:val="en-US" w:eastAsia="zh-CN"/>
        </w:rPr>
        <w:t>2</w:t>
      </w:r>
      <w:r>
        <w:rPr>
          <w:rFonts w:hint="eastAsia" w:ascii="黑体" w:hAnsi="黑体" w:eastAsia="黑体" w:cs="黑体"/>
          <w:b w:val="0"/>
          <w:bCs w:val="0"/>
          <w:spacing w:val="-8"/>
          <w:sz w:val="28"/>
          <w:szCs w:val="28"/>
          <w:highlight w:val="none"/>
          <w:u w:val="none"/>
          <w:lang w:val="en-US" w:eastAsia="zh-CN"/>
        </w:rPr>
        <w:t>年第11期</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eastAsia" w:ascii="黑体" w:hAnsi="黑体" w:eastAsia="黑体" w:cs="黑体"/>
          <w:b w:val="0"/>
          <w:bCs w:val="0"/>
          <w:spacing w:val="-8"/>
          <w:sz w:val="28"/>
          <w:szCs w:val="28"/>
          <w:highlight w:val="none"/>
          <w:u w:val="none"/>
          <w:lang w:val="en-US" w:eastAsia="zh-CN"/>
        </w:rPr>
        <w:t>（总第11期）</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9"/>
          <w:sz w:val="24"/>
          <w:szCs w:val="24"/>
          <w:highlight w:val="none"/>
          <w:u w:val="none"/>
          <w:lang w:val="en-US" w:eastAsia="zh-CN"/>
        </w:rPr>
      </w:pPr>
      <w:r>
        <w:rPr>
          <w:rFonts w:hint="eastAsia" w:ascii="黑体" w:hAnsi="黑体" w:eastAsia="黑体" w:cs="黑体"/>
          <w:b w:val="0"/>
          <w:bCs w:val="0"/>
          <w:spacing w:val="9"/>
          <w:sz w:val="24"/>
          <w:szCs w:val="24"/>
          <w:highlight w:val="none"/>
          <w:u w:val="none"/>
          <w:lang w:val="en-US" w:eastAsia="zh-CN"/>
        </w:rPr>
        <w:t>鄂托克旗财政局</w:t>
      </w: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pacing w:val="-8"/>
          <w:sz w:val="36"/>
          <w:szCs w:val="36"/>
          <w:highlight w:val="none"/>
          <w:u w:val="none"/>
          <w:lang w:val="en-US" w:eastAsia="zh-CN"/>
        </w:rPr>
      </w:pPr>
      <w:r>
        <w:rPr>
          <w:rFonts w:hint="eastAsia" w:ascii="黑体" w:hAnsi="黑体" w:eastAsia="黑体" w:cs="黑体"/>
          <w:b/>
          <w:bCs/>
          <w:spacing w:val="-8"/>
          <w:sz w:val="36"/>
          <w:szCs w:val="36"/>
          <w:highlight w:val="none"/>
          <w:u w:val="none"/>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firstLine="448" w:firstLineChars="200"/>
        <w:jc w:val="both"/>
        <w:textAlignment w:val="auto"/>
        <w:rPr>
          <w:rFonts w:hint="eastAsia" w:ascii="黑体" w:hAnsi="黑体" w:eastAsia="黑体" w:cs="黑体"/>
          <w:spacing w:val="-8"/>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黑体" w:cs="Times New Roman"/>
          <w:b w:val="0"/>
          <w:bCs w:val="0"/>
          <w:spacing w:val="0"/>
          <w:sz w:val="24"/>
          <w:szCs w:val="24"/>
          <w:highlight w:val="none"/>
          <w:u w:val="none"/>
          <w:lang w:val="en-US" w:eastAsia="zh-CN"/>
        </w:rPr>
      </w:pPr>
      <w:r>
        <w:rPr>
          <w:rFonts w:ascii="Times New Roman" w:hAnsi="Times New Roman" w:eastAsia="黑体" w:cs="Times New Roman"/>
          <w:b w:val="0"/>
          <w:bCs w:val="0"/>
          <w:spacing w:val="0"/>
          <w:sz w:val="24"/>
          <w:szCs w:val="24"/>
          <w:highlight w:val="none"/>
          <w:u w:val="none"/>
        </w:rPr>
        <w:t>一、全</w:t>
      </w:r>
      <w:r>
        <w:rPr>
          <w:rFonts w:hint="eastAsia" w:ascii="Times New Roman" w:hAnsi="Times New Roman" w:eastAsia="黑体" w:cs="Times New Roman"/>
          <w:b w:val="0"/>
          <w:bCs w:val="0"/>
          <w:spacing w:val="0"/>
          <w:sz w:val="24"/>
          <w:szCs w:val="24"/>
          <w:highlight w:val="none"/>
          <w:u w:val="none"/>
          <w:lang w:val="en-US" w:eastAsia="zh-CN"/>
        </w:rPr>
        <w:t>旗一般公共预算收入</w:t>
      </w:r>
      <w:r>
        <w:rPr>
          <w:rFonts w:hint="eastAsia" w:ascii="Times New Roman" w:hAnsi="Times New Roman" w:eastAsia="黑体" w:cs="Times New Roman"/>
          <w:b w:val="0"/>
          <w:bCs w:val="0"/>
          <w:spacing w:val="0"/>
          <w:sz w:val="24"/>
          <w:szCs w:val="24"/>
          <w:highlight w:val="none"/>
          <w:u w:val="none"/>
          <w:lang w:eastAsia="zh-CN"/>
        </w:rPr>
        <w:t>完成</w:t>
      </w:r>
      <w:r>
        <w:rPr>
          <w:rFonts w:ascii="Times New Roman" w:hAnsi="Times New Roman" w:eastAsia="黑体" w:cs="Times New Roman"/>
          <w:b w:val="0"/>
          <w:bCs w:val="0"/>
          <w:spacing w:val="0"/>
          <w:sz w:val="24"/>
          <w:szCs w:val="24"/>
          <w:highlight w:val="none"/>
          <w:u w:val="none"/>
        </w:rPr>
        <w:t>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（一）11月一般公共预算收入完成情况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（二）1-11月一般公共预算收入完成情况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二、</w:t>
      </w:r>
      <w:r>
        <w:rPr>
          <w:rFonts w:hint="default" w:ascii="Times New Roman" w:hAnsi="Times New Roman" w:eastAsia="黑体" w:cs="Times New Roman"/>
          <w:b w:val="0"/>
          <w:bCs w:val="0"/>
          <w:spacing w:val="0"/>
          <w:sz w:val="24"/>
          <w:szCs w:val="24"/>
          <w:highlight w:val="none"/>
          <w:u w:val="none"/>
        </w:rPr>
        <w:t>全</w:t>
      </w:r>
      <w:r>
        <w:rPr>
          <w:rFonts w:hint="eastAsia" w:ascii="Times New Roman" w:hAnsi="Times New Roman" w:eastAsia="黑体" w:cs="Times New Roman"/>
          <w:b w:val="0"/>
          <w:bCs w:val="0"/>
          <w:spacing w:val="0"/>
          <w:sz w:val="24"/>
          <w:szCs w:val="24"/>
          <w:highlight w:val="none"/>
          <w:u w:val="none"/>
          <w:lang w:val="en-US" w:eastAsia="zh-CN"/>
        </w:rPr>
        <w:t>旗</w:t>
      </w:r>
      <w:r>
        <w:rPr>
          <w:rFonts w:hint="default" w:ascii="Times New Roman" w:hAnsi="Times New Roman" w:eastAsia="黑体" w:cs="Times New Roman"/>
          <w:b w:val="0"/>
          <w:bCs w:val="0"/>
          <w:spacing w:val="0"/>
          <w:sz w:val="24"/>
          <w:szCs w:val="24"/>
          <w:highlight w:val="none"/>
          <w:u w:val="none"/>
        </w:rPr>
        <w:t>地方财政总收入完成情况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三、一般公共预算支出完成情况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四、政府性基金收支完成情况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8</w:t>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MWcht" w:hAnsi="MWcht" w:eastAsia="方正小标宋简体" w:cs="MWcht"/>
          <w:spacing w:val="-8"/>
          <w:sz w:val="24"/>
          <w:szCs w:val="24"/>
          <w:highlight w:val="none"/>
          <w:u w:val="none"/>
        </w:rPr>
        <w:sectPr>
          <w:headerReference r:id="rId3" w:type="default"/>
          <w:footerReference r:id="rId5" w:type="default"/>
          <w:headerReference r:id="rId4" w:type="even"/>
          <w:footerReference r:id="rId6" w:type="even"/>
          <w:footnotePr>
            <w:numFmt w:val="decimalEnclosedCircleChinese"/>
          </w:footnotePr>
          <w:type w:val="continuous"/>
          <w:pgSz w:w="8390" w:h="11905"/>
          <w:pgMar w:top="1134" w:right="850" w:bottom="850" w:left="850" w:header="851"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76672" behindDoc="0" locked="0" layoutInCell="1" allowOverlap="1">
            <wp:simplePos x="0" y="0"/>
            <wp:positionH relativeFrom="column">
              <wp:posOffset>215900</wp:posOffset>
            </wp:positionH>
            <wp:positionV relativeFrom="paragraph">
              <wp:posOffset>314960</wp:posOffset>
            </wp:positionV>
            <wp:extent cx="3808730" cy="762000"/>
            <wp:effectExtent l="0" t="0" r="1270" b="0"/>
            <wp:wrapNone/>
            <wp:docPr id="3" name="图片 3" descr="鄂托克旗2022年4月收支简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鄂托克旗2022年4月收支简报-31"/>
                    <pic:cNvPicPr>
                      <a:picLocks noChangeAspect="1"/>
                    </pic:cNvPicPr>
                  </pic:nvPicPr>
                  <pic:blipFill>
                    <a:blip r:embed="rId11"/>
                    <a:stretch>
                      <a:fillRect/>
                    </a:stretch>
                  </pic:blipFill>
                  <pic:spPr>
                    <a:xfrm>
                      <a:off x="0" y="0"/>
                      <a:ext cx="3808730" cy="7620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鄂托克旗</w:t>
      </w:r>
      <w:r>
        <w:rPr>
          <w:rFonts w:hint="eastAsia" w:ascii="方正小标宋简体" w:hAnsi="方正小标宋简体" w:eastAsia="方正小标宋简体" w:cs="方正小标宋简体"/>
          <w:sz w:val="36"/>
          <w:szCs w:val="36"/>
        </w:rPr>
        <w:t>财政收支预算执行情况分析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第 11 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24"/>
          <w:szCs w:val="24"/>
          <w:highlight w:val="none"/>
          <w:u w:val="none"/>
          <w:lang w:val="en-US"/>
        </w:rPr>
      </w:pPr>
      <w:r>
        <w:rPr>
          <w:rFonts w:hint="eastAsia" w:ascii="楷体_GB2312" w:hAnsi="楷体_GB2312" w:eastAsia="楷体_GB2312" w:cs="楷体_GB2312"/>
          <w:sz w:val="24"/>
          <w:szCs w:val="24"/>
          <w:highlight w:val="none"/>
          <w:u w:val="none"/>
          <w:lang w:val="en-US" w:eastAsia="zh-CN"/>
        </w:rPr>
        <w:t>签发人：李思乾                     2022年12月10日</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44450</wp:posOffset>
                </wp:positionV>
                <wp:extent cx="4252595" cy="0"/>
                <wp:effectExtent l="0" t="0" r="0" b="0"/>
                <wp:wrapNone/>
                <wp:docPr id="20" name="直接连接符 20"/>
                <wp:cNvGraphicFramePr/>
                <a:graphic xmlns:a="http://schemas.openxmlformats.org/drawingml/2006/main">
                  <a:graphicData uri="http://schemas.microsoft.com/office/word/2010/wordprocessingShape">
                    <wps:wsp>
                      <wps:cNvCnPr/>
                      <wps:spPr>
                        <a:xfrm>
                          <a:off x="687070" y="2796540"/>
                          <a:ext cx="4252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pt;height:0pt;width:334.85pt;z-index:251659264;mso-width-relative:page;mso-height-relative:page;" filled="f" stroked="t" coordsize="21600,21600" o:gfxdata="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0kFl0gAAAAQBAAAP&#10;AAAAAAAAAAEAIAAAACIAAABkcnMvZG93bnJldi54bWxQSwECFAAUAAAACACHTuJAmv3C9OUBAACn&#10;AwAADgAAAAAAAAABACAAAAAhAQAAZHJzL2Uyb0RvYy54bWxQSwUGAAAAAAYABgBZAQAAeAUAAAAA&#10;">
                <v:fill on="f" focussize="0,0"/>
                <v:stroke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Times New Roman" w:hAnsi="Times New Roman" w:eastAsia="黑体" w:cs="Times New Roman"/>
          <w:spacing w:val="0"/>
          <w:kern w:val="21"/>
          <w:sz w:val="24"/>
          <w:szCs w:val="24"/>
          <w:highlight w:val="none"/>
          <w:u w:val="none"/>
        </w:rPr>
      </w:pPr>
      <w:r>
        <w:rPr>
          <w:rFonts w:ascii="Times New Roman" w:hAnsi="Times New Roman" w:eastAsia="黑体" w:cs="Times New Roman"/>
          <w:spacing w:val="0"/>
          <w:kern w:val="21"/>
          <w:sz w:val="24"/>
          <w:szCs w:val="24"/>
          <w:highlight w:val="none"/>
          <w:u w:val="none"/>
        </w:rPr>
        <w:t>一、全</w:t>
      </w:r>
      <w:r>
        <w:rPr>
          <w:rFonts w:hint="eastAsia" w:ascii="Times New Roman" w:hAnsi="Times New Roman" w:eastAsia="黑体" w:cs="Times New Roman"/>
          <w:spacing w:val="0"/>
          <w:kern w:val="21"/>
          <w:sz w:val="24"/>
          <w:szCs w:val="24"/>
          <w:highlight w:val="none"/>
          <w:u w:val="none"/>
          <w:lang w:val="en-US" w:eastAsia="zh-CN"/>
        </w:rPr>
        <w:t>旗一般公共预算收入</w:t>
      </w:r>
      <w:r>
        <w:rPr>
          <w:rFonts w:hint="eastAsia" w:ascii="Times New Roman" w:hAnsi="Times New Roman" w:eastAsia="黑体" w:cs="Times New Roman"/>
          <w:spacing w:val="0"/>
          <w:kern w:val="21"/>
          <w:sz w:val="24"/>
          <w:szCs w:val="24"/>
          <w:highlight w:val="none"/>
          <w:u w:val="none"/>
          <w:lang w:eastAsia="zh-CN"/>
        </w:rPr>
        <w:t>完成</w:t>
      </w:r>
      <w:r>
        <w:rPr>
          <w:rFonts w:ascii="Times New Roman" w:hAnsi="Times New Roman" w:eastAsia="黑体" w:cs="Times New Roman"/>
          <w:spacing w:val="0"/>
          <w:kern w:val="21"/>
          <w:sz w:val="24"/>
          <w:szCs w:val="24"/>
          <w:highlight w:val="none"/>
          <w:u w:val="none"/>
        </w:rPr>
        <w:t>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楷体_GB2312" w:hAnsi="楷体_GB2312" w:eastAsia="楷体_GB2312" w:cs="楷体_GB2312"/>
          <w:spacing w:val="0"/>
          <w:kern w:val="21"/>
          <w:sz w:val="24"/>
          <w:szCs w:val="24"/>
          <w:highlight w:val="none"/>
          <w:u w:val="none"/>
          <w:lang w:val="en-US" w:eastAsia="zh-CN"/>
        </w:rPr>
      </w:pPr>
      <w:bookmarkStart w:id="0" w:name="_Hlk502930230"/>
      <w:r>
        <w:rPr>
          <w:rFonts w:hint="eastAsia" w:ascii="楷体_GB2312" w:hAnsi="楷体_GB2312" w:eastAsia="楷体_GB2312" w:cs="楷体_GB2312"/>
          <w:spacing w:val="0"/>
          <w:kern w:val="21"/>
          <w:sz w:val="24"/>
          <w:szCs w:val="24"/>
          <w:highlight w:val="none"/>
          <w:u w:val="none"/>
          <w:lang w:val="en-US" w:eastAsia="zh-CN"/>
        </w:rPr>
        <w:t>（一）11月一般公共预算收入完成情况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color w:val="auto"/>
          <w:spacing w:val="0"/>
          <w:kern w:val="21"/>
          <w:sz w:val="24"/>
          <w:szCs w:val="24"/>
          <w:highlight w:val="yellow"/>
        </w:rPr>
      </w:pPr>
      <w:r>
        <w:rPr>
          <w:rFonts w:hint="eastAsia" w:ascii="仿宋_GB2312" w:hAnsi="仿宋_GB2312" w:eastAsia="仿宋_GB2312" w:cs="仿宋_GB2312"/>
          <w:spacing w:val="0"/>
          <w:kern w:val="21"/>
          <w:sz w:val="24"/>
          <w:szCs w:val="24"/>
          <w:highlight w:val="none"/>
          <w:u w:val="none"/>
          <w:lang w:val="en-US" w:eastAsia="zh-CN"/>
        </w:rPr>
        <w:t>2022年11月当月，全旗一般公共预算收入完成34638万元，较上年同期（下同）上升44.2%。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黑体" w:hAnsi="黑体" w:eastAsia="黑体" w:cs="黑体"/>
          <w:spacing w:val="0"/>
          <w:kern w:val="21"/>
          <w:sz w:val="24"/>
          <w:szCs w:val="24"/>
          <w:highlight w:val="none"/>
          <w:u w:val="none"/>
          <w:lang w:val="en-US" w:eastAsia="zh-CN"/>
        </w:rPr>
        <w:t>分项目：</w:t>
      </w:r>
      <w:r>
        <w:rPr>
          <w:rFonts w:hint="eastAsia" w:ascii="仿宋_GB2312" w:hAnsi="仿宋_GB2312" w:eastAsia="仿宋_GB2312" w:cs="仿宋_GB2312"/>
          <w:b/>
          <w:bCs/>
          <w:spacing w:val="0"/>
          <w:kern w:val="21"/>
          <w:sz w:val="24"/>
          <w:szCs w:val="24"/>
          <w:highlight w:val="none"/>
          <w:u w:val="none"/>
          <w:lang w:val="en-US" w:eastAsia="zh-CN"/>
        </w:rPr>
        <w:t>1.增值税</w:t>
      </w:r>
      <w:r>
        <w:rPr>
          <w:rFonts w:hint="eastAsia" w:ascii="仿宋_GB2312" w:hAnsi="仿宋_GB2312" w:eastAsia="仿宋_GB2312" w:cs="仿宋_GB2312"/>
          <w:b w:val="0"/>
          <w:bCs w:val="0"/>
          <w:spacing w:val="0"/>
          <w:kern w:val="21"/>
          <w:sz w:val="24"/>
          <w:szCs w:val="24"/>
          <w:highlight w:val="none"/>
          <w:u w:val="none"/>
          <w:lang w:val="en-US" w:eastAsia="zh-CN"/>
        </w:rPr>
        <w:t>12032</w:t>
      </w:r>
      <w:r>
        <w:rPr>
          <w:rFonts w:hint="eastAsia" w:ascii="仿宋_GB2312" w:hAnsi="仿宋_GB2312" w:eastAsia="仿宋_GB2312" w:cs="仿宋_GB2312"/>
          <w:spacing w:val="0"/>
          <w:kern w:val="21"/>
          <w:sz w:val="24"/>
          <w:szCs w:val="24"/>
          <w:highlight w:val="none"/>
          <w:u w:val="none"/>
          <w:lang w:val="en-US" w:eastAsia="zh-CN"/>
        </w:rPr>
        <w:t>万元、较上年同期上升168%；</w:t>
      </w:r>
      <w:r>
        <w:rPr>
          <w:rFonts w:hint="eastAsia" w:ascii="仿宋_GB2312" w:hAnsi="仿宋_GB2312" w:eastAsia="仿宋_GB2312" w:cs="仿宋_GB2312"/>
          <w:b/>
          <w:bCs/>
          <w:spacing w:val="0"/>
          <w:kern w:val="21"/>
          <w:sz w:val="24"/>
          <w:szCs w:val="24"/>
          <w:highlight w:val="none"/>
          <w:u w:val="none"/>
          <w:lang w:val="en-US" w:eastAsia="zh-CN"/>
        </w:rPr>
        <w:t>2.企业所得税</w:t>
      </w:r>
      <w:r>
        <w:rPr>
          <w:rFonts w:hint="eastAsia" w:ascii="仿宋_GB2312" w:hAnsi="仿宋_GB2312" w:eastAsia="仿宋_GB2312" w:cs="仿宋_GB2312"/>
          <w:b w:val="0"/>
          <w:bCs w:val="0"/>
          <w:spacing w:val="0"/>
          <w:kern w:val="21"/>
          <w:sz w:val="24"/>
          <w:szCs w:val="24"/>
          <w:highlight w:val="none"/>
          <w:u w:val="none"/>
          <w:lang w:val="en-US" w:eastAsia="zh-CN"/>
        </w:rPr>
        <w:t>2061</w:t>
      </w:r>
      <w:r>
        <w:rPr>
          <w:rFonts w:hint="eastAsia" w:ascii="仿宋_GB2312" w:hAnsi="仿宋_GB2312" w:eastAsia="仿宋_GB2312" w:cs="仿宋_GB2312"/>
          <w:spacing w:val="0"/>
          <w:kern w:val="21"/>
          <w:sz w:val="24"/>
          <w:szCs w:val="24"/>
          <w:highlight w:val="none"/>
          <w:u w:val="none"/>
          <w:lang w:val="en-US" w:eastAsia="zh-CN"/>
        </w:rPr>
        <w:t>万元、较上年同期下降3%；</w:t>
      </w:r>
      <w:r>
        <w:rPr>
          <w:rFonts w:hint="eastAsia" w:ascii="仿宋_GB2312" w:hAnsi="仿宋_GB2312" w:eastAsia="仿宋_GB2312" w:cs="仿宋_GB2312"/>
          <w:b/>
          <w:bCs/>
          <w:spacing w:val="0"/>
          <w:kern w:val="21"/>
          <w:sz w:val="24"/>
          <w:szCs w:val="24"/>
          <w:highlight w:val="none"/>
          <w:u w:val="none"/>
          <w:lang w:val="en-US" w:eastAsia="zh-CN"/>
        </w:rPr>
        <w:t>3.资源税</w:t>
      </w:r>
      <w:r>
        <w:rPr>
          <w:rFonts w:hint="eastAsia" w:ascii="仿宋_GB2312" w:hAnsi="仿宋_GB2312" w:eastAsia="仿宋_GB2312" w:cs="仿宋_GB2312"/>
          <w:spacing w:val="0"/>
          <w:kern w:val="21"/>
          <w:sz w:val="24"/>
          <w:szCs w:val="24"/>
          <w:highlight w:val="none"/>
          <w:u w:val="none"/>
          <w:lang w:val="en-US" w:eastAsia="zh-CN"/>
        </w:rPr>
        <w:t>1470万元、较上年同期下降5%；</w:t>
      </w:r>
      <w:r>
        <w:rPr>
          <w:rFonts w:hint="eastAsia" w:ascii="仿宋_GB2312" w:hAnsi="仿宋_GB2312" w:eastAsia="仿宋_GB2312" w:cs="仿宋_GB2312"/>
          <w:b/>
          <w:bCs/>
          <w:spacing w:val="0"/>
          <w:kern w:val="21"/>
          <w:sz w:val="24"/>
          <w:szCs w:val="24"/>
          <w:highlight w:val="none"/>
          <w:u w:val="none"/>
          <w:lang w:val="en-US" w:eastAsia="zh-CN"/>
        </w:rPr>
        <w:t>4.个人所得税</w:t>
      </w:r>
      <w:r>
        <w:rPr>
          <w:rFonts w:hint="eastAsia" w:ascii="仿宋_GB2312" w:hAnsi="仿宋_GB2312" w:eastAsia="仿宋_GB2312" w:cs="仿宋_GB2312"/>
          <w:spacing w:val="0"/>
          <w:kern w:val="21"/>
          <w:sz w:val="24"/>
          <w:szCs w:val="24"/>
          <w:highlight w:val="none"/>
          <w:u w:val="none"/>
          <w:lang w:val="en-US" w:eastAsia="zh-CN"/>
        </w:rPr>
        <w:t>324万元、较上年同期下降76.1%</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5.城市维护建设税</w:t>
      </w:r>
      <w:r>
        <w:rPr>
          <w:rFonts w:hint="eastAsia" w:ascii="仿宋_GB2312" w:hAnsi="仿宋_GB2312" w:eastAsia="仿宋_GB2312" w:cs="仿宋_GB2312"/>
          <w:spacing w:val="0"/>
          <w:kern w:val="21"/>
          <w:sz w:val="24"/>
          <w:szCs w:val="24"/>
          <w:highlight w:val="none"/>
          <w:u w:val="none"/>
          <w:lang w:val="en-US" w:eastAsia="zh-CN"/>
        </w:rPr>
        <w:t>2075万元、较上年同期下降28.5%</w:t>
      </w:r>
      <w:r>
        <w:rPr>
          <w:rFonts w:hint="eastAsia" w:ascii="仿宋_GB2312" w:hAnsi="仿宋_GB2312" w:eastAsia="仿宋_GB2312" w:cs="仿宋_GB2312"/>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lang w:val="en-US" w:eastAsia="zh-CN"/>
        </w:rPr>
        <w:t>6.房产税</w:t>
      </w:r>
      <w:r>
        <w:rPr>
          <w:rFonts w:hint="eastAsia" w:ascii="仿宋_GB2312" w:hAnsi="仿宋_GB2312" w:eastAsia="仿宋_GB2312" w:cs="仿宋_GB2312"/>
          <w:spacing w:val="0"/>
          <w:kern w:val="21"/>
          <w:sz w:val="24"/>
          <w:szCs w:val="24"/>
          <w:highlight w:val="none"/>
          <w:lang w:val="en-US" w:eastAsia="zh-CN"/>
        </w:rPr>
        <w:t>5452万元、</w:t>
      </w:r>
      <w:r>
        <w:rPr>
          <w:rFonts w:hint="eastAsia" w:ascii="仿宋_GB2312" w:hAnsi="仿宋_GB2312" w:eastAsia="仿宋_GB2312" w:cs="仿宋_GB2312"/>
          <w:spacing w:val="0"/>
          <w:kern w:val="21"/>
          <w:sz w:val="24"/>
          <w:szCs w:val="24"/>
          <w:highlight w:val="none"/>
          <w:u w:val="none"/>
          <w:lang w:val="en-US" w:eastAsia="zh-CN"/>
        </w:rPr>
        <w:t>较上年同期上升167.8%</w:t>
      </w:r>
      <w:r>
        <w:rPr>
          <w:rFonts w:hint="eastAsia" w:ascii="仿宋_GB2312" w:hAnsi="仿宋_GB2312" w:eastAsia="仿宋_GB2312" w:cs="仿宋_GB2312"/>
          <w:spacing w:val="0"/>
          <w:kern w:val="21"/>
          <w:sz w:val="24"/>
          <w:szCs w:val="24"/>
          <w:highlight w:val="none"/>
          <w:lang w:val="en-US" w:eastAsia="zh-CN"/>
        </w:rPr>
        <w:t>；</w:t>
      </w:r>
      <w:r>
        <w:rPr>
          <w:rFonts w:hint="eastAsia" w:ascii="仿宋_GB2312" w:hAnsi="仿宋_GB2312" w:eastAsia="仿宋_GB2312" w:cs="仿宋_GB2312"/>
          <w:b/>
          <w:bCs/>
          <w:spacing w:val="0"/>
          <w:kern w:val="21"/>
          <w:sz w:val="24"/>
          <w:szCs w:val="24"/>
          <w:highlight w:val="none"/>
          <w:lang w:val="en-US" w:eastAsia="zh-CN"/>
        </w:rPr>
        <w:t>7.</w:t>
      </w:r>
      <w:r>
        <w:rPr>
          <w:rFonts w:hint="eastAsia" w:ascii="仿宋_GB2312" w:hAnsi="仿宋_GB2312" w:eastAsia="仿宋_GB2312" w:cs="仿宋_GB2312"/>
          <w:b/>
          <w:bCs/>
          <w:color w:val="auto"/>
          <w:spacing w:val="0"/>
          <w:kern w:val="21"/>
          <w:sz w:val="24"/>
          <w:szCs w:val="24"/>
          <w:highlight w:val="none"/>
          <w:u w:val="none"/>
          <w:lang w:val="en-US" w:eastAsia="zh-CN"/>
        </w:rPr>
        <w:t>印花税</w:t>
      </w:r>
      <w:r>
        <w:rPr>
          <w:rFonts w:hint="eastAsia" w:ascii="仿宋_GB2312" w:hAnsi="仿宋_GB2312" w:eastAsia="仿宋_GB2312" w:cs="仿宋_GB2312"/>
          <w:color w:val="auto"/>
          <w:spacing w:val="0"/>
          <w:kern w:val="21"/>
          <w:sz w:val="24"/>
          <w:szCs w:val="24"/>
          <w:highlight w:val="none"/>
          <w:u w:val="none"/>
          <w:lang w:val="en-US" w:eastAsia="zh-CN"/>
        </w:rPr>
        <w:t>421万元、</w:t>
      </w:r>
      <w:r>
        <w:rPr>
          <w:rFonts w:hint="eastAsia" w:ascii="仿宋_GB2312" w:hAnsi="仿宋_GB2312" w:eastAsia="仿宋_GB2312" w:cs="仿宋_GB2312"/>
          <w:spacing w:val="0"/>
          <w:kern w:val="21"/>
          <w:sz w:val="24"/>
          <w:szCs w:val="24"/>
          <w:highlight w:val="none"/>
          <w:u w:val="none"/>
          <w:lang w:val="en-US" w:eastAsia="zh-CN"/>
        </w:rPr>
        <w:t>较上年同期下降43.4%；</w:t>
      </w:r>
      <w:r>
        <w:rPr>
          <w:rFonts w:hint="eastAsia" w:ascii="仿宋_GB2312" w:hAnsi="仿宋_GB2312" w:eastAsia="仿宋_GB2312" w:cs="仿宋_GB2312"/>
          <w:b/>
          <w:bCs/>
          <w:spacing w:val="0"/>
          <w:kern w:val="21"/>
          <w:sz w:val="24"/>
          <w:szCs w:val="24"/>
          <w:highlight w:val="none"/>
          <w:u w:val="none"/>
          <w:lang w:val="en-US" w:eastAsia="zh-CN"/>
        </w:rPr>
        <w:t>8.城镇土地使用税</w:t>
      </w:r>
      <w:r>
        <w:rPr>
          <w:rFonts w:hint="eastAsia" w:ascii="仿宋_GB2312" w:hAnsi="仿宋_GB2312" w:eastAsia="仿宋_GB2312" w:cs="仿宋_GB2312"/>
          <w:b w:val="0"/>
          <w:bCs w:val="0"/>
          <w:spacing w:val="0"/>
          <w:kern w:val="21"/>
          <w:sz w:val="24"/>
          <w:szCs w:val="24"/>
          <w:highlight w:val="none"/>
          <w:u w:val="none"/>
          <w:lang w:val="en-US" w:eastAsia="zh-CN"/>
        </w:rPr>
        <w:t>6999</w:t>
      </w:r>
      <w:r>
        <w:rPr>
          <w:rFonts w:hint="eastAsia" w:ascii="仿宋_GB2312" w:hAnsi="仿宋_GB2312" w:eastAsia="仿宋_GB2312" w:cs="仿宋_GB2312"/>
          <w:spacing w:val="0"/>
          <w:kern w:val="21"/>
          <w:sz w:val="24"/>
          <w:szCs w:val="24"/>
          <w:highlight w:val="none"/>
          <w:u w:val="none"/>
          <w:lang w:val="en-US" w:eastAsia="zh-CN"/>
        </w:rPr>
        <w:t>万元、</w:t>
      </w:r>
      <w:r>
        <w:rPr>
          <w:rFonts w:hint="eastAsia" w:ascii="仿宋_GB2312" w:hAnsi="仿宋_GB2312" w:eastAsia="仿宋_GB2312" w:cs="仿宋_GB2312"/>
          <w:color w:val="auto"/>
          <w:spacing w:val="0"/>
          <w:kern w:val="21"/>
          <w:sz w:val="24"/>
          <w:szCs w:val="24"/>
          <w:highlight w:val="none"/>
          <w:u w:val="none"/>
          <w:lang w:val="en-US" w:eastAsia="zh-CN"/>
        </w:rPr>
        <w:t>较上年同期上升56.5%</w:t>
      </w:r>
      <w:r>
        <w:rPr>
          <w:rFonts w:hint="eastAsia" w:ascii="仿宋_GB2312" w:hAnsi="仿宋_GB2312" w:eastAsia="仿宋_GB2312" w:cs="仿宋_GB2312"/>
          <w:color w:val="auto"/>
          <w:spacing w:val="0"/>
          <w:kern w:val="21"/>
          <w:sz w:val="24"/>
          <w:szCs w:val="24"/>
          <w:highlight w:val="none"/>
          <w:u w:val="none" w:color="auto"/>
          <w:lang w:val="en-US" w:eastAsia="zh-CN"/>
        </w:rPr>
        <w:t>；</w:t>
      </w:r>
      <w:r>
        <w:rPr>
          <w:rFonts w:hint="eastAsia" w:ascii="仿宋_GB2312" w:hAnsi="仿宋_GB2312" w:eastAsia="仿宋_GB2312" w:cs="仿宋_GB2312"/>
          <w:b/>
          <w:bCs/>
          <w:spacing w:val="0"/>
          <w:kern w:val="21"/>
          <w:sz w:val="24"/>
          <w:szCs w:val="24"/>
          <w:highlight w:val="none"/>
          <w:u w:val="none"/>
          <w:lang w:val="en-US" w:eastAsia="zh-CN"/>
        </w:rPr>
        <w:t>9.土地增值税</w:t>
      </w:r>
      <w:r>
        <w:rPr>
          <w:rFonts w:hint="eastAsia" w:ascii="仿宋_GB2312" w:hAnsi="仿宋_GB2312" w:eastAsia="仿宋_GB2312" w:cs="仿宋_GB2312"/>
          <w:b w:val="0"/>
          <w:bCs w:val="0"/>
          <w:spacing w:val="0"/>
          <w:kern w:val="21"/>
          <w:sz w:val="24"/>
          <w:szCs w:val="24"/>
          <w:highlight w:val="none"/>
          <w:u w:val="none"/>
          <w:lang w:val="en-US" w:eastAsia="zh-CN"/>
        </w:rPr>
        <w:t>16</w:t>
      </w:r>
      <w:r>
        <w:rPr>
          <w:rFonts w:hint="eastAsia" w:ascii="仿宋_GB2312" w:hAnsi="仿宋_GB2312" w:eastAsia="仿宋_GB2312" w:cs="仿宋_GB2312"/>
          <w:spacing w:val="0"/>
          <w:kern w:val="21"/>
          <w:sz w:val="24"/>
          <w:szCs w:val="24"/>
          <w:highlight w:val="none"/>
          <w:u w:val="none"/>
          <w:lang w:val="en-US" w:eastAsia="zh-CN"/>
        </w:rPr>
        <w:t>万元、较上年同期下降70.9%；</w:t>
      </w:r>
      <w:r>
        <w:rPr>
          <w:rFonts w:hint="eastAsia" w:ascii="仿宋_GB2312" w:hAnsi="仿宋_GB2312" w:eastAsia="仿宋_GB2312" w:cs="仿宋_GB2312"/>
          <w:b/>
          <w:bCs/>
          <w:spacing w:val="0"/>
          <w:kern w:val="21"/>
          <w:sz w:val="24"/>
          <w:szCs w:val="24"/>
          <w:highlight w:val="none"/>
          <w:u w:val="none"/>
          <w:lang w:val="en-US" w:eastAsia="zh-CN"/>
        </w:rPr>
        <w:t>10.车船税</w:t>
      </w:r>
      <w:r>
        <w:rPr>
          <w:rFonts w:hint="eastAsia" w:ascii="仿宋_GB2312" w:hAnsi="仿宋_GB2312" w:eastAsia="仿宋_GB2312" w:cs="仿宋_GB2312"/>
          <w:spacing w:val="0"/>
          <w:kern w:val="21"/>
          <w:sz w:val="24"/>
          <w:szCs w:val="24"/>
          <w:highlight w:val="none"/>
          <w:u w:val="none"/>
          <w:lang w:val="en-US" w:eastAsia="zh-CN"/>
        </w:rPr>
        <w:t>170万元、较上年同期上升13.3%；</w:t>
      </w:r>
      <w:r>
        <w:rPr>
          <w:rFonts w:hint="eastAsia" w:ascii="仿宋_GB2312" w:hAnsi="仿宋_GB2312" w:eastAsia="仿宋_GB2312" w:cs="仿宋_GB2312"/>
          <w:b/>
          <w:bCs/>
          <w:spacing w:val="0"/>
          <w:kern w:val="21"/>
          <w:sz w:val="24"/>
          <w:szCs w:val="24"/>
          <w:highlight w:val="none"/>
          <w:u w:val="none"/>
          <w:lang w:val="en-US" w:eastAsia="zh-CN"/>
        </w:rPr>
        <w:t>11.耕地占用税</w:t>
      </w:r>
      <w:r>
        <w:rPr>
          <w:rFonts w:hint="eastAsia" w:ascii="仿宋_GB2312" w:hAnsi="仿宋_GB2312" w:eastAsia="仿宋_GB2312" w:cs="仿宋_GB2312"/>
          <w:spacing w:val="0"/>
          <w:kern w:val="21"/>
          <w:sz w:val="24"/>
          <w:szCs w:val="24"/>
          <w:highlight w:val="none"/>
          <w:u w:val="none"/>
          <w:lang w:val="en-US" w:eastAsia="zh-CN"/>
        </w:rPr>
        <w:t>468万元、较上年同期上升58.1%</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12.契税</w:t>
      </w:r>
      <w:r>
        <w:rPr>
          <w:rFonts w:hint="eastAsia" w:ascii="仿宋_GB2312" w:hAnsi="仿宋_GB2312" w:eastAsia="仿宋_GB2312" w:cs="仿宋_GB2312"/>
          <w:spacing w:val="0"/>
          <w:kern w:val="21"/>
          <w:sz w:val="24"/>
          <w:szCs w:val="24"/>
          <w:highlight w:val="none"/>
          <w:u w:val="none"/>
          <w:lang w:val="en-US" w:eastAsia="zh-CN"/>
        </w:rPr>
        <w:t>134万元、较上年同期下降36.8%</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u w:val="none"/>
          <w:lang w:val="en-US" w:eastAsia="zh-CN"/>
        </w:rPr>
        <w:t>13.环境保护税</w:t>
      </w:r>
      <w:r>
        <w:rPr>
          <w:rFonts w:hint="eastAsia" w:ascii="仿宋_GB2312" w:hAnsi="仿宋_GB2312" w:eastAsia="仿宋_GB2312" w:cs="仿宋_GB2312"/>
          <w:b w:val="0"/>
          <w:bCs w:val="0"/>
          <w:spacing w:val="0"/>
          <w:kern w:val="21"/>
          <w:sz w:val="24"/>
          <w:szCs w:val="24"/>
          <w:highlight w:val="none"/>
          <w:u w:val="none"/>
          <w:lang w:val="en-US" w:eastAsia="zh-CN"/>
        </w:rPr>
        <w:t>277</w:t>
      </w:r>
      <w:r>
        <w:rPr>
          <w:rFonts w:hint="eastAsia" w:ascii="仿宋_GB2312" w:hAnsi="仿宋_GB2312" w:eastAsia="仿宋_GB2312" w:cs="仿宋_GB2312"/>
          <w:spacing w:val="0"/>
          <w:kern w:val="21"/>
          <w:sz w:val="24"/>
          <w:szCs w:val="24"/>
          <w:highlight w:val="none"/>
          <w:u w:val="none"/>
          <w:lang w:val="en-US" w:eastAsia="zh-CN"/>
        </w:rPr>
        <w:t>万元、较上年同期增长1054.2%；</w:t>
      </w:r>
      <w:r>
        <w:rPr>
          <w:rFonts w:hint="eastAsia" w:ascii="仿宋_GB2312" w:hAnsi="仿宋_GB2312" w:eastAsia="仿宋_GB2312" w:cs="仿宋_GB2312"/>
          <w:b/>
          <w:bCs/>
          <w:spacing w:val="0"/>
          <w:kern w:val="21"/>
          <w:sz w:val="24"/>
          <w:szCs w:val="24"/>
          <w:highlight w:val="none"/>
          <w:u w:val="none"/>
          <w:lang w:val="en-US" w:eastAsia="zh-CN"/>
        </w:rPr>
        <w:t>14.非税收入</w:t>
      </w:r>
      <w:r>
        <w:rPr>
          <w:rFonts w:hint="eastAsia" w:ascii="仿宋_GB2312" w:hAnsi="仿宋_GB2312" w:eastAsia="仿宋_GB2312" w:cs="仿宋_GB2312"/>
          <w:spacing w:val="0"/>
          <w:kern w:val="21"/>
          <w:sz w:val="24"/>
          <w:szCs w:val="24"/>
          <w:highlight w:val="none"/>
          <w:u w:val="none"/>
          <w:lang w:val="en-US" w:eastAsia="zh-CN"/>
        </w:rPr>
        <w:t>完成2739万元、较上年同期下降24.2%。</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楷体_GB2312" w:hAnsi="楷体_GB2312" w:eastAsia="楷体_GB2312" w:cs="楷体_GB2312"/>
          <w:b w:val="0"/>
          <w:bCs w:val="0"/>
          <w:spacing w:val="0"/>
          <w:kern w:val="21"/>
          <w:sz w:val="24"/>
          <w:szCs w:val="24"/>
          <w:highlight w:val="none"/>
          <w:u w:val="none"/>
          <w:lang w:val="en-US" w:eastAsia="zh-CN"/>
        </w:rPr>
      </w:pPr>
      <w:r>
        <w:rPr>
          <w:rFonts w:hint="eastAsia" w:ascii="楷体_GB2312" w:hAnsi="楷体_GB2312" w:eastAsia="楷体_GB2312" w:cs="楷体_GB2312"/>
          <w:b w:val="0"/>
          <w:bCs w:val="0"/>
          <w:spacing w:val="0"/>
          <w:kern w:val="21"/>
          <w:sz w:val="24"/>
          <w:szCs w:val="24"/>
          <w:highlight w:val="none"/>
          <w:u w:val="none"/>
          <w:lang w:val="en-US" w:eastAsia="zh-CN"/>
        </w:rPr>
        <w:t>（二）1-11月一般公共预算收入完成情况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eastAsia="zh-CN"/>
        </w:rPr>
      </w:pPr>
      <w:r>
        <w:rPr>
          <w:rFonts w:hint="eastAsia" w:ascii="仿宋_GB2312" w:hAnsi="仿宋_GB2312" w:eastAsia="仿宋_GB2312" w:cs="仿宋_GB2312"/>
          <w:spacing w:val="0"/>
          <w:kern w:val="21"/>
          <w:sz w:val="24"/>
          <w:szCs w:val="24"/>
          <w:highlight w:val="none"/>
          <w:u w:val="none"/>
          <w:lang w:val="en-US" w:eastAsia="zh-CN"/>
        </w:rPr>
        <w:t>截至2022年11月底，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一般公共预算收入累计完成</w:t>
      </w:r>
      <w:r>
        <w:rPr>
          <w:rFonts w:hint="eastAsia" w:ascii="仿宋_GB2312" w:hAnsi="仿宋_GB2312" w:eastAsia="仿宋_GB2312" w:cs="仿宋_GB2312"/>
          <w:spacing w:val="0"/>
          <w:kern w:val="21"/>
          <w:sz w:val="24"/>
          <w:szCs w:val="24"/>
          <w:highlight w:val="none"/>
          <w:u w:val="none"/>
          <w:lang w:val="en-US" w:eastAsia="zh-CN"/>
        </w:rPr>
        <w:t>473190万元</w:t>
      </w:r>
      <w:r>
        <w:rPr>
          <w:rFonts w:hint="eastAsia" w:ascii="仿宋_GB2312" w:hAnsi="仿宋_GB2312" w:eastAsia="仿宋_GB2312" w:cs="仿宋_GB2312"/>
          <w:spacing w:val="0"/>
          <w:kern w:val="21"/>
          <w:sz w:val="24"/>
          <w:szCs w:val="24"/>
          <w:highlight w:val="none"/>
          <w:u w:val="none"/>
        </w:rPr>
        <w:t>，较上年同期</w:t>
      </w:r>
      <w:r>
        <w:rPr>
          <w:rFonts w:hint="eastAsia" w:ascii="仿宋_GB2312" w:hAnsi="仿宋_GB2312" w:eastAsia="仿宋_GB2312" w:cs="仿宋_GB2312"/>
          <w:spacing w:val="0"/>
          <w:kern w:val="21"/>
          <w:sz w:val="24"/>
          <w:szCs w:val="24"/>
          <w:highlight w:val="none"/>
          <w:u w:val="none"/>
          <w:lang w:val="en-US" w:eastAsia="zh-CN"/>
        </w:rPr>
        <w:t>上升54.8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spacing w:val="0"/>
          <w:kern w:val="21"/>
          <w:sz w:val="24"/>
          <w:szCs w:val="24"/>
          <w:highlight w:val="none"/>
          <w:u w:val="none"/>
        </w:rPr>
        <w:t>分性质：</w:t>
      </w:r>
      <w:r>
        <w:rPr>
          <w:rFonts w:hint="eastAsia" w:ascii="仿宋_GB2312" w:hAnsi="仿宋_GB2312" w:eastAsia="仿宋_GB2312" w:cs="仿宋_GB2312"/>
          <w:spacing w:val="0"/>
          <w:kern w:val="21"/>
          <w:sz w:val="24"/>
          <w:szCs w:val="24"/>
          <w:highlight w:val="none"/>
          <w:u w:val="none"/>
        </w:rPr>
        <w:t>税收收入</w:t>
      </w:r>
      <w:r>
        <w:rPr>
          <w:rFonts w:hint="eastAsia" w:ascii="仿宋_GB2312" w:hAnsi="仿宋_GB2312" w:eastAsia="仿宋_GB2312" w:cs="仿宋_GB2312"/>
          <w:spacing w:val="0"/>
          <w:kern w:val="21"/>
          <w:sz w:val="24"/>
          <w:szCs w:val="24"/>
          <w:highlight w:val="none"/>
          <w:u w:val="none"/>
          <w:lang w:val="en-US" w:eastAsia="zh-CN"/>
        </w:rPr>
        <w:t>431606万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上升59.8</w:t>
      </w:r>
      <w:r>
        <w:rPr>
          <w:rFonts w:hint="eastAsia" w:ascii="仿宋_GB2312" w:hAnsi="仿宋_GB2312" w:eastAsia="仿宋_GB2312" w:cs="仿宋_GB2312"/>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lang w:val="en-US" w:eastAsia="zh-CN"/>
        </w:rPr>
        <w:t>41584万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上升16.4</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91.2%和8.8%</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color w:val="auto"/>
          <w:spacing w:val="0"/>
          <w:kern w:val="21"/>
          <w:sz w:val="24"/>
          <w:szCs w:val="24"/>
          <w:highlight w:val="none"/>
          <w:u w:val="none"/>
        </w:rPr>
        <w:t>分部门</w:t>
      </w:r>
      <w:r>
        <w:rPr>
          <w:rFonts w:hint="eastAsia" w:ascii="黑体" w:hAnsi="黑体" w:eastAsia="黑体" w:cs="黑体"/>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旗税务局</w:t>
      </w:r>
      <w:r>
        <w:rPr>
          <w:rFonts w:hint="eastAsia" w:ascii="仿宋_GB2312" w:hAnsi="仿宋_GB2312" w:eastAsia="仿宋_GB2312" w:cs="仿宋_GB2312"/>
          <w:spacing w:val="0"/>
          <w:kern w:val="21"/>
          <w:sz w:val="24"/>
          <w:szCs w:val="24"/>
          <w:highlight w:val="none"/>
          <w:u w:val="none"/>
        </w:rPr>
        <w:t>组织收入</w:t>
      </w:r>
      <w:r>
        <w:rPr>
          <w:rFonts w:hint="eastAsia" w:ascii="仿宋_GB2312" w:hAnsi="仿宋_GB2312" w:eastAsia="仿宋_GB2312" w:cs="仿宋_GB2312"/>
          <w:spacing w:val="0"/>
          <w:kern w:val="21"/>
          <w:sz w:val="24"/>
          <w:szCs w:val="24"/>
          <w:highlight w:val="none"/>
          <w:u w:val="none"/>
          <w:lang w:val="en-US" w:eastAsia="zh-CN"/>
        </w:rPr>
        <w:t>38875万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上升26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。开发区税务局组织</w:t>
      </w:r>
      <w:r>
        <w:rPr>
          <w:rFonts w:hint="eastAsia" w:ascii="仿宋_GB2312" w:hAnsi="仿宋_GB2312" w:eastAsia="仿宋_GB2312" w:cs="仿宋_GB2312"/>
          <w:spacing w:val="0"/>
          <w:kern w:val="21"/>
          <w:sz w:val="24"/>
          <w:szCs w:val="24"/>
          <w:highlight w:val="none"/>
          <w:u w:val="none"/>
        </w:rPr>
        <w:t>收入</w:t>
      </w:r>
      <w:r>
        <w:rPr>
          <w:rFonts w:hint="eastAsia" w:ascii="仿宋_GB2312" w:hAnsi="仿宋_GB2312" w:eastAsia="仿宋_GB2312" w:cs="仿宋_GB2312"/>
          <w:spacing w:val="0"/>
          <w:kern w:val="21"/>
          <w:sz w:val="24"/>
          <w:szCs w:val="24"/>
          <w:highlight w:val="none"/>
          <w:u w:val="none"/>
          <w:lang w:val="en-US" w:eastAsia="zh-CN"/>
        </w:rPr>
        <w:t>418313万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上升60.3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16002万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上升15.3%。</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8.2%、88.4%和3.4%</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bCs/>
          <w:color w:val="auto"/>
          <w:spacing w:val="0"/>
          <w:kern w:val="21"/>
          <w:sz w:val="24"/>
          <w:szCs w:val="24"/>
          <w:highlight w:val="none"/>
          <w:u w:val="single"/>
        </w:rPr>
      </w:pPr>
      <w:r>
        <w:rPr>
          <w:rFonts w:hint="eastAsia" w:ascii="黑体" w:hAnsi="黑体" w:eastAsia="黑体" w:cs="黑体"/>
          <w:color w:val="auto"/>
          <w:spacing w:val="0"/>
          <w:kern w:val="21"/>
          <w:sz w:val="24"/>
          <w:szCs w:val="24"/>
          <w:highlight w:val="none"/>
          <w:u w:val="none"/>
        </w:rPr>
        <w:t>分行业：</w:t>
      </w:r>
      <w:r>
        <w:rPr>
          <w:rFonts w:hint="eastAsia" w:ascii="仿宋_GB2312" w:hAnsi="仿宋_GB2312" w:eastAsia="仿宋_GB2312" w:cs="仿宋_GB2312"/>
          <w:b/>
          <w:color w:val="auto"/>
          <w:spacing w:val="0"/>
          <w:kern w:val="21"/>
          <w:sz w:val="24"/>
          <w:szCs w:val="24"/>
          <w:highlight w:val="none"/>
        </w:rPr>
        <w:t>第二产业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401166</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58.4%</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84.8</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1.煤炭</w:t>
      </w:r>
      <w:r>
        <w:rPr>
          <w:rFonts w:hint="eastAsia" w:ascii="仿宋_GB2312" w:hAnsi="仿宋_GB2312" w:eastAsia="仿宋_GB2312" w:cs="仿宋_GB2312"/>
          <w:color w:val="auto"/>
          <w:spacing w:val="0"/>
          <w:kern w:val="21"/>
          <w:sz w:val="24"/>
          <w:szCs w:val="24"/>
          <w:highlight w:val="none"/>
          <w:lang w:val="en-US" w:eastAsia="zh-CN"/>
        </w:rPr>
        <w:t>183046</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93.7</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val="en-US" w:eastAsia="zh-CN"/>
        </w:rPr>
        <w:t>；</w:t>
      </w:r>
      <w:r>
        <w:rPr>
          <w:rFonts w:hint="eastAsia" w:ascii="仿宋_GB2312" w:hAnsi="仿宋_GB2312" w:eastAsia="仿宋_GB2312" w:cs="仿宋_GB2312"/>
          <w:b/>
          <w:bCs/>
          <w:color w:val="auto"/>
          <w:spacing w:val="0"/>
          <w:kern w:val="21"/>
          <w:sz w:val="24"/>
          <w:szCs w:val="24"/>
          <w:highlight w:val="none"/>
          <w:lang w:val="en-US" w:eastAsia="zh-CN"/>
        </w:rPr>
        <w:t>2.天然气</w:t>
      </w:r>
      <w:r>
        <w:rPr>
          <w:rFonts w:hint="eastAsia" w:ascii="仿宋_GB2312" w:hAnsi="仿宋_GB2312" w:eastAsia="仿宋_GB2312" w:cs="仿宋_GB2312"/>
          <w:b w:val="0"/>
          <w:bCs w:val="0"/>
          <w:color w:val="auto"/>
          <w:spacing w:val="0"/>
          <w:kern w:val="21"/>
          <w:sz w:val="24"/>
          <w:szCs w:val="24"/>
          <w:highlight w:val="none"/>
          <w:lang w:val="en-US" w:eastAsia="zh-CN"/>
        </w:rPr>
        <w:t>28579</w:t>
      </w:r>
      <w:r>
        <w:rPr>
          <w:rFonts w:hint="eastAsia" w:ascii="仿宋_GB2312" w:hAnsi="仿宋_GB2312" w:eastAsia="仿宋_GB2312" w:cs="仿宋_GB2312"/>
          <w:color w:val="auto"/>
          <w:spacing w:val="0"/>
          <w:kern w:val="21"/>
          <w:sz w:val="24"/>
          <w:szCs w:val="24"/>
          <w:highlight w:val="none"/>
          <w:lang w:val="en-US" w:eastAsia="zh-CN"/>
        </w:rPr>
        <w:t>万元、增长43.5%</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lang w:val="en-US" w:eastAsia="zh-CN"/>
        </w:rPr>
        <w:t>3</w:t>
      </w:r>
      <w:r>
        <w:rPr>
          <w:rFonts w:hint="eastAsia" w:ascii="仿宋_GB2312" w:hAnsi="仿宋_GB2312" w:eastAsia="仿宋_GB2312" w:cs="仿宋_GB2312"/>
          <w:b/>
          <w:color w:val="auto"/>
          <w:spacing w:val="0"/>
          <w:kern w:val="21"/>
          <w:sz w:val="24"/>
          <w:szCs w:val="24"/>
          <w:highlight w:val="none"/>
        </w:rPr>
        <w:t>.化工</w:t>
      </w:r>
      <w:r>
        <w:rPr>
          <w:rFonts w:hint="eastAsia" w:ascii="仿宋_GB2312" w:hAnsi="仿宋_GB2312" w:eastAsia="仿宋_GB2312" w:cs="仿宋_GB2312"/>
          <w:b w:val="0"/>
          <w:bCs/>
          <w:color w:val="auto"/>
          <w:spacing w:val="0"/>
          <w:kern w:val="21"/>
          <w:sz w:val="24"/>
          <w:szCs w:val="24"/>
          <w:highlight w:val="none"/>
          <w:lang w:val="en-US" w:eastAsia="zh-CN"/>
        </w:rPr>
        <w:t>51481</w:t>
      </w:r>
      <w:r>
        <w:rPr>
          <w:rFonts w:hint="eastAsia" w:ascii="仿宋_GB2312" w:hAnsi="仿宋_GB2312" w:eastAsia="仿宋_GB2312" w:cs="仿宋_GB2312"/>
          <w:color w:val="auto"/>
          <w:spacing w:val="0"/>
          <w:kern w:val="21"/>
          <w:sz w:val="24"/>
          <w:szCs w:val="24"/>
          <w:highlight w:val="none"/>
        </w:rPr>
        <w:t>万元、增长</w:t>
      </w:r>
      <w:r>
        <w:rPr>
          <w:rFonts w:hint="eastAsia" w:ascii="仿宋_GB2312" w:hAnsi="仿宋_GB2312" w:eastAsia="仿宋_GB2312" w:cs="仿宋_GB2312"/>
          <w:color w:val="auto"/>
          <w:spacing w:val="0"/>
          <w:kern w:val="21"/>
          <w:sz w:val="24"/>
          <w:szCs w:val="24"/>
          <w:highlight w:val="none"/>
          <w:lang w:val="en-US" w:eastAsia="zh-CN"/>
        </w:rPr>
        <w:t>15.9</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4</w:t>
      </w:r>
      <w:r>
        <w:rPr>
          <w:rFonts w:hint="eastAsia" w:ascii="仿宋_GB2312" w:hAnsi="仿宋_GB2312" w:eastAsia="仿宋_GB2312" w:cs="仿宋_GB2312"/>
          <w:b/>
          <w:color w:val="auto"/>
          <w:spacing w:val="0"/>
          <w:kern w:val="21"/>
          <w:sz w:val="24"/>
          <w:szCs w:val="24"/>
          <w:highlight w:val="none"/>
        </w:rPr>
        <w:t>.电力</w:t>
      </w:r>
      <w:r>
        <w:rPr>
          <w:rFonts w:hint="eastAsia" w:ascii="仿宋_GB2312" w:hAnsi="仿宋_GB2312" w:eastAsia="仿宋_GB2312" w:cs="仿宋_GB2312"/>
          <w:color w:val="auto"/>
          <w:spacing w:val="0"/>
          <w:kern w:val="21"/>
          <w:sz w:val="24"/>
          <w:szCs w:val="24"/>
          <w:highlight w:val="none"/>
          <w:lang w:val="en-US" w:eastAsia="zh-CN"/>
        </w:rPr>
        <w:t>16447</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增长16.6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5</w:t>
      </w:r>
      <w:r>
        <w:rPr>
          <w:rFonts w:hint="eastAsia" w:ascii="仿宋_GB2312" w:hAnsi="仿宋_GB2312" w:eastAsia="仿宋_GB2312" w:cs="仿宋_GB2312"/>
          <w:b/>
          <w:color w:val="auto"/>
          <w:spacing w:val="0"/>
          <w:kern w:val="21"/>
          <w:sz w:val="24"/>
          <w:szCs w:val="24"/>
          <w:highlight w:val="none"/>
        </w:rPr>
        <w:t>.建筑</w:t>
      </w:r>
      <w:r>
        <w:rPr>
          <w:rFonts w:hint="eastAsia" w:ascii="仿宋_GB2312" w:hAnsi="仿宋_GB2312" w:eastAsia="仿宋_GB2312" w:cs="仿宋_GB2312"/>
          <w:b w:val="0"/>
          <w:bCs/>
          <w:color w:val="auto"/>
          <w:spacing w:val="0"/>
          <w:kern w:val="21"/>
          <w:sz w:val="24"/>
          <w:szCs w:val="24"/>
          <w:highlight w:val="none"/>
          <w:lang w:val="en-US" w:eastAsia="zh-CN"/>
        </w:rPr>
        <w:t>7010</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下降7.4</w:t>
      </w:r>
      <w:r>
        <w:rPr>
          <w:rFonts w:hint="eastAsia" w:ascii="仿宋_GB2312" w:hAnsi="仿宋_GB2312" w:eastAsia="仿宋_GB2312" w:cs="仿宋_GB2312"/>
          <w:color w:val="auto"/>
          <w:spacing w:val="0"/>
          <w:kern w:val="21"/>
          <w:sz w:val="24"/>
          <w:szCs w:val="24"/>
          <w:highlight w:val="none"/>
        </w:rPr>
        <w:t>%</w:t>
      </w:r>
      <w:r>
        <w:rPr>
          <w:rFonts w:hint="eastAsia" w:ascii="Times New Roman" w:hAnsi="Times New Roman" w:eastAsia="仿宋_GB2312" w:cs="Times New Roman"/>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color w:val="auto"/>
          <w:spacing w:val="0"/>
          <w:kern w:val="21"/>
          <w:sz w:val="24"/>
          <w:szCs w:val="24"/>
          <w:highlight w:val="none"/>
          <w:lang w:val="en-US" w:eastAsia="zh-CN"/>
        </w:rPr>
        <w:t>114603万元、增长57.5%。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jc w:val="both"/>
        <w:textAlignment w:val="auto"/>
        <w:outlineLvl w:val="9"/>
        <w:rPr>
          <w:rFonts w:hint="eastAsia" w:ascii="仿宋_GB2312" w:hAnsi="仿宋_GB2312" w:eastAsia="仿宋_GB2312" w:cs="仿宋_GB2312"/>
          <w:color w:val="auto"/>
          <w:spacing w:val="0"/>
          <w:kern w:val="21"/>
          <w:sz w:val="24"/>
          <w:szCs w:val="24"/>
          <w:highlight w:val="none"/>
          <w:lang w:val="en-US" w:eastAsia="zh-CN"/>
        </w:rPr>
      </w:pPr>
      <w:r>
        <w:rPr>
          <w:rFonts w:hint="eastAsia" w:ascii="仿宋_GB2312" w:hAnsi="仿宋_GB2312" w:eastAsia="仿宋_GB2312" w:cs="仿宋_GB2312"/>
          <w:b/>
          <w:color w:val="auto"/>
          <w:spacing w:val="0"/>
          <w:kern w:val="21"/>
          <w:sz w:val="24"/>
          <w:szCs w:val="24"/>
          <w:highlight w:val="none"/>
        </w:rPr>
        <w:t>第三产业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55550</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增长45.6</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11.7</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1.批发零售业</w:t>
      </w:r>
      <w:r>
        <w:rPr>
          <w:rFonts w:hint="eastAsia" w:ascii="仿宋_GB2312" w:hAnsi="仿宋_GB2312" w:eastAsia="仿宋_GB2312" w:cs="仿宋_GB2312"/>
          <w:b w:val="0"/>
          <w:bCs/>
          <w:color w:val="auto"/>
          <w:spacing w:val="0"/>
          <w:kern w:val="21"/>
          <w:sz w:val="24"/>
          <w:szCs w:val="24"/>
          <w:highlight w:val="none"/>
          <w:lang w:val="en-US" w:eastAsia="zh-CN"/>
        </w:rPr>
        <w:t>13842</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63.6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2.服务业</w:t>
      </w:r>
      <w:r>
        <w:rPr>
          <w:rFonts w:hint="eastAsia" w:ascii="仿宋_GB2312" w:hAnsi="仿宋_GB2312" w:eastAsia="仿宋_GB2312" w:cs="仿宋_GB2312"/>
          <w:color w:val="auto"/>
          <w:spacing w:val="0"/>
          <w:kern w:val="21"/>
          <w:sz w:val="24"/>
          <w:szCs w:val="24"/>
          <w:highlight w:val="none"/>
          <w:lang w:val="en-US" w:eastAsia="zh-CN"/>
        </w:rPr>
        <w:t>14555</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增长125.1</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u w:val="none"/>
          <w:lang w:val="en-US" w:eastAsia="zh-CN"/>
        </w:rPr>
        <w:t>3</w:t>
      </w:r>
      <w:r>
        <w:rPr>
          <w:rFonts w:hint="eastAsia" w:ascii="仿宋_GB2312" w:hAnsi="仿宋_GB2312" w:eastAsia="仿宋_GB2312" w:cs="仿宋_GB2312"/>
          <w:b/>
          <w:color w:val="auto"/>
          <w:spacing w:val="0"/>
          <w:kern w:val="21"/>
          <w:sz w:val="24"/>
          <w:szCs w:val="24"/>
          <w:highlight w:val="none"/>
        </w:rPr>
        <w:t>.交通运输业</w:t>
      </w:r>
      <w:r>
        <w:rPr>
          <w:rFonts w:hint="eastAsia" w:ascii="仿宋_GB2312" w:hAnsi="仿宋_GB2312" w:eastAsia="仿宋_GB2312" w:cs="仿宋_GB2312"/>
          <w:color w:val="auto"/>
          <w:spacing w:val="0"/>
          <w:kern w:val="21"/>
          <w:sz w:val="24"/>
          <w:szCs w:val="24"/>
          <w:highlight w:val="none"/>
          <w:lang w:val="en-US" w:eastAsia="zh-CN"/>
        </w:rPr>
        <w:t>6804</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color w:val="auto"/>
          <w:spacing w:val="0"/>
          <w:kern w:val="21"/>
          <w:sz w:val="24"/>
          <w:szCs w:val="24"/>
          <w:highlight w:val="none"/>
          <w:lang w:val="en-US" w:eastAsia="zh-CN"/>
        </w:rPr>
        <w:t>增长34.1%</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rPr>
        <w:t>4.金融业</w:t>
      </w:r>
      <w:r>
        <w:rPr>
          <w:rFonts w:hint="eastAsia" w:ascii="仿宋_GB2312" w:hAnsi="仿宋_GB2312" w:eastAsia="仿宋_GB2312" w:cs="仿宋_GB2312"/>
          <w:color w:val="auto"/>
          <w:spacing w:val="0"/>
          <w:kern w:val="21"/>
          <w:sz w:val="24"/>
          <w:szCs w:val="24"/>
          <w:highlight w:val="none"/>
          <w:lang w:val="en-US" w:eastAsia="zh-CN"/>
        </w:rPr>
        <w:t>2139</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下降56.8</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5.房地产业</w:t>
      </w:r>
      <w:r>
        <w:rPr>
          <w:rFonts w:hint="eastAsia" w:ascii="仿宋_GB2312" w:hAnsi="仿宋_GB2312" w:eastAsia="仿宋_GB2312" w:cs="仿宋_GB2312"/>
          <w:color w:val="auto"/>
          <w:spacing w:val="0"/>
          <w:kern w:val="21"/>
          <w:sz w:val="24"/>
          <w:szCs w:val="24"/>
          <w:highlight w:val="none"/>
          <w:lang w:val="en-US" w:eastAsia="zh-CN"/>
        </w:rPr>
        <w:t>10474</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增长13</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b w:val="0"/>
          <w:bCs w:val="0"/>
          <w:color w:val="auto"/>
          <w:spacing w:val="0"/>
          <w:kern w:val="21"/>
          <w:sz w:val="24"/>
          <w:szCs w:val="24"/>
          <w:highlight w:val="none"/>
          <w:lang w:val="en-US" w:eastAsia="zh-CN"/>
        </w:rPr>
        <w:t>7736</w:t>
      </w:r>
      <w:r>
        <w:rPr>
          <w:rFonts w:hint="eastAsia" w:ascii="仿宋_GB2312" w:hAnsi="仿宋_GB2312" w:eastAsia="仿宋_GB2312" w:cs="仿宋_GB2312"/>
          <w:color w:val="auto"/>
          <w:spacing w:val="0"/>
          <w:kern w:val="21"/>
          <w:sz w:val="24"/>
          <w:szCs w:val="24"/>
          <w:highlight w:val="none"/>
          <w:lang w:val="en-US" w:eastAsia="zh-CN"/>
        </w:rPr>
        <w:t>万元，增长96.2%。</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lightGray"/>
          <w:u w:val="none"/>
        </w:rPr>
        <w:pict>
          <v:shape id="_x0000_s1029" o:spid="_x0000_s1029" o:spt="75" type="#_x0000_t75" style="position:absolute;left:0pt;margin-left:15.5pt;margin-top:23.9pt;height:188.15pt;width:306.2pt;z-index:-251642880;mso-width-relative:page;mso-height-relative:page;" o:ole="t" filled="f" o:preferrelative="t" stroked="f" coordsize="21600,21600">
            <v:path/>
            <v:fill on="f" focussize="0,0"/>
            <v:stroke on="f" weight="0pt"/>
            <v:imagedata r:id="rId13" o:title=""/>
            <o:lock v:ext="edit" aspectratio="t"/>
          </v:shape>
          <o:OLEObject Type="Embed" ProgID="Excel.Chart.8" ShapeID="_x0000_s1029" DrawAspect="Content" ObjectID="_1468075725" r:id="rId12">
            <o:LockedField>false</o:LockedField>
          </o:OLEObject>
        </w:pict>
      </w: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行业</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hint="eastAsia" w:ascii="黑体" w:hAnsi="黑体" w:eastAsia="黑体" w:cs="黑体"/>
          <w:spacing w:val="0"/>
          <w:kern w:val="21"/>
          <w:sz w:val="24"/>
          <w:szCs w:val="24"/>
          <w:highlight w:val="none"/>
          <w:u w:val="none"/>
        </w:rPr>
      </w:pPr>
      <w:r>
        <w:rPr>
          <w:spacing w:val="0"/>
          <w:kern w:val="21"/>
          <w:sz w:val="24"/>
        </w:rPr>
        <mc:AlternateContent>
          <mc:Choice Requires="wps">
            <w:drawing>
              <wp:anchor distT="0" distB="0" distL="114300" distR="114300" simplePos="0" relativeHeight="251666432" behindDoc="0" locked="0" layoutInCell="1" allowOverlap="1">
                <wp:simplePos x="0" y="0"/>
                <wp:positionH relativeFrom="column">
                  <wp:posOffset>3517265</wp:posOffset>
                </wp:positionH>
                <wp:positionV relativeFrom="paragraph">
                  <wp:posOffset>488950</wp:posOffset>
                </wp:positionV>
                <wp:extent cx="560705" cy="370205"/>
                <wp:effectExtent l="0" t="0" r="10795" b="10795"/>
                <wp:wrapNone/>
                <wp:docPr id="1" name="文本框 1"/>
                <wp:cNvGraphicFramePr/>
                <a:graphic xmlns:a="http://schemas.openxmlformats.org/drawingml/2006/main">
                  <a:graphicData uri="http://schemas.microsoft.com/office/word/2010/wordprocessingShape">
                    <wps:wsp>
                      <wps:cNvSpPr txBox="1"/>
                      <wps:spPr>
                        <a:xfrm>
                          <a:off x="3972560" y="5052060"/>
                          <a:ext cx="560705" cy="370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95pt;margin-top:38.5pt;height:29.15pt;width:44.15pt;z-index:251666432;mso-width-relative:page;mso-height-relative:page;" filled="f" stroked="f" coordsize="21600,21600" o:gfxdata="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cwZ/LbAAAACgEAAA8AAAAAAAAAAQAg&#10;AAAAIgAAAGRycy9kb3ducmV2LnhtbFBLAQIUABQAAAAIAIdO4kCTgjSsRAIAAHEEAAAOAAAAAAAA&#10;AAEAIAAAACo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v:textbox>
              </v:shape>
            </w:pict>
          </mc:Fallback>
        </mc:AlternateContent>
      </w:r>
      <w:r>
        <w:rPr>
          <w:spacing w:val="0"/>
          <w:kern w:val="21"/>
          <w:sz w:val="24"/>
        </w:rPr>
        <mc:AlternateContent>
          <mc:Choice Requires="wps">
            <w:drawing>
              <wp:anchor distT="0" distB="0" distL="114300" distR="114300" simplePos="0" relativeHeight="251669504" behindDoc="0" locked="0" layoutInCell="1" allowOverlap="1">
                <wp:simplePos x="0" y="0"/>
                <wp:positionH relativeFrom="column">
                  <wp:posOffset>3422015</wp:posOffset>
                </wp:positionH>
                <wp:positionV relativeFrom="paragraph">
                  <wp:posOffset>687705</wp:posOffset>
                </wp:positionV>
                <wp:extent cx="132715" cy="75565"/>
                <wp:effectExtent l="0" t="0" r="635" b="635"/>
                <wp:wrapNone/>
                <wp:docPr id="8" name="矩形 8"/>
                <wp:cNvGraphicFramePr/>
                <a:graphic xmlns:a="http://schemas.openxmlformats.org/drawingml/2006/main">
                  <a:graphicData uri="http://schemas.microsoft.com/office/word/2010/wordprocessingShape">
                    <wps:wsp>
                      <wps:cNvSpPr/>
                      <wps:spPr>
                        <a:xfrm>
                          <a:off x="0" y="0"/>
                          <a:ext cx="132715" cy="75565"/>
                        </a:xfrm>
                        <a:prstGeom prst="rect">
                          <a:avLst/>
                        </a:prstGeom>
                        <a:gradFill>
                          <a:gsLst>
                            <a:gs pos="0">
                              <a:srgbClr val="012D86"/>
                            </a:gs>
                            <a:gs pos="100000">
                              <a:srgbClr val="0E2557"/>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45pt;margin-top:54.15pt;height:5.95pt;width:10.45pt;z-index:251669504;v-text-anchor:middle;mso-width-relative:page;mso-height-relative:page;" fillcolor="#012D86" filled="t" stroked="f" coordsize="21600,21600" o:gfxdata="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92zjPbAAAACwEA&#10;AA8AAAAAAAAAAQAgAAAAIgAAAGRycy9kb3ducmV2LnhtbFBLAQIUABQAAAAIAIdO4kA3yBxliQIA&#10;AB4FAAAOAAAAAAAAAAEAIAAAACoBAABkcnMvZTJvRG9jLnhtbFBLBQYAAAAABgAGAFkBAAAlBgAA&#10;AAA=&#10;">
                <v:fill type="gradient" on="t" color2="#0E2557" angle="90" focus="100%" focussize="0,0" rotate="t">
                  <o:fill type="gradientUnscaled" v:ext="backwardCompatible"/>
                </v:fill>
                <v:stroke on="f" weight="2pt"/>
                <v:imagedata o:title=""/>
                <o:lock v:ext="edit" aspectratio="f"/>
              </v:rect>
            </w:pict>
          </mc:Fallback>
        </mc:AlternateContent>
      </w:r>
      <w:r>
        <w:rPr>
          <w:spacing w:val="0"/>
          <w:kern w:val="21"/>
          <w:sz w:val="24"/>
        </w:rPr>
        <mc:AlternateContent>
          <mc:Choice Requires="wps">
            <w:drawing>
              <wp:anchor distT="0" distB="0" distL="114300" distR="114300" simplePos="0" relativeHeight="251667456" behindDoc="0" locked="0" layoutInCell="1" allowOverlap="1">
                <wp:simplePos x="0" y="0"/>
                <wp:positionH relativeFrom="column">
                  <wp:posOffset>3421380</wp:posOffset>
                </wp:positionH>
                <wp:positionV relativeFrom="paragraph">
                  <wp:posOffset>569595</wp:posOffset>
                </wp:positionV>
                <wp:extent cx="132715" cy="75565"/>
                <wp:effectExtent l="0" t="0" r="635" b="635"/>
                <wp:wrapNone/>
                <wp:docPr id="7" name="矩形 7"/>
                <wp:cNvGraphicFramePr/>
                <a:graphic xmlns:a="http://schemas.openxmlformats.org/drawingml/2006/main">
                  <a:graphicData uri="http://schemas.microsoft.com/office/word/2010/wordprocessingShape">
                    <wps:wsp>
                      <wps:cNvSpPr/>
                      <wps:spPr>
                        <a:xfrm>
                          <a:off x="3834130" y="5022215"/>
                          <a:ext cx="132715" cy="75565"/>
                        </a:xfrm>
                        <a:prstGeom prst="rect">
                          <a:avLst/>
                        </a:prstGeom>
                        <a:gradFill>
                          <a:gsLst>
                            <a:gs pos="0">
                              <a:srgbClr val="007BD3"/>
                            </a:gs>
                            <a:gs pos="100000">
                              <a:srgbClr val="034373"/>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4pt;margin-top:44.85pt;height:5.95pt;width:10.45pt;z-index:251667456;v-text-anchor:middle;mso-width-relative:page;mso-height-relative:page;" fillcolor="#007BD3" filled="t" stroked="f" coordsize="21600,21600" o:gfxdata="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a0y&#10;CNcAAAAKAQAADwAAAAAAAAABACAAAAAiAAAAZHJzL2Rvd25yZXYueG1sUEsBAhQAFAAAAAgAh07i&#10;QL3as/6VAgAAKgUAAA4AAAAAAAAAAQAgAAAAJgEAAGRycy9lMm9Eb2MueG1sUEsFBgAAAAAGAAYA&#10;WQEAAC0GAAAAAA==&#10;">
                <v:fill type="gradient" on="t" color2="#034373" angle="90" focus="100%" focussize="0,0" rotate="t">
                  <o:fill type="gradientUnscaled" v:ext="backwardCompatible"/>
                </v:fill>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仿宋_GB2312" w:hAnsi="仿宋_GB2312" w:eastAsia="仿宋_GB2312" w:cs="仿宋_GB2312"/>
          <w:spacing w:val="0"/>
          <w:kern w:val="21"/>
          <w:sz w:val="24"/>
          <w:szCs w:val="24"/>
          <w:highlight w:val="yellow"/>
          <w:u w:val="none"/>
        </w:rPr>
      </w:pPr>
      <w:r>
        <w:rPr>
          <w:rFonts w:hint="eastAsia" w:ascii="黑体" w:hAnsi="黑体" w:eastAsia="黑体" w:cs="黑体"/>
          <w:spacing w:val="0"/>
          <w:kern w:val="21"/>
          <w:sz w:val="24"/>
          <w:szCs w:val="24"/>
          <w:highlight w:val="none"/>
          <w:u w:val="none"/>
        </w:rPr>
        <w:t>分税种：</w:t>
      </w:r>
      <w:r>
        <w:rPr>
          <w:rFonts w:hint="eastAsia" w:ascii="仿宋_GB2312" w:hAnsi="仿宋_GB2312" w:eastAsia="仿宋_GB2312" w:cs="仿宋_GB2312"/>
          <w:b/>
          <w:bCs/>
          <w:spacing w:val="0"/>
          <w:kern w:val="21"/>
          <w:sz w:val="24"/>
          <w:szCs w:val="24"/>
          <w:highlight w:val="none"/>
          <w:u w:val="none"/>
        </w:rPr>
        <w:t>共享税种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326203万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同比上升86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具体来看：</w:t>
      </w:r>
      <w:r>
        <w:rPr>
          <w:rFonts w:hint="eastAsia" w:ascii="仿宋_GB2312" w:hAnsi="仿宋_GB2312" w:eastAsia="仿宋_GB2312" w:cs="仿宋_GB2312"/>
          <w:b/>
          <w:bCs/>
          <w:spacing w:val="0"/>
          <w:kern w:val="21"/>
          <w:sz w:val="24"/>
          <w:szCs w:val="24"/>
          <w:highlight w:val="none"/>
          <w:u w:val="none"/>
        </w:rPr>
        <w:t>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134984万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上升56.2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48592万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 xml:space="preserve"> </w:t>
      </w:r>
      <w:r>
        <w:rPr>
          <w:rFonts w:hint="eastAsia" w:ascii="仿宋_GB2312" w:hAnsi="仿宋_GB2312" w:eastAsia="仿宋_GB2312" w:cs="仿宋_GB2312"/>
          <w:b/>
          <w:bCs/>
          <w:spacing w:val="0"/>
          <w:kern w:val="21"/>
          <w:sz w:val="24"/>
          <w:szCs w:val="24"/>
          <w:highlight w:val="none"/>
          <w:u w:val="none"/>
        </w:rPr>
        <w:t>企业所得税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102445万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上升147%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rPr>
        <w:t>收</w:t>
      </w:r>
      <w:r>
        <w:rPr>
          <w:rFonts w:hint="eastAsia" w:ascii="仿宋_GB2312" w:hAnsi="仿宋_GB2312" w:eastAsia="仿宋_GB2312" w:cs="仿宋_GB2312"/>
          <w:spacing w:val="0"/>
          <w:kern w:val="21"/>
          <w:sz w:val="24"/>
          <w:szCs w:val="24"/>
          <w:highlight w:val="none"/>
          <w:u w:val="none"/>
          <w:lang w:val="en-US" w:eastAsia="zh-CN"/>
        </w:rPr>
        <w:t>60970</w:t>
      </w:r>
      <w:r>
        <w:rPr>
          <w:rFonts w:hint="eastAsia" w:ascii="仿宋_GB2312" w:hAnsi="仿宋_GB2312" w:eastAsia="仿宋_GB2312" w:cs="仿宋_GB2312"/>
          <w:spacing w:val="0"/>
          <w:kern w:val="21"/>
          <w:sz w:val="24"/>
          <w:szCs w:val="24"/>
          <w:highlight w:val="none"/>
          <w:u w:val="none"/>
          <w:lang w:eastAsia="zh-CN"/>
        </w:rPr>
        <w:t>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；主要是煤炭</w:t>
      </w:r>
      <w:r>
        <w:rPr>
          <w:rFonts w:hint="eastAsia" w:ascii="仿宋_GB2312" w:hAnsi="仿宋_GB2312" w:eastAsia="仿宋_GB2312" w:cs="仿宋_GB2312"/>
          <w:spacing w:val="0"/>
          <w:kern w:val="21"/>
          <w:sz w:val="24"/>
          <w:szCs w:val="24"/>
          <w:highlight w:val="none"/>
          <w:u w:val="none"/>
          <w:lang w:val="en-US" w:eastAsia="zh-CN"/>
        </w:rPr>
        <w:t>市场比较活跃，主要化工产品产量继续保持增长</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个人所得税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11407万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上升66.8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4570万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w:t>
      </w:r>
      <w:r>
        <w:rPr>
          <w:rFonts w:hint="eastAsia" w:ascii="Times New Roman" w:hAnsi="Times New Roman" w:eastAsia="仿宋_GB2312" w:cs="Times New Roman"/>
          <w:sz w:val="24"/>
          <w:szCs w:val="24"/>
          <w:highlight w:val="none"/>
          <w:u w:val="none"/>
          <w:lang w:val="en-US" w:eastAsia="zh-CN"/>
        </w:rPr>
        <w:t>企业经营效益转优，员工收入增加，从而拉动个税增收。</w:t>
      </w:r>
      <w:r>
        <w:rPr>
          <w:rFonts w:hint="eastAsia" w:ascii="仿宋_GB2312" w:hAnsi="仿宋_GB2312" w:eastAsia="仿宋_GB2312" w:cs="仿宋_GB2312"/>
          <w:b/>
          <w:bCs/>
          <w:spacing w:val="0"/>
          <w:kern w:val="21"/>
          <w:sz w:val="24"/>
          <w:szCs w:val="24"/>
          <w:highlight w:val="none"/>
          <w:u w:val="none"/>
        </w:rPr>
        <w:t>资源税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72131万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上升103.3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36658万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z w:val="24"/>
          <w:szCs w:val="24"/>
          <w:highlight w:val="none"/>
        </w:rPr>
        <w:t>主要是煤炭</w:t>
      </w:r>
      <w:r>
        <w:rPr>
          <w:rFonts w:hint="eastAsia" w:ascii="仿宋_GB2312" w:hAnsi="仿宋_GB2312" w:eastAsia="仿宋_GB2312" w:cs="仿宋_GB2312"/>
          <w:color w:val="auto"/>
          <w:sz w:val="24"/>
          <w:szCs w:val="24"/>
          <w:highlight w:val="none"/>
          <w:lang w:val="en-US" w:eastAsia="zh-CN"/>
        </w:rPr>
        <w:t>行业拉动</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u w:val="none"/>
        </w:rPr>
        <w:t>环境保护税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5236万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上升1.5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增长77万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b w:val="0"/>
          <w:bCs/>
          <w:color w:val="auto"/>
          <w:spacing w:val="0"/>
          <w:kern w:val="21"/>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b/>
          <w:bCs/>
          <w:color w:val="auto"/>
          <w:spacing w:val="0"/>
          <w:kern w:val="21"/>
          <w:sz w:val="24"/>
          <w:szCs w:val="24"/>
          <w:highlight w:val="none"/>
          <w:u w:val="none"/>
        </w:rPr>
        <w:t>地</w:t>
      </w:r>
      <w:r>
        <w:rPr>
          <w:rFonts w:hint="eastAsia" w:ascii="仿宋_GB2312" w:hAnsi="仿宋_GB2312" w:eastAsia="仿宋_GB2312" w:cs="仿宋_GB2312"/>
          <w:b/>
          <w:bCs/>
          <w:spacing w:val="0"/>
          <w:kern w:val="21"/>
          <w:sz w:val="24"/>
          <w:szCs w:val="24"/>
          <w:highlight w:val="none"/>
          <w:u w:val="none"/>
        </w:rPr>
        <w:t>方税种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105404万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上升11.3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color w:val="auto"/>
          <w:spacing w:val="0"/>
          <w:kern w:val="21"/>
          <w:sz w:val="24"/>
          <w:szCs w:val="24"/>
          <w:highlight w:val="none"/>
          <w:lang w:eastAsia="zh-CN"/>
        </w:rPr>
        <w:t>。具体来看：</w:t>
      </w:r>
      <w:r>
        <w:rPr>
          <w:rFonts w:hint="eastAsia" w:ascii="仿宋_GB2312" w:hAnsi="仿宋_GB2312" w:eastAsia="仿宋_GB2312" w:cs="仿宋_GB2312"/>
          <w:b/>
          <w:bCs/>
          <w:spacing w:val="0"/>
          <w:kern w:val="21"/>
          <w:sz w:val="24"/>
          <w:szCs w:val="24"/>
          <w:highlight w:val="none"/>
          <w:u w:val="none"/>
        </w:rPr>
        <w:t>城市维护建设税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29535万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上升18.4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4581万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Times New Roman" w:hAnsi="Times New Roman" w:eastAsia="仿宋_GB2312" w:cs="Times New Roman"/>
          <w:sz w:val="24"/>
          <w:szCs w:val="24"/>
          <w:highlight w:val="none"/>
          <w:u w:val="none"/>
          <w:lang w:eastAsia="zh-CN"/>
        </w:rPr>
        <w:t>主要是受增值税增收拉动。</w:t>
      </w:r>
      <w:r>
        <w:rPr>
          <w:rFonts w:hint="eastAsia" w:ascii="仿宋_GB2312" w:hAnsi="仿宋_GB2312" w:eastAsia="仿宋_GB2312" w:cs="仿宋_GB2312"/>
          <w:b/>
          <w:bCs/>
          <w:spacing w:val="0"/>
          <w:kern w:val="21"/>
          <w:sz w:val="24"/>
          <w:szCs w:val="24"/>
          <w:highlight w:val="none"/>
          <w:u w:val="none"/>
        </w:rPr>
        <w:t>房产税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17514万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上升94.3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8502万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；主要是清缴以前年度</w:t>
      </w:r>
      <w:r>
        <w:rPr>
          <w:rFonts w:hint="eastAsia" w:ascii="仿宋_GB2312" w:hAnsi="仿宋_GB2312" w:eastAsia="仿宋_GB2312" w:cs="仿宋_GB2312"/>
          <w:spacing w:val="0"/>
          <w:kern w:val="21"/>
          <w:sz w:val="24"/>
          <w:szCs w:val="24"/>
          <w:highlight w:val="none"/>
          <w:u w:val="none"/>
          <w:lang w:val="en-US" w:eastAsia="zh-CN"/>
        </w:rPr>
        <w:t>税费</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印花税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8301万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上升26.5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1737万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Times New Roman" w:hAnsi="Times New Roman" w:eastAsia="仿宋_GB2312" w:cs="Times New Roman"/>
          <w:sz w:val="24"/>
          <w:szCs w:val="24"/>
          <w:highlight w:val="none"/>
          <w:u w:val="none"/>
          <w:lang w:eastAsia="zh-CN"/>
        </w:rPr>
        <w:t>主要是</w:t>
      </w:r>
      <w:r>
        <w:rPr>
          <w:rFonts w:hint="eastAsia" w:ascii="Times New Roman" w:hAnsi="Times New Roman" w:eastAsia="仿宋_GB2312" w:cs="Times New Roman"/>
          <w:sz w:val="24"/>
          <w:szCs w:val="24"/>
          <w:highlight w:val="none"/>
          <w:u w:val="none"/>
          <w:lang w:val="en-US" w:eastAsia="zh-CN"/>
        </w:rPr>
        <w:t>煤炭等工业产品销售环节形成的</w:t>
      </w:r>
      <w:r>
        <w:rPr>
          <w:rFonts w:hint="eastAsia" w:ascii="Times New Roman" w:hAnsi="Times New Roman" w:eastAsia="仿宋_GB2312" w:cs="Times New Roman"/>
          <w:sz w:val="24"/>
          <w:szCs w:val="24"/>
          <w:highlight w:val="none"/>
          <w:u w:val="none"/>
          <w:lang w:eastAsia="zh-CN"/>
        </w:rPr>
        <w:t>印花税增</w:t>
      </w:r>
      <w:r>
        <w:rPr>
          <w:rFonts w:hint="eastAsia" w:ascii="Times New Roman" w:hAnsi="Times New Roman" w:eastAsia="仿宋_GB2312" w:cs="Times New Roman"/>
          <w:sz w:val="24"/>
          <w:szCs w:val="24"/>
          <w:highlight w:val="none"/>
          <w:u w:val="none"/>
          <w:lang w:val="en-US" w:eastAsia="zh-CN"/>
        </w:rPr>
        <w:t>收</w:t>
      </w:r>
      <w:r>
        <w:rPr>
          <w:rFonts w:hint="eastAsia" w:ascii="Times New Roman" w:hAnsi="Times New Roman" w:eastAsia="仿宋_GB2312" w:cs="Times New Roman"/>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城镇土地使用税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26845万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上升89.2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12657万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eastAsia="zh-CN"/>
        </w:rPr>
        <w:t>主要是</w:t>
      </w:r>
      <w:r>
        <w:rPr>
          <w:rFonts w:hint="eastAsia" w:ascii="仿宋_GB2312" w:hAnsi="仿宋_GB2312" w:eastAsia="仿宋_GB2312" w:cs="仿宋_GB2312"/>
          <w:spacing w:val="0"/>
          <w:kern w:val="21"/>
          <w:sz w:val="24"/>
          <w:szCs w:val="24"/>
          <w:highlight w:val="none"/>
          <w:u w:val="none"/>
          <w:lang w:val="en-US" w:eastAsia="zh-CN"/>
        </w:rPr>
        <w:t>清缴以前年度税费</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土地增值税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698万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下降46.1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596万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w:t>
      </w:r>
      <w:r>
        <w:rPr>
          <w:rFonts w:hint="eastAsia" w:ascii="仿宋_GB2312" w:hAnsi="仿宋_GB2312" w:eastAsia="仿宋_GB2312" w:cs="仿宋_GB2312"/>
          <w:spacing w:val="0"/>
          <w:kern w:val="21"/>
          <w:sz w:val="24"/>
          <w:szCs w:val="24"/>
          <w:highlight w:val="none"/>
          <w:u w:val="none"/>
          <w:lang w:val="en-US" w:eastAsia="zh-CN"/>
        </w:rPr>
        <w:t>上年同期</w:t>
      </w:r>
      <w:r>
        <w:rPr>
          <w:rFonts w:hint="eastAsia" w:ascii="仿宋_GB2312" w:hAnsi="仿宋_GB2312" w:eastAsia="仿宋_GB2312" w:cs="仿宋_GB2312"/>
          <w:spacing w:val="0"/>
          <w:kern w:val="21"/>
          <w:sz w:val="24"/>
          <w:szCs w:val="24"/>
          <w:highlight w:val="none"/>
          <w:u w:val="none"/>
          <w:lang w:eastAsia="zh-CN"/>
        </w:rPr>
        <w:t>清缴以前年度税</w:t>
      </w:r>
      <w:r>
        <w:rPr>
          <w:rFonts w:hint="eastAsia" w:ascii="仿宋_GB2312" w:hAnsi="仿宋_GB2312" w:eastAsia="仿宋_GB2312" w:cs="仿宋_GB2312"/>
          <w:spacing w:val="0"/>
          <w:kern w:val="21"/>
          <w:sz w:val="24"/>
          <w:szCs w:val="24"/>
          <w:highlight w:val="none"/>
          <w:u w:val="none"/>
          <w:lang w:val="en-US" w:eastAsia="zh-CN"/>
        </w:rPr>
        <w:t>费。</w:t>
      </w:r>
      <w:r>
        <w:rPr>
          <w:rFonts w:hint="eastAsia" w:ascii="仿宋_GB2312" w:hAnsi="仿宋_GB2312" w:eastAsia="仿宋_GB2312" w:cs="仿宋_GB2312"/>
          <w:b/>
          <w:bCs/>
          <w:spacing w:val="0"/>
          <w:kern w:val="21"/>
          <w:sz w:val="24"/>
          <w:szCs w:val="24"/>
          <w:highlight w:val="none"/>
          <w:u w:val="none"/>
        </w:rPr>
        <w:t>车船税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1996万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上升16.3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280万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耕地占用税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18237万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下降45.1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15008万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主要是受上年同期加大清缴税款力度影响。</w:t>
      </w:r>
      <w:r>
        <w:rPr>
          <w:rFonts w:hint="eastAsia" w:ascii="仿宋_GB2312" w:hAnsi="仿宋_GB2312" w:eastAsia="仿宋_GB2312" w:cs="仿宋_GB2312"/>
          <w:b/>
          <w:bCs/>
          <w:spacing w:val="0"/>
          <w:kern w:val="21"/>
          <w:sz w:val="24"/>
          <w:szCs w:val="24"/>
          <w:highlight w:val="none"/>
          <w:u w:val="none"/>
        </w:rPr>
        <w:t>契税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2278万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下降38.4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1422万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eastAsia" w:ascii="仿宋_GB2312" w:hAnsi="仿宋_GB2312" w:eastAsia="仿宋_GB2312" w:cs="仿宋_GB2312"/>
          <w:b/>
          <w:bCs/>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41584万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上升16.4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5857万元。</w:t>
      </w:r>
    </w:p>
    <w:p>
      <w:pPr>
        <w:keepNext w:val="0"/>
        <w:keepLines w:val="0"/>
        <w:pageBreakBefore w:val="0"/>
        <w:widowControl w:val="0"/>
        <w:kinsoku/>
        <w:wordWrap/>
        <w:overflowPunct/>
        <w:topLinePunct w:val="0"/>
        <w:autoSpaceDE/>
        <w:autoSpaceDN/>
        <w:bidi w:val="0"/>
        <w:adjustRightInd/>
        <w:snapToGrid/>
        <w:spacing w:line="560" w:lineRule="exact"/>
        <w:ind w:right="0" w:firstLine="1200" w:firstLineChars="5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税种</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pict>
          <v:shape id="_x0000_s1027" o:spid="_x0000_s1027" o:spt="75" type="#_x0000_t75" style="position:absolute;left:0pt;margin-left:7.85pt;margin-top:13.6pt;height:213.25pt;width:317.2pt;z-index:-251644928;mso-width-relative:page;mso-height-relative:page;" o:ole="t" filled="f" o:preferrelative="t" stroked="f" coordsize="21600,21600">
            <v:path/>
            <v:fill on="f" focussize="0,0"/>
            <v:stroke on="f"/>
            <v:imagedata r:id="rId15" o:title=""/>
            <o:lock v:ext="edit" aspectratio="t"/>
          </v:shape>
          <o:OLEObject Type="Embed" ProgID="Excel.Chart.8" ShapeID="_x0000_s1027" DrawAspect="Content" ObjectID="_1468075726" r:id="rId14">
            <o:LockedField>false</o:LockedField>
          </o:OLEObject>
        </w:pict>
      </w:r>
      <w:r>
        <w:rPr>
          <w:spacing w:val="0"/>
          <w:kern w:val="21"/>
          <w:sz w:val="24"/>
          <w:highlight w:val="none"/>
        </w:rPr>
        <mc:AlternateContent>
          <mc:Choice Requires="wps">
            <w:drawing>
              <wp:anchor distT="0" distB="0" distL="114300" distR="114300" simplePos="0" relativeHeight="251670528" behindDoc="0" locked="0" layoutInCell="1" allowOverlap="1">
                <wp:simplePos x="0" y="0"/>
                <wp:positionH relativeFrom="column">
                  <wp:posOffset>3943985</wp:posOffset>
                </wp:positionH>
                <wp:positionV relativeFrom="paragraph">
                  <wp:posOffset>248285</wp:posOffset>
                </wp:positionV>
                <wp:extent cx="371475" cy="97155"/>
                <wp:effectExtent l="0" t="0" r="0" b="0"/>
                <wp:wrapNone/>
                <wp:docPr id="10" name="文本框 10"/>
                <wp:cNvGraphicFramePr/>
                <a:graphic xmlns:a="http://schemas.openxmlformats.org/drawingml/2006/main">
                  <a:graphicData uri="http://schemas.microsoft.com/office/word/2010/wordprocessingShape">
                    <wps:wsp>
                      <wps:cNvSpPr txBox="1"/>
                      <wps:spPr>
                        <a:xfrm>
                          <a:off x="4463415" y="4232275"/>
                          <a:ext cx="371475" cy="97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5pt;margin-top:19.55pt;height:7.65pt;width:29.25pt;z-index:251670528;mso-width-relative:page;mso-height-relative:page;" filled="f" stroked="f" coordsize="21600,21600" o:gfxdata="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XCtH3AAAAAkBAAAPAAAAAAAA&#10;AAEAIAAAACIAAABkcnMvZG93bnJldi54bWxQSwECFAAUAAAACACHTuJAFpYxg0cCAAByBAAADgAA&#10;AAAAAAABACAAAAAr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none"/>
          <w:u w:val="none"/>
          <w:lang w:eastAsia="zh-CN"/>
        </w:rPr>
      </w:pPr>
      <w:r>
        <w:rPr>
          <w:rFonts w:hint="eastAsia" w:ascii="仿宋_GB2312" w:hAnsi="仿宋_GB2312" w:eastAsia="仿宋_GB2312" w:cs="仿宋_GB2312"/>
          <w:color w:val="auto"/>
          <w:spacing w:val="0"/>
          <w:kern w:val="21"/>
          <w:sz w:val="24"/>
          <w:szCs w:val="24"/>
          <w:highlight w:val="none"/>
          <w:u w:val="none"/>
        </w:rPr>
        <w:t>全</w:t>
      </w:r>
      <w:r>
        <w:rPr>
          <w:rFonts w:hint="eastAsia" w:ascii="仿宋_GB2312" w:hAnsi="仿宋_GB2312" w:eastAsia="仿宋_GB2312" w:cs="仿宋_GB2312"/>
          <w:color w:val="auto"/>
          <w:spacing w:val="0"/>
          <w:kern w:val="21"/>
          <w:sz w:val="24"/>
          <w:szCs w:val="24"/>
          <w:highlight w:val="none"/>
          <w:u w:val="none"/>
          <w:lang w:val="en-US" w:eastAsia="zh-CN"/>
        </w:rPr>
        <w:t>市</w:t>
      </w:r>
      <w:r>
        <w:rPr>
          <w:rFonts w:hint="eastAsia" w:ascii="仿宋_GB2312" w:hAnsi="仿宋_GB2312" w:eastAsia="仿宋_GB2312" w:cs="仿宋_GB2312"/>
          <w:color w:val="auto"/>
          <w:spacing w:val="0"/>
          <w:kern w:val="21"/>
          <w:sz w:val="24"/>
          <w:szCs w:val="24"/>
          <w:highlight w:val="none"/>
          <w:u w:val="none"/>
        </w:rPr>
        <w:t>累计完成</w:t>
      </w:r>
      <w:r>
        <w:rPr>
          <w:rFonts w:hint="eastAsia" w:ascii="仿宋_GB2312" w:hAnsi="仿宋_GB2312" w:eastAsia="仿宋_GB2312" w:cs="仿宋_GB2312"/>
          <w:color w:val="auto"/>
          <w:spacing w:val="0"/>
          <w:kern w:val="21"/>
          <w:sz w:val="24"/>
          <w:szCs w:val="24"/>
          <w:highlight w:val="none"/>
          <w:u w:val="none"/>
          <w:lang w:eastAsia="zh-CN"/>
        </w:rPr>
        <w:t>一般公共预算</w:t>
      </w:r>
      <w:r>
        <w:rPr>
          <w:rFonts w:hint="eastAsia" w:ascii="仿宋_GB2312" w:hAnsi="仿宋_GB2312" w:eastAsia="仿宋_GB2312" w:cs="仿宋_GB2312"/>
          <w:color w:val="auto"/>
          <w:spacing w:val="0"/>
          <w:kern w:val="21"/>
          <w:sz w:val="24"/>
          <w:szCs w:val="24"/>
          <w:highlight w:val="none"/>
          <w:u w:val="none"/>
        </w:rPr>
        <w:t>收入</w:t>
      </w:r>
      <w:r>
        <w:rPr>
          <w:rFonts w:hint="eastAsia" w:ascii="仿宋_GB2312" w:hAnsi="仿宋_GB2312" w:eastAsia="仿宋_GB2312" w:cs="仿宋_GB2312"/>
          <w:color w:val="auto"/>
          <w:spacing w:val="0"/>
          <w:kern w:val="21"/>
          <w:sz w:val="24"/>
          <w:szCs w:val="24"/>
          <w:highlight w:val="none"/>
          <w:u w:val="none"/>
          <w:lang w:val="en-US" w:eastAsia="zh-CN"/>
        </w:rPr>
        <w:t>799.25</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56.8</w:t>
      </w:r>
      <w:r>
        <w:rPr>
          <w:rFonts w:hint="eastAsia" w:ascii="仿宋_GB2312" w:hAnsi="仿宋_GB2312" w:eastAsia="仿宋_GB2312" w:cs="仿宋_GB2312"/>
          <w:color w:val="auto"/>
          <w:spacing w:val="0"/>
          <w:kern w:val="21"/>
          <w:sz w:val="24"/>
          <w:szCs w:val="24"/>
          <w:highlight w:val="none"/>
          <w:u w:val="none"/>
          <w:lang w:eastAsia="zh-CN"/>
        </w:rPr>
        <w:t>%。其中：准格尔旗</w:t>
      </w:r>
      <w:r>
        <w:rPr>
          <w:rFonts w:hint="eastAsia" w:ascii="仿宋_GB2312" w:hAnsi="仿宋_GB2312" w:eastAsia="仿宋_GB2312" w:cs="仿宋_GB2312"/>
          <w:color w:val="auto"/>
          <w:spacing w:val="0"/>
          <w:kern w:val="21"/>
          <w:sz w:val="24"/>
          <w:szCs w:val="24"/>
          <w:highlight w:val="none"/>
          <w:u w:val="none"/>
          <w:lang w:val="en-US" w:eastAsia="zh-CN"/>
        </w:rPr>
        <w:t>154.02</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82.8</w:t>
      </w:r>
      <w:r>
        <w:rPr>
          <w:rFonts w:hint="eastAsia" w:ascii="仿宋_GB2312" w:hAnsi="仿宋_GB2312" w:eastAsia="仿宋_GB2312" w:cs="仿宋_GB2312"/>
          <w:color w:val="auto"/>
          <w:spacing w:val="0"/>
          <w:kern w:val="21"/>
          <w:sz w:val="24"/>
          <w:szCs w:val="24"/>
          <w:highlight w:val="none"/>
          <w:u w:val="none"/>
          <w:lang w:eastAsia="zh-CN"/>
        </w:rPr>
        <w:t>%；伊金霍洛旗</w:t>
      </w:r>
      <w:r>
        <w:rPr>
          <w:rFonts w:hint="eastAsia" w:ascii="仿宋_GB2312" w:hAnsi="仿宋_GB2312" w:eastAsia="仿宋_GB2312" w:cs="仿宋_GB2312"/>
          <w:color w:val="auto"/>
          <w:spacing w:val="0"/>
          <w:kern w:val="21"/>
          <w:sz w:val="24"/>
          <w:szCs w:val="24"/>
          <w:highlight w:val="none"/>
          <w:u w:val="none"/>
          <w:lang w:val="en-US" w:eastAsia="zh-CN"/>
        </w:rPr>
        <w:t>127.35</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68.7</w:t>
      </w:r>
      <w:r>
        <w:rPr>
          <w:rFonts w:hint="eastAsia" w:ascii="仿宋_GB2312" w:hAnsi="仿宋_GB2312" w:eastAsia="仿宋_GB2312" w:cs="仿宋_GB2312"/>
          <w:color w:val="auto"/>
          <w:spacing w:val="0"/>
          <w:kern w:val="21"/>
          <w:sz w:val="24"/>
          <w:szCs w:val="24"/>
          <w:highlight w:val="none"/>
          <w:u w:val="none"/>
          <w:lang w:eastAsia="zh-CN"/>
        </w:rPr>
        <w:t>%；东胜区</w:t>
      </w:r>
      <w:r>
        <w:rPr>
          <w:rFonts w:hint="eastAsia" w:ascii="仿宋_GB2312" w:hAnsi="仿宋_GB2312" w:eastAsia="仿宋_GB2312" w:cs="仿宋_GB2312"/>
          <w:color w:val="auto"/>
          <w:spacing w:val="0"/>
          <w:kern w:val="21"/>
          <w:sz w:val="24"/>
          <w:szCs w:val="24"/>
          <w:highlight w:val="none"/>
          <w:u w:val="none"/>
          <w:lang w:val="en-US" w:eastAsia="zh-CN"/>
        </w:rPr>
        <w:t>71.48</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25.1</w:t>
      </w:r>
      <w:r>
        <w:rPr>
          <w:rFonts w:hint="eastAsia" w:ascii="仿宋_GB2312" w:hAnsi="仿宋_GB2312" w:eastAsia="仿宋_GB2312" w:cs="仿宋_GB2312"/>
          <w:color w:val="auto"/>
          <w:spacing w:val="0"/>
          <w:kern w:val="21"/>
          <w:sz w:val="24"/>
          <w:szCs w:val="24"/>
          <w:highlight w:val="none"/>
          <w:u w:val="none"/>
          <w:lang w:eastAsia="zh-CN"/>
        </w:rPr>
        <w:t>%；鄂托克旗</w:t>
      </w:r>
      <w:r>
        <w:rPr>
          <w:rFonts w:hint="eastAsia" w:ascii="仿宋_GB2312" w:hAnsi="仿宋_GB2312" w:eastAsia="仿宋_GB2312" w:cs="仿宋_GB2312"/>
          <w:color w:val="auto"/>
          <w:spacing w:val="0"/>
          <w:kern w:val="21"/>
          <w:sz w:val="24"/>
          <w:szCs w:val="24"/>
          <w:highlight w:val="none"/>
          <w:u w:val="none"/>
          <w:lang w:val="en-US" w:eastAsia="zh-CN"/>
        </w:rPr>
        <w:t>47.32</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54.8</w:t>
      </w:r>
      <w:r>
        <w:rPr>
          <w:rFonts w:hint="eastAsia" w:ascii="仿宋_GB2312" w:hAnsi="仿宋_GB2312" w:eastAsia="仿宋_GB2312" w:cs="仿宋_GB2312"/>
          <w:color w:val="auto"/>
          <w:spacing w:val="0"/>
          <w:kern w:val="21"/>
          <w:sz w:val="24"/>
          <w:szCs w:val="24"/>
          <w:highlight w:val="none"/>
          <w:u w:val="none"/>
          <w:lang w:eastAsia="zh-CN"/>
        </w:rPr>
        <w:t>%；乌审旗</w:t>
      </w:r>
      <w:r>
        <w:rPr>
          <w:rFonts w:hint="eastAsia" w:ascii="仿宋_GB2312" w:hAnsi="仿宋_GB2312" w:eastAsia="仿宋_GB2312" w:cs="仿宋_GB2312"/>
          <w:color w:val="auto"/>
          <w:spacing w:val="0"/>
          <w:kern w:val="21"/>
          <w:sz w:val="24"/>
          <w:szCs w:val="24"/>
          <w:highlight w:val="none"/>
          <w:u w:val="none"/>
          <w:lang w:val="en-US" w:eastAsia="zh-CN"/>
        </w:rPr>
        <w:t>36.55</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20.6</w:t>
      </w:r>
      <w:r>
        <w:rPr>
          <w:rFonts w:hint="eastAsia" w:ascii="仿宋_GB2312" w:hAnsi="仿宋_GB2312" w:eastAsia="仿宋_GB2312" w:cs="仿宋_GB2312"/>
          <w:color w:val="auto"/>
          <w:spacing w:val="0"/>
          <w:kern w:val="21"/>
          <w:sz w:val="24"/>
          <w:szCs w:val="24"/>
          <w:highlight w:val="none"/>
          <w:u w:val="none"/>
          <w:lang w:eastAsia="zh-CN"/>
        </w:rPr>
        <w:t>%；达拉特旗</w:t>
      </w:r>
      <w:r>
        <w:rPr>
          <w:rFonts w:hint="eastAsia" w:ascii="仿宋_GB2312" w:hAnsi="仿宋_GB2312" w:eastAsia="仿宋_GB2312" w:cs="仿宋_GB2312"/>
          <w:color w:val="auto"/>
          <w:spacing w:val="0"/>
          <w:kern w:val="21"/>
          <w:sz w:val="24"/>
          <w:szCs w:val="24"/>
          <w:highlight w:val="none"/>
          <w:u w:val="none"/>
          <w:lang w:val="en-US" w:eastAsia="zh-CN"/>
        </w:rPr>
        <w:t>31.58</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53.4</w:t>
      </w:r>
      <w:r>
        <w:rPr>
          <w:rFonts w:hint="eastAsia" w:ascii="仿宋_GB2312" w:hAnsi="仿宋_GB2312" w:eastAsia="仿宋_GB2312" w:cs="仿宋_GB2312"/>
          <w:color w:val="auto"/>
          <w:spacing w:val="0"/>
          <w:kern w:val="21"/>
          <w:sz w:val="24"/>
          <w:szCs w:val="24"/>
          <w:highlight w:val="none"/>
          <w:u w:val="none"/>
          <w:lang w:eastAsia="zh-CN"/>
        </w:rPr>
        <w:t>%；鄂托克前旗</w:t>
      </w:r>
      <w:r>
        <w:rPr>
          <w:rFonts w:hint="eastAsia" w:ascii="仿宋_GB2312" w:hAnsi="仿宋_GB2312" w:eastAsia="仿宋_GB2312" w:cs="仿宋_GB2312"/>
          <w:color w:val="auto"/>
          <w:spacing w:val="0"/>
          <w:kern w:val="21"/>
          <w:sz w:val="24"/>
          <w:szCs w:val="24"/>
          <w:highlight w:val="none"/>
          <w:u w:val="none"/>
          <w:lang w:val="en-US" w:eastAsia="zh-CN"/>
        </w:rPr>
        <w:t>16.21</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46</w:t>
      </w:r>
      <w:r>
        <w:rPr>
          <w:rFonts w:hint="eastAsia" w:ascii="仿宋_GB2312" w:hAnsi="仿宋_GB2312" w:eastAsia="仿宋_GB2312" w:cs="仿宋_GB2312"/>
          <w:color w:val="auto"/>
          <w:spacing w:val="0"/>
          <w:kern w:val="21"/>
          <w:sz w:val="24"/>
          <w:szCs w:val="24"/>
          <w:highlight w:val="none"/>
          <w:u w:val="none"/>
          <w:lang w:eastAsia="zh-CN"/>
        </w:rPr>
        <w:t>%；康巴什区</w:t>
      </w:r>
      <w:r>
        <w:rPr>
          <w:rFonts w:hint="eastAsia" w:ascii="仿宋_GB2312" w:hAnsi="仿宋_GB2312" w:eastAsia="仿宋_GB2312" w:cs="仿宋_GB2312"/>
          <w:color w:val="auto"/>
          <w:spacing w:val="0"/>
          <w:kern w:val="21"/>
          <w:sz w:val="24"/>
          <w:szCs w:val="24"/>
          <w:highlight w:val="none"/>
          <w:u w:val="none"/>
          <w:lang w:val="en-US" w:eastAsia="zh-CN"/>
        </w:rPr>
        <w:t>11.36</w:t>
      </w:r>
      <w:r>
        <w:rPr>
          <w:rFonts w:hint="eastAsia" w:ascii="仿宋_GB2312" w:hAnsi="仿宋_GB2312" w:eastAsia="仿宋_GB2312" w:cs="仿宋_GB2312"/>
          <w:color w:val="auto"/>
          <w:spacing w:val="0"/>
          <w:kern w:val="21"/>
          <w:sz w:val="24"/>
          <w:szCs w:val="24"/>
          <w:highlight w:val="none"/>
          <w:u w:val="none"/>
          <w:lang w:eastAsia="zh-CN"/>
        </w:rPr>
        <w:t>亿元、</w:t>
      </w:r>
      <w:r>
        <w:rPr>
          <w:rFonts w:hint="eastAsia" w:ascii="仿宋_GB2312" w:hAnsi="仿宋_GB2312" w:eastAsia="仿宋_GB2312" w:cs="仿宋_GB2312"/>
          <w:color w:val="auto"/>
          <w:spacing w:val="0"/>
          <w:kern w:val="21"/>
          <w:sz w:val="24"/>
          <w:szCs w:val="24"/>
          <w:highlight w:val="none"/>
          <w:u w:val="none"/>
          <w:lang w:val="en-US" w:eastAsia="zh-CN"/>
        </w:rPr>
        <w:t>增长27.8</w:t>
      </w:r>
      <w:r>
        <w:rPr>
          <w:rFonts w:hint="eastAsia" w:ascii="仿宋_GB2312" w:hAnsi="仿宋_GB2312" w:eastAsia="仿宋_GB2312" w:cs="仿宋_GB2312"/>
          <w:color w:val="auto"/>
          <w:spacing w:val="0"/>
          <w:kern w:val="21"/>
          <w:sz w:val="24"/>
          <w:szCs w:val="24"/>
          <w:highlight w:val="none"/>
          <w:u w:val="none"/>
          <w:lang w:eastAsia="zh-CN"/>
        </w:rPr>
        <w:t>%；杭锦旗</w:t>
      </w:r>
      <w:r>
        <w:rPr>
          <w:rFonts w:hint="eastAsia" w:ascii="仿宋_GB2312" w:hAnsi="仿宋_GB2312" w:eastAsia="仿宋_GB2312" w:cs="仿宋_GB2312"/>
          <w:color w:val="auto"/>
          <w:spacing w:val="0"/>
          <w:kern w:val="21"/>
          <w:sz w:val="24"/>
          <w:szCs w:val="24"/>
          <w:highlight w:val="none"/>
          <w:u w:val="none"/>
          <w:lang w:val="en-US" w:eastAsia="zh-CN"/>
        </w:rPr>
        <w:t>9.66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86.2</w:t>
      </w:r>
      <w:r>
        <w:rPr>
          <w:rFonts w:hint="eastAsia" w:ascii="仿宋_GB2312" w:hAnsi="仿宋_GB2312" w:eastAsia="仿宋_GB2312" w:cs="仿宋_GB2312"/>
          <w:color w:val="auto"/>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旗区</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pict>
          <v:shape id="_x0000_s1032" o:spid="_x0000_s1032" o:spt="75" type="#_x0000_t75" style="position:absolute;left:0pt;margin-left:9.9pt;margin-top:7pt;height:188.95pt;width:313.3pt;z-index:-251641856;mso-width-relative:page;mso-height-relative:page;" o:ole="t" filled="f" o:preferrelative="t" stroked="f" coordsize="21600,21600">
            <v:path/>
            <v:fill on="f" focussize="0,0"/>
            <v:stroke on="f"/>
            <v:imagedata r:id="rId17" o:title=""/>
            <o:lock v:ext="edit" aspectratio="t"/>
          </v:shape>
          <o:OLEObject Type="Embed" ProgID="Excel.Chart.8" ShapeID="_x0000_s1032" DrawAspect="Content" ObjectID="_1468075727" r:id="rId16">
            <o:LockedField>false</o:LockedField>
          </o:OLEObject>
        </w:pic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黑体" w:cs="Times New Roman"/>
          <w:spacing w:val="0"/>
          <w:kern w:val="21"/>
          <w:sz w:val="24"/>
          <w:szCs w:val="24"/>
          <w:highlight w:val="none"/>
          <w:u w:val="none"/>
        </w:rPr>
      </w:pPr>
      <w:r>
        <w:rPr>
          <w:rFonts w:hint="eastAsia" w:ascii="Times New Roman" w:hAnsi="Times New Roman" w:eastAsia="黑体" w:cs="Times New Roman"/>
          <w:spacing w:val="0"/>
          <w:kern w:val="21"/>
          <w:sz w:val="24"/>
          <w:szCs w:val="24"/>
          <w:highlight w:val="none"/>
          <w:u w:val="none"/>
          <w:lang w:val="en-US" w:eastAsia="zh-CN"/>
        </w:rPr>
        <w:t>二、</w:t>
      </w:r>
      <w:r>
        <w:rPr>
          <w:rFonts w:hint="default" w:ascii="Times New Roman" w:hAnsi="Times New Roman" w:eastAsia="黑体" w:cs="Times New Roman"/>
          <w:spacing w:val="0"/>
          <w:kern w:val="21"/>
          <w:sz w:val="24"/>
          <w:szCs w:val="24"/>
          <w:highlight w:val="none"/>
          <w:u w:val="none"/>
        </w:rPr>
        <w:t>全</w:t>
      </w:r>
      <w:r>
        <w:rPr>
          <w:rFonts w:hint="eastAsia" w:ascii="Times New Roman" w:hAnsi="Times New Roman" w:eastAsia="黑体" w:cs="Times New Roman"/>
          <w:spacing w:val="0"/>
          <w:kern w:val="21"/>
          <w:sz w:val="24"/>
          <w:szCs w:val="24"/>
          <w:highlight w:val="none"/>
          <w:u w:val="none"/>
          <w:lang w:val="en-US" w:eastAsia="zh-CN"/>
        </w:rPr>
        <w:t>旗</w:t>
      </w:r>
      <w:r>
        <w:rPr>
          <w:rFonts w:hint="default" w:ascii="Times New Roman" w:hAnsi="Times New Roman" w:eastAsia="黑体" w:cs="Times New Roman"/>
          <w:spacing w:val="0"/>
          <w:kern w:val="21"/>
          <w:sz w:val="24"/>
          <w:szCs w:val="24"/>
          <w:highlight w:val="none"/>
          <w:u w:val="none"/>
        </w:rPr>
        <w:t>地方财政总收入完成情况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截至2022年11月底，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地方财政总收入累计完成</w:t>
      </w:r>
      <w:r>
        <w:rPr>
          <w:rFonts w:hint="eastAsia" w:ascii="仿宋_GB2312" w:hAnsi="仿宋_GB2312" w:eastAsia="仿宋_GB2312" w:cs="仿宋_GB2312"/>
          <w:spacing w:val="0"/>
          <w:kern w:val="21"/>
          <w:sz w:val="24"/>
          <w:szCs w:val="24"/>
          <w:highlight w:val="none"/>
          <w:u w:val="none"/>
          <w:lang w:val="en-US" w:eastAsia="zh-CN"/>
        </w:rPr>
        <w:t>174.45</w:t>
      </w:r>
      <w:r>
        <w:rPr>
          <w:rFonts w:hint="eastAsia" w:ascii="仿宋_GB2312" w:hAnsi="仿宋_GB2312" w:eastAsia="仿宋_GB2312" w:cs="仿宋_GB2312"/>
          <w:bCs/>
          <w:spacing w:val="0"/>
          <w:kern w:val="21"/>
          <w:sz w:val="24"/>
          <w:szCs w:val="24"/>
          <w:highlight w:val="none"/>
          <w:u w:val="none"/>
        </w:rPr>
        <w:t>亿元、</w:t>
      </w:r>
      <w:r>
        <w:rPr>
          <w:rFonts w:hint="eastAsia" w:ascii="仿宋_GB2312" w:hAnsi="仿宋_GB2312" w:eastAsia="仿宋_GB2312" w:cs="仿宋_GB2312"/>
          <w:bCs/>
          <w:spacing w:val="0"/>
          <w:kern w:val="21"/>
          <w:sz w:val="24"/>
          <w:szCs w:val="24"/>
          <w:highlight w:val="none"/>
          <w:u w:val="none"/>
          <w:lang w:eastAsia="zh-CN"/>
        </w:rPr>
        <w:t>增长</w:t>
      </w:r>
      <w:r>
        <w:rPr>
          <w:rFonts w:hint="eastAsia" w:ascii="仿宋_GB2312" w:hAnsi="仿宋_GB2312" w:eastAsia="仿宋_GB2312" w:cs="仿宋_GB2312"/>
          <w:bCs/>
          <w:spacing w:val="0"/>
          <w:kern w:val="21"/>
          <w:sz w:val="24"/>
          <w:szCs w:val="24"/>
          <w:highlight w:val="none"/>
          <w:u w:val="none"/>
          <w:lang w:val="en-US" w:eastAsia="zh-CN"/>
        </w:rPr>
        <w:t>74.2</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Times New Roman" w:hAnsi="Times New Roman" w:eastAsia="仿宋_GB2312" w:cs="Times New Roman"/>
          <w:bCs/>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分级次：</w:t>
      </w:r>
      <w:r>
        <w:rPr>
          <w:rFonts w:hint="eastAsia" w:ascii="仿宋_GB2312" w:hAnsi="仿宋_GB2312" w:eastAsia="仿宋_GB2312" w:cs="仿宋_GB2312"/>
          <w:bCs/>
          <w:spacing w:val="0"/>
          <w:kern w:val="21"/>
          <w:sz w:val="24"/>
          <w:szCs w:val="24"/>
          <w:highlight w:val="none"/>
          <w:u w:val="none"/>
        </w:rPr>
        <w:t>上划中央税收</w:t>
      </w:r>
      <w:r>
        <w:rPr>
          <w:rFonts w:hint="eastAsia" w:ascii="仿宋_GB2312" w:hAnsi="仿宋_GB2312" w:eastAsia="仿宋_GB2312" w:cs="仿宋_GB2312"/>
          <w:bCs/>
          <w:spacing w:val="0"/>
          <w:kern w:val="21"/>
          <w:sz w:val="24"/>
          <w:szCs w:val="24"/>
          <w:highlight w:val="none"/>
          <w:u w:val="none"/>
          <w:lang w:val="en-US" w:eastAsia="zh-CN"/>
        </w:rPr>
        <w:t>67.66</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增长83.8%</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38.8</w:t>
      </w:r>
      <w:r>
        <w:rPr>
          <w:rFonts w:hint="eastAsia" w:ascii="仿宋_GB2312" w:hAnsi="仿宋_GB2312" w:eastAsia="仿宋_GB2312" w:cs="仿宋_GB2312"/>
          <w:bCs/>
          <w:spacing w:val="0"/>
          <w:kern w:val="21"/>
          <w:sz w:val="24"/>
          <w:szCs w:val="24"/>
          <w:highlight w:val="none"/>
          <w:u w:val="none"/>
        </w:rPr>
        <w:t>%；上划自治区税收</w:t>
      </w:r>
      <w:r>
        <w:rPr>
          <w:rFonts w:hint="eastAsia" w:ascii="仿宋_GB2312" w:hAnsi="仿宋_GB2312" w:eastAsia="仿宋_GB2312" w:cs="仿宋_GB2312"/>
          <w:bCs/>
          <w:spacing w:val="0"/>
          <w:kern w:val="21"/>
          <w:sz w:val="24"/>
          <w:szCs w:val="24"/>
          <w:highlight w:val="none"/>
          <w:u w:val="none"/>
          <w:lang w:val="en-US" w:eastAsia="zh-CN"/>
        </w:rPr>
        <w:t>36.11</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增长79.3</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20.7</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,上划市级税收23.36</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增长85.5</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13.4</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分部门：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10.77</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增长29.5</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6.2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162.08</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增长79.3</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92.9</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1.6</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增长15.3</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0.9</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三、一般公共预算支出完成情况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截至2022年11月底，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一般公共预算支出累计完成</w:t>
      </w:r>
      <w:r>
        <w:rPr>
          <w:rFonts w:hint="eastAsia" w:ascii="仿宋_GB2312" w:hAnsi="仿宋_GB2312" w:eastAsia="仿宋_GB2312" w:cs="仿宋_GB2312"/>
          <w:spacing w:val="0"/>
          <w:kern w:val="21"/>
          <w:sz w:val="24"/>
          <w:szCs w:val="24"/>
          <w:highlight w:val="none"/>
          <w:u w:val="none"/>
          <w:lang w:val="en-US" w:eastAsia="zh-CN"/>
        </w:rPr>
        <w:t>563505万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增长25.4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其中</w:t>
      </w:r>
      <w:r>
        <w:rPr>
          <w:rFonts w:hint="eastAsia" w:ascii="仿宋_GB2312" w:hAnsi="仿宋_GB2312" w:eastAsia="仿宋_GB2312" w:cs="仿宋_GB2312"/>
          <w:spacing w:val="0"/>
          <w:kern w:val="21"/>
          <w:sz w:val="24"/>
          <w:szCs w:val="24"/>
          <w:highlight w:val="none"/>
          <w:u w:val="none"/>
        </w:rPr>
        <w:t>民生支出</w:t>
      </w:r>
      <w:r>
        <w:rPr>
          <w:rFonts w:hint="eastAsia" w:ascii="仿宋_GB2312" w:hAnsi="仿宋_GB2312" w:eastAsia="仿宋_GB2312" w:cs="仿宋_GB2312"/>
          <w:spacing w:val="0"/>
          <w:kern w:val="21"/>
          <w:sz w:val="24"/>
          <w:szCs w:val="24"/>
          <w:highlight w:val="none"/>
          <w:u w:val="none"/>
          <w:lang w:val="en-US" w:eastAsia="zh-CN"/>
        </w:rPr>
        <w:t>414752万</w:t>
      </w:r>
      <w:r>
        <w:rPr>
          <w:rFonts w:hint="eastAsia" w:ascii="仿宋_GB2312" w:hAnsi="仿宋_GB2312" w:eastAsia="仿宋_GB2312" w:cs="仿宋_GB2312"/>
          <w:spacing w:val="0"/>
          <w:kern w:val="21"/>
          <w:sz w:val="24"/>
          <w:szCs w:val="24"/>
          <w:highlight w:val="none"/>
          <w:u w:val="none"/>
        </w:rPr>
        <w:t>元，占一般公共预算支出的</w:t>
      </w:r>
      <w:r>
        <w:rPr>
          <w:rFonts w:hint="eastAsia" w:ascii="仿宋_GB2312" w:hAnsi="仿宋_GB2312" w:eastAsia="仿宋_GB2312" w:cs="仿宋_GB2312"/>
          <w:spacing w:val="0"/>
          <w:kern w:val="21"/>
          <w:sz w:val="24"/>
          <w:szCs w:val="24"/>
          <w:highlight w:val="none"/>
          <w:u w:val="none"/>
          <w:lang w:val="en-US" w:eastAsia="zh-CN"/>
        </w:rPr>
        <w:t>73.6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eastAsia" w:ascii="仿宋_GB2312" w:hAnsi="仿宋_GB2312" w:eastAsia="仿宋_GB2312" w:cs="仿宋_GB2312"/>
          <w:spacing w:val="-2"/>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w:t>
      </w:r>
      <w:r>
        <w:rPr>
          <w:rFonts w:hint="eastAsia" w:ascii="Times New Roman" w:hAnsi="Times New Roman" w:eastAsia="黑体" w:cs="Times New Roman"/>
          <w:spacing w:val="0"/>
          <w:kern w:val="21"/>
          <w:sz w:val="24"/>
          <w:szCs w:val="24"/>
          <w:highlight w:val="none"/>
          <w:u w:val="none"/>
          <w:lang w:val="en-US" w:eastAsia="zh-CN"/>
        </w:rPr>
        <w:t>主要项目</w:t>
      </w:r>
      <w:r>
        <w:rPr>
          <w:rFonts w:hint="default" w:ascii="Times New Roman" w:hAnsi="Times New Roman" w:eastAsia="黑体" w:cs="Times New Roman"/>
          <w:spacing w:val="0"/>
          <w:kern w:val="21"/>
          <w:sz w:val="24"/>
          <w:szCs w:val="24"/>
          <w:highlight w:val="none"/>
          <w:u w:val="none"/>
        </w:rPr>
        <w:t>：</w:t>
      </w:r>
      <w:r>
        <w:rPr>
          <w:rFonts w:hint="eastAsia" w:ascii="仿宋_GB2312" w:hAnsi="仿宋_GB2312" w:eastAsia="仿宋_GB2312" w:cs="仿宋_GB2312"/>
          <w:b/>
          <w:bCs/>
          <w:spacing w:val="0"/>
          <w:kern w:val="21"/>
          <w:sz w:val="24"/>
          <w:szCs w:val="24"/>
          <w:highlight w:val="none"/>
          <w:u w:val="none"/>
          <w:lang w:val="en-US" w:eastAsia="zh-CN"/>
        </w:rPr>
        <w:t>公共安全支出</w:t>
      </w:r>
      <w:r>
        <w:rPr>
          <w:rFonts w:hint="eastAsia" w:ascii="仿宋_GB2312" w:hAnsi="仿宋_GB2312" w:eastAsia="仿宋_GB2312" w:cs="仿宋_GB2312"/>
          <w:spacing w:val="0"/>
          <w:kern w:val="21"/>
          <w:sz w:val="24"/>
          <w:szCs w:val="24"/>
          <w:highlight w:val="none"/>
          <w:u w:val="none"/>
          <w:lang w:val="en-US" w:eastAsia="zh-CN"/>
        </w:rPr>
        <w:t>15471万元，增长34%。</w:t>
      </w:r>
      <w:r>
        <w:rPr>
          <w:rFonts w:hint="eastAsia" w:ascii="仿宋_GB2312" w:hAnsi="仿宋_GB2312" w:eastAsia="仿宋_GB2312" w:cs="仿宋_GB2312"/>
          <w:b/>
          <w:bCs/>
          <w:spacing w:val="0"/>
          <w:kern w:val="21"/>
          <w:sz w:val="24"/>
          <w:szCs w:val="24"/>
          <w:highlight w:val="none"/>
          <w:u w:val="none"/>
          <w:lang w:val="en-US" w:eastAsia="zh-CN"/>
        </w:rPr>
        <w:t>教育支出</w:t>
      </w:r>
      <w:r>
        <w:rPr>
          <w:rFonts w:hint="eastAsia" w:ascii="仿宋_GB2312" w:hAnsi="仿宋_GB2312" w:eastAsia="仿宋_GB2312" w:cs="仿宋_GB2312"/>
          <w:spacing w:val="0"/>
          <w:kern w:val="21"/>
          <w:sz w:val="24"/>
          <w:szCs w:val="24"/>
          <w:highlight w:val="none"/>
          <w:u w:val="none"/>
          <w:lang w:val="en-US" w:eastAsia="zh-CN"/>
        </w:rPr>
        <w:t>55665万元，增长7.5%，按时拨付了各项教育资金。</w:t>
      </w:r>
      <w:r>
        <w:rPr>
          <w:rFonts w:hint="eastAsia" w:ascii="仿宋_GB2312" w:hAnsi="仿宋_GB2312" w:eastAsia="仿宋_GB2312" w:cs="仿宋_GB2312"/>
          <w:b/>
          <w:bCs/>
          <w:spacing w:val="0"/>
          <w:kern w:val="21"/>
          <w:sz w:val="24"/>
          <w:szCs w:val="24"/>
          <w:highlight w:val="none"/>
          <w:u w:val="none"/>
          <w:lang w:val="en-US" w:eastAsia="zh-CN"/>
        </w:rPr>
        <w:t>科技支出</w:t>
      </w:r>
      <w:r>
        <w:rPr>
          <w:rFonts w:hint="eastAsia" w:ascii="仿宋_GB2312" w:hAnsi="仿宋_GB2312" w:eastAsia="仿宋_GB2312" w:cs="仿宋_GB2312"/>
          <w:spacing w:val="0"/>
          <w:kern w:val="21"/>
          <w:sz w:val="24"/>
          <w:szCs w:val="24"/>
          <w:highlight w:val="none"/>
          <w:u w:val="none"/>
          <w:lang w:val="en-US" w:eastAsia="zh-CN"/>
        </w:rPr>
        <w:t>9545万元，增长112.6%，主要是兑付了科技创新驱动发展战略专项结转资金。</w:t>
      </w:r>
      <w:r>
        <w:rPr>
          <w:rFonts w:hint="eastAsia" w:ascii="仿宋_GB2312" w:hAnsi="仿宋_GB2312" w:eastAsia="仿宋_GB2312" w:cs="仿宋_GB2312"/>
          <w:b/>
          <w:bCs/>
          <w:spacing w:val="0"/>
          <w:kern w:val="21"/>
          <w:sz w:val="24"/>
          <w:szCs w:val="24"/>
          <w:highlight w:val="none"/>
          <w:u w:val="none"/>
          <w:lang w:val="en-US" w:eastAsia="zh-CN"/>
        </w:rPr>
        <w:t>文化旅游体育与传媒支出</w:t>
      </w:r>
      <w:r>
        <w:rPr>
          <w:rFonts w:hint="eastAsia" w:ascii="仿宋_GB2312" w:hAnsi="仿宋_GB2312" w:eastAsia="仿宋_GB2312" w:cs="仿宋_GB2312"/>
          <w:b w:val="0"/>
          <w:bCs w:val="0"/>
          <w:spacing w:val="0"/>
          <w:kern w:val="21"/>
          <w:sz w:val="24"/>
          <w:szCs w:val="24"/>
          <w:highlight w:val="none"/>
          <w:u w:val="none"/>
          <w:lang w:val="en-US" w:eastAsia="zh-CN"/>
        </w:rPr>
        <w:t>11505</w:t>
      </w:r>
      <w:r>
        <w:rPr>
          <w:rFonts w:hint="eastAsia" w:ascii="仿宋_GB2312" w:hAnsi="仿宋_GB2312" w:eastAsia="仿宋_GB2312" w:cs="仿宋_GB2312"/>
          <w:spacing w:val="0"/>
          <w:kern w:val="21"/>
          <w:sz w:val="24"/>
          <w:szCs w:val="24"/>
          <w:highlight w:val="none"/>
          <w:u w:val="none"/>
          <w:lang w:val="en-US" w:eastAsia="zh-CN"/>
        </w:rPr>
        <w:t>万元，增长48.4%，主要是兑付了文旅投公司注册资本金。</w:t>
      </w:r>
      <w:r>
        <w:rPr>
          <w:rFonts w:hint="eastAsia" w:ascii="仿宋_GB2312" w:hAnsi="仿宋_GB2312" w:eastAsia="仿宋_GB2312" w:cs="仿宋_GB2312"/>
          <w:b/>
          <w:bCs/>
          <w:spacing w:val="0"/>
          <w:kern w:val="21"/>
          <w:sz w:val="24"/>
          <w:szCs w:val="24"/>
          <w:highlight w:val="none"/>
          <w:u w:val="none"/>
          <w:lang w:val="en-US" w:eastAsia="zh-CN"/>
        </w:rPr>
        <w:t>社会保障和就业支出</w:t>
      </w:r>
      <w:r>
        <w:rPr>
          <w:rFonts w:hint="eastAsia" w:ascii="仿宋_GB2312" w:hAnsi="仿宋_GB2312" w:eastAsia="仿宋_GB2312" w:cs="仿宋_GB2312"/>
          <w:spacing w:val="0"/>
          <w:kern w:val="21"/>
          <w:sz w:val="24"/>
          <w:szCs w:val="24"/>
          <w:highlight w:val="none"/>
          <w:u w:val="none"/>
          <w:lang w:val="en-US" w:eastAsia="zh-CN"/>
        </w:rPr>
        <w:t>39701万元，增长11%，按时拨付了各项社保民生资金。</w:t>
      </w:r>
      <w:r>
        <w:rPr>
          <w:rFonts w:hint="eastAsia" w:ascii="仿宋_GB2312" w:hAnsi="仿宋_GB2312" w:eastAsia="仿宋_GB2312" w:cs="仿宋_GB2312"/>
          <w:b/>
          <w:bCs/>
          <w:spacing w:val="0"/>
          <w:kern w:val="21"/>
          <w:sz w:val="24"/>
          <w:szCs w:val="24"/>
          <w:highlight w:val="none"/>
          <w:u w:val="none"/>
          <w:lang w:val="en-US" w:eastAsia="zh-CN"/>
        </w:rPr>
        <w:t>卫生健康支出</w:t>
      </w:r>
      <w:r>
        <w:rPr>
          <w:rFonts w:hint="eastAsia" w:ascii="仿宋_GB2312" w:hAnsi="仿宋_GB2312" w:eastAsia="仿宋_GB2312" w:cs="仿宋_GB2312"/>
          <w:spacing w:val="0"/>
          <w:kern w:val="21"/>
          <w:sz w:val="24"/>
          <w:szCs w:val="24"/>
          <w:highlight w:val="none"/>
          <w:u w:val="none"/>
          <w:lang w:val="en-US" w:eastAsia="zh-CN"/>
        </w:rPr>
        <w:t>34198万元，增长5.6%，主要是兑付了医疗卫生服务能力提升设备购置项目资金。</w:t>
      </w:r>
      <w:r>
        <w:rPr>
          <w:rFonts w:hint="eastAsia" w:ascii="仿宋_GB2312" w:hAnsi="仿宋_GB2312" w:eastAsia="仿宋_GB2312" w:cs="仿宋_GB2312"/>
          <w:b/>
          <w:bCs/>
          <w:spacing w:val="0"/>
          <w:kern w:val="21"/>
          <w:sz w:val="24"/>
          <w:szCs w:val="24"/>
          <w:highlight w:val="none"/>
          <w:u w:val="none"/>
          <w:lang w:val="en-US" w:eastAsia="zh-CN"/>
        </w:rPr>
        <w:t>节能环保支出</w:t>
      </w:r>
      <w:r>
        <w:rPr>
          <w:rFonts w:hint="eastAsia" w:ascii="仿宋_GB2312" w:hAnsi="仿宋_GB2312" w:eastAsia="仿宋_GB2312" w:cs="仿宋_GB2312"/>
          <w:b w:val="0"/>
          <w:bCs w:val="0"/>
          <w:spacing w:val="0"/>
          <w:kern w:val="21"/>
          <w:sz w:val="24"/>
          <w:szCs w:val="24"/>
          <w:highlight w:val="none"/>
          <w:u w:val="none"/>
          <w:lang w:val="en-US" w:eastAsia="zh-CN"/>
        </w:rPr>
        <w:t>30145</w:t>
      </w:r>
      <w:r>
        <w:rPr>
          <w:rFonts w:hint="eastAsia" w:ascii="仿宋_GB2312" w:hAnsi="仿宋_GB2312" w:eastAsia="仿宋_GB2312" w:cs="仿宋_GB2312"/>
          <w:spacing w:val="0"/>
          <w:kern w:val="21"/>
          <w:sz w:val="24"/>
          <w:szCs w:val="24"/>
          <w:highlight w:val="none"/>
          <w:u w:val="none"/>
          <w:lang w:val="en-US" w:eastAsia="zh-CN"/>
        </w:rPr>
        <w:t>万元，增长59.3%，主要是兑付了退出自然保护区企业的补偿款。</w:t>
      </w:r>
      <w:r>
        <w:rPr>
          <w:rFonts w:hint="eastAsia" w:ascii="仿宋_GB2312" w:hAnsi="仿宋_GB2312" w:eastAsia="仿宋_GB2312" w:cs="仿宋_GB2312"/>
          <w:b/>
          <w:bCs/>
          <w:spacing w:val="0"/>
          <w:kern w:val="21"/>
          <w:sz w:val="24"/>
          <w:szCs w:val="24"/>
          <w:highlight w:val="none"/>
          <w:u w:val="none"/>
          <w:lang w:val="en-US" w:eastAsia="zh-CN"/>
        </w:rPr>
        <w:t>城乡社区支出</w:t>
      </w:r>
      <w:r>
        <w:rPr>
          <w:rFonts w:hint="eastAsia" w:ascii="仿宋_GB2312" w:hAnsi="仿宋_GB2312" w:eastAsia="仿宋_GB2312" w:cs="仿宋_GB2312"/>
          <w:spacing w:val="0"/>
          <w:kern w:val="21"/>
          <w:sz w:val="24"/>
          <w:szCs w:val="24"/>
          <w:highlight w:val="none"/>
          <w:u w:val="none"/>
          <w:lang w:val="en-US" w:eastAsia="zh-CN"/>
        </w:rPr>
        <w:t>83229万元，增长20.8</w:t>
      </w:r>
      <w:r>
        <w:rPr>
          <w:rFonts w:hint="eastAsia" w:ascii="仿宋_GB2312" w:hAnsi="仿宋_GB2312" w:eastAsia="仿宋_GB2312" w:cs="仿宋_GB2312"/>
          <w:color w:val="auto"/>
          <w:spacing w:val="0"/>
          <w:kern w:val="21"/>
          <w:sz w:val="24"/>
          <w:szCs w:val="24"/>
          <w:highlight w:val="none"/>
          <w:u w:val="none"/>
          <w:lang w:val="en-US" w:eastAsia="zh-CN"/>
        </w:rPr>
        <w:t>%，</w:t>
      </w:r>
      <w:r>
        <w:rPr>
          <w:rFonts w:hint="eastAsia" w:ascii="仿宋_GB2312" w:hAnsi="仿宋_GB2312" w:eastAsia="仿宋_GB2312" w:cs="仿宋_GB2312"/>
          <w:color w:val="auto"/>
          <w:spacing w:val="-2"/>
          <w:kern w:val="21"/>
          <w:sz w:val="24"/>
          <w:szCs w:val="24"/>
          <w:highlight w:val="none"/>
          <w:u w:val="none"/>
          <w:lang w:val="en-US" w:eastAsia="zh-CN"/>
        </w:rPr>
        <w:t>主要是兑付了供热公司煤价上涨补贴及乌兰镇生活垃圾分类无害处理项目</w:t>
      </w:r>
      <w:r>
        <w:rPr>
          <w:rFonts w:hint="eastAsia" w:ascii="仿宋" w:hAnsi="仿宋" w:eastAsia="仿宋" w:cs="仿宋"/>
          <w:b w:val="0"/>
          <w:i w:val="0"/>
          <w:caps w:val="0"/>
          <w:color w:val="000000"/>
          <w:spacing w:val="0"/>
          <w:sz w:val="24"/>
          <w:szCs w:val="24"/>
          <w:highlight w:val="none"/>
          <w:lang w:val="en-US" w:eastAsia="zh-CN"/>
        </w:rPr>
        <w:t>资金</w:t>
      </w:r>
      <w:r>
        <w:rPr>
          <w:rFonts w:hint="eastAsia" w:ascii="仿宋" w:hAnsi="仿宋" w:eastAsia="仿宋" w:cs="仿宋"/>
          <w:b w:val="0"/>
          <w:i w:val="0"/>
          <w:caps w:val="0"/>
          <w:color w:val="000000"/>
          <w:spacing w:val="0"/>
          <w:sz w:val="24"/>
          <w:szCs w:val="24"/>
          <w:highlight w:val="none"/>
          <w:lang w:eastAsia="zh-CN"/>
        </w:rPr>
        <w:t>。</w:t>
      </w:r>
      <w:r>
        <w:rPr>
          <w:rFonts w:hint="eastAsia" w:ascii="仿宋_GB2312" w:hAnsi="仿宋_GB2312" w:eastAsia="仿宋_GB2312" w:cs="仿宋_GB2312"/>
          <w:b/>
          <w:bCs/>
          <w:spacing w:val="-2"/>
          <w:kern w:val="21"/>
          <w:sz w:val="24"/>
          <w:szCs w:val="24"/>
          <w:highlight w:val="none"/>
          <w:u w:val="none"/>
          <w:lang w:val="en-US" w:eastAsia="zh-CN"/>
        </w:rPr>
        <w:t>农林水支出</w:t>
      </w:r>
      <w:r>
        <w:rPr>
          <w:rFonts w:hint="eastAsia" w:ascii="仿宋_GB2312" w:hAnsi="仿宋_GB2312" w:eastAsia="仿宋_GB2312" w:cs="仿宋_GB2312"/>
          <w:b w:val="0"/>
          <w:bCs w:val="0"/>
          <w:spacing w:val="-2"/>
          <w:kern w:val="21"/>
          <w:sz w:val="24"/>
          <w:szCs w:val="24"/>
          <w:highlight w:val="none"/>
          <w:u w:val="none"/>
          <w:lang w:val="en-US" w:eastAsia="zh-CN"/>
        </w:rPr>
        <w:t>107861</w:t>
      </w:r>
      <w:r>
        <w:rPr>
          <w:rFonts w:hint="eastAsia" w:ascii="仿宋_GB2312" w:hAnsi="仿宋_GB2312" w:eastAsia="仿宋_GB2312" w:cs="仿宋_GB2312"/>
          <w:spacing w:val="-2"/>
          <w:kern w:val="21"/>
          <w:sz w:val="24"/>
          <w:szCs w:val="24"/>
          <w:highlight w:val="none"/>
          <w:u w:val="none"/>
          <w:lang w:val="en-US" w:eastAsia="zh-CN"/>
        </w:rPr>
        <w:t>万元，增长122.7%，</w:t>
      </w:r>
      <w:r>
        <w:rPr>
          <w:rFonts w:hint="eastAsia" w:ascii="仿宋" w:hAnsi="仿宋" w:eastAsia="仿宋" w:cs="仿宋"/>
          <w:spacing w:val="-2"/>
          <w:kern w:val="21"/>
          <w:sz w:val="24"/>
          <w:szCs w:val="24"/>
          <w:highlight w:val="none"/>
          <w:u w:val="none"/>
          <w:lang w:val="en-US" w:eastAsia="zh-CN"/>
        </w:rPr>
        <w:t>主要是兑付了草原生态保护补助奖励</w:t>
      </w:r>
      <w:r>
        <w:rPr>
          <w:rFonts w:hint="eastAsia" w:ascii="仿宋" w:hAnsi="仿宋" w:eastAsia="仿宋" w:cs="仿宋"/>
          <w:b w:val="0"/>
          <w:i w:val="0"/>
          <w:caps w:val="0"/>
          <w:color w:val="000000"/>
          <w:spacing w:val="0"/>
          <w:sz w:val="24"/>
          <w:szCs w:val="24"/>
          <w:highlight w:val="none"/>
        </w:rPr>
        <w:t>资金</w:t>
      </w:r>
      <w:r>
        <w:rPr>
          <w:rFonts w:hint="eastAsia" w:ascii="仿宋" w:hAnsi="仿宋" w:eastAsia="仿宋" w:cs="仿宋"/>
          <w:b w:val="0"/>
          <w:i w:val="0"/>
          <w:caps w:val="0"/>
          <w:color w:val="000000"/>
          <w:spacing w:val="0"/>
          <w:sz w:val="24"/>
          <w:szCs w:val="24"/>
          <w:highlight w:val="none"/>
          <w:lang w:eastAsia="zh-CN"/>
        </w:rPr>
        <w:t>。</w:t>
      </w:r>
      <w:r>
        <w:rPr>
          <w:rFonts w:hint="eastAsia" w:ascii="仿宋_GB2312" w:hAnsi="仿宋_GB2312" w:eastAsia="仿宋_GB2312" w:cs="仿宋_GB2312"/>
          <w:b/>
          <w:bCs/>
          <w:spacing w:val="-2"/>
          <w:kern w:val="21"/>
          <w:sz w:val="24"/>
          <w:szCs w:val="24"/>
          <w:highlight w:val="none"/>
          <w:u w:val="none"/>
          <w:lang w:val="en-US" w:eastAsia="zh-CN"/>
        </w:rPr>
        <w:t>交通运输支出</w:t>
      </w:r>
      <w:r>
        <w:rPr>
          <w:rFonts w:hint="eastAsia" w:ascii="仿宋_GB2312" w:hAnsi="仿宋_GB2312" w:eastAsia="仿宋_GB2312" w:cs="仿宋_GB2312"/>
          <w:spacing w:val="-2"/>
          <w:kern w:val="21"/>
          <w:sz w:val="24"/>
          <w:szCs w:val="24"/>
          <w:highlight w:val="none"/>
          <w:u w:val="none"/>
          <w:lang w:val="en-US" w:eastAsia="zh-CN"/>
        </w:rPr>
        <w:t>14515万元，下降13.8%，</w:t>
      </w:r>
      <w:r>
        <w:rPr>
          <w:rFonts w:hint="eastAsia" w:ascii="仿宋_GB2312" w:hAnsi="仿宋_GB2312" w:eastAsia="仿宋_GB2312" w:cs="仿宋_GB2312"/>
          <w:b w:val="0"/>
          <w:bCs w:val="0"/>
          <w:spacing w:val="-2"/>
          <w:kern w:val="21"/>
          <w:sz w:val="24"/>
          <w:szCs w:val="24"/>
          <w:highlight w:val="none"/>
          <w:u w:val="none"/>
          <w:lang w:val="en-US" w:eastAsia="zh-CN"/>
        </w:rPr>
        <w:t>主要是兑付了通用机场专项资金及棋碱线收购款</w:t>
      </w:r>
      <w:r>
        <w:rPr>
          <w:rFonts w:hint="eastAsia" w:ascii="仿宋_GB2312" w:hAnsi="仿宋_GB2312" w:eastAsia="仿宋_GB2312" w:cs="仿宋_GB2312"/>
          <w:spacing w:val="-2"/>
          <w:kern w:val="21"/>
          <w:sz w:val="24"/>
          <w:szCs w:val="24"/>
          <w:highlight w:val="none"/>
          <w:u w:val="none"/>
          <w:lang w:val="en-US" w:eastAsia="zh-CN"/>
        </w:rPr>
        <w:t>。</w:t>
      </w:r>
      <w:r>
        <w:rPr>
          <w:rFonts w:hint="eastAsia" w:ascii="仿宋_GB2312" w:hAnsi="仿宋_GB2312" w:eastAsia="仿宋_GB2312" w:cs="仿宋_GB2312"/>
          <w:b/>
          <w:bCs/>
          <w:spacing w:val="-2"/>
          <w:kern w:val="21"/>
          <w:sz w:val="24"/>
          <w:szCs w:val="24"/>
          <w:highlight w:val="none"/>
          <w:u w:val="none"/>
          <w:lang w:val="en-US" w:eastAsia="zh-CN"/>
        </w:rPr>
        <w:t>住房保障支出</w:t>
      </w:r>
      <w:r>
        <w:rPr>
          <w:rFonts w:hint="eastAsia" w:ascii="仿宋_GB2312" w:hAnsi="仿宋_GB2312" w:eastAsia="仿宋_GB2312" w:cs="仿宋_GB2312"/>
          <w:b w:val="0"/>
          <w:bCs w:val="0"/>
          <w:spacing w:val="-2"/>
          <w:kern w:val="21"/>
          <w:sz w:val="24"/>
          <w:szCs w:val="24"/>
          <w:highlight w:val="none"/>
          <w:u w:val="none"/>
          <w:lang w:val="en-US" w:eastAsia="zh-CN"/>
        </w:rPr>
        <w:t>17652万元，增长71.6%，主要是兑付了棚户区改造安置房源购房款。</w:t>
      </w:r>
      <w:r>
        <w:rPr>
          <w:rFonts w:hint="eastAsia" w:ascii="仿宋_GB2312" w:hAnsi="仿宋_GB2312" w:eastAsia="仿宋_GB2312" w:cs="仿宋_GB2312"/>
          <w:b/>
          <w:bCs/>
          <w:spacing w:val="-2"/>
          <w:kern w:val="21"/>
          <w:sz w:val="24"/>
          <w:szCs w:val="24"/>
          <w:highlight w:val="none"/>
          <w:u w:val="none"/>
          <w:lang w:val="en-US" w:eastAsia="zh-CN"/>
        </w:rPr>
        <w:t>债务付息支出</w:t>
      </w:r>
      <w:r>
        <w:rPr>
          <w:rFonts w:hint="eastAsia" w:ascii="仿宋_GB2312" w:hAnsi="仿宋_GB2312" w:eastAsia="仿宋_GB2312" w:cs="仿宋_GB2312"/>
          <w:spacing w:val="-2"/>
          <w:kern w:val="21"/>
          <w:sz w:val="24"/>
          <w:szCs w:val="24"/>
          <w:highlight w:val="none"/>
          <w:u w:val="none"/>
          <w:lang w:val="en-US" w:eastAsia="zh-CN"/>
        </w:rPr>
        <w:t>16681万元，增长8.9%。</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firstLine="480" w:firstLineChars="20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t>（</w:t>
      </w:r>
      <w:r>
        <w:rPr>
          <w:rFonts w:hint="eastAsia" w:ascii="Times New Roman" w:hAnsi="Times New Roman" w:eastAsia="楷体_GB2312" w:cs="Times New Roman"/>
          <w:spacing w:val="0"/>
          <w:kern w:val="21"/>
          <w:sz w:val="24"/>
          <w:szCs w:val="24"/>
          <w:u w:val="none"/>
          <w:lang w:val="en-US" w:eastAsia="zh-CN"/>
        </w:rPr>
        <w:t>一般公共预算支出</w:t>
      </w:r>
      <w:r>
        <w:rPr>
          <w:rFonts w:hint="default" w:ascii="Times New Roman" w:hAnsi="Times New Roman" w:eastAsia="楷体_GB2312" w:cs="Times New Roman"/>
          <w:spacing w:val="0"/>
          <w:kern w:val="21"/>
          <w:sz w:val="24"/>
          <w:szCs w:val="24"/>
          <w:u w:val="none"/>
        </w:rPr>
        <w:t>分项目情况见下图）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eastAsia"/>
          <w:spacing w:val="0"/>
          <w:kern w:val="21"/>
          <w:lang w:eastAsia="zh-CN"/>
        </w:rPr>
        <w:drawing>
          <wp:anchor distT="0" distB="0" distL="114300" distR="114300" simplePos="0" relativeHeight="251675648" behindDoc="1" locked="0" layoutInCell="1" allowOverlap="1">
            <wp:simplePos x="0" y="0"/>
            <wp:positionH relativeFrom="column">
              <wp:posOffset>-34290</wp:posOffset>
            </wp:positionH>
            <wp:positionV relativeFrom="paragraph">
              <wp:posOffset>59690</wp:posOffset>
            </wp:positionV>
            <wp:extent cx="4293870" cy="2634615"/>
            <wp:effectExtent l="4445" t="4445" r="6985" b="889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outlineLvl w:val="9"/>
        <w:rPr>
          <w:rFonts w:hint="default"/>
          <w:spacing w:val="0"/>
          <w:kern w:val="21"/>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四、政府性基金收支完成情况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eastAsia="zh-CN"/>
        </w:rPr>
      </w:pPr>
      <w:r>
        <w:rPr>
          <w:rFonts w:hint="eastAsia" w:ascii="仿宋_GB2312" w:hAnsi="仿宋_GB2312" w:eastAsia="仿宋_GB2312" w:cs="仿宋_GB2312"/>
          <w:bCs/>
          <w:spacing w:val="0"/>
          <w:kern w:val="21"/>
          <w:sz w:val="24"/>
          <w:szCs w:val="24"/>
          <w:highlight w:val="none"/>
          <w:u w:val="none"/>
          <w:lang w:val="en-US" w:eastAsia="zh-CN"/>
        </w:rPr>
        <w:t>截至2022年11月底，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政府性基金预算收入累计完成</w:t>
      </w:r>
      <w:r>
        <w:rPr>
          <w:rFonts w:hint="eastAsia" w:ascii="仿宋_GB2312" w:hAnsi="仿宋_GB2312" w:eastAsia="仿宋_GB2312" w:cs="仿宋_GB2312"/>
          <w:spacing w:val="0"/>
          <w:kern w:val="21"/>
          <w:sz w:val="24"/>
          <w:szCs w:val="24"/>
          <w:highlight w:val="none"/>
          <w:u w:val="none"/>
          <w:lang w:val="en-US" w:eastAsia="zh-CN"/>
        </w:rPr>
        <w:t>20126万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下降48.4</w:t>
      </w:r>
      <w:r>
        <w:rPr>
          <w:rFonts w:hint="eastAsia" w:ascii="仿宋_GB2312" w:hAnsi="仿宋_GB2312" w:eastAsia="仿宋_GB2312" w:cs="仿宋_GB2312"/>
          <w:spacing w:val="0"/>
          <w:kern w:val="21"/>
          <w:sz w:val="24"/>
          <w:szCs w:val="24"/>
          <w:highlight w:val="none"/>
          <w:u w:val="none"/>
        </w:rPr>
        <w:t>%，其中国有土地使用权出让收入</w:t>
      </w:r>
      <w:r>
        <w:rPr>
          <w:rFonts w:hint="eastAsia" w:ascii="仿宋_GB2312" w:hAnsi="仿宋_GB2312" w:eastAsia="仿宋_GB2312" w:cs="仿宋_GB2312"/>
          <w:spacing w:val="0"/>
          <w:kern w:val="21"/>
          <w:sz w:val="24"/>
          <w:szCs w:val="24"/>
          <w:highlight w:val="none"/>
          <w:u w:val="none"/>
          <w:lang w:val="en-US" w:eastAsia="zh-CN"/>
        </w:rPr>
        <w:t>18847万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下降50.1%</w:t>
      </w:r>
      <w:r>
        <w:rPr>
          <w:rFonts w:hint="eastAsia" w:ascii="仿宋_GB2312" w:hAnsi="仿宋_GB2312" w:eastAsia="仿宋_GB2312" w:cs="仿宋_GB2312"/>
          <w:spacing w:val="0"/>
          <w:kern w:val="21"/>
          <w:sz w:val="24"/>
          <w:szCs w:val="24"/>
          <w:highlight w:val="none"/>
          <w:u w:val="none"/>
        </w:rPr>
        <w:t>；政府性基金预算支出累计完成</w:t>
      </w:r>
      <w:r>
        <w:rPr>
          <w:rFonts w:hint="eastAsia" w:ascii="仿宋_GB2312" w:hAnsi="仿宋_GB2312" w:eastAsia="仿宋_GB2312" w:cs="仿宋_GB2312"/>
          <w:spacing w:val="0"/>
          <w:kern w:val="21"/>
          <w:sz w:val="24"/>
          <w:szCs w:val="24"/>
          <w:highlight w:val="none"/>
          <w:u w:val="none"/>
          <w:lang w:val="en-US" w:eastAsia="zh-CN"/>
        </w:rPr>
        <w:t>24182万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下降14.4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附表：1.2022年1-11月鄂托克旗财政收入分项目执行情况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1200" w:firstLineChars="5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2.2022年1-11月鄂托克旗财政支出分项目执行情况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1200" w:firstLineChars="500"/>
        <w:jc w:val="both"/>
        <w:textAlignment w:val="auto"/>
        <w:outlineLvl w:val="9"/>
        <w:rPr>
          <w:rFonts w:hint="eastAsia" w:ascii="仿宋_GB2312" w:hAnsi="仿宋_GB2312" w:eastAsia="仿宋_GB2312" w:cs="仿宋_GB2312"/>
          <w:spacing w:val="-3"/>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3.</w:t>
      </w:r>
      <w:r>
        <w:rPr>
          <w:rFonts w:hint="eastAsia" w:ascii="仿宋_GB2312" w:hAnsi="仿宋_GB2312" w:eastAsia="仿宋_GB2312" w:cs="仿宋_GB2312"/>
          <w:spacing w:val="-3"/>
          <w:kern w:val="21"/>
          <w:sz w:val="24"/>
          <w:szCs w:val="24"/>
          <w:highlight w:val="none"/>
          <w:u w:val="none"/>
          <w:lang w:val="en-US" w:eastAsia="zh-CN"/>
        </w:rPr>
        <w:t>2022年1-11月鄂托克旗财政收入重点税源纳税情况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1200" w:firstLineChars="500"/>
        <w:jc w:val="both"/>
        <w:textAlignment w:val="auto"/>
        <w:outlineLvl w:val="9"/>
        <w:rPr>
          <w:rFonts w:hint="eastAsia" w:ascii="仿宋_GB2312" w:hAnsi="仿宋_GB2312" w:eastAsia="仿宋_GB2312" w:cs="仿宋_GB2312"/>
          <w:spacing w:val="-4"/>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4.</w:t>
      </w:r>
      <w:r>
        <w:rPr>
          <w:rFonts w:hint="eastAsia" w:ascii="仿宋_GB2312" w:hAnsi="仿宋_GB2312" w:eastAsia="仿宋_GB2312" w:cs="仿宋_GB2312"/>
          <w:spacing w:val="-4"/>
          <w:kern w:val="21"/>
          <w:sz w:val="24"/>
          <w:szCs w:val="24"/>
          <w:highlight w:val="none"/>
          <w:u w:val="none"/>
          <w:lang w:val="en-US" w:eastAsia="zh-CN"/>
        </w:rPr>
        <w:t>2022年1-11月鄂托克旗工业园区财政收支完成情况</w:t>
      </w:r>
    </w:p>
    <w:tbl>
      <w:tblPr>
        <w:tblStyle w:val="10"/>
        <w:tblpPr w:leftFromText="180" w:rightFromText="180" w:vertAnchor="text" w:horzAnchor="page" w:tblpXSpec="center" w:tblpY="101"/>
        <w:tblOverlap w:val="never"/>
        <w:tblW w:w="7066"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44"/>
        <w:gridCol w:w="15"/>
        <w:gridCol w:w="1109"/>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2022年1-11月鄂托克旗财政收入分项目执行情况(一)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exac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exac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val="0"/>
                <w:color w:val="000000"/>
                <w:w w:val="100"/>
                <w:sz w:val="22"/>
                <w:szCs w:val="22"/>
                <w:lang w:val="en-US"/>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exac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地方财政总收入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96826</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1744456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1001186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743270</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80"/>
                <w:kern w:val="0"/>
                <w:sz w:val="22"/>
                <w:szCs w:val="22"/>
                <w:u w:val="none"/>
                <w:lang w:val="en-US" w:eastAsia="zh-CN" w:bidi="ar"/>
              </w:rPr>
              <w:t>一般公共预算收入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34638</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473190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305766</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167424</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（一）税收收入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31899</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431606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270039</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161567</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59.8%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12032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134984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86392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48592</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56.2%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企业所得税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2061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102445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41475</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60970</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147.0%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个人所得税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324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11407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6837</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4570</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66.8%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资源税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1470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72131</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35473</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36658</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103.3%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城市维护建设税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2075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29535</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24954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4581</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房产税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5452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17514</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9012</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8502</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94.3%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印花税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421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8301</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6564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1737</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城镇土地使用税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6999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26845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14188</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12657</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89.2%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土地增值税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16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698</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1294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-596</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-46.1%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车船税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170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1996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1716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280</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耕地占用税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468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18237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33245</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-15008</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-45.1%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val="en-US" w:eastAsia="zh-CN" w:bidi="ar-SA"/>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契税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 xml:space="preserve">134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vertAlign w:val="baseli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2278</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3700</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-1422</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-38.4%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val="en-US" w:eastAsia="zh-CN" w:bidi="ar-SA"/>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环境保护税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 xml:space="preserve">277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vertAlign w:val="baseli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5236</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5159</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77</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eastAsia="宋体"/>
                <w:color w:val="FFFFFF"/>
                <w:sz w:val="24"/>
                <w:szCs w:val="24"/>
                <w:vertAlign w:val="baseline"/>
                <w:lang w:eastAsia="zh-CN"/>
              </w:rPr>
            </w:pPr>
            <w:r>
              <w:rPr>
                <w:rFonts w:hint="eastAsia" w:ascii="黑体" w:hAnsi="黑体" w:eastAsia="黑体" w:cs="黑体"/>
                <w:b/>
                <w:bCs/>
                <w:i w:val="0"/>
                <w:iCs w:val="0"/>
                <w:color w:val="FFFFFF"/>
                <w:kern w:val="0"/>
                <w:sz w:val="28"/>
                <w:szCs w:val="28"/>
                <w:u w:val="none"/>
                <w:lang w:val="en-US" w:eastAsia="zh-CN" w:bidi="ar"/>
              </w:rPr>
              <w:t>2022年1-11月鄂托克旗财政收入分项目执行情况(二)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其他税收收入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30</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-103.3%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（二）非税收入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2739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41584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35727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5857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专项收入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1508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17813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17184</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629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行政性收费收入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145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10466</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9007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1459</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罚没收入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991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10262</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4153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6109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147.1%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7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国有资源（资产）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有偿使用收入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29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2276</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4626</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-2350</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-50.8%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捐赠收入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27</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80"/>
                <w:kern w:val="0"/>
                <w:sz w:val="22"/>
                <w:szCs w:val="22"/>
                <w:u w:val="none"/>
                <w:lang w:val="en-US" w:eastAsia="zh-CN" w:bidi="ar"/>
              </w:rPr>
              <w:t>政府住房基金收入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41</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30</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36.7%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其他收入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62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726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700</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32"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bCs/>
                <w:i w:val="0"/>
                <w:iCs w:val="0"/>
                <w:color w:val="000000"/>
                <w:w w:val="90"/>
                <w:kern w:val="0"/>
                <w:sz w:val="22"/>
                <w:szCs w:val="22"/>
                <w:u w:val="none"/>
                <w:lang w:val="en-US" w:eastAsia="zh-CN" w:bidi="ar"/>
              </w:rPr>
              <w:t>政府性基金预算收入合计</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1115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20126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39003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-18877</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-48.4%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政府性基金收入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1115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20046</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39003</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-18957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-48.6%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国有土地使用权出让收入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1027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18847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37747</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-18900</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-50.1%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6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城市基础设施配套费收入</w:t>
            </w:r>
          </w:p>
        </w:tc>
        <w:tc>
          <w:tcPr>
            <w:tcW w:w="1144"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78 </w:t>
            </w:r>
          </w:p>
        </w:tc>
        <w:tc>
          <w:tcPr>
            <w:tcW w:w="1105"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975</w:t>
            </w:r>
          </w:p>
        </w:tc>
        <w:tc>
          <w:tcPr>
            <w:tcW w:w="1044"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974</w:t>
            </w:r>
          </w:p>
        </w:tc>
        <w:tc>
          <w:tcPr>
            <w:tcW w:w="944"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w:t>
            </w:r>
          </w:p>
        </w:tc>
        <w:tc>
          <w:tcPr>
            <w:tcW w:w="1124" w:type="dxa"/>
            <w:gridSpan w:val="2"/>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0.1%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污水处理费</w:t>
            </w:r>
          </w:p>
        </w:tc>
        <w:tc>
          <w:tcPr>
            <w:tcW w:w="11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10 </w:t>
            </w:r>
          </w:p>
        </w:tc>
        <w:tc>
          <w:tcPr>
            <w:tcW w:w="110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224</w:t>
            </w:r>
          </w:p>
        </w:tc>
        <w:tc>
          <w:tcPr>
            <w:tcW w:w="10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282</w:t>
            </w:r>
          </w:p>
        </w:tc>
        <w:tc>
          <w:tcPr>
            <w:tcW w:w="9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-58</w:t>
            </w:r>
          </w:p>
        </w:tc>
        <w:tc>
          <w:tcPr>
            <w:tcW w:w="112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31" w:hRule="atLeast"/>
          <w:jc w:val="center"/>
        </w:trPr>
        <w:tc>
          <w:tcPr>
            <w:tcW w:w="17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21"/>
                <w:sz w:val="22"/>
                <w:szCs w:val="22"/>
                <w:u w:val="none"/>
                <w:lang w:val="en-US" w:eastAsia="zh-CN" w:bidi="ar"/>
              </w:rPr>
            </w:pPr>
            <w:r>
              <w:rPr>
                <w:rFonts w:hint="eastAsia" w:ascii="仿宋_GB2312" w:hAnsi="仿宋_GB2312" w:eastAsia="仿宋_GB2312" w:cs="仿宋_GB2312"/>
                <w:b/>
                <w:bCs/>
                <w:i w:val="0"/>
                <w:iCs w:val="0"/>
                <w:color w:val="000000"/>
                <w:w w:val="90"/>
                <w:kern w:val="0"/>
                <w:sz w:val="22"/>
                <w:szCs w:val="22"/>
                <w:u w:val="none"/>
                <w:lang w:val="en-US" w:eastAsia="zh-CN" w:bidi="ar"/>
              </w:rPr>
              <w:t>专项债务对应项目专项收入</w:t>
            </w:r>
          </w:p>
        </w:tc>
        <w:tc>
          <w:tcPr>
            <w:tcW w:w="11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80</w:t>
            </w:r>
          </w:p>
        </w:tc>
        <w:tc>
          <w:tcPr>
            <w:tcW w:w="10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0</w:t>
            </w:r>
          </w:p>
        </w:tc>
        <w:tc>
          <w:tcPr>
            <w:tcW w:w="9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80</w:t>
            </w:r>
          </w:p>
        </w:tc>
        <w:tc>
          <w:tcPr>
            <w:tcW w:w="112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5"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2022年1-11月鄂托克旗财政支出分项目执行情况（一）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83"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5"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一般公共预算支出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i w:val="0"/>
                <w:color w:val="000000"/>
                <w:kern w:val="0"/>
                <w:sz w:val="22"/>
                <w:szCs w:val="22"/>
                <w:u w:val="none"/>
                <w:lang w:val="en-US" w:eastAsia="zh-CN" w:bidi="ar"/>
              </w:rPr>
              <w:t>74000</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563505</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449372</w:t>
            </w:r>
          </w:p>
        </w:tc>
        <w:tc>
          <w:tcPr>
            <w:tcW w:w="959"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114133</w:t>
            </w:r>
          </w:p>
        </w:tc>
        <w:tc>
          <w:tcPr>
            <w:tcW w:w="1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25.4%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9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一般公共服务支出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4071</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42040</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36039</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6001</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16.7%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外交支出</w:t>
            </w:r>
          </w:p>
        </w:tc>
        <w:tc>
          <w:tcPr>
            <w:tcW w:w="114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2"/>
                <w:szCs w:val="22"/>
                <w:lang w:val="en-US" w:eastAsia="zh-CN"/>
              </w:rPr>
            </w:pPr>
          </w:p>
        </w:tc>
        <w:tc>
          <w:tcPr>
            <w:tcW w:w="110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2"/>
                <w:szCs w:val="22"/>
                <w:lang w:eastAsia="zh-CN"/>
              </w:rPr>
            </w:pPr>
          </w:p>
        </w:tc>
        <w:tc>
          <w:tcPr>
            <w:tcW w:w="104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2"/>
                <w:szCs w:val="22"/>
              </w:rPr>
            </w:pPr>
          </w:p>
        </w:tc>
        <w:tc>
          <w:tcPr>
            <w:tcW w:w="959"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2"/>
                <w:szCs w:val="22"/>
                <w:lang w:val="en-US" w:eastAsia="zh-CN"/>
              </w:rPr>
            </w:pPr>
          </w:p>
        </w:tc>
        <w:tc>
          <w:tcPr>
            <w:tcW w:w="11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2"/>
                <w:szCs w:val="22"/>
                <w:lang w:val="en-US"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7"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国防支出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64</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119</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151</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-32</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-21.2%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公共安全支出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1632</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15471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11542</w:t>
            </w:r>
          </w:p>
        </w:tc>
        <w:tc>
          <w:tcPr>
            <w:tcW w:w="959"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3929</w:t>
            </w:r>
          </w:p>
        </w:tc>
        <w:tc>
          <w:tcPr>
            <w:tcW w:w="1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34.0%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教育支出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i w:val="0"/>
                <w:color w:val="000000"/>
                <w:kern w:val="0"/>
                <w:sz w:val="22"/>
                <w:szCs w:val="22"/>
                <w:u w:val="none"/>
                <w:lang w:val="en-US" w:eastAsia="zh-CN" w:bidi="ar"/>
              </w:rPr>
              <w:t>6445</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55665</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51760</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3905</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科学技术支出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3134</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9545</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4489</w:t>
            </w:r>
          </w:p>
        </w:tc>
        <w:tc>
          <w:tcPr>
            <w:tcW w:w="959"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5056</w:t>
            </w:r>
          </w:p>
        </w:tc>
        <w:tc>
          <w:tcPr>
            <w:tcW w:w="1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112.6%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3548</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11505</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7753</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3752</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48.4%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社会保障和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就业支出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3888</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39701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35756</w:t>
            </w:r>
          </w:p>
        </w:tc>
        <w:tc>
          <w:tcPr>
            <w:tcW w:w="959"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3945</w:t>
            </w:r>
          </w:p>
        </w:tc>
        <w:tc>
          <w:tcPr>
            <w:tcW w:w="1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卫生健康支出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3978</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34198</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32396</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1802</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35"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节能环保支出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1646</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30145</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18928</w:t>
            </w:r>
          </w:p>
        </w:tc>
        <w:tc>
          <w:tcPr>
            <w:tcW w:w="959"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11217</w:t>
            </w:r>
          </w:p>
        </w:tc>
        <w:tc>
          <w:tcPr>
            <w:tcW w:w="1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59.3%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02"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17927</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83229</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68922</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14307</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20.8%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23"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农林水支出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17164</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107861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48428</w:t>
            </w:r>
          </w:p>
        </w:tc>
        <w:tc>
          <w:tcPr>
            <w:tcW w:w="959"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59433</w:t>
            </w:r>
          </w:p>
        </w:tc>
        <w:tc>
          <w:tcPr>
            <w:tcW w:w="1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122.7%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783"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2022年1-11月鄂托克旗财政支出分项目执行情况（二）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6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交通运输支出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2159</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14515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16843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-2328</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3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资源勘探信息等支出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2734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68755</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67310</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1445</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9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商业服务业等支出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2104</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1514</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590</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金融支出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30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30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287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11"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自然资源海洋气象等支出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602</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8019</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6153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1866</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住房保障支出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1154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17652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10289</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7363</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63"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粮油物资储备支出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70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613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12246</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-11633</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36"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灾害防治及应急管理支出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1113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5657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2246</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3411</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1001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23"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2564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16681</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15319</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1362</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0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rPr>
            </w:pPr>
          </w:p>
        </w:tc>
        <w:tc>
          <w:tcPr>
            <w:tcW w:w="1105"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vertAlign w:val="baseline"/>
                <w:lang w:eastAsia="zh-CN"/>
              </w:rPr>
            </w:pPr>
          </w:p>
        </w:tc>
        <w:tc>
          <w:tcPr>
            <w:tcW w:w="1044"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rPr>
            </w:pPr>
          </w:p>
        </w:tc>
        <w:tc>
          <w:tcPr>
            <w:tcW w:w="944" w:type="dxa"/>
            <w:tcBorders>
              <w:tl2br w:val="nil"/>
              <w:tr2bl w:val="nil"/>
            </w:tcBorders>
            <w:shd w:val="clear" w:color="auto" w:fill="FFFFFF"/>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1124" w:type="dxa"/>
            <w:gridSpan w:val="2"/>
            <w:tcBorders>
              <w:tl2br w:val="nil"/>
              <w:tr2bl w:val="nil"/>
            </w:tcBorders>
            <w:shd w:val="clear" w:color="auto" w:fill="FFFFFF"/>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7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政府性基金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4333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24182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28255</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-4073</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2022年1-11月鄂托克旗财政支出分项目执行情况（三）</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3424</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17386</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14036</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3350</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1060</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4394</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-3334</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592</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3698</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3538</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kern w:val="0"/>
                <w:sz w:val="22"/>
                <w:szCs w:val="22"/>
                <w:u w:val="none"/>
                <w:lang w:val="en-US" w:eastAsia="zh-CN" w:bidi="ar"/>
              </w:rPr>
            </w:pPr>
          </w:p>
        </w:tc>
        <w:tc>
          <w:tcPr>
            <w:tcW w:w="1105" w:type="dxa"/>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kern w:val="0"/>
                <w:sz w:val="22"/>
                <w:szCs w:val="22"/>
                <w:u w:val="none"/>
                <w:lang w:val="en-US" w:eastAsia="zh-CN" w:bidi="ar"/>
              </w:rPr>
            </w:pPr>
          </w:p>
        </w:tc>
        <w:tc>
          <w:tcPr>
            <w:tcW w:w="1044" w:type="dxa"/>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kern w:val="0"/>
                <w:sz w:val="22"/>
                <w:szCs w:val="22"/>
                <w:u w:val="none"/>
                <w:lang w:val="en-US" w:eastAsia="zh-CN" w:bidi="ar"/>
              </w:rPr>
            </w:pPr>
          </w:p>
        </w:tc>
        <w:tc>
          <w:tcPr>
            <w:tcW w:w="944" w:type="dxa"/>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kern w:val="0"/>
                <w:sz w:val="22"/>
                <w:szCs w:val="22"/>
                <w:u w:val="none"/>
                <w:lang w:val="en-US" w:eastAsia="zh-CN" w:bidi="ar"/>
              </w:rPr>
            </w:pPr>
          </w:p>
        </w:tc>
        <w:tc>
          <w:tcPr>
            <w:tcW w:w="1124" w:type="dxa"/>
            <w:gridSpan w:val="2"/>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抗疫特别国债安排的支出</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301</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2033</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6275</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-4242</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-67.6%</w:t>
            </w:r>
          </w:p>
        </w:tc>
      </w:tr>
    </w:tbl>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
    <w:p/>
    <w:p/>
    <w:p/>
    <w:p/>
    <w:p/>
    <w:tbl>
      <w:tblPr>
        <w:tblStyle w:val="10"/>
        <w:tblW w:w="6971"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59"/>
        <w:gridCol w:w="1014"/>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4BACC6"/>
            <w:vAlign w:val="center"/>
          </w:tcPr>
          <w:p>
            <w:pPr>
              <w:keepNext w:val="0"/>
              <w:keepLines w:val="0"/>
              <w:widowControl/>
              <w:suppressLineNumbers w:val="0"/>
              <w:jc w:val="center"/>
              <w:textAlignment w:val="center"/>
              <w:rPr>
                <w:rFonts w:hint="default"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2022年1-11月鄂托克旗财政收入重点税源纳税情况（一）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973"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合  计</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17448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375037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308015</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67022</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8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君正能源化工有限公司</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4132</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54315</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64860</w:t>
            </w: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-10545</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鄂尔多斯电力有限责任公司</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2397</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22705</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16580</w:t>
            </w:r>
          </w:p>
        </w:tc>
        <w:tc>
          <w:tcPr>
            <w:tcW w:w="95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6125</w:t>
            </w:r>
          </w:p>
        </w:tc>
        <w:tc>
          <w:tcPr>
            <w:tcW w:w="101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神华蒙西煤化股份有限公司</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3641</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117675</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38759</w:t>
            </w: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78916</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203.6%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内蒙古中谷矿业有限责任公司</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493</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1500</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12146</w:t>
            </w:r>
          </w:p>
        </w:tc>
        <w:tc>
          <w:tcPr>
            <w:tcW w:w="95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-10646</w:t>
            </w:r>
          </w:p>
        </w:tc>
        <w:tc>
          <w:tcPr>
            <w:tcW w:w="101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5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内蒙古星光煤炭集团有限责任公司</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1955</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99613</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50801</w:t>
            </w: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48812</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内蒙古鄂尔多斯高新材料有限公司</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2170</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7991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20167</w:t>
            </w:r>
          </w:p>
        </w:tc>
        <w:tc>
          <w:tcPr>
            <w:tcW w:w="95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-12176</w:t>
            </w:r>
          </w:p>
        </w:tc>
        <w:tc>
          <w:tcPr>
            <w:tcW w:w="101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鄂托克旗福强煤业有限公司</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641</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727</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-845.3%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鄂尔多斯市双欣化学工业有限公司</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-282</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17709</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28032</w:t>
            </w:r>
          </w:p>
        </w:tc>
        <w:tc>
          <w:tcPr>
            <w:tcW w:w="95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-10323</w:t>
            </w:r>
          </w:p>
        </w:tc>
        <w:tc>
          <w:tcPr>
            <w:tcW w:w="101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836"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内蒙古星光煤炭集团鄂托克旗华誉煤焦化有限公司</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212</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6186</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16848</w:t>
            </w: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-10662</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2022年1-11月鄂托克旗财政收入重点税源纳税情况（二）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973"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内蒙古德晟金属制品有限公司</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876</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1771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23053</w:t>
            </w:r>
          </w:p>
        </w:tc>
        <w:tc>
          <w:tcPr>
            <w:tcW w:w="95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-21282</w:t>
            </w:r>
          </w:p>
        </w:tc>
        <w:tc>
          <w:tcPr>
            <w:tcW w:w="101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内蒙古利民煤焦有限责任公司</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1854</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44931</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36855</w:t>
            </w: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8076</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21.9%</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tbl>
      <w:tblPr>
        <w:tblStyle w:val="10"/>
        <w:tblW w:w="6906"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224"/>
        <w:gridCol w:w="1205"/>
        <w:gridCol w:w="1380"/>
        <w:gridCol w:w="1392"/>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9" w:hRule="atLeast"/>
          <w:jc w:val="center"/>
        </w:trPr>
        <w:tc>
          <w:tcPr>
            <w:tcW w:w="6906" w:type="dxa"/>
            <w:gridSpan w:val="5"/>
            <w:tcBorders>
              <w:tl2br w:val="nil"/>
              <w:tr2bl w:val="nil"/>
            </w:tcBorders>
            <w:shd w:val="clear" w:color="auto" w:fill="4BACC6"/>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w w:val="90"/>
                <w:sz w:val="28"/>
                <w:szCs w:val="28"/>
                <w:highlight w:val="none"/>
                <w:vertAlign w:val="baseline"/>
                <w:lang w:val="en-US" w:eastAsia="zh-CN"/>
              </w:rPr>
              <w:t>鄂托克旗工业园区2022年1-11月份财政收支完成情况表</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95" w:hRule="atLeast"/>
          <w:jc w:val="center"/>
        </w:trPr>
        <w:tc>
          <w:tcPr>
            <w:tcW w:w="6906" w:type="dxa"/>
            <w:gridSpan w:val="5"/>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color w:val="000000"/>
                <w:sz w:val="15"/>
                <w:szCs w:val="18"/>
              </w:rPr>
            </w:pPr>
            <w:r>
              <w:rPr>
                <w:rFonts w:hint="eastAsia"/>
                <w:color w:val="000000"/>
                <w:sz w:val="21"/>
                <w:szCs w:val="21"/>
                <w:vertAlign w:val="baseline"/>
                <w:lang w:val="en-US" w:eastAsia="zh-CN"/>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34"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地  区</w:t>
            </w:r>
          </w:p>
        </w:tc>
        <w:tc>
          <w:tcPr>
            <w:tcW w:w="2429"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分成完成数</w:t>
            </w:r>
          </w:p>
        </w:tc>
        <w:tc>
          <w:tcPr>
            <w:tcW w:w="2772"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支出完成数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17" w:hRule="atLeast"/>
          <w:jc w:val="center"/>
        </w:trPr>
        <w:tc>
          <w:tcPr>
            <w:tcW w:w="1705" w:type="dxa"/>
            <w:vMerge w:val="continue"/>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p>
        </w:tc>
        <w:tc>
          <w:tcPr>
            <w:tcW w:w="1224"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205"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c>
          <w:tcPr>
            <w:tcW w:w="1380"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392"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0" w:hRule="atLeast"/>
          <w:jc w:val="center"/>
        </w:trPr>
        <w:tc>
          <w:tcPr>
            <w:tcW w:w="170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蒙西高新技术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color w:val="000000"/>
                <w:sz w:val="22"/>
                <w:szCs w:val="22"/>
                <w:vertAlign w:val="baseline"/>
                <w:lang w:val="en-US" w:eastAsia="zh-CN"/>
              </w:rPr>
              <w:t>产业园区</w:t>
            </w:r>
          </w:p>
        </w:tc>
        <w:tc>
          <w:tcPr>
            <w:tcW w:w="122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i w:val="0"/>
                <w:color w:val="000000"/>
                <w:kern w:val="0"/>
                <w:sz w:val="22"/>
                <w:szCs w:val="22"/>
                <w:u w:val="none"/>
                <w:lang w:val="en-US" w:eastAsia="zh-CN" w:bidi="ar"/>
              </w:rPr>
              <w:t xml:space="preserve">888 </w:t>
            </w:r>
          </w:p>
        </w:tc>
        <w:tc>
          <w:tcPr>
            <w:tcW w:w="12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highlight w:val="none"/>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16706 </w:t>
            </w:r>
          </w:p>
        </w:tc>
        <w:tc>
          <w:tcPr>
            <w:tcW w:w="138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sz w:val="22"/>
                <w:szCs w:val="22"/>
                <w:highlight w:val="none"/>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1270 </w:t>
            </w:r>
          </w:p>
        </w:tc>
        <w:tc>
          <w:tcPr>
            <w:tcW w:w="13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15471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0" w:hRule="atLeast"/>
          <w:jc w:val="center"/>
        </w:trPr>
        <w:tc>
          <w:tcPr>
            <w:tcW w:w="1705"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鄂托克旗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color w:val="000000"/>
                <w:sz w:val="22"/>
                <w:szCs w:val="22"/>
                <w:vertAlign w:val="baseline"/>
                <w:lang w:val="en-US" w:eastAsia="zh-CN"/>
              </w:rPr>
              <w:t>经济开发区</w:t>
            </w:r>
          </w:p>
        </w:tc>
        <w:tc>
          <w:tcPr>
            <w:tcW w:w="122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2874 </w:t>
            </w:r>
          </w:p>
        </w:tc>
        <w:tc>
          <w:tcPr>
            <w:tcW w:w="12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58682 </w:t>
            </w:r>
          </w:p>
        </w:tc>
        <w:tc>
          <w:tcPr>
            <w:tcW w:w="1380"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16304 </w:t>
            </w:r>
          </w:p>
        </w:tc>
        <w:tc>
          <w:tcPr>
            <w:tcW w:w="1392"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68387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0" w:hRule="atLeast"/>
          <w:jc w:val="center"/>
        </w:trPr>
        <w:tc>
          <w:tcPr>
            <w:tcW w:w="170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w w:val="80"/>
                <w:sz w:val="22"/>
                <w:szCs w:val="22"/>
                <w:vertAlign w:val="baseline"/>
                <w:lang w:eastAsia="zh-CN"/>
              </w:rPr>
            </w:pPr>
            <w:r>
              <w:rPr>
                <w:rFonts w:hint="eastAsia" w:ascii="仿宋_GB2312" w:hAnsi="仿宋_GB2312" w:eastAsia="仿宋_GB2312" w:cs="仿宋_GB2312"/>
                <w:b/>
                <w:bCs/>
                <w:color w:val="000000"/>
                <w:sz w:val="22"/>
                <w:szCs w:val="22"/>
                <w:vertAlign w:val="baseline"/>
                <w:lang w:val="en-US" w:eastAsia="zh-CN"/>
              </w:rPr>
              <w:t>合  计</w:t>
            </w:r>
          </w:p>
        </w:tc>
        <w:tc>
          <w:tcPr>
            <w:tcW w:w="122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highlight w:val="none"/>
                <w:lang w:val="en-US"/>
              </w:rPr>
            </w:pPr>
            <w:r>
              <w:rPr>
                <w:rFonts w:hint="eastAsia" w:ascii="仿宋_GB2312" w:hAnsi="仿宋_GB2312" w:eastAsia="仿宋_GB2312" w:cs="仿宋_GB2312"/>
                <w:i w:val="0"/>
                <w:color w:val="000000"/>
                <w:kern w:val="0"/>
                <w:sz w:val="22"/>
                <w:szCs w:val="22"/>
                <w:u w:val="none"/>
                <w:lang w:val="en-US" w:eastAsia="zh-CN" w:bidi="ar"/>
              </w:rPr>
              <w:t xml:space="preserve">3762 </w:t>
            </w:r>
          </w:p>
        </w:tc>
        <w:tc>
          <w:tcPr>
            <w:tcW w:w="12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2"/>
                <w:szCs w:val="22"/>
                <w:highlight w:val="none"/>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75388 </w:t>
            </w:r>
          </w:p>
        </w:tc>
        <w:tc>
          <w:tcPr>
            <w:tcW w:w="138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sz w:val="22"/>
                <w:szCs w:val="22"/>
                <w:highlight w:val="none"/>
              </w:rPr>
            </w:pPr>
            <w:r>
              <w:rPr>
                <w:rFonts w:hint="eastAsia" w:ascii="仿宋_GB2312" w:hAnsi="仿宋_GB2312" w:eastAsia="仿宋_GB2312" w:cs="仿宋_GB2312"/>
                <w:b w:val="0"/>
                <w:bCs w:val="0"/>
                <w:i w:val="0"/>
                <w:color w:val="000000"/>
                <w:kern w:val="0"/>
                <w:sz w:val="22"/>
                <w:szCs w:val="22"/>
                <w:u w:val="none"/>
                <w:lang w:val="en-US" w:eastAsia="zh-CN" w:bidi="ar"/>
              </w:rPr>
              <w:t xml:space="preserve">17574 </w:t>
            </w:r>
          </w:p>
        </w:tc>
        <w:tc>
          <w:tcPr>
            <w:tcW w:w="13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83858 </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sz w:val="24"/>
          <w:szCs w:val="24"/>
          <w:lang w:val="en-US" w:eastAsia="zh-CN"/>
        </w:rPr>
      </w:pPr>
    </w:p>
    <w:sectPr>
      <w:footerReference r:id="rId7" w:type="default"/>
      <w:footerReference r:id="rId8" w:type="even"/>
      <w:footnotePr>
        <w:numFmt w:val="decimalEnclosedCircleChinese"/>
      </w:footnotePr>
      <w:pgSz w:w="8390" w:h="11905"/>
      <w:pgMar w:top="1134" w:right="850" w:bottom="1020" w:left="850" w:header="851" w:footer="73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Wcht">
    <w:altName w:val="Segoe Print"/>
    <w:panose1 w:val="000004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汉真广标">
    <w:altName w:val="微软雅黑"/>
    <w:panose1 w:val="02010609000101010101"/>
    <w:charset w:val="86"/>
    <w:family w:val="auto"/>
    <w:pitch w:val="default"/>
    <w:sig w:usb0="00000000" w:usb1="000000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粗黑体">
    <w:altName w:val="黑体"/>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标题">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column">
                <wp:posOffset>3160395</wp:posOffset>
              </wp:positionH>
              <wp:positionV relativeFrom="paragraph">
                <wp:posOffset>-135890</wp:posOffset>
              </wp:positionV>
              <wp:extent cx="1189355" cy="2857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18935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85pt;margin-top:-10.7pt;height:22.5pt;width:93.65pt;z-index:251663360;mso-width-relative:page;mso-height-relative:page;" filled="f" stroked="f" coordsize="21600,21600" o:gfxdata="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ZMoD3AAAAAoBAAAPAAAAAAAAAAEAIAAAACIA&#10;AABkcnMvZG93bnJldi54bWxQSwECFAAUAAAACACHTuJAJrGC8z4CAABoBAAADgAAAAAAAAABACAA&#10;AAArAQAAZHJzL2Uyb0RvYy54bWxQSwUGAAAAAAYABgBZAQAA2wUAAAAA&#10;">
              <v:fill on="f" focussize="0,0"/>
              <v:stroke on="f" weight="0.5pt"/>
              <v:imagedata o:title=""/>
              <o:lock v:ext="edit" aspectratio="f"/>
              <v:textbo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-629285</wp:posOffset>
              </wp:positionH>
              <wp:positionV relativeFrom="paragraph">
                <wp:posOffset>-86360</wp:posOffset>
              </wp:positionV>
              <wp:extent cx="5053330" cy="126365"/>
              <wp:effectExtent l="0" t="0" r="13970" b="6985"/>
              <wp:wrapNone/>
              <wp:docPr id="48" name="矩形 48"/>
              <wp:cNvGraphicFramePr/>
              <a:graphic xmlns:a="http://schemas.openxmlformats.org/drawingml/2006/main">
                <a:graphicData uri="http://schemas.microsoft.com/office/word/2010/wordprocessingShape">
                  <wps:wsp>
                    <wps:cNvSpPr/>
                    <wps:spPr>
                      <a:xfrm rot="10800000">
                        <a:off x="0" y="0"/>
                        <a:ext cx="50533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5pt;margin-top:-6.8pt;height:9.95pt;width:397.9pt;rotation:11796480f;z-index:251662336;v-text-anchor:middle;mso-width-relative:page;mso-height-relative:page;" fillcolor="#FFFFFF [3212]" filled="t" stroked="f" coordsize="21600,21600" o:gfxdata="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2L5aDaAAAACQEAAA8AAAAAAAAAAQAgAAAAIgAAAGRycy9kb3ducmV2LnhtbFBLAQIUABQAAAAI&#10;AIdO4kAWrBwDlgIAAEEFAAAOAAAAAAAAAAEAIAAAACkBAABkcnMvZTJvRG9jLnhtbFBLBQYAAAAA&#10;BgAGAFkBAAAxBgAAAAA=&#10;">
              <v:fill type="gradient" on="t" color2="#0070C0" angle="320" focus="100%" focussize="0,0" rotate="t">
                <o:fill type="gradientUnscaled" v:ext="backwardCompatible"/>
              </v:fill>
              <v:stroke on="f" weight="2pt"/>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7456" behindDoc="0" locked="0" layoutInCell="1" allowOverlap="1">
              <wp:simplePos x="0" y="0"/>
              <wp:positionH relativeFrom="column">
                <wp:posOffset>245110</wp:posOffset>
              </wp:positionH>
              <wp:positionV relativeFrom="paragraph">
                <wp:posOffset>-241935</wp:posOffset>
              </wp:positionV>
              <wp:extent cx="353695" cy="375285"/>
              <wp:effectExtent l="0" t="0" r="5715" b="8255"/>
              <wp:wrapNone/>
              <wp:docPr id="19" name="L 形 19"/>
              <wp:cNvGraphicFramePr/>
              <a:graphic xmlns:a="http://schemas.openxmlformats.org/drawingml/2006/main">
                <a:graphicData uri="http://schemas.microsoft.com/office/word/2010/wordprocessingShape">
                  <wps:wsp>
                    <wps:cNvSpPr/>
                    <wps:spPr>
                      <a:xfrm rot="16200000">
                        <a:off x="0" y="0"/>
                        <a:ext cx="353695" cy="375285"/>
                      </a:xfrm>
                      <a:prstGeom prst="corner">
                        <a:avLst>
                          <a:gd name="adj1" fmla="val 31777"/>
                          <a:gd name="adj2" fmla="val 969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3pt;margin-top:-19.05pt;height:29.55pt;width:27.85pt;rotation:-5898240f;z-index:251667456;v-text-anchor:middle;mso-width-relative:page;mso-height-relative:page;" fillcolor="#0070C0" filled="t" stroked="f" coordsize="353695,375285" o:gfxdata="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p3UB3VAAAACAEAAA8AAAAAAAAA&#10;AQAgAAAAIgAAAGRycy9kb3ducmV2LnhtbFBLAQIUABQAAAAIAIdO4kBazDf/hgIAABUFAAAOAAAA&#10;AAAAAAEAIAAAACQBAABkcnMvZTJvRG9jLnhtbFBLBQYAAAAABgAGAFkBAAAcBgAAAAA=&#10;" path="m0,0l34287,0,34287,262891,353695,262891,353695,375285,0,375285xe">
              <v:path o:connectlocs="353695,319088;176847,375285;0,187642;17143,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549910</wp:posOffset>
              </wp:positionH>
              <wp:positionV relativeFrom="paragraph">
                <wp:posOffset>-83185</wp:posOffset>
              </wp:positionV>
              <wp:extent cx="3681730" cy="126365"/>
              <wp:effectExtent l="0" t="0" r="13970" b="6985"/>
              <wp:wrapNone/>
              <wp:docPr id="4" name="矩形 4"/>
              <wp:cNvGraphicFramePr/>
              <a:graphic xmlns:a="http://schemas.openxmlformats.org/drawingml/2006/main">
                <a:graphicData uri="http://schemas.microsoft.com/office/word/2010/wordprocessingShape">
                  <wps:wsp>
                    <wps:cNvSpPr/>
                    <wps:spPr>
                      <a:xfrm>
                        <a:off x="0" y="0"/>
                        <a:ext cx="36817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3pt;margin-top:-6.55pt;height:9.95pt;width:289.9pt;z-index:251664384;v-text-anchor:middle;mso-width-relative:page;mso-height-relative:page;" fillcolor="#FFFFFF [3212]" filled="t" stroked="f" coordsize="21600,21600" o:gfxdata="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qu6H2AAA&#10;AAgBAAAPAAAAAAAAAAEAIAAAACIAAABkcnMvZG93bnJldi54bWxQSwECFAAUAAAACACHTuJANF/p&#10;D5ACAAAwBQAADgAAAAAAAAABACAAAAAnAQAAZHJzL2Uyb0RvYy54bWxQSwUGAAAAAAYABgBZAQAA&#10;KQYAAAAA&#10;">
              <v:fill type="gradient" on="t" color2="#0070C0" angle="320" focus="100%" focussize="0,0" rotate="t">
                <o:fill type="gradientUnscaled" v:ext="backwardCompatible"/>
              </v:fill>
              <v:stroke on="f" weight="2pt"/>
              <v:imagedata o:title=""/>
              <o:lock v:ext="edit" aspectratio="f"/>
            </v:rect>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-132715</wp:posOffset>
              </wp:positionH>
              <wp:positionV relativeFrom="paragraph">
                <wp:posOffset>-318135</wp:posOffset>
              </wp:positionV>
              <wp:extent cx="353695" cy="375285"/>
              <wp:effectExtent l="0" t="0" r="5715" b="8255"/>
              <wp:wrapNone/>
              <wp:docPr id="18" name="L 形 18"/>
              <wp:cNvGraphicFramePr/>
              <a:graphic xmlns:a="http://schemas.openxmlformats.org/drawingml/2006/main">
                <a:graphicData uri="http://schemas.microsoft.com/office/word/2010/wordprocessingShape">
                  <wps:wsp>
                    <wps:cNvSpPr/>
                    <wps:spPr>
                      <a:xfrm rot="5400000">
                        <a:off x="0" y="0"/>
                        <a:ext cx="353695" cy="375285"/>
                      </a:xfrm>
                      <a:prstGeom prst="corner">
                        <a:avLst>
                          <a:gd name="adj1" fmla="val 27289"/>
                          <a:gd name="adj2" fmla="val 1633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45pt;margin-top:-25.05pt;height:29.55pt;width:27.85pt;rotation:5898240f;z-index:251666432;v-text-anchor:middle;mso-width-relative:page;mso-height-relative:page;" fillcolor="#0070C0" filled="t" stroked="f" coordsize="353695,375285" o:gfxdata="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Iku/nXAAAACAEAAA8AAAAA&#10;AAAAAQAgAAAAIgAAAGRycy9kb3ducmV2LnhtbFBLAQIUABQAAAAIAIdO4kCOi6nhhwIAABUFAAAO&#10;AAAAAAAAAAEAIAAAACYBAABkcnMvZTJvRG9jLnhtbFBLBQYAAAAABgAGAFkBAAAfBgAAAAA=&#10;" path="m0,0l57783,0,57783,278765,353695,278765,353695,375285,0,375285xe">
              <v:path o:connectlocs="353695,327025;176847,375285;0,187642;28891,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-276860</wp:posOffset>
              </wp:positionV>
              <wp:extent cx="1543685" cy="5016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543685"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21.8pt;height:39.5pt;width:121.55pt;z-index:251665408;mso-width-relative:page;mso-height-relative:page;" filled="f" stroked="f" coordsize="21600,21600" o:gfxdata="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qNXpdwAAAAKAQAADwAAAAAAAAABACAAAAAiAAAA&#10;ZHJzL2Rvd25yZXYueG1sUEsBAhQAFAAAAAgAh07iQEayCt88AgAAaAQAAA4AAAAAAAAAAQAgAAAA&#10;KwEAAGRycy9lMm9Eb2MueG1sUEsFBgAAAAAGAAYAWQEAANkFAAAAAA==&#10;">
              <v:fill on="f" focussize="0,0"/>
              <v:stroke on="f" weight="0.5pt"/>
              <v:imagedata o:title=""/>
              <o:lock v:ext="edit" aspectratio="f"/>
              <v:textbo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GY0MTZlMzYxZTc4M2VmNDE5YjY2NjgwM2YxYjgifQ=="/>
  </w:docVars>
  <w:rsids>
    <w:rsidRoot w:val="00172A27"/>
    <w:rsid w:val="00046E56"/>
    <w:rsid w:val="00065DAD"/>
    <w:rsid w:val="000C7620"/>
    <w:rsid w:val="00511298"/>
    <w:rsid w:val="005807DB"/>
    <w:rsid w:val="006E0456"/>
    <w:rsid w:val="00911E2A"/>
    <w:rsid w:val="00BC46EF"/>
    <w:rsid w:val="00CB1EBC"/>
    <w:rsid w:val="00D61E75"/>
    <w:rsid w:val="00DF0877"/>
    <w:rsid w:val="00E327E7"/>
    <w:rsid w:val="00E755C8"/>
    <w:rsid w:val="00F71253"/>
    <w:rsid w:val="01045EF1"/>
    <w:rsid w:val="01224276"/>
    <w:rsid w:val="012310E1"/>
    <w:rsid w:val="013E6BB4"/>
    <w:rsid w:val="013F6D58"/>
    <w:rsid w:val="015161E2"/>
    <w:rsid w:val="01531E39"/>
    <w:rsid w:val="0156177E"/>
    <w:rsid w:val="0171218F"/>
    <w:rsid w:val="01747C2F"/>
    <w:rsid w:val="01772BAE"/>
    <w:rsid w:val="01777839"/>
    <w:rsid w:val="018030A2"/>
    <w:rsid w:val="018C7F99"/>
    <w:rsid w:val="01B77390"/>
    <w:rsid w:val="01BE490E"/>
    <w:rsid w:val="01C517BD"/>
    <w:rsid w:val="01C9314E"/>
    <w:rsid w:val="01DC2C55"/>
    <w:rsid w:val="01FA4811"/>
    <w:rsid w:val="0206304D"/>
    <w:rsid w:val="02095D42"/>
    <w:rsid w:val="020C36B9"/>
    <w:rsid w:val="02176E2F"/>
    <w:rsid w:val="0218479F"/>
    <w:rsid w:val="021A71E6"/>
    <w:rsid w:val="022078E7"/>
    <w:rsid w:val="022655F4"/>
    <w:rsid w:val="022B6721"/>
    <w:rsid w:val="0244013F"/>
    <w:rsid w:val="025B14EB"/>
    <w:rsid w:val="026530FE"/>
    <w:rsid w:val="02680AD9"/>
    <w:rsid w:val="026C54CD"/>
    <w:rsid w:val="02756B4F"/>
    <w:rsid w:val="027812F4"/>
    <w:rsid w:val="0278146E"/>
    <w:rsid w:val="027E5817"/>
    <w:rsid w:val="02840D7E"/>
    <w:rsid w:val="028A7883"/>
    <w:rsid w:val="02982612"/>
    <w:rsid w:val="029E6366"/>
    <w:rsid w:val="02A11761"/>
    <w:rsid w:val="02B360D5"/>
    <w:rsid w:val="02CC6C45"/>
    <w:rsid w:val="02D46F37"/>
    <w:rsid w:val="02D50CD9"/>
    <w:rsid w:val="02E20CFE"/>
    <w:rsid w:val="02E7697C"/>
    <w:rsid w:val="03003AD3"/>
    <w:rsid w:val="030F16FD"/>
    <w:rsid w:val="031D6D56"/>
    <w:rsid w:val="032801E6"/>
    <w:rsid w:val="032821E3"/>
    <w:rsid w:val="033248AF"/>
    <w:rsid w:val="033F375B"/>
    <w:rsid w:val="033F3B43"/>
    <w:rsid w:val="03413BB8"/>
    <w:rsid w:val="03451B61"/>
    <w:rsid w:val="034C489F"/>
    <w:rsid w:val="034C77B0"/>
    <w:rsid w:val="03511E5E"/>
    <w:rsid w:val="03524CD3"/>
    <w:rsid w:val="03665380"/>
    <w:rsid w:val="03874EB8"/>
    <w:rsid w:val="038E7B1F"/>
    <w:rsid w:val="03926802"/>
    <w:rsid w:val="03B304C7"/>
    <w:rsid w:val="03B405A6"/>
    <w:rsid w:val="03B966B3"/>
    <w:rsid w:val="03C30C20"/>
    <w:rsid w:val="03E1623A"/>
    <w:rsid w:val="03EB11EA"/>
    <w:rsid w:val="040757DD"/>
    <w:rsid w:val="040E5F16"/>
    <w:rsid w:val="041C5F52"/>
    <w:rsid w:val="0424225B"/>
    <w:rsid w:val="04322984"/>
    <w:rsid w:val="043949E6"/>
    <w:rsid w:val="044654BA"/>
    <w:rsid w:val="044948F2"/>
    <w:rsid w:val="04556113"/>
    <w:rsid w:val="04586458"/>
    <w:rsid w:val="04597688"/>
    <w:rsid w:val="046547D3"/>
    <w:rsid w:val="046A6E17"/>
    <w:rsid w:val="046C4B3F"/>
    <w:rsid w:val="046C6FE6"/>
    <w:rsid w:val="047A7131"/>
    <w:rsid w:val="049241FC"/>
    <w:rsid w:val="04951C3A"/>
    <w:rsid w:val="04A22540"/>
    <w:rsid w:val="04A4722A"/>
    <w:rsid w:val="04AB0BAA"/>
    <w:rsid w:val="04AC64FA"/>
    <w:rsid w:val="04B27B68"/>
    <w:rsid w:val="04CF771D"/>
    <w:rsid w:val="04E36478"/>
    <w:rsid w:val="04F10BCA"/>
    <w:rsid w:val="04F50737"/>
    <w:rsid w:val="05166722"/>
    <w:rsid w:val="053730A2"/>
    <w:rsid w:val="053B19AC"/>
    <w:rsid w:val="054E0740"/>
    <w:rsid w:val="05647715"/>
    <w:rsid w:val="057300A0"/>
    <w:rsid w:val="05896C67"/>
    <w:rsid w:val="058E3326"/>
    <w:rsid w:val="05A31707"/>
    <w:rsid w:val="05BE6967"/>
    <w:rsid w:val="05C06587"/>
    <w:rsid w:val="05C61F26"/>
    <w:rsid w:val="05DC6461"/>
    <w:rsid w:val="05EB7002"/>
    <w:rsid w:val="05EC237C"/>
    <w:rsid w:val="05F55CA5"/>
    <w:rsid w:val="060B6692"/>
    <w:rsid w:val="061B45C8"/>
    <w:rsid w:val="06372B9B"/>
    <w:rsid w:val="063E2926"/>
    <w:rsid w:val="065A439B"/>
    <w:rsid w:val="066300A9"/>
    <w:rsid w:val="06795045"/>
    <w:rsid w:val="068C0DAD"/>
    <w:rsid w:val="06993539"/>
    <w:rsid w:val="069D3F9E"/>
    <w:rsid w:val="06AC6BFF"/>
    <w:rsid w:val="06B60E4C"/>
    <w:rsid w:val="06B67994"/>
    <w:rsid w:val="06CC534B"/>
    <w:rsid w:val="06DE0B05"/>
    <w:rsid w:val="06E61C2C"/>
    <w:rsid w:val="06F36C39"/>
    <w:rsid w:val="06F7538F"/>
    <w:rsid w:val="071B4F62"/>
    <w:rsid w:val="07220D87"/>
    <w:rsid w:val="072348F4"/>
    <w:rsid w:val="07256196"/>
    <w:rsid w:val="07437BE4"/>
    <w:rsid w:val="07442AEF"/>
    <w:rsid w:val="074A4A05"/>
    <w:rsid w:val="07615C8D"/>
    <w:rsid w:val="07655EAB"/>
    <w:rsid w:val="07701F3D"/>
    <w:rsid w:val="079767B6"/>
    <w:rsid w:val="079B1D2B"/>
    <w:rsid w:val="079B3AB3"/>
    <w:rsid w:val="07CF565F"/>
    <w:rsid w:val="0810530C"/>
    <w:rsid w:val="081222B5"/>
    <w:rsid w:val="08150A88"/>
    <w:rsid w:val="082B0755"/>
    <w:rsid w:val="08326375"/>
    <w:rsid w:val="08447529"/>
    <w:rsid w:val="085F7207"/>
    <w:rsid w:val="086B36D6"/>
    <w:rsid w:val="086C54D2"/>
    <w:rsid w:val="0879694A"/>
    <w:rsid w:val="088416A5"/>
    <w:rsid w:val="08872BFA"/>
    <w:rsid w:val="088C2C03"/>
    <w:rsid w:val="088D0B8A"/>
    <w:rsid w:val="088F2D5F"/>
    <w:rsid w:val="089024C1"/>
    <w:rsid w:val="08AE6BF8"/>
    <w:rsid w:val="08AF3021"/>
    <w:rsid w:val="08BC43DC"/>
    <w:rsid w:val="08E81878"/>
    <w:rsid w:val="08ED5DD1"/>
    <w:rsid w:val="091D0A35"/>
    <w:rsid w:val="093D2159"/>
    <w:rsid w:val="09423B75"/>
    <w:rsid w:val="09600591"/>
    <w:rsid w:val="09653653"/>
    <w:rsid w:val="0970453B"/>
    <w:rsid w:val="0983162C"/>
    <w:rsid w:val="09974E49"/>
    <w:rsid w:val="0999061E"/>
    <w:rsid w:val="09BD0E2C"/>
    <w:rsid w:val="09C6642A"/>
    <w:rsid w:val="09CC13EC"/>
    <w:rsid w:val="09CF6F31"/>
    <w:rsid w:val="09D95E76"/>
    <w:rsid w:val="09E33668"/>
    <w:rsid w:val="0A014B4A"/>
    <w:rsid w:val="0A0165C2"/>
    <w:rsid w:val="0A2605EF"/>
    <w:rsid w:val="0A29786E"/>
    <w:rsid w:val="0A387E7C"/>
    <w:rsid w:val="0A5336FE"/>
    <w:rsid w:val="0AB45767"/>
    <w:rsid w:val="0AE94316"/>
    <w:rsid w:val="0AF36519"/>
    <w:rsid w:val="0AF85B92"/>
    <w:rsid w:val="0AFA4183"/>
    <w:rsid w:val="0AFD13D2"/>
    <w:rsid w:val="0B036D53"/>
    <w:rsid w:val="0B094569"/>
    <w:rsid w:val="0B1C10B3"/>
    <w:rsid w:val="0B2B29FD"/>
    <w:rsid w:val="0B505197"/>
    <w:rsid w:val="0B653158"/>
    <w:rsid w:val="0B7D1FFD"/>
    <w:rsid w:val="0B7F2240"/>
    <w:rsid w:val="0B840F95"/>
    <w:rsid w:val="0BA41CDB"/>
    <w:rsid w:val="0BBD7D57"/>
    <w:rsid w:val="0BCD4C63"/>
    <w:rsid w:val="0BD41339"/>
    <w:rsid w:val="0BDB140A"/>
    <w:rsid w:val="0BDE3074"/>
    <w:rsid w:val="0BDF68B2"/>
    <w:rsid w:val="0BE97E8B"/>
    <w:rsid w:val="0BEE7CD6"/>
    <w:rsid w:val="0BFD182C"/>
    <w:rsid w:val="0BFD701C"/>
    <w:rsid w:val="0C07480C"/>
    <w:rsid w:val="0C0B2129"/>
    <w:rsid w:val="0C325FFF"/>
    <w:rsid w:val="0C366B7A"/>
    <w:rsid w:val="0C417D2C"/>
    <w:rsid w:val="0C4A1EDF"/>
    <w:rsid w:val="0C5E6314"/>
    <w:rsid w:val="0C6C7A01"/>
    <w:rsid w:val="0C754A95"/>
    <w:rsid w:val="0C851F3C"/>
    <w:rsid w:val="0C92590F"/>
    <w:rsid w:val="0C9C1D21"/>
    <w:rsid w:val="0CBF19C9"/>
    <w:rsid w:val="0CBF7554"/>
    <w:rsid w:val="0CC95561"/>
    <w:rsid w:val="0CEA7A84"/>
    <w:rsid w:val="0CF11BBB"/>
    <w:rsid w:val="0CF464E3"/>
    <w:rsid w:val="0D0B503A"/>
    <w:rsid w:val="0D23530D"/>
    <w:rsid w:val="0D2D6598"/>
    <w:rsid w:val="0D2F3B7E"/>
    <w:rsid w:val="0D346C56"/>
    <w:rsid w:val="0D4728C2"/>
    <w:rsid w:val="0D507578"/>
    <w:rsid w:val="0D5D6039"/>
    <w:rsid w:val="0D7520CD"/>
    <w:rsid w:val="0D81644E"/>
    <w:rsid w:val="0D8E6664"/>
    <w:rsid w:val="0DA556F4"/>
    <w:rsid w:val="0DA9263A"/>
    <w:rsid w:val="0DB000BD"/>
    <w:rsid w:val="0DB1587E"/>
    <w:rsid w:val="0DBB4D47"/>
    <w:rsid w:val="0DBD3F2B"/>
    <w:rsid w:val="0DBE26AE"/>
    <w:rsid w:val="0DC37C4B"/>
    <w:rsid w:val="0DE04FF7"/>
    <w:rsid w:val="0DF065E9"/>
    <w:rsid w:val="0DF25245"/>
    <w:rsid w:val="0DF81E0C"/>
    <w:rsid w:val="0E020192"/>
    <w:rsid w:val="0E073A79"/>
    <w:rsid w:val="0E106F2A"/>
    <w:rsid w:val="0E146012"/>
    <w:rsid w:val="0E1700C6"/>
    <w:rsid w:val="0E232583"/>
    <w:rsid w:val="0E2341A2"/>
    <w:rsid w:val="0E2C43E7"/>
    <w:rsid w:val="0E4152C5"/>
    <w:rsid w:val="0E4B7DB8"/>
    <w:rsid w:val="0E4F5E3A"/>
    <w:rsid w:val="0E6F684F"/>
    <w:rsid w:val="0E70375D"/>
    <w:rsid w:val="0E7B0734"/>
    <w:rsid w:val="0E951321"/>
    <w:rsid w:val="0E9B409C"/>
    <w:rsid w:val="0EAC46F6"/>
    <w:rsid w:val="0EB8319A"/>
    <w:rsid w:val="0EBC21D2"/>
    <w:rsid w:val="0EC77EA9"/>
    <w:rsid w:val="0ED660C5"/>
    <w:rsid w:val="0EE63367"/>
    <w:rsid w:val="0F0206A3"/>
    <w:rsid w:val="0F2E3B0B"/>
    <w:rsid w:val="0F457A63"/>
    <w:rsid w:val="0F4B524E"/>
    <w:rsid w:val="0F5F6F25"/>
    <w:rsid w:val="0F7D511F"/>
    <w:rsid w:val="0F8B4796"/>
    <w:rsid w:val="0F8E45AC"/>
    <w:rsid w:val="0F944E4B"/>
    <w:rsid w:val="0FB465A9"/>
    <w:rsid w:val="0FD76BC3"/>
    <w:rsid w:val="0FD83E8C"/>
    <w:rsid w:val="0FDA7A1E"/>
    <w:rsid w:val="0FE25850"/>
    <w:rsid w:val="0FE45EF1"/>
    <w:rsid w:val="0FE57360"/>
    <w:rsid w:val="0FF27E1A"/>
    <w:rsid w:val="0FFA7610"/>
    <w:rsid w:val="0FFE7C6A"/>
    <w:rsid w:val="100017E2"/>
    <w:rsid w:val="10107804"/>
    <w:rsid w:val="101D546B"/>
    <w:rsid w:val="10250C2A"/>
    <w:rsid w:val="1032712F"/>
    <w:rsid w:val="10381E8C"/>
    <w:rsid w:val="103E151E"/>
    <w:rsid w:val="105E26E0"/>
    <w:rsid w:val="10702130"/>
    <w:rsid w:val="107C0C93"/>
    <w:rsid w:val="10852AB5"/>
    <w:rsid w:val="108C56E4"/>
    <w:rsid w:val="1092654A"/>
    <w:rsid w:val="10A457FD"/>
    <w:rsid w:val="10A73935"/>
    <w:rsid w:val="10AB230B"/>
    <w:rsid w:val="10B76E0A"/>
    <w:rsid w:val="10C009BC"/>
    <w:rsid w:val="10C50306"/>
    <w:rsid w:val="10CA399E"/>
    <w:rsid w:val="10E84A0F"/>
    <w:rsid w:val="10FC5772"/>
    <w:rsid w:val="10FE4FEC"/>
    <w:rsid w:val="11053052"/>
    <w:rsid w:val="11095AE5"/>
    <w:rsid w:val="11134EFD"/>
    <w:rsid w:val="1113685D"/>
    <w:rsid w:val="1132332E"/>
    <w:rsid w:val="11325CCF"/>
    <w:rsid w:val="11410E7A"/>
    <w:rsid w:val="11474649"/>
    <w:rsid w:val="11632FBD"/>
    <w:rsid w:val="11736482"/>
    <w:rsid w:val="117B69AE"/>
    <w:rsid w:val="11BF168E"/>
    <w:rsid w:val="11C35DF5"/>
    <w:rsid w:val="11CB03D5"/>
    <w:rsid w:val="11CB71A7"/>
    <w:rsid w:val="11D24E2F"/>
    <w:rsid w:val="11D3366C"/>
    <w:rsid w:val="11E36E77"/>
    <w:rsid w:val="11EB0205"/>
    <w:rsid w:val="12053623"/>
    <w:rsid w:val="121D25F8"/>
    <w:rsid w:val="121F0AC2"/>
    <w:rsid w:val="12287632"/>
    <w:rsid w:val="12476CAF"/>
    <w:rsid w:val="124A3DA7"/>
    <w:rsid w:val="12616EDA"/>
    <w:rsid w:val="126273B8"/>
    <w:rsid w:val="126F5496"/>
    <w:rsid w:val="127668FD"/>
    <w:rsid w:val="127826F9"/>
    <w:rsid w:val="128400C0"/>
    <w:rsid w:val="12906D89"/>
    <w:rsid w:val="12BA5D88"/>
    <w:rsid w:val="12C14AF0"/>
    <w:rsid w:val="12CC72B7"/>
    <w:rsid w:val="12CD5EF3"/>
    <w:rsid w:val="12D30092"/>
    <w:rsid w:val="12EA43E0"/>
    <w:rsid w:val="12F207FB"/>
    <w:rsid w:val="12FE0B24"/>
    <w:rsid w:val="130B0F50"/>
    <w:rsid w:val="130F4CDF"/>
    <w:rsid w:val="13375DFC"/>
    <w:rsid w:val="135C032C"/>
    <w:rsid w:val="137B44B3"/>
    <w:rsid w:val="13826EF9"/>
    <w:rsid w:val="138867E1"/>
    <w:rsid w:val="138C7E6B"/>
    <w:rsid w:val="138F7936"/>
    <w:rsid w:val="13953E25"/>
    <w:rsid w:val="13A35C64"/>
    <w:rsid w:val="13D62E35"/>
    <w:rsid w:val="13F11D0A"/>
    <w:rsid w:val="13FB2E7D"/>
    <w:rsid w:val="14033ACD"/>
    <w:rsid w:val="141E1D6C"/>
    <w:rsid w:val="142D4436"/>
    <w:rsid w:val="1433604E"/>
    <w:rsid w:val="143F6249"/>
    <w:rsid w:val="145A1F77"/>
    <w:rsid w:val="145A493C"/>
    <w:rsid w:val="146E11DB"/>
    <w:rsid w:val="147514AC"/>
    <w:rsid w:val="147A4030"/>
    <w:rsid w:val="14921D75"/>
    <w:rsid w:val="149245B7"/>
    <w:rsid w:val="14A20EF9"/>
    <w:rsid w:val="14A47A00"/>
    <w:rsid w:val="14B27322"/>
    <w:rsid w:val="14B91B57"/>
    <w:rsid w:val="14BB4F6D"/>
    <w:rsid w:val="14C12672"/>
    <w:rsid w:val="14C57338"/>
    <w:rsid w:val="14C93A9A"/>
    <w:rsid w:val="14D41C07"/>
    <w:rsid w:val="14D6556D"/>
    <w:rsid w:val="14F46355"/>
    <w:rsid w:val="14F67AD6"/>
    <w:rsid w:val="15011594"/>
    <w:rsid w:val="151D38EF"/>
    <w:rsid w:val="15215F12"/>
    <w:rsid w:val="154C1F83"/>
    <w:rsid w:val="1551497C"/>
    <w:rsid w:val="155E206D"/>
    <w:rsid w:val="156430AD"/>
    <w:rsid w:val="15686A35"/>
    <w:rsid w:val="156B01DE"/>
    <w:rsid w:val="15853975"/>
    <w:rsid w:val="158C2283"/>
    <w:rsid w:val="159B2CF7"/>
    <w:rsid w:val="15A63383"/>
    <w:rsid w:val="15A84D94"/>
    <w:rsid w:val="15B6375D"/>
    <w:rsid w:val="15B9464E"/>
    <w:rsid w:val="15CC19D4"/>
    <w:rsid w:val="15CD3AFF"/>
    <w:rsid w:val="15CF00B7"/>
    <w:rsid w:val="15DC5FB0"/>
    <w:rsid w:val="15DF1880"/>
    <w:rsid w:val="15E45D42"/>
    <w:rsid w:val="15E74779"/>
    <w:rsid w:val="15ED05A6"/>
    <w:rsid w:val="15F17251"/>
    <w:rsid w:val="16084568"/>
    <w:rsid w:val="1610756A"/>
    <w:rsid w:val="16136E2F"/>
    <w:rsid w:val="161B669A"/>
    <w:rsid w:val="163776FC"/>
    <w:rsid w:val="16381525"/>
    <w:rsid w:val="16591530"/>
    <w:rsid w:val="166859A0"/>
    <w:rsid w:val="1674081C"/>
    <w:rsid w:val="169D65C8"/>
    <w:rsid w:val="16A35FDC"/>
    <w:rsid w:val="16A36EFD"/>
    <w:rsid w:val="16A45129"/>
    <w:rsid w:val="16AE7A47"/>
    <w:rsid w:val="16B54FFC"/>
    <w:rsid w:val="16C378D0"/>
    <w:rsid w:val="16CB369D"/>
    <w:rsid w:val="16D853A9"/>
    <w:rsid w:val="16D86DA9"/>
    <w:rsid w:val="16DB628A"/>
    <w:rsid w:val="170D375B"/>
    <w:rsid w:val="170E7DF5"/>
    <w:rsid w:val="17296A1B"/>
    <w:rsid w:val="17310418"/>
    <w:rsid w:val="174213A1"/>
    <w:rsid w:val="1747404C"/>
    <w:rsid w:val="17584769"/>
    <w:rsid w:val="175D7687"/>
    <w:rsid w:val="17777043"/>
    <w:rsid w:val="17781027"/>
    <w:rsid w:val="17827B30"/>
    <w:rsid w:val="179C7FCB"/>
    <w:rsid w:val="17B978D0"/>
    <w:rsid w:val="17C47DC2"/>
    <w:rsid w:val="17E26153"/>
    <w:rsid w:val="17F203A8"/>
    <w:rsid w:val="17FA3987"/>
    <w:rsid w:val="181A45F4"/>
    <w:rsid w:val="18232A46"/>
    <w:rsid w:val="182C7857"/>
    <w:rsid w:val="183335A7"/>
    <w:rsid w:val="18403DE3"/>
    <w:rsid w:val="18464C88"/>
    <w:rsid w:val="184D4BA4"/>
    <w:rsid w:val="185F4FAB"/>
    <w:rsid w:val="187E51B4"/>
    <w:rsid w:val="188047DA"/>
    <w:rsid w:val="18841379"/>
    <w:rsid w:val="188554D4"/>
    <w:rsid w:val="188F5267"/>
    <w:rsid w:val="18977571"/>
    <w:rsid w:val="18B20267"/>
    <w:rsid w:val="18B77D0D"/>
    <w:rsid w:val="18BB5030"/>
    <w:rsid w:val="18BE3BA5"/>
    <w:rsid w:val="18BE7CA7"/>
    <w:rsid w:val="18C25A33"/>
    <w:rsid w:val="18D76BB6"/>
    <w:rsid w:val="190833DE"/>
    <w:rsid w:val="19090609"/>
    <w:rsid w:val="19093A9E"/>
    <w:rsid w:val="191C2E55"/>
    <w:rsid w:val="19205850"/>
    <w:rsid w:val="193C36BB"/>
    <w:rsid w:val="194153A8"/>
    <w:rsid w:val="194E00C1"/>
    <w:rsid w:val="19696900"/>
    <w:rsid w:val="19707C0A"/>
    <w:rsid w:val="19754B7A"/>
    <w:rsid w:val="198253AE"/>
    <w:rsid w:val="198F7DD1"/>
    <w:rsid w:val="19931150"/>
    <w:rsid w:val="199B7D35"/>
    <w:rsid w:val="19A12B2A"/>
    <w:rsid w:val="19A849BF"/>
    <w:rsid w:val="19BF6B37"/>
    <w:rsid w:val="19C451C0"/>
    <w:rsid w:val="19D32B92"/>
    <w:rsid w:val="19FC38D3"/>
    <w:rsid w:val="19FE1017"/>
    <w:rsid w:val="1A0B136E"/>
    <w:rsid w:val="1A4F690C"/>
    <w:rsid w:val="1A631281"/>
    <w:rsid w:val="1A67778E"/>
    <w:rsid w:val="1A6E4D99"/>
    <w:rsid w:val="1A726054"/>
    <w:rsid w:val="1A753591"/>
    <w:rsid w:val="1A8102AE"/>
    <w:rsid w:val="1A942A52"/>
    <w:rsid w:val="1AC8608D"/>
    <w:rsid w:val="1ACC6416"/>
    <w:rsid w:val="1ADA2480"/>
    <w:rsid w:val="1AE552DE"/>
    <w:rsid w:val="1AF55AD7"/>
    <w:rsid w:val="1AF85414"/>
    <w:rsid w:val="1AFB15D3"/>
    <w:rsid w:val="1B096D4A"/>
    <w:rsid w:val="1B3874C2"/>
    <w:rsid w:val="1B3B7F4C"/>
    <w:rsid w:val="1B422D4A"/>
    <w:rsid w:val="1B54411C"/>
    <w:rsid w:val="1B747051"/>
    <w:rsid w:val="1B861CEA"/>
    <w:rsid w:val="1B8A054A"/>
    <w:rsid w:val="1BAB5731"/>
    <w:rsid w:val="1BB03947"/>
    <w:rsid w:val="1BC073F8"/>
    <w:rsid w:val="1BC53BE1"/>
    <w:rsid w:val="1BC71B7A"/>
    <w:rsid w:val="1BD1045D"/>
    <w:rsid w:val="1BE15102"/>
    <w:rsid w:val="1C08536C"/>
    <w:rsid w:val="1C3F779A"/>
    <w:rsid w:val="1C465FAA"/>
    <w:rsid w:val="1C474536"/>
    <w:rsid w:val="1C577AF1"/>
    <w:rsid w:val="1C603D5A"/>
    <w:rsid w:val="1C624755"/>
    <w:rsid w:val="1C646D36"/>
    <w:rsid w:val="1C820505"/>
    <w:rsid w:val="1C864A21"/>
    <w:rsid w:val="1C9D0AAB"/>
    <w:rsid w:val="1CA1438C"/>
    <w:rsid w:val="1CAA5EC6"/>
    <w:rsid w:val="1CAB4073"/>
    <w:rsid w:val="1CB45D9E"/>
    <w:rsid w:val="1CB97E53"/>
    <w:rsid w:val="1CD53A5F"/>
    <w:rsid w:val="1CFF4657"/>
    <w:rsid w:val="1D0656B9"/>
    <w:rsid w:val="1D197B7C"/>
    <w:rsid w:val="1D213AF7"/>
    <w:rsid w:val="1D3117D0"/>
    <w:rsid w:val="1D4E1ACA"/>
    <w:rsid w:val="1D632BAB"/>
    <w:rsid w:val="1D6A5C3E"/>
    <w:rsid w:val="1D7D0597"/>
    <w:rsid w:val="1D7E5C8E"/>
    <w:rsid w:val="1D8450B1"/>
    <w:rsid w:val="1D8E6679"/>
    <w:rsid w:val="1DA5212C"/>
    <w:rsid w:val="1DB17B34"/>
    <w:rsid w:val="1DB75EB7"/>
    <w:rsid w:val="1DCC3D2B"/>
    <w:rsid w:val="1DD56871"/>
    <w:rsid w:val="1DEA4177"/>
    <w:rsid w:val="1DF47525"/>
    <w:rsid w:val="1E01429B"/>
    <w:rsid w:val="1E052C35"/>
    <w:rsid w:val="1E054696"/>
    <w:rsid w:val="1E077B3D"/>
    <w:rsid w:val="1E0873CC"/>
    <w:rsid w:val="1E170912"/>
    <w:rsid w:val="1E1B49BC"/>
    <w:rsid w:val="1E290DBC"/>
    <w:rsid w:val="1E347DB9"/>
    <w:rsid w:val="1E410386"/>
    <w:rsid w:val="1E4752C4"/>
    <w:rsid w:val="1E593EEF"/>
    <w:rsid w:val="1E64666F"/>
    <w:rsid w:val="1E717FDF"/>
    <w:rsid w:val="1E881CB1"/>
    <w:rsid w:val="1E945B97"/>
    <w:rsid w:val="1EAF5F3C"/>
    <w:rsid w:val="1EB0087E"/>
    <w:rsid w:val="1EB83BF5"/>
    <w:rsid w:val="1EBA05F9"/>
    <w:rsid w:val="1ECB0460"/>
    <w:rsid w:val="1EE00E4C"/>
    <w:rsid w:val="1EF32A87"/>
    <w:rsid w:val="1EFC5BFB"/>
    <w:rsid w:val="1F004D9B"/>
    <w:rsid w:val="1F031592"/>
    <w:rsid w:val="1F0E3F3F"/>
    <w:rsid w:val="1F0F1896"/>
    <w:rsid w:val="1F0F19B1"/>
    <w:rsid w:val="1F2C0C32"/>
    <w:rsid w:val="1F3A06CD"/>
    <w:rsid w:val="1F50594B"/>
    <w:rsid w:val="1F610A5A"/>
    <w:rsid w:val="1F64191A"/>
    <w:rsid w:val="1F677ABC"/>
    <w:rsid w:val="1F693DD6"/>
    <w:rsid w:val="1F7A0F0F"/>
    <w:rsid w:val="1F8F7B9C"/>
    <w:rsid w:val="1FA9279F"/>
    <w:rsid w:val="1FAA5242"/>
    <w:rsid w:val="1FAD1D43"/>
    <w:rsid w:val="1FAF2E88"/>
    <w:rsid w:val="1FBE5490"/>
    <w:rsid w:val="1FDB32B2"/>
    <w:rsid w:val="1FDB6889"/>
    <w:rsid w:val="1FE059E6"/>
    <w:rsid w:val="1FE07075"/>
    <w:rsid w:val="1FE320D9"/>
    <w:rsid w:val="20022746"/>
    <w:rsid w:val="200C32FC"/>
    <w:rsid w:val="200E6332"/>
    <w:rsid w:val="20504A23"/>
    <w:rsid w:val="205D6A7E"/>
    <w:rsid w:val="206F2542"/>
    <w:rsid w:val="20794048"/>
    <w:rsid w:val="20841250"/>
    <w:rsid w:val="208E152E"/>
    <w:rsid w:val="208E3BCE"/>
    <w:rsid w:val="20996711"/>
    <w:rsid w:val="20A64E1E"/>
    <w:rsid w:val="20B13608"/>
    <w:rsid w:val="20C15F92"/>
    <w:rsid w:val="20D2403D"/>
    <w:rsid w:val="20DF19CB"/>
    <w:rsid w:val="20DF62A0"/>
    <w:rsid w:val="20EC3AE1"/>
    <w:rsid w:val="20F213A9"/>
    <w:rsid w:val="210B39F0"/>
    <w:rsid w:val="210E57C5"/>
    <w:rsid w:val="21174678"/>
    <w:rsid w:val="211A0A87"/>
    <w:rsid w:val="21274B82"/>
    <w:rsid w:val="21363C12"/>
    <w:rsid w:val="21420090"/>
    <w:rsid w:val="2147436B"/>
    <w:rsid w:val="215830DF"/>
    <w:rsid w:val="21604EE4"/>
    <w:rsid w:val="21612C11"/>
    <w:rsid w:val="217A2679"/>
    <w:rsid w:val="217B6B45"/>
    <w:rsid w:val="21901C6C"/>
    <w:rsid w:val="21910EA5"/>
    <w:rsid w:val="21A61719"/>
    <w:rsid w:val="21B60E10"/>
    <w:rsid w:val="21B66021"/>
    <w:rsid w:val="21B93877"/>
    <w:rsid w:val="21BB576E"/>
    <w:rsid w:val="21C5083C"/>
    <w:rsid w:val="21E431E7"/>
    <w:rsid w:val="21EC3696"/>
    <w:rsid w:val="220A3853"/>
    <w:rsid w:val="2211452E"/>
    <w:rsid w:val="22211305"/>
    <w:rsid w:val="22235027"/>
    <w:rsid w:val="22237B22"/>
    <w:rsid w:val="222A6A6C"/>
    <w:rsid w:val="22310679"/>
    <w:rsid w:val="224118D5"/>
    <w:rsid w:val="22432047"/>
    <w:rsid w:val="224E061C"/>
    <w:rsid w:val="225E0FC4"/>
    <w:rsid w:val="22670B30"/>
    <w:rsid w:val="228C70FF"/>
    <w:rsid w:val="228F3215"/>
    <w:rsid w:val="22964988"/>
    <w:rsid w:val="22AB1A52"/>
    <w:rsid w:val="22AE54AB"/>
    <w:rsid w:val="22B07690"/>
    <w:rsid w:val="22B72F8D"/>
    <w:rsid w:val="22D67E4D"/>
    <w:rsid w:val="22DA102D"/>
    <w:rsid w:val="22E13B56"/>
    <w:rsid w:val="231426CB"/>
    <w:rsid w:val="231A53DC"/>
    <w:rsid w:val="231F0B79"/>
    <w:rsid w:val="23255838"/>
    <w:rsid w:val="232C6837"/>
    <w:rsid w:val="233876DC"/>
    <w:rsid w:val="233D2589"/>
    <w:rsid w:val="233F29DA"/>
    <w:rsid w:val="23403BE4"/>
    <w:rsid w:val="2342123A"/>
    <w:rsid w:val="23453250"/>
    <w:rsid w:val="23502AED"/>
    <w:rsid w:val="23513562"/>
    <w:rsid w:val="2353345A"/>
    <w:rsid w:val="23547E4D"/>
    <w:rsid w:val="235E79B6"/>
    <w:rsid w:val="237A2D06"/>
    <w:rsid w:val="239670AB"/>
    <w:rsid w:val="23D802C6"/>
    <w:rsid w:val="23DC205C"/>
    <w:rsid w:val="23DD151B"/>
    <w:rsid w:val="23E31E2C"/>
    <w:rsid w:val="23F154D8"/>
    <w:rsid w:val="23F817DE"/>
    <w:rsid w:val="23FC2E84"/>
    <w:rsid w:val="242416B3"/>
    <w:rsid w:val="242849CB"/>
    <w:rsid w:val="242D1BFA"/>
    <w:rsid w:val="242D259E"/>
    <w:rsid w:val="244814CF"/>
    <w:rsid w:val="244E526C"/>
    <w:rsid w:val="24561884"/>
    <w:rsid w:val="245A5890"/>
    <w:rsid w:val="245A5C01"/>
    <w:rsid w:val="24600CE8"/>
    <w:rsid w:val="24710B7D"/>
    <w:rsid w:val="24771887"/>
    <w:rsid w:val="24912E0F"/>
    <w:rsid w:val="24934201"/>
    <w:rsid w:val="24A634C6"/>
    <w:rsid w:val="24B4785E"/>
    <w:rsid w:val="24BA64E4"/>
    <w:rsid w:val="24C500D8"/>
    <w:rsid w:val="24E11F4A"/>
    <w:rsid w:val="24FB0A58"/>
    <w:rsid w:val="250E7F7F"/>
    <w:rsid w:val="25295A79"/>
    <w:rsid w:val="252A533F"/>
    <w:rsid w:val="25414523"/>
    <w:rsid w:val="254A29F0"/>
    <w:rsid w:val="254D7E1A"/>
    <w:rsid w:val="25585D32"/>
    <w:rsid w:val="255D55ED"/>
    <w:rsid w:val="25B94092"/>
    <w:rsid w:val="25CD74DC"/>
    <w:rsid w:val="25D121E1"/>
    <w:rsid w:val="25F01041"/>
    <w:rsid w:val="2604404A"/>
    <w:rsid w:val="26076916"/>
    <w:rsid w:val="262413A8"/>
    <w:rsid w:val="2633498F"/>
    <w:rsid w:val="265107AF"/>
    <w:rsid w:val="26513591"/>
    <w:rsid w:val="265832E5"/>
    <w:rsid w:val="265C5850"/>
    <w:rsid w:val="26604043"/>
    <w:rsid w:val="268266D9"/>
    <w:rsid w:val="26880147"/>
    <w:rsid w:val="268C4178"/>
    <w:rsid w:val="268E1F38"/>
    <w:rsid w:val="268F110A"/>
    <w:rsid w:val="26991C7F"/>
    <w:rsid w:val="26A2127F"/>
    <w:rsid w:val="26A47737"/>
    <w:rsid w:val="26A566F0"/>
    <w:rsid w:val="26D07DC7"/>
    <w:rsid w:val="26DB5018"/>
    <w:rsid w:val="26F53C3C"/>
    <w:rsid w:val="27102320"/>
    <w:rsid w:val="272123F7"/>
    <w:rsid w:val="27301F38"/>
    <w:rsid w:val="27327CD4"/>
    <w:rsid w:val="273A2AFE"/>
    <w:rsid w:val="273B5F22"/>
    <w:rsid w:val="273F2577"/>
    <w:rsid w:val="274F2F61"/>
    <w:rsid w:val="27684ABB"/>
    <w:rsid w:val="277546BE"/>
    <w:rsid w:val="277F2613"/>
    <w:rsid w:val="278B38AD"/>
    <w:rsid w:val="279679F3"/>
    <w:rsid w:val="27AB7CF8"/>
    <w:rsid w:val="27CE5442"/>
    <w:rsid w:val="27DC1611"/>
    <w:rsid w:val="27EC05FC"/>
    <w:rsid w:val="2805039A"/>
    <w:rsid w:val="280A085A"/>
    <w:rsid w:val="280B5A60"/>
    <w:rsid w:val="280F2499"/>
    <w:rsid w:val="281109A6"/>
    <w:rsid w:val="281915DE"/>
    <w:rsid w:val="282034FC"/>
    <w:rsid w:val="284E076E"/>
    <w:rsid w:val="2850346E"/>
    <w:rsid w:val="286449C2"/>
    <w:rsid w:val="28645AF8"/>
    <w:rsid w:val="286A596C"/>
    <w:rsid w:val="286B08D8"/>
    <w:rsid w:val="28701061"/>
    <w:rsid w:val="28874178"/>
    <w:rsid w:val="289A754C"/>
    <w:rsid w:val="28A733CE"/>
    <w:rsid w:val="28B64B0E"/>
    <w:rsid w:val="28C42045"/>
    <w:rsid w:val="28C561D9"/>
    <w:rsid w:val="28C57065"/>
    <w:rsid w:val="28DF6388"/>
    <w:rsid w:val="28F57593"/>
    <w:rsid w:val="29150C1F"/>
    <w:rsid w:val="292B036D"/>
    <w:rsid w:val="29485F41"/>
    <w:rsid w:val="29561917"/>
    <w:rsid w:val="295966C7"/>
    <w:rsid w:val="297E257E"/>
    <w:rsid w:val="29871CC3"/>
    <w:rsid w:val="29B97196"/>
    <w:rsid w:val="29CB5CA6"/>
    <w:rsid w:val="29D82903"/>
    <w:rsid w:val="29DA5A4E"/>
    <w:rsid w:val="29DD1E0E"/>
    <w:rsid w:val="2A001770"/>
    <w:rsid w:val="2A0C6D1E"/>
    <w:rsid w:val="2A147325"/>
    <w:rsid w:val="2A1D64B2"/>
    <w:rsid w:val="2A2004DD"/>
    <w:rsid w:val="2A380A25"/>
    <w:rsid w:val="2A422ADF"/>
    <w:rsid w:val="2A4B754A"/>
    <w:rsid w:val="2A575F99"/>
    <w:rsid w:val="2A59017D"/>
    <w:rsid w:val="2A67719A"/>
    <w:rsid w:val="2A6A3954"/>
    <w:rsid w:val="2A862F5D"/>
    <w:rsid w:val="2A91633E"/>
    <w:rsid w:val="2AA34F23"/>
    <w:rsid w:val="2AAA33C4"/>
    <w:rsid w:val="2ABC0D70"/>
    <w:rsid w:val="2AD16847"/>
    <w:rsid w:val="2ADD14DD"/>
    <w:rsid w:val="2AE07F86"/>
    <w:rsid w:val="2AED555A"/>
    <w:rsid w:val="2AEF0276"/>
    <w:rsid w:val="2B110BFD"/>
    <w:rsid w:val="2B117EE6"/>
    <w:rsid w:val="2B181F13"/>
    <w:rsid w:val="2B2679A2"/>
    <w:rsid w:val="2B29304D"/>
    <w:rsid w:val="2B337600"/>
    <w:rsid w:val="2B4531B8"/>
    <w:rsid w:val="2B7604E2"/>
    <w:rsid w:val="2B86072F"/>
    <w:rsid w:val="2B9B40AD"/>
    <w:rsid w:val="2BA973BF"/>
    <w:rsid w:val="2BAC03FB"/>
    <w:rsid w:val="2BB31CF8"/>
    <w:rsid w:val="2BB965C0"/>
    <w:rsid w:val="2BC43303"/>
    <w:rsid w:val="2BC61A6F"/>
    <w:rsid w:val="2BC62080"/>
    <w:rsid w:val="2BC745B0"/>
    <w:rsid w:val="2BCE1C3A"/>
    <w:rsid w:val="2BD47143"/>
    <w:rsid w:val="2C0306FF"/>
    <w:rsid w:val="2C0E6BA1"/>
    <w:rsid w:val="2C223010"/>
    <w:rsid w:val="2C234D1E"/>
    <w:rsid w:val="2C3A5C79"/>
    <w:rsid w:val="2C4120F3"/>
    <w:rsid w:val="2C436F5F"/>
    <w:rsid w:val="2C484BA7"/>
    <w:rsid w:val="2C520C10"/>
    <w:rsid w:val="2C7A0602"/>
    <w:rsid w:val="2C936FCE"/>
    <w:rsid w:val="2CAE0848"/>
    <w:rsid w:val="2CB6049A"/>
    <w:rsid w:val="2CDB5B71"/>
    <w:rsid w:val="2CE75F26"/>
    <w:rsid w:val="2CFF368A"/>
    <w:rsid w:val="2D0228D7"/>
    <w:rsid w:val="2D064D5F"/>
    <w:rsid w:val="2D0B7785"/>
    <w:rsid w:val="2D1000E1"/>
    <w:rsid w:val="2D130CDD"/>
    <w:rsid w:val="2D2F54EF"/>
    <w:rsid w:val="2D3403FC"/>
    <w:rsid w:val="2D3F0917"/>
    <w:rsid w:val="2D400C10"/>
    <w:rsid w:val="2D467292"/>
    <w:rsid w:val="2D475E7A"/>
    <w:rsid w:val="2D5321CD"/>
    <w:rsid w:val="2D5533D4"/>
    <w:rsid w:val="2D601BFA"/>
    <w:rsid w:val="2D75253D"/>
    <w:rsid w:val="2D7961B7"/>
    <w:rsid w:val="2D7B6574"/>
    <w:rsid w:val="2D816055"/>
    <w:rsid w:val="2D8E37EF"/>
    <w:rsid w:val="2D96306E"/>
    <w:rsid w:val="2DA5274D"/>
    <w:rsid w:val="2DB76961"/>
    <w:rsid w:val="2DBC2D82"/>
    <w:rsid w:val="2DBD1A18"/>
    <w:rsid w:val="2DD04B8D"/>
    <w:rsid w:val="2DF41946"/>
    <w:rsid w:val="2DF80C6B"/>
    <w:rsid w:val="2DFD2D2A"/>
    <w:rsid w:val="2E0E72BE"/>
    <w:rsid w:val="2E124861"/>
    <w:rsid w:val="2E3A6CF5"/>
    <w:rsid w:val="2E4B3F3C"/>
    <w:rsid w:val="2E4D0124"/>
    <w:rsid w:val="2E4F6418"/>
    <w:rsid w:val="2E660C44"/>
    <w:rsid w:val="2E6730C1"/>
    <w:rsid w:val="2E693FEF"/>
    <w:rsid w:val="2E8F3CFA"/>
    <w:rsid w:val="2E94771C"/>
    <w:rsid w:val="2EB201D9"/>
    <w:rsid w:val="2EDD25A7"/>
    <w:rsid w:val="2EF00A96"/>
    <w:rsid w:val="2F042803"/>
    <w:rsid w:val="2F355BCF"/>
    <w:rsid w:val="2F436B76"/>
    <w:rsid w:val="2F4B026F"/>
    <w:rsid w:val="2F563BFD"/>
    <w:rsid w:val="2F5E262D"/>
    <w:rsid w:val="2F63034E"/>
    <w:rsid w:val="2F7D2661"/>
    <w:rsid w:val="2F8355B5"/>
    <w:rsid w:val="2F9E628E"/>
    <w:rsid w:val="2FB021B0"/>
    <w:rsid w:val="2FBF6CB7"/>
    <w:rsid w:val="2FE74586"/>
    <w:rsid w:val="2FFC3FA9"/>
    <w:rsid w:val="300633F7"/>
    <w:rsid w:val="300D6409"/>
    <w:rsid w:val="30113BF6"/>
    <w:rsid w:val="301B7FD8"/>
    <w:rsid w:val="30232200"/>
    <w:rsid w:val="30356CF7"/>
    <w:rsid w:val="30383EA5"/>
    <w:rsid w:val="30393EF6"/>
    <w:rsid w:val="304A181A"/>
    <w:rsid w:val="304D433A"/>
    <w:rsid w:val="305E4DE3"/>
    <w:rsid w:val="30650DC6"/>
    <w:rsid w:val="3070271E"/>
    <w:rsid w:val="307911B4"/>
    <w:rsid w:val="307B314E"/>
    <w:rsid w:val="30A02BD6"/>
    <w:rsid w:val="30AB3AD7"/>
    <w:rsid w:val="30C16364"/>
    <w:rsid w:val="30F203BC"/>
    <w:rsid w:val="30FC4B1E"/>
    <w:rsid w:val="30FD2EA0"/>
    <w:rsid w:val="311174F5"/>
    <w:rsid w:val="3114323C"/>
    <w:rsid w:val="312E6C33"/>
    <w:rsid w:val="3135410A"/>
    <w:rsid w:val="3149149A"/>
    <w:rsid w:val="314D5143"/>
    <w:rsid w:val="31534C46"/>
    <w:rsid w:val="31606E00"/>
    <w:rsid w:val="3168639F"/>
    <w:rsid w:val="31741D61"/>
    <w:rsid w:val="3199032F"/>
    <w:rsid w:val="319B4AAD"/>
    <w:rsid w:val="31A7114E"/>
    <w:rsid w:val="31CF5EDD"/>
    <w:rsid w:val="3203266B"/>
    <w:rsid w:val="32044096"/>
    <w:rsid w:val="320C3980"/>
    <w:rsid w:val="320E382B"/>
    <w:rsid w:val="32184301"/>
    <w:rsid w:val="325A54E8"/>
    <w:rsid w:val="325F4087"/>
    <w:rsid w:val="32A9622C"/>
    <w:rsid w:val="32B07776"/>
    <w:rsid w:val="32B31CD1"/>
    <w:rsid w:val="32CB2F5E"/>
    <w:rsid w:val="32D429C0"/>
    <w:rsid w:val="32DF4F4B"/>
    <w:rsid w:val="32E024AA"/>
    <w:rsid w:val="32E15043"/>
    <w:rsid w:val="32E73C83"/>
    <w:rsid w:val="32E866F1"/>
    <w:rsid w:val="32EA0BEA"/>
    <w:rsid w:val="32EA386A"/>
    <w:rsid w:val="32F01644"/>
    <w:rsid w:val="33046D40"/>
    <w:rsid w:val="330900FC"/>
    <w:rsid w:val="33310A23"/>
    <w:rsid w:val="33402CB8"/>
    <w:rsid w:val="334A4FD9"/>
    <w:rsid w:val="335F0CA3"/>
    <w:rsid w:val="33602E32"/>
    <w:rsid w:val="336E4816"/>
    <w:rsid w:val="33767B93"/>
    <w:rsid w:val="337A018F"/>
    <w:rsid w:val="337A0276"/>
    <w:rsid w:val="33B07EDA"/>
    <w:rsid w:val="33D66F21"/>
    <w:rsid w:val="33DC2422"/>
    <w:rsid w:val="33DE6588"/>
    <w:rsid w:val="33FB4198"/>
    <w:rsid w:val="33FE36E4"/>
    <w:rsid w:val="343904AE"/>
    <w:rsid w:val="3451362E"/>
    <w:rsid w:val="34653293"/>
    <w:rsid w:val="34671568"/>
    <w:rsid w:val="347B2CDA"/>
    <w:rsid w:val="347B5F9E"/>
    <w:rsid w:val="348928CE"/>
    <w:rsid w:val="34927D9F"/>
    <w:rsid w:val="34996365"/>
    <w:rsid w:val="349C4D58"/>
    <w:rsid w:val="34A67989"/>
    <w:rsid w:val="34B13158"/>
    <w:rsid w:val="34BE64FD"/>
    <w:rsid w:val="34BF0AE4"/>
    <w:rsid w:val="34D1004F"/>
    <w:rsid w:val="34D43597"/>
    <w:rsid w:val="34F76965"/>
    <w:rsid w:val="34FB2BFA"/>
    <w:rsid w:val="35011218"/>
    <w:rsid w:val="350B5400"/>
    <w:rsid w:val="351566A0"/>
    <w:rsid w:val="352A3C5B"/>
    <w:rsid w:val="354002A2"/>
    <w:rsid w:val="35472E02"/>
    <w:rsid w:val="35566E20"/>
    <w:rsid w:val="35637093"/>
    <w:rsid w:val="35642B71"/>
    <w:rsid w:val="356C1A30"/>
    <w:rsid w:val="356D198D"/>
    <w:rsid w:val="35764F64"/>
    <w:rsid w:val="35860B74"/>
    <w:rsid w:val="359B6990"/>
    <w:rsid w:val="359D7E31"/>
    <w:rsid w:val="35B82A01"/>
    <w:rsid w:val="35C15A78"/>
    <w:rsid w:val="35CA680B"/>
    <w:rsid w:val="35CF579B"/>
    <w:rsid w:val="35D078C6"/>
    <w:rsid w:val="35DE51D0"/>
    <w:rsid w:val="35E34FE2"/>
    <w:rsid w:val="35FD4A2E"/>
    <w:rsid w:val="36114705"/>
    <w:rsid w:val="3618764A"/>
    <w:rsid w:val="361B02C4"/>
    <w:rsid w:val="36230ADB"/>
    <w:rsid w:val="362D5AB6"/>
    <w:rsid w:val="3645533C"/>
    <w:rsid w:val="36535546"/>
    <w:rsid w:val="366A18CF"/>
    <w:rsid w:val="36780540"/>
    <w:rsid w:val="367F418B"/>
    <w:rsid w:val="368C2615"/>
    <w:rsid w:val="36A97035"/>
    <w:rsid w:val="36EA2E8D"/>
    <w:rsid w:val="37200B07"/>
    <w:rsid w:val="372B65A6"/>
    <w:rsid w:val="37356E1E"/>
    <w:rsid w:val="3749298B"/>
    <w:rsid w:val="376436EA"/>
    <w:rsid w:val="376E1BF4"/>
    <w:rsid w:val="3776411B"/>
    <w:rsid w:val="37821EA6"/>
    <w:rsid w:val="37913F6D"/>
    <w:rsid w:val="3794497F"/>
    <w:rsid w:val="37A4748D"/>
    <w:rsid w:val="37B84853"/>
    <w:rsid w:val="37B92B12"/>
    <w:rsid w:val="37E10C20"/>
    <w:rsid w:val="37F332A3"/>
    <w:rsid w:val="37F52347"/>
    <w:rsid w:val="38005B02"/>
    <w:rsid w:val="381072ED"/>
    <w:rsid w:val="381C42E2"/>
    <w:rsid w:val="38216989"/>
    <w:rsid w:val="382F3B56"/>
    <w:rsid w:val="38357C60"/>
    <w:rsid w:val="383E109A"/>
    <w:rsid w:val="387E3C97"/>
    <w:rsid w:val="389970B8"/>
    <w:rsid w:val="38C476A9"/>
    <w:rsid w:val="38D14710"/>
    <w:rsid w:val="38DB3435"/>
    <w:rsid w:val="38E8660F"/>
    <w:rsid w:val="38EA24F3"/>
    <w:rsid w:val="38FD2513"/>
    <w:rsid w:val="38FD6E1C"/>
    <w:rsid w:val="38FF7072"/>
    <w:rsid w:val="390C7DD5"/>
    <w:rsid w:val="391645D1"/>
    <w:rsid w:val="39220281"/>
    <w:rsid w:val="392E1315"/>
    <w:rsid w:val="39341C5A"/>
    <w:rsid w:val="393D76B3"/>
    <w:rsid w:val="395B6F4C"/>
    <w:rsid w:val="39607B46"/>
    <w:rsid w:val="39760769"/>
    <w:rsid w:val="398855FD"/>
    <w:rsid w:val="398C41F1"/>
    <w:rsid w:val="398E6E49"/>
    <w:rsid w:val="39991158"/>
    <w:rsid w:val="39A9748A"/>
    <w:rsid w:val="39AC7AA2"/>
    <w:rsid w:val="39B23DFF"/>
    <w:rsid w:val="39B81AC8"/>
    <w:rsid w:val="39C2782D"/>
    <w:rsid w:val="39C37CF9"/>
    <w:rsid w:val="39C709C6"/>
    <w:rsid w:val="39D31B46"/>
    <w:rsid w:val="39D4453D"/>
    <w:rsid w:val="39F66877"/>
    <w:rsid w:val="3A063029"/>
    <w:rsid w:val="3A093C32"/>
    <w:rsid w:val="3A2B1C4D"/>
    <w:rsid w:val="3A6806CC"/>
    <w:rsid w:val="3A79025B"/>
    <w:rsid w:val="3A79500B"/>
    <w:rsid w:val="3A7F4156"/>
    <w:rsid w:val="3A84337B"/>
    <w:rsid w:val="3A934393"/>
    <w:rsid w:val="3A9707CE"/>
    <w:rsid w:val="3A98382E"/>
    <w:rsid w:val="3AA11861"/>
    <w:rsid w:val="3AA2675A"/>
    <w:rsid w:val="3ACB299B"/>
    <w:rsid w:val="3ACB3B14"/>
    <w:rsid w:val="3AD76523"/>
    <w:rsid w:val="3AE172B2"/>
    <w:rsid w:val="3AF95CA4"/>
    <w:rsid w:val="3B0A6B5A"/>
    <w:rsid w:val="3B397455"/>
    <w:rsid w:val="3B457983"/>
    <w:rsid w:val="3B5B60C5"/>
    <w:rsid w:val="3B8170D6"/>
    <w:rsid w:val="3B8D791F"/>
    <w:rsid w:val="3BAD2A98"/>
    <w:rsid w:val="3BCC73C9"/>
    <w:rsid w:val="3BDA350E"/>
    <w:rsid w:val="3BDB12E2"/>
    <w:rsid w:val="3BE717FE"/>
    <w:rsid w:val="3C002B89"/>
    <w:rsid w:val="3C12242C"/>
    <w:rsid w:val="3C1B73B6"/>
    <w:rsid w:val="3C1C54F2"/>
    <w:rsid w:val="3C2158ED"/>
    <w:rsid w:val="3C3C6499"/>
    <w:rsid w:val="3C4077D7"/>
    <w:rsid w:val="3C53755B"/>
    <w:rsid w:val="3C5E5053"/>
    <w:rsid w:val="3C7F729A"/>
    <w:rsid w:val="3C851966"/>
    <w:rsid w:val="3C8856E5"/>
    <w:rsid w:val="3C892D71"/>
    <w:rsid w:val="3C8A12AA"/>
    <w:rsid w:val="3C9A4090"/>
    <w:rsid w:val="3CAF1C2F"/>
    <w:rsid w:val="3CBF4B0D"/>
    <w:rsid w:val="3CCB7977"/>
    <w:rsid w:val="3CD736D4"/>
    <w:rsid w:val="3CF7402E"/>
    <w:rsid w:val="3D102E9C"/>
    <w:rsid w:val="3D180BD2"/>
    <w:rsid w:val="3D383CB7"/>
    <w:rsid w:val="3D4E07D5"/>
    <w:rsid w:val="3D4E4165"/>
    <w:rsid w:val="3D5B6314"/>
    <w:rsid w:val="3D6B637D"/>
    <w:rsid w:val="3D70575F"/>
    <w:rsid w:val="3D716DEF"/>
    <w:rsid w:val="3D7B073B"/>
    <w:rsid w:val="3D7C0BB3"/>
    <w:rsid w:val="3D886524"/>
    <w:rsid w:val="3DAA5F13"/>
    <w:rsid w:val="3DBC5076"/>
    <w:rsid w:val="3DBD7514"/>
    <w:rsid w:val="3DBF4303"/>
    <w:rsid w:val="3DC2439D"/>
    <w:rsid w:val="3DC968B5"/>
    <w:rsid w:val="3DD724FF"/>
    <w:rsid w:val="3DDB658B"/>
    <w:rsid w:val="3DE768E7"/>
    <w:rsid w:val="3DEE21D2"/>
    <w:rsid w:val="3E2658DF"/>
    <w:rsid w:val="3E2C685B"/>
    <w:rsid w:val="3E2E0E60"/>
    <w:rsid w:val="3E303C96"/>
    <w:rsid w:val="3E3933B5"/>
    <w:rsid w:val="3E3C6007"/>
    <w:rsid w:val="3E4203B8"/>
    <w:rsid w:val="3E714AB3"/>
    <w:rsid w:val="3E864F15"/>
    <w:rsid w:val="3E936640"/>
    <w:rsid w:val="3E994910"/>
    <w:rsid w:val="3EA16047"/>
    <w:rsid w:val="3EA95918"/>
    <w:rsid w:val="3EB119F9"/>
    <w:rsid w:val="3EB375E7"/>
    <w:rsid w:val="3EBB6664"/>
    <w:rsid w:val="3EC71FA5"/>
    <w:rsid w:val="3EDD35B7"/>
    <w:rsid w:val="3EEB7F50"/>
    <w:rsid w:val="3EF22B21"/>
    <w:rsid w:val="3EF3148E"/>
    <w:rsid w:val="3EF76E33"/>
    <w:rsid w:val="3EF81BE0"/>
    <w:rsid w:val="3F0474CA"/>
    <w:rsid w:val="3F1B216B"/>
    <w:rsid w:val="3F235AC2"/>
    <w:rsid w:val="3F2721D8"/>
    <w:rsid w:val="3F2D7AEE"/>
    <w:rsid w:val="3F321852"/>
    <w:rsid w:val="3F514D57"/>
    <w:rsid w:val="3F7427C1"/>
    <w:rsid w:val="3F745A32"/>
    <w:rsid w:val="3F7B3DBE"/>
    <w:rsid w:val="3F857DB0"/>
    <w:rsid w:val="3F897A7E"/>
    <w:rsid w:val="3F9D0C7D"/>
    <w:rsid w:val="3FA14896"/>
    <w:rsid w:val="3FAB3C23"/>
    <w:rsid w:val="3FAD011D"/>
    <w:rsid w:val="3FBD52F1"/>
    <w:rsid w:val="3FC219AB"/>
    <w:rsid w:val="3FC71361"/>
    <w:rsid w:val="3FE6359F"/>
    <w:rsid w:val="3FEA3158"/>
    <w:rsid w:val="3FEB1463"/>
    <w:rsid w:val="3FEC2CD2"/>
    <w:rsid w:val="3FF40BC2"/>
    <w:rsid w:val="4024721E"/>
    <w:rsid w:val="40296BEB"/>
    <w:rsid w:val="402A192A"/>
    <w:rsid w:val="40397D53"/>
    <w:rsid w:val="404158CD"/>
    <w:rsid w:val="404A2E0B"/>
    <w:rsid w:val="404F253B"/>
    <w:rsid w:val="40833E1B"/>
    <w:rsid w:val="409F5C3D"/>
    <w:rsid w:val="40B0451C"/>
    <w:rsid w:val="40B2554C"/>
    <w:rsid w:val="40BD2BB0"/>
    <w:rsid w:val="40D16C4B"/>
    <w:rsid w:val="40D83EF0"/>
    <w:rsid w:val="40E14AF7"/>
    <w:rsid w:val="40FB360D"/>
    <w:rsid w:val="40FF5B59"/>
    <w:rsid w:val="41130B01"/>
    <w:rsid w:val="412146BF"/>
    <w:rsid w:val="41265013"/>
    <w:rsid w:val="412E7557"/>
    <w:rsid w:val="414E7B8C"/>
    <w:rsid w:val="415D0DB1"/>
    <w:rsid w:val="41634696"/>
    <w:rsid w:val="416E4D2C"/>
    <w:rsid w:val="41703CF9"/>
    <w:rsid w:val="417115E1"/>
    <w:rsid w:val="41732F74"/>
    <w:rsid w:val="41736B1D"/>
    <w:rsid w:val="41745781"/>
    <w:rsid w:val="41756704"/>
    <w:rsid w:val="4192676E"/>
    <w:rsid w:val="41E00614"/>
    <w:rsid w:val="41E50407"/>
    <w:rsid w:val="41EB4BA9"/>
    <w:rsid w:val="41EF6AA3"/>
    <w:rsid w:val="41F769BB"/>
    <w:rsid w:val="42050B5F"/>
    <w:rsid w:val="421639F2"/>
    <w:rsid w:val="421A0859"/>
    <w:rsid w:val="4223228C"/>
    <w:rsid w:val="423406D4"/>
    <w:rsid w:val="423B7657"/>
    <w:rsid w:val="42436716"/>
    <w:rsid w:val="424821B1"/>
    <w:rsid w:val="425F2C92"/>
    <w:rsid w:val="42927483"/>
    <w:rsid w:val="42990CA6"/>
    <w:rsid w:val="42B7578F"/>
    <w:rsid w:val="42E60F7D"/>
    <w:rsid w:val="42EF2F5B"/>
    <w:rsid w:val="42FC5183"/>
    <w:rsid w:val="43053389"/>
    <w:rsid w:val="43216F94"/>
    <w:rsid w:val="432C30B3"/>
    <w:rsid w:val="4348125E"/>
    <w:rsid w:val="434E51B4"/>
    <w:rsid w:val="4355293C"/>
    <w:rsid w:val="437E45C3"/>
    <w:rsid w:val="43867F2F"/>
    <w:rsid w:val="4393238C"/>
    <w:rsid w:val="43B86DAF"/>
    <w:rsid w:val="43BB61EA"/>
    <w:rsid w:val="43C576FA"/>
    <w:rsid w:val="43D31E79"/>
    <w:rsid w:val="43FA73B9"/>
    <w:rsid w:val="440525B4"/>
    <w:rsid w:val="4414585E"/>
    <w:rsid w:val="44374DA6"/>
    <w:rsid w:val="445C6678"/>
    <w:rsid w:val="4462549B"/>
    <w:rsid w:val="44742E40"/>
    <w:rsid w:val="44780F8C"/>
    <w:rsid w:val="449E48C7"/>
    <w:rsid w:val="44AF0AA0"/>
    <w:rsid w:val="44B8631A"/>
    <w:rsid w:val="44C95C02"/>
    <w:rsid w:val="44DC3001"/>
    <w:rsid w:val="44EF2890"/>
    <w:rsid w:val="44FF6477"/>
    <w:rsid w:val="450700F1"/>
    <w:rsid w:val="4510794B"/>
    <w:rsid w:val="45191903"/>
    <w:rsid w:val="451E41C3"/>
    <w:rsid w:val="453224BC"/>
    <w:rsid w:val="4547590E"/>
    <w:rsid w:val="454967F2"/>
    <w:rsid w:val="45557BBE"/>
    <w:rsid w:val="455C3634"/>
    <w:rsid w:val="45630354"/>
    <w:rsid w:val="45674A17"/>
    <w:rsid w:val="456A547C"/>
    <w:rsid w:val="457366F4"/>
    <w:rsid w:val="45787C88"/>
    <w:rsid w:val="457F4D5E"/>
    <w:rsid w:val="459045CF"/>
    <w:rsid w:val="45910A69"/>
    <w:rsid w:val="4593031D"/>
    <w:rsid w:val="45937524"/>
    <w:rsid w:val="45A3532B"/>
    <w:rsid w:val="45CB16FC"/>
    <w:rsid w:val="45E834F5"/>
    <w:rsid w:val="45EE1DFC"/>
    <w:rsid w:val="45FC5957"/>
    <w:rsid w:val="46115240"/>
    <w:rsid w:val="46144D75"/>
    <w:rsid w:val="461536C0"/>
    <w:rsid w:val="461A3AAC"/>
    <w:rsid w:val="462562CB"/>
    <w:rsid w:val="463E6649"/>
    <w:rsid w:val="46446B62"/>
    <w:rsid w:val="46454EEA"/>
    <w:rsid w:val="464A6099"/>
    <w:rsid w:val="46913067"/>
    <w:rsid w:val="469A5C98"/>
    <w:rsid w:val="46BE047D"/>
    <w:rsid w:val="46CA3FE0"/>
    <w:rsid w:val="46CD663C"/>
    <w:rsid w:val="46D23F85"/>
    <w:rsid w:val="46E70CA0"/>
    <w:rsid w:val="46EB3C9E"/>
    <w:rsid w:val="46F223B2"/>
    <w:rsid w:val="46F61F0D"/>
    <w:rsid w:val="47020F86"/>
    <w:rsid w:val="470458D6"/>
    <w:rsid w:val="47092594"/>
    <w:rsid w:val="472559C6"/>
    <w:rsid w:val="472713BB"/>
    <w:rsid w:val="47354D1C"/>
    <w:rsid w:val="473B469B"/>
    <w:rsid w:val="473F3410"/>
    <w:rsid w:val="4748319D"/>
    <w:rsid w:val="47511CD6"/>
    <w:rsid w:val="475F5DFF"/>
    <w:rsid w:val="47643588"/>
    <w:rsid w:val="477B5758"/>
    <w:rsid w:val="478957DB"/>
    <w:rsid w:val="47964D70"/>
    <w:rsid w:val="47A81641"/>
    <w:rsid w:val="47AA2D9E"/>
    <w:rsid w:val="47DD5C1D"/>
    <w:rsid w:val="47E34F12"/>
    <w:rsid w:val="47ED091C"/>
    <w:rsid w:val="47EF7803"/>
    <w:rsid w:val="47F41D66"/>
    <w:rsid w:val="47F6035B"/>
    <w:rsid w:val="47F86D5D"/>
    <w:rsid w:val="480A4D05"/>
    <w:rsid w:val="480D6B62"/>
    <w:rsid w:val="4815472D"/>
    <w:rsid w:val="481B4D15"/>
    <w:rsid w:val="482B4F59"/>
    <w:rsid w:val="483B72B0"/>
    <w:rsid w:val="483E19C8"/>
    <w:rsid w:val="484B1D38"/>
    <w:rsid w:val="48543FBB"/>
    <w:rsid w:val="485F42FF"/>
    <w:rsid w:val="48703B7B"/>
    <w:rsid w:val="489F0BAB"/>
    <w:rsid w:val="48AA0E94"/>
    <w:rsid w:val="48B4127F"/>
    <w:rsid w:val="48CB27CF"/>
    <w:rsid w:val="48D70627"/>
    <w:rsid w:val="48F35A05"/>
    <w:rsid w:val="48FE7DD3"/>
    <w:rsid w:val="49087921"/>
    <w:rsid w:val="491532C4"/>
    <w:rsid w:val="49191E77"/>
    <w:rsid w:val="49233C2C"/>
    <w:rsid w:val="4938010D"/>
    <w:rsid w:val="499745FC"/>
    <w:rsid w:val="49B11FB0"/>
    <w:rsid w:val="49B368FF"/>
    <w:rsid w:val="49BB4ECD"/>
    <w:rsid w:val="49C73D5E"/>
    <w:rsid w:val="49CE5C40"/>
    <w:rsid w:val="49E91F64"/>
    <w:rsid w:val="49EA64D4"/>
    <w:rsid w:val="49EF1A2A"/>
    <w:rsid w:val="49F66C27"/>
    <w:rsid w:val="4A0219B1"/>
    <w:rsid w:val="4A0B55F5"/>
    <w:rsid w:val="4A1F557B"/>
    <w:rsid w:val="4A291240"/>
    <w:rsid w:val="4A356C57"/>
    <w:rsid w:val="4A4D4FB1"/>
    <w:rsid w:val="4A767604"/>
    <w:rsid w:val="4A8039E1"/>
    <w:rsid w:val="4A847548"/>
    <w:rsid w:val="4A8C1339"/>
    <w:rsid w:val="4A940B24"/>
    <w:rsid w:val="4AA47DD1"/>
    <w:rsid w:val="4AC265F2"/>
    <w:rsid w:val="4AC62288"/>
    <w:rsid w:val="4AC9567C"/>
    <w:rsid w:val="4ACA1CB9"/>
    <w:rsid w:val="4ACD148A"/>
    <w:rsid w:val="4ADD5677"/>
    <w:rsid w:val="4ADE6345"/>
    <w:rsid w:val="4AF74563"/>
    <w:rsid w:val="4B057D3A"/>
    <w:rsid w:val="4B0E7E60"/>
    <w:rsid w:val="4B281124"/>
    <w:rsid w:val="4B2D4044"/>
    <w:rsid w:val="4B3014D5"/>
    <w:rsid w:val="4B3241CD"/>
    <w:rsid w:val="4B3C4D39"/>
    <w:rsid w:val="4B532119"/>
    <w:rsid w:val="4B5D14FD"/>
    <w:rsid w:val="4B605FC7"/>
    <w:rsid w:val="4B651E35"/>
    <w:rsid w:val="4B6C292B"/>
    <w:rsid w:val="4B6E7E38"/>
    <w:rsid w:val="4B7B4877"/>
    <w:rsid w:val="4B8052FB"/>
    <w:rsid w:val="4B8D3201"/>
    <w:rsid w:val="4B8F7BF5"/>
    <w:rsid w:val="4B9D2962"/>
    <w:rsid w:val="4BA130B3"/>
    <w:rsid w:val="4BB20956"/>
    <w:rsid w:val="4BCC3117"/>
    <w:rsid w:val="4BD54757"/>
    <w:rsid w:val="4BDB502C"/>
    <w:rsid w:val="4BE22384"/>
    <w:rsid w:val="4BEC3A67"/>
    <w:rsid w:val="4C025983"/>
    <w:rsid w:val="4C433C79"/>
    <w:rsid w:val="4C4547C2"/>
    <w:rsid w:val="4C5C441C"/>
    <w:rsid w:val="4C5E5A5A"/>
    <w:rsid w:val="4C8B4A7A"/>
    <w:rsid w:val="4C910358"/>
    <w:rsid w:val="4C9E4D26"/>
    <w:rsid w:val="4CB3186A"/>
    <w:rsid w:val="4CB621E7"/>
    <w:rsid w:val="4CBB2ED4"/>
    <w:rsid w:val="4CC55816"/>
    <w:rsid w:val="4CC61158"/>
    <w:rsid w:val="4CF26E2E"/>
    <w:rsid w:val="4CFA7D96"/>
    <w:rsid w:val="4CFF1B08"/>
    <w:rsid w:val="4D411042"/>
    <w:rsid w:val="4D503E81"/>
    <w:rsid w:val="4D561F6D"/>
    <w:rsid w:val="4D6E1551"/>
    <w:rsid w:val="4DA1744F"/>
    <w:rsid w:val="4DAA7889"/>
    <w:rsid w:val="4DE627FD"/>
    <w:rsid w:val="4DEC5DB6"/>
    <w:rsid w:val="4DF725A8"/>
    <w:rsid w:val="4E0949F7"/>
    <w:rsid w:val="4E156C32"/>
    <w:rsid w:val="4E4C4B92"/>
    <w:rsid w:val="4E5D49A3"/>
    <w:rsid w:val="4E7838BE"/>
    <w:rsid w:val="4E797D25"/>
    <w:rsid w:val="4E864BFA"/>
    <w:rsid w:val="4EAB6938"/>
    <w:rsid w:val="4EC92950"/>
    <w:rsid w:val="4ED954E7"/>
    <w:rsid w:val="4EDD6746"/>
    <w:rsid w:val="4EE96D5A"/>
    <w:rsid w:val="4F1711AD"/>
    <w:rsid w:val="4F1C5FA9"/>
    <w:rsid w:val="4F1D519B"/>
    <w:rsid w:val="4F34047D"/>
    <w:rsid w:val="4F4D06E2"/>
    <w:rsid w:val="4F57512A"/>
    <w:rsid w:val="4F6F0A80"/>
    <w:rsid w:val="4F8A4EE4"/>
    <w:rsid w:val="4FB47FE2"/>
    <w:rsid w:val="4FB91F8F"/>
    <w:rsid w:val="4FC44853"/>
    <w:rsid w:val="4FDA3FD1"/>
    <w:rsid w:val="4FE56B2B"/>
    <w:rsid w:val="4FF31659"/>
    <w:rsid w:val="4FF8580C"/>
    <w:rsid w:val="4FFF0D16"/>
    <w:rsid w:val="50106AAC"/>
    <w:rsid w:val="50325D99"/>
    <w:rsid w:val="50364F62"/>
    <w:rsid w:val="50384543"/>
    <w:rsid w:val="503F43CD"/>
    <w:rsid w:val="50503878"/>
    <w:rsid w:val="50652809"/>
    <w:rsid w:val="506D25C2"/>
    <w:rsid w:val="50741186"/>
    <w:rsid w:val="50743208"/>
    <w:rsid w:val="508672BB"/>
    <w:rsid w:val="50913DD1"/>
    <w:rsid w:val="50C24721"/>
    <w:rsid w:val="50C80F0F"/>
    <w:rsid w:val="50D5138F"/>
    <w:rsid w:val="50D601BC"/>
    <w:rsid w:val="50F2322A"/>
    <w:rsid w:val="50F74298"/>
    <w:rsid w:val="510B3F9B"/>
    <w:rsid w:val="510D0B58"/>
    <w:rsid w:val="51135211"/>
    <w:rsid w:val="51170440"/>
    <w:rsid w:val="51255057"/>
    <w:rsid w:val="514E047E"/>
    <w:rsid w:val="515039A3"/>
    <w:rsid w:val="51521A6D"/>
    <w:rsid w:val="51622DF4"/>
    <w:rsid w:val="517276E6"/>
    <w:rsid w:val="51833592"/>
    <w:rsid w:val="518F14A8"/>
    <w:rsid w:val="518F60D4"/>
    <w:rsid w:val="51BB4799"/>
    <w:rsid w:val="51C44185"/>
    <w:rsid w:val="51D82D01"/>
    <w:rsid w:val="51DE03BA"/>
    <w:rsid w:val="51DE4C8C"/>
    <w:rsid w:val="51DF66AF"/>
    <w:rsid w:val="52002D6C"/>
    <w:rsid w:val="52047E3D"/>
    <w:rsid w:val="52256028"/>
    <w:rsid w:val="522737A6"/>
    <w:rsid w:val="524E1CF4"/>
    <w:rsid w:val="525F1FEE"/>
    <w:rsid w:val="52604BF7"/>
    <w:rsid w:val="5273143A"/>
    <w:rsid w:val="52873591"/>
    <w:rsid w:val="528D0FB9"/>
    <w:rsid w:val="528F5903"/>
    <w:rsid w:val="52C71F43"/>
    <w:rsid w:val="52CA4F53"/>
    <w:rsid w:val="52D91AF9"/>
    <w:rsid w:val="52E234CB"/>
    <w:rsid w:val="52F93212"/>
    <w:rsid w:val="52FC5647"/>
    <w:rsid w:val="530000F4"/>
    <w:rsid w:val="53014B5F"/>
    <w:rsid w:val="531652E6"/>
    <w:rsid w:val="53291111"/>
    <w:rsid w:val="53347D25"/>
    <w:rsid w:val="533869E1"/>
    <w:rsid w:val="537330A1"/>
    <w:rsid w:val="539314BE"/>
    <w:rsid w:val="53955A31"/>
    <w:rsid w:val="539D0577"/>
    <w:rsid w:val="53A10F74"/>
    <w:rsid w:val="53A47464"/>
    <w:rsid w:val="53AF1B11"/>
    <w:rsid w:val="53C14870"/>
    <w:rsid w:val="53C323FB"/>
    <w:rsid w:val="53CA1C9D"/>
    <w:rsid w:val="53CC2E87"/>
    <w:rsid w:val="53E00978"/>
    <w:rsid w:val="53E04A40"/>
    <w:rsid w:val="53E175EE"/>
    <w:rsid w:val="53ED4B21"/>
    <w:rsid w:val="53EF42E8"/>
    <w:rsid w:val="54085483"/>
    <w:rsid w:val="540F4BA3"/>
    <w:rsid w:val="54112BA1"/>
    <w:rsid w:val="54283886"/>
    <w:rsid w:val="54331C81"/>
    <w:rsid w:val="54344DA9"/>
    <w:rsid w:val="54382DD2"/>
    <w:rsid w:val="54423663"/>
    <w:rsid w:val="5444306B"/>
    <w:rsid w:val="544D65EB"/>
    <w:rsid w:val="54596F47"/>
    <w:rsid w:val="547F572A"/>
    <w:rsid w:val="549147C2"/>
    <w:rsid w:val="54975816"/>
    <w:rsid w:val="54A905E7"/>
    <w:rsid w:val="54B355DC"/>
    <w:rsid w:val="54C47DC3"/>
    <w:rsid w:val="54CF10CC"/>
    <w:rsid w:val="54D4007A"/>
    <w:rsid w:val="54DD5FAB"/>
    <w:rsid w:val="54DD66B8"/>
    <w:rsid w:val="54E50897"/>
    <w:rsid w:val="54EB7139"/>
    <w:rsid w:val="5508642B"/>
    <w:rsid w:val="550F1BE8"/>
    <w:rsid w:val="55284958"/>
    <w:rsid w:val="55387C17"/>
    <w:rsid w:val="554528CF"/>
    <w:rsid w:val="55646765"/>
    <w:rsid w:val="55667F9D"/>
    <w:rsid w:val="55675DCD"/>
    <w:rsid w:val="556A6733"/>
    <w:rsid w:val="55822BC4"/>
    <w:rsid w:val="558B1747"/>
    <w:rsid w:val="55A92E34"/>
    <w:rsid w:val="55B20498"/>
    <w:rsid w:val="55B4712C"/>
    <w:rsid w:val="55B6208F"/>
    <w:rsid w:val="55B70714"/>
    <w:rsid w:val="55B96FE6"/>
    <w:rsid w:val="55C37945"/>
    <w:rsid w:val="55CA2FB5"/>
    <w:rsid w:val="55DE4DCA"/>
    <w:rsid w:val="55F300E5"/>
    <w:rsid w:val="55FB6E41"/>
    <w:rsid w:val="560132BD"/>
    <w:rsid w:val="560E5C3B"/>
    <w:rsid w:val="5613582B"/>
    <w:rsid w:val="56240B88"/>
    <w:rsid w:val="562B7679"/>
    <w:rsid w:val="56310D87"/>
    <w:rsid w:val="5635503A"/>
    <w:rsid w:val="56757155"/>
    <w:rsid w:val="56774F92"/>
    <w:rsid w:val="568640A5"/>
    <w:rsid w:val="568C115F"/>
    <w:rsid w:val="568E067B"/>
    <w:rsid w:val="56C23A69"/>
    <w:rsid w:val="56CA27ED"/>
    <w:rsid w:val="57022F2E"/>
    <w:rsid w:val="5719426D"/>
    <w:rsid w:val="572006A5"/>
    <w:rsid w:val="577411CC"/>
    <w:rsid w:val="577E1C80"/>
    <w:rsid w:val="57830D69"/>
    <w:rsid w:val="578F1DDE"/>
    <w:rsid w:val="57900406"/>
    <w:rsid w:val="57AA1DE1"/>
    <w:rsid w:val="57AB1005"/>
    <w:rsid w:val="57B27348"/>
    <w:rsid w:val="57B56BFF"/>
    <w:rsid w:val="57CC1813"/>
    <w:rsid w:val="57D33CE4"/>
    <w:rsid w:val="57D91077"/>
    <w:rsid w:val="57E44AE7"/>
    <w:rsid w:val="57E873DB"/>
    <w:rsid w:val="57E97B1E"/>
    <w:rsid w:val="57F53C6E"/>
    <w:rsid w:val="57FF7457"/>
    <w:rsid w:val="58036386"/>
    <w:rsid w:val="580F343A"/>
    <w:rsid w:val="58102982"/>
    <w:rsid w:val="581C5C37"/>
    <w:rsid w:val="5833267C"/>
    <w:rsid w:val="583E7492"/>
    <w:rsid w:val="58426A9C"/>
    <w:rsid w:val="58475529"/>
    <w:rsid w:val="586111E4"/>
    <w:rsid w:val="586244C0"/>
    <w:rsid w:val="588E0E9B"/>
    <w:rsid w:val="58A34317"/>
    <w:rsid w:val="58AA3DF9"/>
    <w:rsid w:val="58B0742D"/>
    <w:rsid w:val="58B13B74"/>
    <w:rsid w:val="58B946EE"/>
    <w:rsid w:val="58BB7CD0"/>
    <w:rsid w:val="58BC3A6E"/>
    <w:rsid w:val="58C4669E"/>
    <w:rsid w:val="58CE2F82"/>
    <w:rsid w:val="58D01F59"/>
    <w:rsid w:val="58DB634A"/>
    <w:rsid w:val="59185461"/>
    <w:rsid w:val="5923193B"/>
    <w:rsid w:val="59337937"/>
    <w:rsid w:val="593D2D13"/>
    <w:rsid w:val="5944419A"/>
    <w:rsid w:val="59567E98"/>
    <w:rsid w:val="59795801"/>
    <w:rsid w:val="597C7A56"/>
    <w:rsid w:val="597F0B59"/>
    <w:rsid w:val="59847B60"/>
    <w:rsid w:val="59920478"/>
    <w:rsid w:val="59926240"/>
    <w:rsid w:val="599A62D3"/>
    <w:rsid w:val="59A162B1"/>
    <w:rsid w:val="59AB4D42"/>
    <w:rsid w:val="59B85771"/>
    <w:rsid w:val="59C40A6B"/>
    <w:rsid w:val="5A025E2E"/>
    <w:rsid w:val="5A075B7B"/>
    <w:rsid w:val="5A22243F"/>
    <w:rsid w:val="5A2423BD"/>
    <w:rsid w:val="5A3437AB"/>
    <w:rsid w:val="5A3812BC"/>
    <w:rsid w:val="5A4C29B5"/>
    <w:rsid w:val="5A5203D9"/>
    <w:rsid w:val="5A702838"/>
    <w:rsid w:val="5A9A3903"/>
    <w:rsid w:val="5A9B4CBB"/>
    <w:rsid w:val="5AA40D6F"/>
    <w:rsid w:val="5AAF5826"/>
    <w:rsid w:val="5AB300E9"/>
    <w:rsid w:val="5AD00E97"/>
    <w:rsid w:val="5AD02E1B"/>
    <w:rsid w:val="5AD1117B"/>
    <w:rsid w:val="5AD85556"/>
    <w:rsid w:val="5AEE1330"/>
    <w:rsid w:val="5AF65F0D"/>
    <w:rsid w:val="5AFA3261"/>
    <w:rsid w:val="5B106A47"/>
    <w:rsid w:val="5B124D7A"/>
    <w:rsid w:val="5B191037"/>
    <w:rsid w:val="5B1F2679"/>
    <w:rsid w:val="5B3028AE"/>
    <w:rsid w:val="5B305D11"/>
    <w:rsid w:val="5B360352"/>
    <w:rsid w:val="5B505B95"/>
    <w:rsid w:val="5B6B6662"/>
    <w:rsid w:val="5B701B1C"/>
    <w:rsid w:val="5B861DD0"/>
    <w:rsid w:val="5B88511F"/>
    <w:rsid w:val="5B904753"/>
    <w:rsid w:val="5B95226D"/>
    <w:rsid w:val="5B987ABA"/>
    <w:rsid w:val="5BA81440"/>
    <w:rsid w:val="5BC10E8E"/>
    <w:rsid w:val="5BC94D1D"/>
    <w:rsid w:val="5BCA737A"/>
    <w:rsid w:val="5BD85010"/>
    <w:rsid w:val="5BDA1E29"/>
    <w:rsid w:val="5BDC09C2"/>
    <w:rsid w:val="5BE33B24"/>
    <w:rsid w:val="5BE4644B"/>
    <w:rsid w:val="5BED5D14"/>
    <w:rsid w:val="5BF366BC"/>
    <w:rsid w:val="5BF36B7D"/>
    <w:rsid w:val="5C0F57F7"/>
    <w:rsid w:val="5C190243"/>
    <w:rsid w:val="5C412D83"/>
    <w:rsid w:val="5C68234B"/>
    <w:rsid w:val="5C7B120D"/>
    <w:rsid w:val="5C831EA1"/>
    <w:rsid w:val="5C83525B"/>
    <w:rsid w:val="5C850A90"/>
    <w:rsid w:val="5C8B5318"/>
    <w:rsid w:val="5C935381"/>
    <w:rsid w:val="5C9C2E0B"/>
    <w:rsid w:val="5CB81FAB"/>
    <w:rsid w:val="5CBA6FE3"/>
    <w:rsid w:val="5CC3413A"/>
    <w:rsid w:val="5CCB772B"/>
    <w:rsid w:val="5CD14F52"/>
    <w:rsid w:val="5CD305BF"/>
    <w:rsid w:val="5CF26D8F"/>
    <w:rsid w:val="5CF5041A"/>
    <w:rsid w:val="5CFE0E07"/>
    <w:rsid w:val="5D004A76"/>
    <w:rsid w:val="5D0143FB"/>
    <w:rsid w:val="5D06027A"/>
    <w:rsid w:val="5D094B01"/>
    <w:rsid w:val="5D0E1BEF"/>
    <w:rsid w:val="5D142E53"/>
    <w:rsid w:val="5D323152"/>
    <w:rsid w:val="5D374FDF"/>
    <w:rsid w:val="5D380B84"/>
    <w:rsid w:val="5D3B6548"/>
    <w:rsid w:val="5D462B3B"/>
    <w:rsid w:val="5D5F685A"/>
    <w:rsid w:val="5D65678D"/>
    <w:rsid w:val="5D6C3080"/>
    <w:rsid w:val="5D7516D4"/>
    <w:rsid w:val="5D7672EA"/>
    <w:rsid w:val="5D7A40D2"/>
    <w:rsid w:val="5D800CEF"/>
    <w:rsid w:val="5DA91A22"/>
    <w:rsid w:val="5DBE4362"/>
    <w:rsid w:val="5DC32346"/>
    <w:rsid w:val="5DCB43E2"/>
    <w:rsid w:val="5DF1699C"/>
    <w:rsid w:val="5DF5146D"/>
    <w:rsid w:val="5DFA2CDB"/>
    <w:rsid w:val="5DFA7138"/>
    <w:rsid w:val="5E130140"/>
    <w:rsid w:val="5E20259F"/>
    <w:rsid w:val="5E217D16"/>
    <w:rsid w:val="5E2801D1"/>
    <w:rsid w:val="5E371AAA"/>
    <w:rsid w:val="5E5F3EFA"/>
    <w:rsid w:val="5E730583"/>
    <w:rsid w:val="5E754530"/>
    <w:rsid w:val="5E76076F"/>
    <w:rsid w:val="5E77204F"/>
    <w:rsid w:val="5E7926FF"/>
    <w:rsid w:val="5E7E38EB"/>
    <w:rsid w:val="5E920F01"/>
    <w:rsid w:val="5E9602B3"/>
    <w:rsid w:val="5E9F6092"/>
    <w:rsid w:val="5EA35B10"/>
    <w:rsid w:val="5EB601E2"/>
    <w:rsid w:val="5EBE5E29"/>
    <w:rsid w:val="5EC529A8"/>
    <w:rsid w:val="5ED1731B"/>
    <w:rsid w:val="5EE24347"/>
    <w:rsid w:val="5EEE40CF"/>
    <w:rsid w:val="5F0718AB"/>
    <w:rsid w:val="5F0A412D"/>
    <w:rsid w:val="5F0F3F1E"/>
    <w:rsid w:val="5F19355D"/>
    <w:rsid w:val="5F1A7236"/>
    <w:rsid w:val="5F335DCF"/>
    <w:rsid w:val="5F380ED5"/>
    <w:rsid w:val="5F5875E4"/>
    <w:rsid w:val="5F5D0468"/>
    <w:rsid w:val="5F6906CA"/>
    <w:rsid w:val="5F6F1E8C"/>
    <w:rsid w:val="5F6F27CA"/>
    <w:rsid w:val="5F7D6F92"/>
    <w:rsid w:val="5F7E6C49"/>
    <w:rsid w:val="5F9B5415"/>
    <w:rsid w:val="5FA4749E"/>
    <w:rsid w:val="5FBA3A80"/>
    <w:rsid w:val="5FCD0AEE"/>
    <w:rsid w:val="5FD05755"/>
    <w:rsid w:val="5FD95CB1"/>
    <w:rsid w:val="5FDE4D54"/>
    <w:rsid w:val="5FF66989"/>
    <w:rsid w:val="5FF72E6D"/>
    <w:rsid w:val="6003052B"/>
    <w:rsid w:val="60074F8B"/>
    <w:rsid w:val="600E6F29"/>
    <w:rsid w:val="60274834"/>
    <w:rsid w:val="602A7214"/>
    <w:rsid w:val="602D5A7D"/>
    <w:rsid w:val="60384787"/>
    <w:rsid w:val="603C6C2F"/>
    <w:rsid w:val="60647D43"/>
    <w:rsid w:val="60651416"/>
    <w:rsid w:val="607275B8"/>
    <w:rsid w:val="607B2649"/>
    <w:rsid w:val="607C3BD5"/>
    <w:rsid w:val="60841A2F"/>
    <w:rsid w:val="60894F77"/>
    <w:rsid w:val="608D7E30"/>
    <w:rsid w:val="60940CA2"/>
    <w:rsid w:val="609B1876"/>
    <w:rsid w:val="609B6CFA"/>
    <w:rsid w:val="60A400CE"/>
    <w:rsid w:val="60C9621E"/>
    <w:rsid w:val="60CE4D21"/>
    <w:rsid w:val="60D969C0"/>
    <w:rsid w:val="60EB1F69"/>
    <w:rsid w:val="610D0146"/>
    <w:rsid w:val="611A4715"/>
    <w:rsid w:val="61430FE6"/>
    <w:rsid w:val="617E3B52"/>
    <w:rsid w:val="61822F22"/>
    <w:rsid w:val="618B75B1"/>
    <w:rsid w:val="61AD396D"/>
    <w:rsid w:val="61D13245"/>
    <w:rsid w:val="61D222BB"/>
    <w:rsid w:val="61DA2E6B"/>
    <w:rsid w:val="61EF4A64"/>
    <w:rsid w:val="61F33732"/>
    <w:rsid w:val="61FC68CF"/>
    <w:rsid w:val="62142BC3"/>
    <w:rsid w:val="62150DB6"/>
    <w:rsid w:val="621A31CE"/>
    <w:rsid w:val="621C29D1"/>
    <w:rsid w:val="621F751A"/>
    <w:rsid w:val="622D10AC"/>
    <w:rsid w:val="62326FEC"/>
    <w:rsid w:val="623F0C7C"/>
    <w:rsid w:val="624131F7"/>
    <w:rsid w:val="624575A7"/>
    <w:rsid w:val="624F1738"/>
    <w:rsid w:val="62533D98"/>
    <w:rsid w:val="626C7837"/>
    <w:rsid w:val="6273727D"/>
    <w:rsid w:val="627E4ECF"/>
    <w:rsid w:val="629306E1"/>
    <w:rsid w:val="62B14184"/>
    <w:rsid w:val="62BE48B3"/>
    <w:rsid w:val="62C66818"/>
    <w:rsid w:val="62E51E80"/>
    <w:rsid w:val="631B1924"/>
    <w:rsid w:val="63224B85"/>
    <w:rsid w:val="633244CC"/>
    <w:rsid w:val="634B2C19"/>
    <w:rsid w:val="634D6DC5"/>
    <w:rsid w:val="634D7C4C"/>
    <w:rsid w:val="63501FF4"/>
    <w:rsid w:val="637C7B92"/>
    <w:rsid w:val="63A866A3"/>
    <w:rsid w:val="63AC58C7"/>
    <w:rsid w:val="63AC6CA5"/>
    <w:rsid w:val="63CB7580"/>
    <w:rsid w:val="63CD34CB"/>
    <w:rsid w:val="63DA702B"/>
    <w:rsid w:val="63EF1684"/>
    <w:rsid w:val="63F24C98"/>
    <w:rsid w:val="641835A6"/>
    <w:rsid w:val="641B3AB4"/>
    <w:rsid w:val="641C47F7"/>
    <w:rsid w:val="641E116B"/>
    <w:rsid w:val="64241A2F"/>
    <w:rsid w:val="64412F48"/>
    <w:rsid w:val="64443B21"/>
    <w:rsid w:val="64497A5F"/>
    <w:rsid w:val="644D33F7"/>
    <w:rsid w:val="64742B80"/>
    <w:rsid w:val="64813477"/>
    <w:rsid w:val="64A25626"/>
    <w:rsid w:val="64B27796"/>
    <w:rsid w:val="64C317A8"/>
    <w:rsid w:val="64D93BE7"/>
    <w:rsid w:val="64E03E0B"/>
    <w:rsid w:val="64E6105A"/>
    <w:rsid w:val="650E3E0A"/>
    <w:rsid w:val="6510659A"/>
    <w:rsid w:val="652307C3"/>
    <w:rsid w:val="65403EB7"/>
    <w:rsid w:val="65414DDC"/>
    <w:rsid w:val="65463F88"/>
    <w:rsid w:val="65623251"/>
    <w:rsid w:val="65796F3A"/>
    <w:rsid w:val="658C19A5"/>
    <w:rsid w:val="65A82210"/>
    <w:rsid w:val="65AB2BCE"/>
    <w:rsid w:val="65CC06D1"/>
    <w:rsid w:val="65CC66B7"/>
    <w:rsid w:val="65CF4873"/>
    <w:rsid w:val="65D2781F"/>
    <w:rsid w:val="65D311C0"/>
    <w:rsid w:val="65DF56D0"/>
    <w:rsid w:val="65F85B9A"/>
    <w:rsid w:val="65FA28E7"/>
    <w:rsid w:val="66083144"/>
    <w:rsid w:val="66150C95"/>
    <w:rsid w:val="66167D4C"/>
    <w:rsid w:val="66267B2C"/>
    <w:rsid w:val="66446865"/>
    <w:rsid w:val="66582BC6"/>
    <w:rsid w:val="668511FF"/>
    <w:rsid w:val="66AC59A3"/>
    <w:rsid w:val="66BD5449"/>
    <w:rsid w:val="66C038B6"/>
    <w:rsid w:val="66CE18A0"/>
    <w:rsid w:val="66CE2110"/>
    <w:rsid w:val="66D42107"/>
    <w:rsid w:val="66D56A3C"/>
    <w:rsid w:val="66DC6B83"/>
    <w:rsid w:val="66E762B1"/>
    <w:rsid w:val="672A25EC"/>
    <w:rsid w:val="673A3F78"/>
    <w:rsid w:val="67475C51"/>
    <w:rsid w:val="67624E20"/>
    <w:rsid w:val="67682399"/>
    <w:rsid w:val="676D41CA"/>
    <w:rsid w:val="677956ED"/>
    <w:rsid w:val="678C4C75"/>
    <w:rsid w:val="6797047B"/>
    <w:rsid w:val="67E96EBC"/>
    <w:rsid w:val="680F2480"/>
    <w:rsid w:val="68123075"/>
    <w:rsid w:val="681A7892"/>
    <w:rsid w:val="68317DD1"/>
    <w:rsid w:val="68343A71"/>
    <w:rsid w:val="683D3B11"/>
    <w:rsid w:val="68437B16"/>
    <w:rsid w:val="684412EC"/>
    <w:rsid w:val="68465690"/>
    <w:rsid w:val="68517234"/>
    <w:rsid w:val="68642224"/>
    <w:rsid w:val="68750023"/>
    <w:rsid w:val="68813D76"/>
    <w:rsid w:val="688143B6"/>
    <w:rsid w:val="688F5B1A"/>
    <w:rsid w:val="6896139D"/>
    <w:rsid w:val="68A63399"/>
    <w:rsid w:val="68B14D38"/>
    <w:rsid w:val="68B9321D"/>
    <w:rsid w:val="68DA244D"/>
    <w:rsid w:val="68E37A74"/>
    <w:rsid w:val="68E82F4E"/>
    <w:rsid w:val="68E9208E"/>
    <w:rsid w:val="690175CF"/>
    <w:rsid w:val="690E1242"/>
    <w:rsid w:val="693B2B5A"/>
    <w:rsid w:val="69420A99"/>
    <w:rsid w:val="69464CD1"/>
    <w:rsid w:val="694E3BD0"/>
    <w:rsid w:val="69796DF8"/>
    <w:rsid w:val="697D4729"/>
    <w:rsid w:val="697F0860"/>
    <w:rsid w:val="698D785E"/>
    <w:rsid w:val="69A57BD2"/>
    <w:rsid w:val="69BC7086"/>
    <w:rsid w:val="69C23F6B"/>
    <w:rsid w:val="69CF36DE"/>
    <w:rsid w:val="69D66396"/>
    <w:rsid w:val="69DC4E96"/>
    <w:rsid w:val="69E63318"/>
    <w:rsid w:val="69F22079"/>
    <w:rsid w:val="69FE342D"/>
    <w:rsid w:val="6A045754"/>
    <w:rsid w:val="6A080807"/>
    <w:rsid w:val="6A0A5E44"/>
    <w:rsid w:val="6A0F5299"/>
    <w:rsid w:val="6A1B07E5"/>
    <w:rsid w:val="6A1C4C09"/>
    <w:rsid w:val="6A2001CE"/>
    <w:rsid w:val="6A2A0CD6"/>
    <w:rsid w:val="6A2F4C15"/>
    <w:rsid w:val="6A4858C1"/>
    <w:rsid w:val="6A4A2CD9"/>
    <w:rsid w:val="6A576684"/>
    <w:rsid w:val="6A581EA4"/>
    <w:rsid w:val="6A7560C4"/>
    <w:rsid w:val="6A8E5DBC"/>
    <w:rsid w:val="6AB0722C"/>
    <w:rsid w:val="6ABD3E45"/>
    <w:rsid w:val="6ACA1783"/>
    <w:rsid w:val="6AE804F5"/>
    <w:rsid w:val="6AE8063E"/>
    <w:rsid w:val="6AEB66B6"/>
    <w:rsid w:val="6AF00213"/>
    <w:rsid w:val="6AFD62BC"/>
    <w:rsid w:val="6B03359E"/>
    <w:rsid w:val="6B0A61EF"/>
    <w:rsid w:val="6B0C434F"/>
    <w:rsid w:val="6B111005"/>
    <w:rsid w:val="6B13730E"/>
    <w:rsid w:val="6B1F5CD8"/>
    <w:rsid w:val="6B23017D"/>
    <w:rsid w:val="6B342919"/>
    <w:rsid w:val="6B393CDB"/>
    <w:rsid w:val="6B5F48B9"/>
    <w:rsid w:val="6B663217"/>
    <w:rsid w:val="6B697FF6"/>
    <w:rsid w:val="6B6A4D22"/>
    <w:rsid w:val="6B6E100E"/>
    <w:rsid w:val="6B713D7F"/>
    <w:rsid w:val="6B7A1B25"/>
    <w:rsid w:val="6B7B5E53"/>
    <w:rsid w:val="6B7C24F7"/>
    <w:rsid w:val="6B8535B2"/>
    <w:rsid w:val="6B9C4810"/>
    <w:rsid w:val="6BA6697D"/>
    <w:rsid w:val="6BAF3790"/>
    <w:rsid w:val="6BB67763"/>
    <w:rsid w:val="6BCD1D21"/>
    <w:rsid w:val="6BE77DA5"/>
    <w:rsid w:val="6BE841CE"/>
    <w:rsid w:val="6BEF7354"/>
    <w:rsid w:val="6C2F371D"/>
    <w:rsid w:val="6C4731BA"/>
    <w:rsid w:val="6C5A68D9"/>
    <w:rsid w:val="6C652476"/>
    <w:rsid w:val="6C6D213A"/>
    <w:rsid w:val="6C6E5706"/>
    <w:rsid w:val="6C760176"/>
    <w:rsid w:val="6C79713D"/>
    <w:rsid w:val="6C896C7E"/>
    <w:rsid w:val="6C9753F4"/>
    <w:rsid w:val="6CB17414"/>
    <w:rsid w:val="6CB17579"/>
    <w:rsid w:val="6CBB7287"/>
    <w:rsid w:val="6CCB0111"/>
    <w:rsid w:val="6CCE3AC6"/>
    <w:rsid w:val="6CD46C09"/>
    <w:rsid w:val="6CDA770E"/>
    <w:rsid w:val="6CE5037D"/>
    <w:rsid w:val="6CFB6A1F"/>
    <w:rsid w:val="6D0322F0"/>
    <w:rsid w:val="6D3C2256"/>
    <w:rsid w:val="6D4D3BD6"/>
    <w:rsid w:val="6D737D44"/>
    <w:rsid w:val="6D74543A"/>
    <w:rsid w:val="6D7B34B9"/>
    <w:rsid w:val="6D820B95"/>
    <w:rsid w:val="6D925F67"/>
    <w:rsid w:val="6DBF10E5"/>
    <w:rsid w:val="6DC74389"/>
    <w:rsid w:val="6DD36C4E"/>
    <w:rsid w:val="6DD769DD"/>
    <w:rsid w:val="6DDD3644"/>
    <w:rsid w:val="6DDF7241"/>
    <w:rsid w:val="6DE05D7D"/>
    <w:rsid w:val="6DE74E21"/>
    <w:rsid w:val="6E132431"/>
    <w:rsid w:val="6E1A4327"/>
    <w:rsid w:val="6E2057DA"/>
    <w:rsid w:val="6E387FDA"/>
    <w:rsid w:val="6E3A2278"/>
    <w:rsid w:val="6E5F01D9"/>
    <w:rsid w:val="6E7E76EB"/>
    <w:rsid w:val="6E83261B"/>
    <w:rsid w:val="6E8D6EEA"/>
    <w:rsid w:val="6E9145D4"/>
    <w:rsid w:val="6E915661"/>
    <w:rsid w:val="6E965A6D"/>
    <w:rsid w:val="6E974890"/>
    <w:rsid w:val="6EA5340D"/>
    <w:rsid w:val="6EAE7986"/>
    <w:rsid w:val="6EDF7983"/>
    <w:rsid w:val="6EF01547"/>
    <w:rsid w:val="6EF868A0"/>
    <w:rsid w:val="6F423639"/>
    <w:rsid w:val="6F4B3B88"/>
    <w:rsid w:val="6F4D5369"/>
    <w:rsid w:val="6F525EDC"/>
    <w:rsid w:val="6F560468"/>
    <w:rsid w:val="6F58633F"/>
    <w:rsid w:val="6F597CD4"/>
    <w:rsid w:val="6F5D5FDE"/>
    <w:rsid w:val="6F9E5125"/>
    <w:rsid w:val="6FA02C0D"/>
    <w:rsid w:val="6FAE1167"/>
    <w:rsid w:val="6FB11380"/>
    <w:rsid w:val="6FB75C16"/>
    <w:rsid w:val="6FC92EF0"/>
    <w:rsid w:val="6FDB4E1C"/>
    <w:rsid w:val="6FE528AC"/>
    <w:rsid w:val="6FE8690B"/>
    <w:rsid w:val="6FFE50AD"/>
    <w:rsid w:val="70100110"/>
    <w:rsid w:val="702646C2"/>
    <w:rsid w:val="702A17CE"/>
    <w:rsid w:val="703C71D6"/>
    <w:rsid w:val="70483FC4"/>
    <w:rsid w:val="70564232"/>
    <w:rsid w:val="70595347"/>
    <w:rsid w:val="705A515A"/>
    <w:rsid w:val="705A5E6C"/>
    <w:rsid w:val="7068083D"/>
    <w:rsid w:val="706E1617"/>
    <w:rsid w:val="709B7025"/>
    <w:rsid w:val="70A810AF"/>
    <w:rsid w:val="70EE164F"/>
    <w:rsid w:val="70F361E5"/>
    <w:rsid w:val="70FD0DFD"/>
    <w:rsid w:val="710B23DD"/>
    <w:rsid w:val="710D1793"/>
    <w:rsid w:val="713401B4"/>
    <w:rsid w:val="71483689"/>
    <w:rsid w:val="7180275C"/>
    <w:rsid w:val="71841885"/>
    <w:rsid w:val="71941C5C"/>
    <w:rsid w:val="719D3CBF"/>
    <w:rsid w:val="71AA49AC"/>
    <w:rsid w:val="71AD4448"/>
    <w:rsid w:val="71AD7406"/>
    <w:rsid w:val="71C44AED"/>
    <w:rsid w:val="71C845B1"/>
    <w:rsid w:val="71D02177"/>
    <w:rsid w:val="71E47C67"/>
    <w:rsid w:val="71E93D5A"/>
    <w:rsid w:val="71FA5876"/>
    <w:rsid w:val="71FF0E62"/>
    <w:rsid w:val="7209098A"/>
    <w:rsid w:val="72255E29"/>
    <w:rsid w:val="722F4A3A"/>
    <w:rsid w:val="72377563"/>
    <w:rsid w:val="724E15C5"/>
    <w:rsid w:val="725F2F61"/>
    <w:rsid w:val="72606284"/>
    <w:rsid w:val="72820DF5"/>
    <w:rsid w:val="72871DD3"/>
    <w:rsid w:val="728C3065"/>
    <w:rsid w:val="729C7C59"/>
    <w:rsid w:val="72AA5DDE"/>
    <w:rsid w:val="72B5151D"/>
    <w:rsid w:val="72C22A6A"/>
    <w:rsid w:val="72CE148F"/>
    <w:rsid w:val="73083214"/>
    <w:rsid w:val="731B4A7C"/>
    <w:rsid w:val="73473E8C"/>
    <w:rsid w:val="735D61B9"/>
    <w:rsid w:val="735D6FB3"/>
    <w:rsid w:val="738563F2"/>
    <w:rsid w:val="739C2AC1"/>
    <w:rsid w:val="73A3493F"/>
    <w:rsid w:val="73AD64E8"/>
    <w:rsid w:val="73BB160A"/>
    <w:rsid w:val="73C051CB"/>
    <w:rsid w:val="73C34267"/>
    <w:rsid w:val="73DA4D86"/>
    <w:rsid w:val="73E23C26"/>
    <w:rsid w:val="73E93DCD"/>
    <w:rsid w:val="73EC084B"/>
    <w:rsid w:val="7407421A"/>
    <w:rsid w:val="741F0EDA"/>
    <w:rsid w:val="74327CE1"/>
    <w:rsid w:val="743F176F"/>
    <w:rsid w:val="74434B8B"/>
    <w:rsid w:val="744E786F"/>
    <w:rsid w:val="74500B6B"/>
    <w:rsid w:val="74631D2A"/>
    <w:rsid w:val="746C0AD8"/>
    <w:rsid w:val="7470036B"/>
    <w:rsid w:val="74711A29"/>
    <w:rsid w:val="7476043F"/>
    <w:rsid w:val="7495684F"/>
    <w:rsid w:val="74A473B6"/>
    <w:rsid w:val="74BB6D30"/>
    <w:rsid w:val="74CF57F7"/>
    <w:rsid w:val="74EE4A26"/>
    <w:rsid w:val="74F141B3"/>
    <w:rsid w:val="74F4782B"/>
    <w:rsid w:val="750865AE"/>
    <w:rsid w:val="75093A44"/>
    <w:rsid w:val="75146FFC"/>
    <w:rsid w:val="752550C9"/>
    <w:rsid w:val="754546F0"/>
    <w:rsid w:val="756E5ECB"/>
    <w:rsid w:val="756F536D"/>
    <w:rsid w:val="75713018"/>
    <w:rsid w:val="75862CA5"/>
    <w:rsid w:val="75905670"/>
    <w:rsid w:val="75BC32D6"/>
    <w:rsid w:val="75BD2281"/>
    <w:rsid w:val="75D64B85"/>
    <w:rsid w:val="75E1089C"/>
    <w:rsid w:val="75E455B2"/>
    <w:rsid w:val="75F62642"/>
    <w:rsid w:val="75FD1375"/>
    <w:rsid w:val="76003F4B"/>
    <w:rsid w:val="760305A7"/>
    <w:rsid w:val="762245F4"/>
    <w:rsid w:val="762651C4"/>
    <w:rsid w:val="763D0FF2"/>
    <w:rsid w:val="766154BB"/>
    <w:rsid w:val="766A32FA"/>
    <w:rsid w:val="76703998"/>
    <w:rsid w:val="76765FD5"/>
    <w:rsid w:val="769322EB"/>
    <w:rsid w:val="76D65972"/>
    <w:rsid w:val="76E824A1"/>
    <w:rsid w:val="76E95C45"/>
    <w:rsid w:val="76FD1DF7"/>
    <w:rsid w:val="77064A68"/>
    <w:rsid w:val="771868CC"/>
    <w:rsid w:val="772F3ECD"/>
    <w:rsid w:val="77420723"/>
    <w:rsid w:val="774C5F0F"/>
    <w:rsid w:val="774C645C"/>
    <w:rsid w:val="776049E3"/>
    <w:rsid w:val="7770288B"/>
    <w:rsid w:val="777A1CF6"/>
    <w:rsid w:val="77906AEE"/>
    <w:rsid w:val="77933823"/>
    <w:rsid w:val="77A504CC"/>
    <w:rsid w:val="77A5374F"/>
    <w:rsid w:val="77B32669"/>
    <w:rsid w:val="77BF2BD4"/>
    <w:rsid w:val="77C55F52"/>
    <w:rsid w:val="77CB4BC0"/>
    <w:rsid w:val="77DF469C"/>
    <w:rsid w:val="77E107B9"/>
    <w:rsid w:val="77FE283A"/>
    <w:rsid w:val="782255B0"/>
    <w:rsid w:val="78301FA7"/>
    <w:rsid w:val="7831474D"/>
    <w:rsid w:val="784461AC"/>
    <w:rsid w:val="784464DF"/>
    <w:rsid w:val="78485A36"/>
    <w:rsid w:val="784C1248"/>
    <w:rsid w:val="786D46D5"/>
    <w:rsid w:val="787640C9"/>
    <w:rsid w:val="78802CC4"/>
    <w:rsid w:val="789D0C72"/>
    <w:rsid w:val="78A477B4"/>
    <w:rsid w:val="78A70AC5"/>
    <w:rsid w:val="78B029AD"/>
    <w:rsid w:val="78BB5B1C"/>
    <w:rsid w:val="78E20100"/>
    <w:rsid w:val="792720A9"/>
    <w:rsid w:val="792E7F36"/>
    <w:rsid w:val="79362610"/>
    <w:rsid w:val="79404650"/>
    <w:rsid w:val="794E01E8"/>
    <w:rsid w:val="79693193"/>
    <w:rsid w:val="797532B6"/>
    <w:rsid w:val="79767CB3"/>
    <w:rsid w:val="79783393"/>
    <w:rsid w:val="79794BEB"/>
    <w:rsid w:val="797E5920"/>
    <w:rsid w:val="79800B09"/>
    <w:rsid w:val="79837A1C"/>
    <w:rsid w:val="799038F3"/>
    <w:rsid w:val="79944B95"/>
    <w:rsid w:val="79976BF9"/>
    <w:rsid w:val="79AE058A"/>
    <w:rsid w:val="79B149D4"/>
    <w:rsid w:val="79B67861"/>
    <w:rsid w:val="79B84F43"/>
    <w:rsid w:val="79C37D0E"/>
    <w:rsid w:val="79C43B5A"/>
    <w:rsid w:val="79C9650F"/>
    <w:rsid w:val="79D67F42"/>
    <w:rsid w:val="79DA4D0D"/>
    <w:rsid w:val="79DB1720"/>
    <w:rsid w:val="79E01483"/>
    <w:rsid w:val="79E10D06"/>
    <w:rsid w:val="79E90EC1"/>
    <w:rsid w:val="7A021DB8"/>
    <w:rsid w:val="7A065747"/>
    <w:rsid w:val="7A195E96"/>
    <w:rsid w:val="7A1A0DDF"/>
    <w:rsid w:val="7A2411BB"/>
    <w:rsid w:val="7A280FFF"/>
    <w:rsid w:val="7A2F1F08"/>
    <w:rsid w:val="7A4B6187"/>
    <w:rsid w:val="7A4C0910"/>
    <w:rsid w:val="7A4F590C"/>
    <w:rsid w:val="7A564ADF"/>
    <w:rsid w:val="7A5709EF"/>
    <w:rsid w:val="7A5C0C0C"/>
    <w:rsid w:val="7A784262"/>
    <w:rsid w:val="7AA72B86"/>
    <w:rsid w:val="7AAD37AF"/>
    <w:rsid w:val="7AAF0A24"/>
    <w:rsid w:val="7AB64C94"/>
    <w:rsid w:val="7ACC5C2F"/>
    <w:rsid w:val="7AE449C9"/>
    <w:rsid w:val="7AE76A03"/>
    <w:rsid w:val="7B022DCE"/>
    <w:rsid w:val="7B0A4BC9"/>
    <w:rsid w:val="7B137A41"/>
    <w:rsid w:val="7B180060"/>
    <w:rsid w:val="7B39664D"/>
    <w:rsid w:val="7B4702FD"/>
    <w:rsid w:val="7B4E7835"/>
    <w:rsid w:val="7B5F0483"/>
    <w:rsid w:val="7B61234A"/>
    <w:rsid w:val="7B6B425F"/>
    <w:rsid w:val="7B6B61AA"/>
    <w:rsid w:val="7B6E6537"/>
    <w:rsid w:val="7B7E62F6"/>
    <w:rsid w:val="7B863B2D"/>
    <w:rsid w:val="7B8B5EA0"/>
    <w:rsid w:val="7BAB0A4E"/>
    <w:rsid w:val="7BAD346B"/>
    <w:rsid w:val="7BCE79B0"/>
    <w:rsid w:val="7BDC5ECF"/>
    <w:rsid w:val="7BE423E7"/>
    <w:rsid w:val="7BFC0B98"/>
    <w:rsid w:val="7C0336D4"/>
    <w:rsid w:val="7C0F2600"/>
    <w:rsid w:val="7C196510"/>
    <w:rsid w:val="7C2E0FA1"/>
    <w:rsid w:val="7C4906E7"/>
    <w:rsid w:val="7C4918B5"/>
    <w:rsid w:val="7C6176BD"/>
    <w:rsid w:val="7C636249"/>
    <w:rsid w:val="7C693741"/>
    <w:rsid w:val="7C8C5493"/>
    <w:rsid w:val="7C900963"/>
    <w:rsid w:val="7C9217F0"/>
    <w:rsid w:val="7CB14A73"/>
    <w:rsid w:val="7CBB7ACC"/>
    <w:rsid w:val="7CFA4C34"/>
    <w:rsid w:val="7D026FD3"/>
    <w:rsid w:val="7D0F49BC"/>
    <w:rsid w:val="7D1A773A"/>
    <w:rsid w:val="7D420FB2"/>
    <w:rsid w:val="7D515F62"/>
    <w:rsid w:val="7D691ED1"/>
    <w:rsid w:val="7D9A0639"/>
    <w:rsid w:val="7DA03C01"/>
    <w:rsid w:val="7DA11C58"/>
    <w:rsid w:val="7DAF5816"/>
    <w:rsid w:val="7DB46C6E"/>
    <w:rsid w:val="7DD21AFF"/>
    <w:rsid w:val="7DD67516"/>
    <w:rsid w:val="7DDD40B9"/>
    <w:rsid w:val="7DEB28A7"/>
    <w:rsid w:val="7DF10672"/>
    <w:rsid w:val="7DFE5751"/>
    <w:rsid w:val="7E066261"/>
    <w:rsid w:val="7E3C1B82"/>
    <w:rsid w:val="7E420FE4"/>
    <w:rsid w:val="7E4A779A"/>
    <w:rsid w:val="7E5D512D"/>
    <w:rsid w:val="7E746D33"/>
    <w:rsid w:val="7E7B370D"/>
    <w:rsid w:val="7E9937C1"/>
    <w:rsid w:val="7E9A3485"/>
    <w:rsid w:val="7E9C2FAD"/>
    <w:rsid w:val="7EA25E2E"/>
    <w:rsid w:val="7ED304A1"/>
    <w:rsid w:val="7EDF11C5"/>
    <w:rsid w:val="7EDF1DE5"/>
    <w:rsid w:val="7EE7671A"/>
    <w:rsid w:val="7EF044B3"/>
    <w:rsid w:val="7EFD32AB"/>
    <w:rsid w:val="7F0E0C64"/>
    <w:rsid w:val="7F2A01FB"/>
    <w:rsid w:val="7F347A63"/>
    <w:rsid w:val="7F5943B5"/>
    <w:rsid w:val="7F807065"/>
    <w:rsid w:val="7F850FF6"/>
    <w:rsid w:val="7F9965C6"/>
    <w:rsid w:val="7FB262C1"/>
    <w:rsid w:val="7FB50781"/>
    <w:rsid w:val="7FBC17BA"/>
    <w:rsid w:val="7FC74BEE"/>
    <w:rsid w:val="7FCD490C"/>
    <w:rsid w:val="7FD84BC5"/>
    <w:rsid w:val="7FFA3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18"/>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rFonts w:cs="Times New Roman"/>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List Paragraph1"/>
    <w:basedOn w:val="1"/>
    <w:qFormat/>
    <w:uiPriority w:val="99"/>
    <w:pPr>
      <w:ind w:firstLine="420" w:firstLineChars="200"/>
    </w:pPr>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xml"/><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spc="100" baseline="0">
                <a:ln>
                  <a:noFill/>
                </a:ln>
                <a:solidFill>
                  <a:schemeClr val="dk1"/>
                </a:solidFill>
                <a:effectLst/>
                <a:latin typeface="+mn-lt"/>
                <a:ea typeface="+mn-ea"/>
                <a:cs typeface="+mn-cs"/>
              </a:defRPr>
            </a:pPr>
            <a:r>
              <a:rPr sz="1000">
                <a:ln>
                  <a:noFill/>
                </a:ln>
                <a:solidFill>
                  <a:schemeClr val="tx1"/>
                </a:solidFill>
                <a:effectLst/>
                <a:uFillTx/>
                <a:latin typeface="+mj-ea"/>
                <a:ea typeface="宋体" panose="02010600030101010101" charset="-122"/>
                <a:cs typeface="黑体" panose="02010609060101010101" charset="-122"/>
              </a:rPr>
              <a:t>202</a:t>
            </a:r>
            <a:r>
              <a:rPr lang="en-US" altLang="zh-CN" sz="1000">
                <a:ln>
                  <a:noFill/>
                </a:ln>
                <a:solidFill>
                  <a:schemeClr val="tx1"/>
                </a:solidFill>
                <a:effectLst/>
                <a:uFillTx/>
                <a:latin typeface="+mj-ea"/>
                <a:ea typeface="宋体" panose="02010600030101010101" charset="-122"/>
                <a:cs typeface="黑体" panose="02010609060101010101" charset="-122"/>
              </a:rPr>
              <a:t>2</a:t>
            </a:r>
            <a:r>
              <a:rPr sz="1000">
                <a:ln>
                  <a:noFill/>
                </a:ln>
                <a:solidFill>
                  <a:schemeClr val="tx1"/>
                </a:solidFill>
                <a:effectLst/>
                <a:uFillTx/>
                <a:latin typeface="+mj-ea"/>
                <a:ea typeface="宋体" panose="02010600030101010101" charset="-122"/>
                <a:cs typeface="黑体" panose="02010609060101010101" charset="-122"/>
              </a:rPr>
              <a:t>年</a:t>
            </a:r>
            <a:r>
              <a:rPr lang="en-US" altLang="zh-CN" sz="1000">
                <a:ln>
                  <a:noFill/>
                </a:ln>
                <a:solidFill>
                  <a:schemeClr val="tx1"/>
                </a:solidFill>
                <a:effectLst/>
                <a:uFillTx/>
                <a:latin typeface="+mj-ea"/>
                <a:ea typeface="宋体" panose="02010600030101010101" charset="-122"/>
                <a:cs typeface="黑体" panose="02010609060101010101" charset="-122"/>
              </a:rPr>
              <a:t>1-11</a:t>
            </a:r>
            <a:r>
              <a:rPr sz="1000">
                <a:ln>
                  <a:noFill/>
                </a:ln>
                <a:solidFill>
                  <a:schemeClr val="tx1"/>
                </a:solidFill>
                <a:effectLst/>
                <a:uFillTx/>
                <a:latin typeface="+mj-ea"/>
                <a:ea typeface="宋体" panose="02010600030101010101" charset="-122"/>
                <a:cs typeface="黑体" panose="02010609060101010101" charset="-122"/>
              </a:rPr>
              <a:t>月一般公共预算支出分</a:t>
            </a:r>
            <a:r>
              <a:rPr sz="1000">
                <a:ln>
                  <a:noFill/>
                </a:ln>
                <a:solidFill>
                  <a:schemeClr val="tx1"/>
                </a:solidFill>
                <a:effectLst/>
                <a:uFillTx/>
                <a:latin typeface="+中文标题" charset="0"/>
                <a:ea typeface="宋体" panose="02010600030101010101" charset="-122"/>
                <a:cs typeface="黑体" panose="02010609060101010101" charset="-122"/>
              </a:rPr>
              <a:t>项占比图</a:t>
            </a:r>
            <a:endParaRPr sz="1000">
              <a:ln>
                <a:noFill/>
              </a:ln>
              <a:solidFill>
                <a:schemeClr val="tx1"/>
              </a:solidFill>
              <a:effectLst/>
              <a:uFillTx/>
              <a:latin typeface="+中文标题" charset="0"/>
              <a:ea typeface="宋体" panose="02010600030101010101" charset="-122"/>
              <a:cs typeface="黑体" panose="02010609060101010101" charset="-122"/>
            </a:endParaRPr>
          </a:p>
        </c:rich>
      </c:tx>
      <c:layout>
        <c:manualLayout>
          <c:xMode val="edge"/>
          <c:yMode val="edge"/>
          <c:x val="0.20106537498202"/>
          <c:y val="0.00723065798987708"/>
        </c:manualLayout>
      </c:layout>
      <c:overlay val="0"/>
      <c:spPr>
        <a:noFill/>
        <a:ln w="25400" cap="flat" cmpd="sng" algn="ctr">
          <a:noFill/>
          <a:prstDash val="solid"/>
        </a:ln>
        <a:effectLst/>
        <a:sp3d>
          <a:extrusionClr>
            <a:srgbClr val="FFFFFF"/>
          </a:extrusionClr>
          <a:contourClr>
            <a:srgbClr val="FFFFFF"/>
          </a:contourClr>
        </a:sp3d>
      </c:spPr>
    </c:title>
    <c:autoTitleDeleted val="0"/>
    <c:plotArea>
      <c:layout>
        <c:manualLayout>
          <c:layoutTarget val="inner"/>
          <c:xMode val="edge"/>
          <c:yMode val="edge"/>
          <c:x val="0.273443004115226"/>
          <c:y val="0.166666666666667"/>
          <c:w val="0.463007407407407"/>
          <c:h val="0.781325"/>
        </c:manualLayout>
      </c:layout>
      <c:pieChart>
        <c:varyColors val="1"/>
        <c:ser>
          <c:idx val="0"/>
          <c:order val="0"/>
          <c:tx>
            <c:strRef>
              <c:f>Sheet1!$B$1</c:f>
              <c:strCache>
                <c:ptCount val="1"/>
                <c:pt idx="0">
                  <c:v>2022年1-11月一般公共预算支出分项占比图</c:v>
                </c:pt>
              </c:strCache>
            </c:strRef>
          </c:tx>
          <c:spPr/>
          <c:explosion val="1"/>
          <c:dPt>
            <c:idx val="0"/>
            <c:bubble3D val="0"/>
            <c:spPr>
              <a:gradFill rotWithShape="1">
                <a:gsLst>
                  <a:gs pos="0">
                    <a:schemeClr val="accent2">
                      <a:shade val="45000"/>
                      <a:satMod val="103000"/>
                      <a:lumMod val="102000"/>
                      <a:tint val="94000"/>
                    </a:schemeClr>
                  </a:gs>
                  <a:gs pos="50000">
                    <a:schemeClr val="accent2">
                      <a:shade val="45000"/>
                      <a:satMod val="110000"/>
                      <a:lumMod val="100000"/>
                      <a:shade val="100000"/>
                    </a:schemeClr>
                  </a:gs>
                  <a:gs pos="100000">
                    <a:schemeClr val="accent2">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hade val="61000"/>
                      <a:satMod val="103000"/>
                      <a:lumMod val="102000"/>
                      <a:tint val="94000"/>
                    </a:schemeClr>
                  </a:gs>
                  <a:gs pos="50000">
                    <a:schemeClr val="accent2">
                      <a:shade val="61000"/>
                      <a:satMod val="110000"/>
                      <a:lumMod val="100000"/>
                      <a:shade val="100000"/>
                    </a:schemeClr>
                  </a:gs>
                  <a:gs pos="100000">
                    <a:schemeClr val="accent2">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0"/>
            <c:spPr>
              <a:gradFill rotWithShape="1">
                <a:gsLst>
                  <a:gs pos="0">
                    <a:schemeClr val="accent2">
                      <a:shade val="92000"/>
                      <a:satMod val="103000"/>
                      <a:lumMod val="102000"/>
                      <a:tint val="94000"/>
                    </a:schemeClr>
                  </a:gs>
                  <a:gs pos="50000">
                    <a:schemeClr val="accent2">
                      <a:shade val="92000"/>
                      <a:satMod val="110000"/>
                      <a:lumMod val="100000"/>
                      <a:shade val="100000"/>
                    </a:schemeClr>
                  </a:gs>
                  <a:gs pos="100000">
                    <a:schemeClr val="accent2">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1"/>
            <c:spPr>
              <a:gradFill rotWithShape="1">
                <a:gsLst>
                  <a:gs pos="0">
                    <a:schemeClr val="accent2">
                      <a:tint val="62000"/>
                      <a:satMod val="103000"/>
                      <a:lumMod val="102000"/>
                      <a:tint val="94000"/>
                    </a:schemeClr>
                  </a:gs>
                  <a:gs pos="50000">
                    <a:schemeClr val="accent2">
                      <a:tint val="62000"/>
                      <a:satMod val="110000"/>
                      <a:lumMod val="100000"/>
                      <a:shade val="100000"/>
                    </a:schemeClr>
                  </a:gs>
                  <a:gs pos="100000">
                    <a:schemeClr val="accent2">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2">
                      <a:tint val="46000"/>
                      <a:satMod val="103000"/>
                      <a:lumMod val="102000"/>
                      <a:tint val="94000"/>
                    </a:schemeClr>
                  </a:gs>
                  <a:gs pos="50000">
                    <a:schemeClr val="accent2">
                      <a:tint val="46000"/>
                      <a:satMod val="110000"/>
                      <a:lumMod val="100000"/>
                      <a:shade val="100000"/>
                    </a:schemeClr>
                  </a:gs>
                  <a:gs pos="100000">
                    <a:schemeClr val="accent2">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2">
                      <a:shade val="96316"/>
                      <a:satMod val="103000"/>
                      <a:lumMod val="102000"/>
                      <a:tint val="94000"/>
                    </a:schemeClr>
                  </a:gs>
                  <a:gs pos="50000">
                    <a:schemeClr val="accent2">
                      <a:shade val="96316"/>
                      <a:satMod val="110000"/>
                      <a:lumMod val="100000"/>
                      <a:shade val="100000"/>
                    </a:schemeClr>
                  </a:gs>
                  <a:gs pos="100000">
                    <a:schemeClr val="accent2">
                      <a:shade val="9631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2">
                      <a:tint val="96316"/>
                      <a:satMod val="103000"/>
                      <a:lumMod val="102000"/>
                      <a:tint val="94000"/>
                    </a:schemeClr>
                  </a:gs>
                  <a:gs pos="50000">
                    <a:schemeClr val="accent2">
                      <a:tint val="96316"/>
                      <a:satMod val="110000"/>
                      <a:lumMod val="100000"/>
                      <a:shade val="100000"/>
                    </a:schemeClr>
                  </a:gs>
                  <a:gs pos="100000">
                    <a:schemeClr val="accent2">
                      <a:tint val="9631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0"/>
            <c:bubble3D val="0"/>
            <c:spPr>
              <a:gradFill rotWithShape="1">
                <a:gsLst>
                  <a:gs pos="0">
                    <a:schemeClr val="accent2">
                      <a:tint val="88947"/>
                      <a:satMod val="103000"/>
                      <a:lumMod val="102000"/>
                      <a:tint val="94000"/>
                    </a:schemeClr>
                  </a:gs>
                  <a:gs pos="50000">
                    <a:schemeClr val="accent2">
                      <a:tint val="88947"/>
                      <a:satMod val="110000"/>
                      <a:lumMod val="100000"/>
                      <a:shade val="100000"/>
                    </a:schemeClr>
                  </a:gs>
                  <a:gs pos="100000">
                    <a:schemeClr val="accent2">
                      <a:tint val="8894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1"/>
            <c:bubble3D val="0"/>
            <c:spPr>
              <a:gradFill rotWithShape="1">
                <a:gsLst>
                  <a:gs pos="0">
                    <a:schemeClr val="accent2">
                      <a:tint val="81579"/>
                      <a:satMod val="103000"/>
                      <a:lumMod val="102000"/>
                      <a:tint val="94000"/>
                    </a:schemeClr>
                  </a:gs>
                  <a:gs pos="50000">
                    <a:schemeClr val="accent2">
                      <a:tint val="81579"/>
                      <a:satMod val="110000"/>
                      <a:lumMod val="100000"/>
                      <a:shade val="100000"/>
                    </a:schemeClr>
                  </a:gs>
                  <a:gs pos="100000">
                    <a:schemeClr val="accent2">
                      <a:tint val="81579"/>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2"/>
            <c:bubble3D val="0"/>
            <c:spPr>
              <a:gradFill rotWithShape="1">
                <a:gsLst>
                  <a:gs pos="0">
                    <a:schemeClr val="accent2">
                      <a:tint val="74211"/>
                      <a:satMod val="103000"/>
                      <a:lumMod val="102000"/>
                      <a:tint val="94000"/>
                    </a:schemeClr>
                  </a:gs>
                  <a:gs pos="50000">
                    <a:schemeClr val="accent2">
                      <a:tint val="74211"/>
                      <a:satMod val="110000"/>
                      <a:lumMod val="100000"/>
                      <a:shade val="100000"/>
                    </a:schemeClr>
                  </a:gs>
                  <a:gs pos="100000">
                    <a:schemeClr val="accent2">
                      <a:tint val="7421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3"/>
            <c:bubble3D val="0"/>
            <c:spPr>
              <a:gradFill rotWithShape="1">
                <a:gsLst>
                  <a:gs pos="0">
                    <a:schemeClr val="accent2">
                      <a:tint val="66842"/>
                      <a:satMod val="103000"/>
                      <a:lumMod val="102000"/>
                      <a:tint val="94000"/>
                    </a:schemeClr>
                  </a:gs>
                  <a:gs pos="50000">
                    <a:schemeClr val="accent2">
                      <a:tint val="66842"/>
                      <a:satMod val="110000"/>
                      <a:lumMod val="100000"/>
                      <a:shade val="100000"/>
                    </a:schemeClr>
                  </a:gs>
                  <a:gs pos="100000">
                    <a:schemeClr val="accent2">
                      <a:tint val="6684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4"/>
            <c:bubble3D val="0"/>
            <c:spPr>
              <a:gradFill rotWithShape="1">
                <a:gsLst>
                  <a:gs pos="0">
                    <a:schemeClr val="accent2">
                      <a:tint val="59474"/>
                      <a:satMod val="103000"/>
                      <a:lumMod val="102000"/>
                      <a:tint val="94000"/>
                    </a:schemeClr>
                  </a:gs>
                  <a:gs pos="50000">
                    <a:schemeClr val="accent2">
                      <a:tint val="59474"/>
                      <a:satMod val="110000"/>
                      <a:lumMod val="100000"/>
                      <a:shade val="100000"/>
                    </a:schemeClr>
                  </a:gs>
                  <a:gs pos="100000">
                    <a:schemeClr val="accent2">
                      <a:tint val="5947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5"/>
            <c:bubble3D val="0"/>
            <c:spPr>
              <a:gradFill rotWithShape="1">
                <a:gsLst>
                  <a:gs pos="0">
                    <a:schemeClr val="accent2">
                      <a:tint val="52105"/>
                      <a:satMod val="103000"/>
                      <a:lumMod val="102000"/>
                      <a:tint val="94000"/>
                    </a:schemeClr>
                  </a:gs>
                  <a:gs pos="50000">
                    <a:schemeClr val="accent2">
                      <a:tint val="52105"/>
                      <a:satMod val="110000"/>
                      <a:lumMod val="100000"/>
                      <a:shade val="100000"/>
                    </a:schemeClr>
                  </a:gs>
                  <a:gs pos="100000">
                    <a:schemeClr val="accent2">
                      <a:tint val="5210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6"/>
            <c:bubble3D val="0"/>
            <c:spPr>
              <a:gradFill rotWithShape="1">
                <a:gsLst>
                  <a:gs pos="0">
                    <a:schemeClr val="accent2">
                      <a:tint val="44737"/>
                      <a:satMod val="103000"/>
                      <a:lumMod val="102000"/>
                      <a:tint val="94000"/>
                    </a:schemeClr>
                  </a:gs>
                  <a:gs pos="50000">
                    <a:schemeClr val="accent2">
                      <a:tint val="44737"/>
                      <a:satMod val="110000"/>
                      <a:lumMod val="100000"/>
                      <a:shade val="100000"/>
                    </a:schemeClr>
                  </a:gs>
                  <a:gs pos="100000">
                    <a:schemeClr val="accent2">
                      <a:tint val="4473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7"/>
            <c:bubble3D val="0"/>
            <c:spPr>
              <a:gradFill rotWithShape="1">
                <a:gsLst>
                  <a:gs pos="0">
                    <a:schemeClr val="accent2">
                      <a:tint val="37368"/>
                      <a:satMod val="103000"/>
                      <a:lumMod val="102000"/>
                      <a:tint val="94000"/>
                    </a:schemeClr>
                  </a:gs>
                  <a:gs pos="50000">
                    <a:schemeClr val="accent2">
                      <a:tint val="37368"/>
                      <a:satMod val="110000"/>
                      <a:lumMod val="100000"/>
                      <a:shade val="100000"/>
                    </a:schemeClr>
                  </a:gs>
                  <a:gs pos="100000">
                    <a:schemeClr val="accent2">
                      <a:tint val="37368"/>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19587503088931"/>
                  <c:y val="0"/>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资源勘探信息等21%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9257616089914"/>
                      <c:h val="0.074234755362738"/>
                    </c:manualLayout>
                  </c15:layout>
                </c:ext>
              </c:extLst>
            </c:dLbl>
            <c:dLbl>
              <c:idx val="1"/>
              <c:layout>
                <c:manualLayout>
                  <c:x val="-0.162019669995874"/>
                  <c:y val="-0.0454239259364418"/>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城乡社区</a:t>
                    </a:r>
                    <a:r>
                      <a:rPr lang="en-US" altLang="zh-CN"/>
                      <a:t>,</a:t>
                    </a:r>
                    <a:r>
                      <a:t>14%</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7227266176683"/>
                      <c:h val="0.0706547338671691"/>
                    </c:manualLayout>
                  </c15:layout>
                </c:ext>
              </c:extLst>
            </c:dLbl>
            <c:dLbl>
              <c:idx val="2"/>
              <c:layout>
                <c:manualLayout>
                  <c:x val="-0.0808421536958723"/>
                  <c:y val="0.0100146868941169"/>
                </c:manualLayout>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91921916183269"/>
                  <c:y val="0.0215027036598455"/>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教育</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1343133016285"/>
                      <c:h val="0.0843558282208589"/>
                    </c:manualLayout>
                  </c15:layout>
                </c:ext>
              </c:extLst>
            </c:dLbl>
            <c:dLbl>
              <c:idx val="4"/>
              <c:layout>
                <c:manualLayout>
                  <c:x val="-0.13472918100046"/>
                  <c:y val="0.0250571118356566"/>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一般公共服务</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1382043522121"/>
                      <c:h val="0.0812529439472445"/>
                    </c:manualLayout>
                  </c15:layout>
                </c:ext>
              </c:extLst>
            </c:dLbl>
            <c:dLbl>
              <c:idx val="5"/>
              <c:layout>
                <c:manualLayout>
                  <c:x val="0.0525751167513754"/>
                  <c:y val="-0.0362873735948051"/>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农林水</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780543032986954"/>
                  <c:y val="-0.0546993972083327"/>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自然资源海洋气象等</a:t>
                    </a:r>
                    <a:r>
                      <a:rPr lang="en-US" altLang="zh-CN"/>
                      <a:t>,</a:t>
                    </a:r>
                    <a:r>
                      <a:t>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1621271076524"/>
                      <c:h val="0.0635892604804522"/>
                    </c:manualLayout>
                  </c15:layout>
                </c:ext>
              </c:extLst>
            </c:dLbl>
            <c:dLbl>
              <c:idx val="7"/>
              <c:layout>
                <c:manualLayout>
                  <c:x val="0.302647409246842"/>
                  <c:y val="-0.0573000834439766"/>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节能环保</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2750261858447"/>
                      <c:h val="0.0598428835489834"/>
                    </c:manualLayout>
                  </c15:layout>
                </c:ext>
              </c:extLst>
            </c:dLbl>
            <c:dLbl>
              <c:idx val="8"/>
              <c:layout>
                <c:manualLayout>
                  <c:x val="0.20768895420633"/>
                  <c:y val="-0.0649564121913725"/>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卫生健康</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4272033517881"/>
                      <c:h val="0.0533733826247689"/>
                    </c:manualLayout>
                  </c15:layout>
                </c:ext>
              </c:extLst>
            </c:dLbl>
            <c:dLbl>
              <c:idx val="9"/>
              <c:layout>
                <c:manualLayout>
                  <c:x val="0.13895856724353"/>
                  <c:y val="-0.0836204180632653"/>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债务付息</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5294029627413"/>
                      <c:h val="0.053373382624769"/>
                    </c:manualLayout>
                  </c15:layout>
                </c:ext>
              </c:extLst>
            </c:dLbl>
            <c:dLbl>
              <c:idx val="10"/>
              <c:layout>
                <c:manualLayout>
                  <c:x val="0.110289738955228"/>
                  <c:y val="-0.093588236221833"/>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交通运输</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0942498919153"/>
                      <c:h val="0.0573678290213723"/>
                    </c:manualLayout>
                  </c15:layout>
                </c:ext>
              </c:extLst>
            </c:dLbl>
            <c:dLbl>
              <c:idx val="11"/>
              <c:layout>
                <c:manualLayout>
                  <c:x val="0.0857227309744069"/>
                  <c:y val="-0.0947343039882176"/>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公共安全</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3248306672431"/>
                      <c:h val="0.0476940382452193"/>
                    </c:manualLayout>
                  </c15:layout>
                </c:ext>
              </c:extLst>
            </c:dLbl>
            <c:dLbl>
              <c:idx val="12"/>
              <c:layout>
                <c:manualLayout>
                  <c:x val="0.0868917310811662"/>
                  <c:y val="-0.136362416233324"/>
                </c:manualLayout>
              </c:layout>
              <c:tx>
                <c:rich>
                  <a:bodyPr rot="0" spcFirstLastPara="0" vertOverflow="clip" vert="horz" wrap="square" lIns="36576" tIns="18288" rIns="36576" bIns="18288" anchor="ctr" anchorCtr="1"/>
                  <a:lstStyle/>
                  <a:p>
                    <a:pPr defTabSz="914400">
                      <a:defRPr lang="zh-CN" sz="700" b="0" i="0" u="none" strike="noStrike" kern="1200" cap="none"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住房保障</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2183311716386"/>
                      <c:h val="0.0632170978627671"/>
                    </c:manualLayout>
                  </c15:layout>
                </c:ext>
              </c:extLst>
            </c:dLbl>
            <c:dLbl>
              <c:idx val="13"/>
              <c:layout>
                <c:manualLayout>
                  <c:x val="0.0948175841955378"/>
                  <c:y val="-0.098836947658779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文化旅游体育与传媒</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4814490213263"/>
                      <c:h val="0.0653645833333333"/>
                    </c:manualLayout>
                  </c15:layout>
                </c:ext>
              </c:extLst>
            </c:dLbl>
            <c:dLbl>
              <c:idx val="14"/>
              <c:layout>
                <c:manualLayout>
                  <c:x val="0.186787416409352"/>
                  <c:y val="-0.059870730757908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科学技术</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6562905317769"/>
                      <c:h val="0.0672665916760405"/>
                    </c:manualLayout>
                  </c15:layout>
                </c:ext>
              </c:extLst>
            </c:dLbl>
            <c:dLbl>
              <c:idx val="15"/>
              <c:layout>
                <c:manualLayout>
                  <c:x val="0.117666252787692"/>
                  <c:y val="-0.015279812884405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灾害防治及应急管理</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7786424556853"/>
                      <c:h val="0.0736196319018405"/>
                    </c:manualLayout>
                  </c15:layout>
                </c:ext>
              </c:extLst>
            </c:dLbl>
            <c:dLbl>
              <c:idx val="16"/>
              <c:layout>
                <c:manualLayout>
                  <c:x val="0.177378399674949"/>
                  <c:y val="0.0284209467086075"/>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商业服务业等</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1%</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1150021616948"/>
                      <c:h val="0.0607424071991001"/>
                    </c:manualLayout>
                  </c15:layout>
                </c:ext>
              </c:extLst>
            </c:dLbl>
            <c:dLbl>
              <c:idx val="17"/>
              <c:layout>
                <c:manualLayout>
                  <c:x val="0.169899010553262"/>
                  <c:y val="0.068823621315353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粮油物资储备</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0%</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7290675889898"/>
                      <c:h val="0.0616422947131609"/>
                    </c:manualLayout>
                  </c15:layout>
                </c:ext>
              </c:extLst>
            </c:dLbl>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a:solidFill>
                        <a:sysClr val="windowText" lastClr="000000">
                          <a:alpha val="54000"/>
                        </a:sysClr>
                      </a:solidFill>
                    </a:ln>
                    <a:effectLst/>
                  </c:spPr>
                </c15:leaderLines>
              </c:ext>
            </c:extLst>
          </c:dLbls>
          <c:cat>
            <c:strRef>
              <c:f>Sheet1!$A$2:$A$19</c:f>
              <c:strCache>
                <c:ptCount val="18"/>
                <c:pt idx="0">
                  <c:v>资源勘探信息等</c:v>
                </c:pt>
                <c:pt idx="1">
                  <c:v>城乡社区</c:v>
                </c:pt>
                <c:pt idx="2">
                  <c:v>社会保障和就业</c:v>
                </c:pt>
                <c:pt idx="3">
                  <c:v>教育</c:v>
                </c:pt>
                <c:pt idx="4">
                  <c:v>一般公共服务</c:v>
                </c:pt>
                <c:pt idx="5">
                  <c:v>农林水</c:v>
                </c:pt>
                <c:pt idx="6">
                  <c:v>自然资源海洋气象等</c:v>
                </c:pt>
                <c:pt idx="7">
                  <c:v>节能环保</c:v>
                </c:pt>
                <c:pt idx="8">
                  <c:v>卫生健康</c:v>
                </c:pt>
                <c:pt idx="9">
                  <c:v>债务付息</c:v>
                </c:pt>
                <c:pt idx="10">
                  <c:v>交通运输</c:v>
                </c:pt>
                <c:pt idx="11">
                  <c:v>公共安全</c:v>
                </c:pt>
                <c:pt idx="12">
                  <c:v>住房保障</c:v>
                </c:pt>
                <c:pt idx="13">
                  <c:v>文化旅游体育与传媒</c:v>
                </c:pt>
                <c:pt idx="14">
                  <c:v>科学技术</c:v>
                </c:pt>
                <c:pt idx="15">
                  <c:v>灾害防治及应急管理</c:v>
                </c:pt>
                <c:pt idx="16">
                  <c:v>商业服务业等</c:v>
                </c:pt>
                <c:pt idx="17">
                  <c:v>粮油物资储备</c:v>
                </c:pt>
              </c:strCache>
            </c:strRef>
          </c:cat>
          <c:val>
            <c:numRef>
              <c:f>Sheet1!$B$2:$B$19</c:f>
              <c:numCache>
                <c:formatCode>General</c:formatCode>
                <c:ptCount val="18"/>
                <c:pt idx="0">
                  <c:v>68755</c:v>
                </c:pt>
                <c:pt idx="1">
                  <c:v>83229</c:v>
                </c:pt>
                <c:pt idx="2">
                  <c:v>39701</c:v>
                </c:pt>
                <c:pt idx="3">
                  <c:v>55665</c:v>
                </c:pt>
                <c:pt idx="4">
                  <c:v>42040</c:v>
                </c:pt>
                <c:pt idx="5">
                  <c:v>107861</c:v>
                </c:pt>
                <c:pt idx="6">
                  <c:v>8019</c:v>
                </c:pt>
                <c:pt idx="7">
                  <c:v>30145</c:v>
                </c:pt>
                <c:pt idx="8">
                  <c:v>34198</c:v>
                </c:pt>
                <c:pt idx="9">
                  <c:v>16681</c:v>
                </c:pt>
                <c:pt idx="10">
                  <c:v>14515</c:v>
                </c:pt>
                <c:pt idx="11">
                  <c:v>15471</c:v>
                </c:pt>
                <c:pt idx="12">
                  <c:v>17652</c:v>
                </c:pt>
                <c:pt idx="13">
                  <c:v>11505</c:v>
                </c:pt>
                <c:pt idx="14">
                  <c:v>9545</c:v>
                </c:pt>
                <c:pt idx="15">
                  <c:v>5657</c:v>
                </c:pt>
                <c:pt idx="16">
                  <c:v>2104</c:v>
                </c:pt>
                <c:pt idx="17">
                  <c:v>613</c:v>
                </c:pt>
              </c:numCache>
            </c:numRef>
          </c:val>
        </c:ser>
        <c:dLbls>
          <c:showLegendKey val="0"/>
          <c:showVal val="1"/>
          <c:showCatName val="0"/>
          <c:showSerName val="0"/>
          <c:showPercent val="0"/>
          <c:showBubbleSize val="0"/>
          <c:showLeaderLines val="1"/>
        </c:dLbls>
        <c:firstSliceAng val="139"/>
      </c:pieChart>
      <c:spPr>
        <a:noFill/>
        <a:ln>
          <a:noFill/>
        </a:ln>
        <a:effectLst/>
      </c:spPr>
    </c:plotArea>
    <c:plotVisOnly val="1"/>
    <c:dispBlanksAs val="gap"/>
    <c:showDLblsOverMax val="0"/>
  </c:chart>
  <c:spPr>
    <a:noFill/>
    <a:ln w="3175">
      <a:solidFill>
        <a:sysClr val="windowText" lastClr="000000"/>
      </a:solidFill>
    </a:ln>
    <a:effectLst/>
  </c:spPr>
  <c:txPr>
    <a:bodyPr/>
    <a:lstStyle/>
    <a:p>
      <a:pPr>
        <a:defRPr lang="zh-CN">
          <a:latin typeface="微软雅黑" panose="020B0503020204020204" charset="-122"/>
          <a:ea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ysClr val="windowText" lastClr="000000"/>
    </a:dk1>
    <a:lt1>
      <a:sysClr val="window" lastClr="FFFFFF"/>
    </a:lt1>
    <a:dk2>
      <a:srgbClr val="9C27B0"/>
    </a:dk2>
    <a:lt2>
      <a:srgbClr val="673AB7"/>
    </a:lt2>
    <a:accent1>
      <a:srgbClr val="2196F3"/>
    </a:accent1>
    <a:accent2>
      <a:srgbClr val="00BCD4"/>
    </a:accent2>
    <a:accent3>
      <a:srgbClr val="4CAF50"/>
    </a:accent3>
    <a:accent4>
      <a:srgbClr val="CDDC39"/>
    </a:accent4>
    <a:accent5>
      <a:srgbClr val="FFC107"/>
    </a:accent5>
    <a:accent6>
      <a:srgbClr val="FF5722"/>
    </a:accent6>
    <a:hlink>
      <a:srgbClr val="9C27B0"/>
    </a:hlink>
    <a:folHlink>
      <a:srgbClr val="673AB7"/>
    </a:folHlink>
  </a:clrScheme>
  <a:fontScheme name="Office 主题​​">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textRotate="1"/>
    <customShpInfo spid="_x0000_s1027"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3809</Words>
  <Characters>5939</Characters>
  <Lines>0</Lines>
  <Paragraphs>0</Paragraphs>
  <TotalTime>37</TotalTime>
  <ScaleCrop>false</ScaleCrop>
  <LinksUpToDate>false</LinksUpToDate>
  <CharactersWithSpaces>6025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2021-03-21T23:16:00Z</dcterms:created>
  <dc:creator>失律的钟</dc:creator>
  <cp:lastModifiedBy>czj</cp:lastModifiedBy>
  <cp:lastPrinted>2022-12-05T07:41:00Z</cp:lastPrinted>
  <dcterms:modified xsi:type="dcterms:W3CDTF">2022-12-08T09:01:25Z</dcterms:modified>
  <dc:title>失律的钟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C58DB1B0CE2F4DCA9631B1B9E7943226</vt:lpwstr>
  </property>
  <property fmtid="{D5CDD505-2E9C-101B-9397-08002B2CF9AE}" pid="4" name="KSOSaveFontToCloudKey">
    <vt:lpwstr>1221542077_btnclosed</vt:lpwstr>
  </property>
</Properties>
</file>