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420" w:firstLineChars="0"/>
        <w:rPr>
          <w:rFonts w:hint="default" w:ascii="MWcht" w:hAnsi="MWcht" w:eastAsia="方正小标宋简体" w:cs="MWcht"/>
          <w:spacing w:val="-8"/>
          <w:sz w:val="24"/>
          <w:szCs w:val="24"/>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eastAsia" w:ascii="MWcht" w:hAnsi="MWcht" w:eastAsia="方正小标宋简体" w:cs="MWcht"/>
          <w:spacing w:val="-8"/>
          <w:sz w:val="24"/>
          <w:szCs w:val="24"/>
          <w:highlight w:val="none"/>
          <w:u w:val="none"/>
          <w:lang w:eastAsia="zh-CN"/>
        </w:rPr>
      </w:pPr>
    </w:p>
    <w:p>
      <w:pPr>
        <w:keepNext w:val="0"/>
        <w:keepLines w:val="0"/>
        <w:pageBreakBefore w:val="0"/>
        <w:kinsoku/>
        <w:wordWrap/>
        <w:overflowPunct/>
        <w:topLinePunct w:val="0"/>
        <w:autoSpaceDE/>
        <w:autoSpaceDN/>
        <w:bidi w:val="0"/>
        <w:adjustRightInd/>
        <w:snapToGrid/>
        <w:spacing w:line="560" w:lineRule="exact"/>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12"/>
          <w:sz w:val="52"/>
          <w:szCs w:val="52"/>
          <w:highlight w:val="none"/>
          <w:u w:val="none"/>
          <w:lang w:val="en-US" w:eastAsia="zh-CN"/>
        </w:rPr>
      </w:pPr>
      <w:r>
        <w:rPr>
          <w:rFonts w:hint="eastAsia" w:ascii="汉真广标" w:hAnsi="汉真广标" w:eastAsia="汉真广标" w:cs="汉真广标"/>
          <w:spacing w:val="12"/>
          <w:sz w:val="52"/>
          <w:szCs w:val="52"/>
          <w:highlight w:val="none"/>
          <w:u w:val="none"/>
          <w:lang w:val="en-US" w:eastAsia="zh-CN"/>
        </w:rPr>
        <w:t>鄂托克旗财政收支分析</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default" w:ascii="Times New Roman" w:hAnsi="Times New Roman" w:eastAsia="黑体" w:cs="Times New Roman"/>
          <w:b w:val="0"/>
          <w:bCs w:val="0"/>
          <w:spacing w:val="-8"/>
          <w:sz w:val="28"/>
          <w:szCs w:val="28"/>
          <w:highlight w:val="none"/>
          <w:u w:val="none"/>
          <w:lang w:val="en-US" w:eastAsia="zh-CN"/>
        </w:rPr>
        <w:t>202</w:t>
      </w:r>
      <w:r>
        <w:rPr>
          <w:rFonts w:hint="eastAsia" w:ascii="Times New Roman" w:hAnsi="Times New Roman" w:eastAsia="黑体" w:cs="Times New Roman"/>
          <w:b w:val="0"/>
          <w:bCs w:val="0"/>
          <w:spacing w:val="-8"/>
          <w:sz w:val="28"/>
          <w:szCs w:val="28"/>
          <w:highlight w:val="none"/>
          <w:u w:val="none"/>
          <w:lang w:val="en-US" w:eastAsia="zh-CN"/>
        </w:rPr>
        <w:t>3</w:t>
      </w:r>
      <w:r>
        <w:rPr>
          <w:rFonts w:hint="eastAsia" w:ascii="黑体" w:hAnsi="黑体" w:eastAsia="黑体" w:cs="黑体"/>
          <w:b w:val="0"/>
          <w:bCs w:val="0"/>
          <w:spacing w:val="-8"/>
          <w:sz w:val="28"/>
          <w:szCs w:val="28"/>
          <w:highlight w:val="none"/>
          <w:u w:val="none"/>
          <w:lang w:val="en-US" w:eastAsia="zh-CN"/>
        </w:rPr>
        <w:t>年第7期</w:t>
      </w: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val="0"/>
          <w:bCs w:val="0"/>
          <w:spacing w:val="-8"/>
          <w:sz w:val="28"/>
          <w:szCs w:val="28"/>
          <w:highlight w:val="none"/>
          <w:u w:val="none"/>
          <w:lang w:val="en-US" w:eastAsia="zh-CN"/>
        </w:rPr>
      </w:pPr>
      <w:r>
        <w:rPr>
          <w:rFonts w:hint="eastAsia" w:ascii="黑体" w:hAnsi="黑体" w:eastAsia="黑体" w:cs="黑体"/>
          <w:b w:val="0"/>
          <w:bCs w:val="0"/>
          <w:spacing w:val="-8"/>
          <w:sz w:val="28"/>
          <w:szCs w:val="28"/>
          <w:highlight w:val="none"/>
          <w:u w:val="none"/>
          <w:lang w:val="en-US" w:eastAsia="zh-CN"/>
        </w:rPr>
        <w:t>（总第7期）</w:t>
      </w: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center"/>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val="0"/>
          <w:bCs w:val="0"/>
          <w:spacing w:val="9"/>
          <w:sz w:val="24"/>
          <w:szCs w:val="24"/>
          <w:highlight w:val="none"/>
          <w:u w:val="none"/>
          <w:lang w:val="en-US" w:eastAsia="zh-CN"/>
        </w:rPr>
        <w:t>鄂托克旗财政局</w:t>
      </w: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91" w:firstLineChars="200"/>
        <w:jc w:val="both"/>
        <w:textAlignment w:val="auto"/>
        <w:rPr>
          <w:rFonts w:hint="eastAsia" w:ascii="黑体" w:hAnsi="黑体" w:eastAsia="黑体" w:cs="黑体"/>
          <w:b/>
          <w:bCs/>
          <w:spacing w:val="-8"/>
          <w:sz w:val="36"/>
          <w:szCs w:val="36"/>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bCs/>
          <w:spacing w:val="-8"/>
          <w:sz w:val="36"/>
          <w:szCs w:val="36"/>
          <w:highlight w:val="none"/>
          <w:u w:val="none"/>
          <w:lang w:val="en-US" w:eastAsia="zh-CN"/>
        </w:rPr>
      </w:pPr>
      <w:r>
        <w:rPr>
          <w:rFonts w:hint="eastAsia" w:ascii="黑体" w:hAnsi="黑体" w:eastAsia="黑体" w:cs="黑体"/>
          <w:b/>
          <w:bCs/>
          <w:spacing w:val="-8"/>
          <w:sz w:val="36"/>
          <w:szCs w:val="36"/>
          <w:highlight w:val="none"/>
          <w:u w:val="none"/>
          <w:lang w:val="en-US" w:eastAsia="zh-CN"/>
        </w:rPr>
        <w:t>目录</w:t>
      </w:r>
    </w:p>
    <w:p>
      <w:pPr>
        <w:keepNext w:val="0"/>
        <w:keepLines w:val="0"/>
        <w:pageBreakBefore w:val="0"/>
        <w:widowControl w:val="0"/>
        <w:kinsoku/>
        <w:wordWrap/>
        <w:overflowPunct/>
        <w:topLinePunct w:val="0"/>
        <w:autoSpaceDE/>
        <w:autoSpaceDN/>
        <w:bidi w:val="0"/>
        <w:adjustRightInd/>
        <w:snapToGrid/>
        <w:spacing w:line="560" w:lineRule="exact"/>
        <w:ind w:firstLine="448" w:firstLineChars="200"/>
        <w:jc w:val="both"/>
        <w:textAlignment w:val="auto"/>
        <w:rPr>
          <w:rFonts w:hint="eastAsia" w:ascii="黑体" w:hAnsi="黑体" w:eastAsia="黑体" w:cs="黑体"/>
          <w:spacing w:val="-8"/>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黑体" w:cs="Times New Roman"/>
          <w:b w:val="0"/>
          <w:bCs w:val="0"/>
          <w:spacing w:val="0"/>
          <w:sz w:val="24"/>
          <w:szCs w:val="24"/>
          <w:highlight w:val="none"/>
          <w:u w:val="none"/>
          <w:lang w:val="en-US" w:eastAsia="zh-CN"/>
        </w:rPr>
      </w:pPr>
      <w:r>
        <w:rPr>
          <w:rFonts w:ascii="Times New Roman" w:hAnsi="Times New Roman" w:eastAsia="黑体" w:cs="Times New Roman"/>
          <w:b w:val="0"/>
          <w:bCs w:val="0"/>
          <w:spacing w:val="0"/>
          <w:sz w:val="24"/>
          <w:szCs w:val="24"/>
          <w:highlight w:val="none"/>
          <w:u w:val="none"/>
        </w:rPr>
        <w:t>一、全</w:t>
      </w:r>
      <w:r>
        <w:rPr>
          <w:rFonts w:hint="eastAsia" w:ascii="Times New Roman" w:hAnsi="Times New Roman" w:eastAsia="黑体" w:cs="Times New Roman"/>
          <w:b w:val="0"/>
          <w:bCs w:val="0"/>
          <w:spacing w:val="0"/>
          <w:sz w:val="24"/>
          <w:szCs w:val="24"/>
          <w:highlight w:val="none"/>
          <w:u w:val="none"/>
          <w:lang w:val="en-US" w:eastAsia="zh-CN"/>
        </w:rPr>
        <w:t>旗一般公共预算收入</w:t>
      </w:r>
      <w:r>
        <w:rPr>
          <w:rFonts w:hint="eastAsia" w:ascii="Times New Roman" w:hAnsi="Times New Roman" w:eastAsia="黑体" w:cs="Times New Roman"/>
          <w:b w:val="0"/>
          <w:bCs w:val="0"/>
          <w:spacing w:val="0"/>
          <w:sz w:val="24"/>
          <w:szCs w:val="24"/>
          <w:highlight w:val="none"/>
          <w:u w:val="none"/>
          <w:lang w:eastAsia="zh-CN"/>
        </w:rPr>
        <w:t>完成</w:t>
      </w:r>
      <w:r>
        <w:rPr>
          <w:rFonts w:ascii="Times New Roman" w:hAnsi="Times New Roman" w:eastAsia="黑体" w:cs="Times New Roman"/>
          <w:b w:val="0"/>
          <w:bCs w:val="0"/>
          <w:spacing w:val="0"/>
          <w:sz w:val="24"/>
          <w:szCs w:val="24"/>
          <w:highlight w:val="none"/>
          <w:u w:val="none"/>
        </w:rPr>
        <w:t>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（一）7月一般公共预算收入完成情况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Times New Roman" w:hAnsi="Times New Roman" w:eastAsia="仿宋_GB2312" w:cs="Times New Roman"/>
          <w:b w:val="0"/>
          <w:bCs w:val="0"/>
          <w:spacing w:val="0"/>
          <w:sz w:val="24"/>
          <w:szCs w:val="24"/>
          <w:highlight w:val="none"/>
          <w:u w:val="none"/>
          <w:lang w:val="en-US" w:eastAsia="zh-CN"/>
        </w:rPr>
      </w:pPr>
      <w:r>
        <w:rPr>
          <w:rFonts w:hint="eastAsia" w:ascii="楷体_GB2312" w:hAnsi="楷体_GB2312" w:eastAsia="楷体_GB2312" w:cs="楷体_GB2312"/>
          <w:b w:val="0"/>
          <w:bCs w:val="0"/>
          <w:spacing w:val="0"/>
          <w:sz w:val="24"/>
          <w:szCs w:val="24"/>
          <w:highlight w:val="none"/>
          <w:u w:val="none"/>
          <w:lang w:val="en-US" w:eastAsia="zh-CN"/>
        </w:rPr>
        <w:t xml:space="preserve">    （二）1-7月一般公共预算收入完成情况</w:t>
      </w:r>
      <w:r>
        <w:rPr>
          <w:rFonts w:hint="eastAsia" w:ascii="Times New Roman" w:hAnsi="Times New Roman" w:eastAsia="黑体" w:cs="Times New Roman"/>
          <w:b w:val="0"/>
          <w:bCs w:val="0"/>
          <w:spacing w:val="0"/>
          <w:sz w:val="24"/>
          <w:szCs w:val="24"/>
          <w:highlight w:val="none"/>
          <w:u w:val="none"/>
          <w:lang w:eastAsia="zh-CN"/>
        </w:rPr>
        <w:t>…………</w:t>
      </w:r>
      <w:r>
        <w:rPr>
          <w:rFonts w:hint="default" w:ascii="Times New Roman" w:hAnsi="Times New Roman" w:eastAsia="仿宋_GB2312" w:cs="Times New Roman"/>
          <w:b w:val="0"/>
          <w:bCs w:val="0"/>
          <w:spacing w:val="0"/>
          <w:sz w:val="24"/>
          <w:szCs w:val="24"/>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二、</w:t>
      </w:r>
      <w:r>
        <w:rPr>
          <w:rFonts w:hint="default" w:ascii="Times New Roman" w:hAnsi="Times New Roman" w:eastAsia="黑体" w:cs="Times New Roman"/>
          <w:b w:val="0"/>
          <w:bCs w:val="0"/>
          <w:spacing w:val="0"/>
          <w:sz w:val="24"/>
          <w:szCs w:val="24"/>
          <w:highlight w:val="none"/>
          <w:u w:val="none"/>
        </w:rPr>
        <w:t>全</w:t>
      </w:r>
      <w:r>
        <w:rPr>
          <w:rFonts w:hint="eastAsia" w:ascii="Times New Roman" w:hAnsi="Times New Roman" w:eastAsia="黑体" w:cs="Times New Roman"/>
          <w:b w:val="0"/>
          <w:bCs w:val="0"/>
          <w:spacing w:val="0"/>
          <w:sz w:val="24"/>
          <w:szCs w:val="24"/>
          <w:highlight w:val="none"/>
          <w:u w:val="none"/>
          <w:lang w:val="en-US" w:eastAsia="zh-CN"/>
        </w:rPr>
        <w:t>旗</w:t>
      </w:r>
      <w:r>
        <w:rPr>
          <w:rFonts w:hint="default" w:ascii="Times New Roman" w:hAnsi="Times New Roman" w:eastAsia="黑体" w:cs="Times New Roman"/>
          <w:b w:val="0"/>
          <w:bCs w:val="0"/>
          <w:spacing w:val="0"/>
          <w:sz w:val="24"/>
          <w:szCs w:val="24"/>
          <w:highlight w:val="none"/>
          <w:u w:val="none"/>
        </w:rPr>
        <w:t>地方财政总收入完成情况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三、一般公共预算支出完成情况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distribute"/>
        <w:textAlignment w:val="auto"/>
        <w:rPr>
          <w:rFonts w:hint="default" w:ascii="仿宋_GB2312" w:hAnsi="仿宋_GB2312" w:eastAsia="仿宋_GB2312" w:cs="仿宋_GB2312"/>
          <w:b w:val="0"/>
          <w:bCs w:val="0"/>
          <w:spacing w:val="0"/>
          <w:sz w:val="24"/>
          <w:szCs w:val="24"/>
          <w:highlight w:val="none"/>
          <w:u w:val="none"/>
          <w:lang w:val="en-US" w:eastAsia="zh-CN"/>
        </w:rPr>
      </w:pPr>
      <w:r>
        <w:rPr>
          <w:rFonts w:hint="eastAsia" w:ascii="Times New Roman" w:hAnsi="Times New Roman" w:eastAsia="黑体" w:cs="Times New Roman"/>
          <w:b w:val="0"/>
          <w:bCs w:val="0"/>
          <w:spacing w:val="0"/>
          <w:sz w:val="24"/>
          <w:szCs w:val="24"/>
          <w:highlight w:val="none"/>
          <w:u w:val="none"/>
          <w:lang w:val="en-US" w:eastAsia="zh-CN"/>
        </w:rPr>
        <w:t>四、政府性基金收支完成情况</w:t>
      </w:r>
      <w:r>
        <w:rPr>
          <w:rFonts w:hint="eastAsia" w:ascii="Times New Roman" w:hAnsi="Times New Roman" w:eastAsia="黑体" w:cs="Times New Roman"/>
          <w:b w:val="0"/>
          <w:bCs w:val="0"/>
          <w:spacing w:val="0"/>
          <w:sz w:val="24"/>
          <w:szCs w:val="24"/>
          <w:highlight w:val="none"/>
          <w:u w:val="none"/>
          <w:lang w:eastAsia="zh-CN"/>
        </w:rPr>
        <w:t>……………………………</w:t>
      </w:r>
      <w:r>
        <w:rPr>
          <w:rFonts w:hint="eastAsia" w:ascii="Times New Roman" w:hAnsi="Times New Roman" w:eastAsia="黑体" w:cs="Times New Roman"/>
          <w:b w:val="0"/>
          <w:bCs w:val="0"/>
          <w:spacing w:val="0"/>
          <w:sz w:val="24"/>
          <w:szCs w:val="24"/>
          <w:highlight w:val="none"/>
          <w:u w:val="none"/>
          <w:lang w:val="en-US" w:eastAsia="zh-CN"/>
        </w:rPr>
        <w:t>7</w:t>
      </w: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ind w:firstLine="448" w:firstLineChars="200"/>
        <w:jc w:val="both"/>
        <w:textAlignment w:val="auto"/>
        <w:rPr>
          <w:rFonts w:hint="default" w:ascii="MWcht" w:hAnsi="MWcht" w:eastAsia="方正小标宋简体" w:cs="MWcht"/>
          <w:spacing w:val="-8"/>
          <w:sz w:val="24"/>
          <w:szCs w:val="24"/>
          <w:highlight w:val="none"/>
          <w:u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MWcht" w:hAnsi="MWcht" w:eastAsia="方正小标宋简体" w:cs="MWcht"/>
          <w:spacing w:val="-8"/>
          <w:sz w:val="24"/>
          <w:szCs w:val="24"/>
          <w:highlight w:val="none"/>
          <w:u w:val="none"/>
        </w:rPr>
        <w:sectPr>
          <w:headerReference r:id="rId3" w:type="default"/>
          <w:footerReference r:id="rId5" w:type="default"/>
          <w:headerReference r:id="rId4" w:type="even"/>
          <w:footerReference r:id="rId6" w:type="even"/>
          <w:footnotePr>
            <w:numFmt w:val="decimalEnclosedCircleChinese"/>
          </w:footnotePr>
          <w:type w:val="continuous"/>
          <w:pgSz w:w="8390" w:h="11905"/>
          <w:pgMar w:top="1134" w:right="850" w:bottom="850" w:left="850" w:header="851"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MWcht" w:hAnsi="MWcht" w:eastAsia="方正小标宋简体" w:cs="MWcht"/>
          <w:spacing w:val="-8"/>
          <w:sz w:val="24"/>
          <w:szCs w:val="24"/>
          <w:highlight w:val="none"/>
          <w:u w:val="none"/>
        </w:rPr>
      </w:pPr>
    </w:p>
    <w:p>
      <w:pPr>
        <w:pStyle w:val="2"/>
        <w:ind w:left="0" w:leftChars="0" w:firstLine="0" w:firstLineChars="0"/>
        <w:rPr>
          <w:rFonts w:hint="default" w:ascii="MWcht" w:hAnsi="MWcht" w:eastAsia="方正小标宋简体" w:cs="MWcht"/>
          <w:spacing w:val="-8"/>
          <w:sz w:val="24"/>
          <w:szCs w:val="24"/>
          <w:highlight w:val="none"/>
          <w:u w:val="none"/>
        </w:rPr>
      </w:pPr>
    </w:p>
    <w:p>
      <w:pPr>
        <w:rPr>
          <w:rFonts w:hint="default" w:ascii="MWcht" w:hAnsi="MWcht" w:eastAsia="方正小标宋简体" w:cs="MWcht"/>
          <w:spacing w:val="-8"/>
          <w:sz w:val="24"/>
          <w:szCs w:val="24"/>
          <w:highlight w:val="none"/>
          <w:u w:val="none"/>
        </w:rPr>
      </w:pPr>
    </w:p>
    <w:p>
      <w:pPr>
        <w:pStyle w:val="2"/>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鄂托克旗</w:t>
      </w:r>
      <w:r>
        <w:rPr>
          <w:rFonts w:hint="eastAsia" w:ascii="方正小标宋简体" w:hAnsi="方正小标宋简体" w:eastAsia="方正小标宋简体" w:cs="方正小标宋简体"/>
          <w:sz w:val="36"/>
          <w:szCs w:val="36"/>
        </w:rPr>
        <w:t>财政收支预算执行情况分析</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4"/>
          <w:szCs w:val="24"/>
          <w:highlight w:val="none"/>
          <w:u w:val="none"/>
          <w:lang w:val="en-US" w:eastAsia="zh-CN"/>
        </w:rPr>
      </w:pPr>
      <w:r>
        <w:rPr>
          <w:rFonts w:hint="eastAsia" w:ascii="黑体" w:hAnsi="黑体" w:eastAsia="黑体" w:cs="黑体"/>
          <w:sz w:val="24"/>
          <w:szCs w:val="24"/>
          <w:highlight w:val="none"/>
          <w:u w:val="none"/>
          <w:lang w:val="en-US" w:eastAsia="zh-CN"/>
        </w:rPr>
        <w:t>第 7 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方正小标宋简体" w:hAnsi="方正小标宋简体" w:eastAsia="方正小标宋简体" w:cs="方正小标宋简体"/>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24"/>
          <w:szCs w:val="24"/>
          <w:highlight w:val="none"/>
          <w:u w:val="none"/>
          <w:lang w:val="en-US"/>
        </w:rPr>
      </w:pPr>
      <w:r>
        <w:rPr>
          <w:rFonts w:hint="eastAsia" w:ascii="楷体_GB2312" w:hAnsi="楷体_GB2312" w:eastAsia="楷体_GB2312" w:cs="楷体_GB2312"/>
          <w:sz w:val="24"/>
          <w:szCs w:val="24"/>
          <w:highlight w:val="none"/>
          <w:u w:val="none"/>
          <w:lang w:val="en-US" w:eastAsia="zh-CN"/>
        </w:rPr>
        <w:t>签发人：李思乾                     2023年8月10日</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44450</wp:posOffset>
                </wp:positionV>
                <wp:extent cx="4252595" cy="0"/>
                <wp:effectExtent l="0" t="0" r="0" b="0"/>
                <wp:wrapNone/>
                <wp:docPr id="20" name="直接连接符 20"/>
                <wp:cNvGraphicFramePr/>
                <a:graphic xmlns:a="http://schemas.openxmlformats.org/drawingml/2006/main">
                  <a:graphicData uri="http://schemas.microsoft.com/office/word/2010/wordprocessingShape">
                    <wps:wsp>
                      <wps:cNvCnPr/>
                      <wps:spPr>
                        <a:xfrm>
                          <a:off x="687070" y="2796540"/>
                          <a:ext cx="4252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5pt;height:0pt;width:334.85pt;z-index:251659264;mso-width-relative:page;mso-height-relative:page;" filled="f" stroked="t" coordsize="21600,21600" o:gfxdata="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50kFl0gAAAAQBAAAP&#10;AAAAAAAAAAEAIAAAACIAAABkcnMvZG93bnJldi54bWxQSwECFAAUAAAACACHTuJAmv3C9OUBAACn&#10;AwAADgAAAAAAAAABACAAAAAhAQAAZHJzL2Uyb0RvYy54bWxQSwUGAAAAAAYABgBZAQAAeAUAAAAA&#10;">
                <v:fill on="f" focussize="0,0"/>
                <v:stroke color="#000000 [3213]"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9"/>
        <w:rPr>
          <w:rFonts w:ascii="Times New Roman" w:hAnsi="Times New Roman" w:eastAsia="黑体" w:cs="Times New Roman"/>
          <w:spacing w:val="0"/>
          <w:kern w:val="21"/>
          <w:sz w:val="24"/>
          <w:szCs w:val="24"/>
          <w:highlight w:val="none"/>
          <w:u w:val="none"/>
        </w:rPr>
      </w:pPr>
      <w:r>
        <w:rPr>
          <w:rFonts w:ascii="Times New Roman" w:hAnsi="Times New Roman" w:eastAsia="黑体" w:cs="Times New Roman"/>
          <w:spacing w:val="0"/>
          <w:kern w:val="21"/>
          <w:sz w:val="24"/>
          <w:szCs w:val="24"/>
          <w:highlight w:val="none"/>
          <w:u w:val="none"/>
        </w:rPr>
        <w:t>一、全</w:t>
      </w:r>
      <w:r>
        <w:rPr>
          <w:rFonts w:hint="eastAsia" w:ascii="Times New Roman" w:hAnsi="Times New Roman" w:eastAsia="黑体" w:cs="Times New Roman"/>
          <w:spacing w:val="0"/>
          <w:kern w:val="21"/>
          <w:sz w:val="24"/>
          <w:szCs w:val="24"/>
          <w:highlight w:val="none"/>
          <w:u w:val="none"/>
          <w:lang w:val="en-US" w:eastAsia="zh-CN"/>
        </w:rPr>
        <w:t>旗一般公共预算收入</w:t>
      </w:r>
      <w:r>
        <w:rPr>
          <w:rFonts w:hint="eastAsia" w:ascii="Times New Roman" w:hAnsi="Times New Roman" w:eastAsia="黑体" w:cs="Times New Roman"/>
          <w:spacing w:val="0"/>
          <w:kern w:val="21"/>
          <w:sz w:val="24"/>
          <w:szCs w:val="24"/>
          <w:highlight w:val="none"/>
          <w:u w:val="none"/>
          <w:lang w:eastAsia="zh-CN"/>
        </w:rPr>
        <w:t>完成</w:t>
      </w:r>
      <w:r>
        <w:rPr>
          <w:rFonts w:ascii="Times New Roman" w:hAnsi="Times New Roman" w:eastAsia="黑体" w:cs="Times New Roman"/>
          <w:spacing w:val="0"/>
          <w:kern w:val="21"/>
          <w:sz w:val="24"/>
          <w:szCs w:val="24"/>
          <w:highlight w:val="none"/>
          <w:u w:val="none"/>
        </w:rPr>
        <w:t>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（一）7月一般公共预算收入完成情况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spacing w:val="0"/>
          <w:kern w:val="21"/>
          <w:sz w:val="24"/>
          <w:szCs w:val="24"/>
          <w:highlight w:val="none"/>
          <w:u w:val="none"/>
          <w:lang w:val="en-US" w:eastAsia="zh-CN"/>
        </w:rPr>
        <w:t>2023年7月当月，全旗一般公共预算收入完成21338万元，较上年同期下降58.1%。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黑体" w:hAnsi="黑体" w:eastAsia="黑体" w:cs="黑体"/>
          <w:spacing w:val="0"/>
          <w:kern w:val="21"/>
          <w:sz w:val="24"/>
          <w:szCs w:val="24"/>
          <w:highlight w:val="none"/>
          <w:u w:val="none"/>
          <w:lang w:val="en-US" w:eastAsia="zh-CN"/>
        </w:rPr>
        <w:t>分项目：</w:t>
      </w:r>
      <w:r>
        <w:rPr>
          <w:rFonts w:hint="eastAsia" w:ascii="仿宋_GB2312" w:hAnsi="仿宋_GB2312" w:eastAsia="仿宋_GB2312" w:cs="仿宋_GB2312"/>
          <w:b/>
          <w:bCs/>
          <w:spacing w:val="0"/>
          <w:kern w:val="21"/>
          <w:sz w:val="24"/>
          <w:szCs w:val="24"/>
          <w:highlight w:val="none"/>
          <w:u w:val="none"/>
          <w:lang w:val="en-US" w:eastAsia="zh-CN"/>
        </w:rPr>
        <w:t>1.增值税</w:t>
      </w:r>
      <w:r>
        <w:rPr>
          <w:rFonts w:hint="eastAsia" w:ascii="仿宋_GB2312" w:hAnsi="仿宋_GB2312" w:eastAsia="仿宋_GB2312" w:cs="仿宋_GB2312"/>
          <w:b w:val="0"/>
          <w:bCs w:val="0"/>
          <w:spacing w:val="0"/>
          <w:kern w:val="21"/>
          <w:sz w:val="24"/>
          <w:szCs w:val="24"/>
          <w:highlight w:val="none"/>
          <w:u w:val="none"/>
          <w:lang w:val="en-US" w:eastAsia="zh-CN"/>
        </w:rPr>
        <w:t>4787</w:t>
      </w:r>
      <w:r>
        <w:rPr>
          <w:rFonts w:hint="eastAsia" w:ascii="仿宋_GB2312" w:hAnsi="仿宋_GB2312" w:eastAsia="仿宋_GB2312" w:cs="仿宋_GB2312"/>
          <w:spacing w:val="0"/>
          <w:kern w:val="21"/>
          <w:sz w:val="24"/>
          <w:szCs w:val="24"/>
          <w:highlight w:val="none"/>
          <w:u w:val="none"/>
          <w:lang w:val="en-US" w:eastAsia="zh-CN"/>
        </w:rPr>
        <w:t>万元、较上年同期下降53.6%；</w:t>
      </w:r>
      <w:r>
        <w:rPr>
          <w:rFonts w:hint="eastAsia" w:ascii="仿宋_GB2312" w:hAnsi="仿宋_GB2312" w:eastAsia="仿宋_GB2312" w:cs="仿宋_GB2312"/>
          <w:b/>
          <w:bCs/>
          <w:spacing w:val="0"/>
          <w:kern w:val="21"/>
          <w:sz w:val="24"/>
          <w:szCs w:val="24"/>
          <w:highlight w:val="none"/>
          <w:u w:val="none"/>
          <w:lang w:val="en-US" w:eastAsia="zh-CN"/>
        </w:rPr>
        <w:t>2.企业所得税</w:t>
      </w:r>
      <w:r>
        <w:rPr>
          <w:rFonts w:hint="eastAsia" w:ascii="仿宋_GB2312" w:hAnsi="仿宋_GB2312" w:eastAsia="仿宋_GB2312" w:cs="仿宋_GB2312"/>
          <w:b w:val="0"/>
          <w:bCs w:val="0"/>
          <w:spacing w:val="0"/>
          <w:kern w:val="21"/>
          <w:sz w:val="24"/>
          <w:szCs w:val="24"/>
          <w:highlight w:val="none"/>
          <w:u w:val="none"/>
          <w:lang w:val="en-US" w:eastAsia="zh-CN"/>
        </w:rPr>
        <w:t>1754</w:t>
      </w:r>
      <w:r>
        <w:rPr>
          <w:rFonts w:hint="eastAsia" w:ascii="仿宋_GB2312" w:hAnsi="仿宋_GB2312" w:eastAsia="仿宋_GB2312" w:cs="仿宋_GB2312"/>
          <w:spacing w:val="0"/>
          <w:kern w:val="21"/>
          <w:sz w:val="24"/>
          <w:szCs w:val="24"/>
          <w:highlight w:val="none"/>
          <w:u w:val="none"/>
          <w:lang w:val="en-US" w:eastAsia="zh-CN"/>
        </w:rPr>
        <w:t>万元、较上年同期下降92.3%；</w:t>
      </w:r>
      <w:r>
        <w:rPr>
          <w:rFonts w:hint="eastAsia" w:ascii="仿宋_GB2312" w:hAnsi="仿宋_GB2312" w:eastAsia="仿宋_GB2312" w:cs="仿宋_GB2312"/>
          <w:b/>
          <w:bCs/>
          <w:spacing w:val="0"/>
          <w:kern w:val="21"/>
          <w:sz w:val="24"/>
          <w:szCs w:val="24"/>
          <w:highlight w:val="none"/>
          <w:u w:val="none"/>
          <w:lang w:val="en-US" w:eastAsia="zh-CN"/>
        </w:rPr>
        <w:t>3.资源税</w:t>
      </w:r>
      <w:r>
        <w:rPr>
          <w:rFonts w:hint="eastAsia" w:ascii="仿宋_GB2312" w:hAnsi="仿宋_GB2312" w:eastAsia="仿宋_GB2312" w:cs="仿宋_GB2312"/>
          <w:spacing w:val="0"/>
          <w:kern w:val="21"/>
          <w:sz w:val="24"/>
          <w:szCs w:val="24"/>
          <w:highlight w:val="none"/>
          <w:u w:val="none"/>
          <w:lang w:val="en-US" w:eastAsia="zh-CN"/>
        </w:rPr>
        <w:t>3610万元、较上年同期下降19.6%；</w:t>
      </w:r>
      <w:r>
        <w:rPr>
          <w:rFonts w:hint="eastAsia" w:ascii="仿宋_GB2312" w:hAnsi="仿宋_GB2312" w:eastAsia="仿宋_GB2312" w:cs="仿宋_GB2312"/>
          <w:b/>
          <w:bCs/>
          <w:spacing w:val="0"/>
          <w:kern w:val="21"/>
          <w:sz w:val="24"/>
          <w:szCs w:val="24"/>
          <w:highlight w:val="none"/>
          <w:u w:val="none"/>
          <w:lang w:val="en-US" w:eastAsia="zh-CN"/>
        </w:rPr>
        <w:t>4.个人所得税</w:t>
      </w:r>
      <w:r>
        <w:rPr>
          <w:rFonts w:hint="eastAsia" w:ascii="仿宋_GB2312" w:hAnsi="仿宋_GB2312" w:eastAsia="仿宋_GB2312" w:cs="仿宋_GB2312"/>
          <w:spacing w:val="0"/>
          <w:kern w:val="21"/>
          <w:sz w:val="24"/>
          <w:szCs w:val="24"/>
          <w:highlight w:val="none"/>
          <w:u w:val="none"/>
          <w:lang w:val="en-US" w:eastAsia="zh-CN"/>
        </w:rPr>
        <w:t>340万元、较上年同期下降79.8%</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5.城市维护建设税</w:t>
      </w:r>
      <w:r>
        <w:rPr>
          <w:rFonts w:hint="eastAsia" w:ascii="仿宋_GB2312" w:hAnsi="仿宋_GB2312" w:eastAsia="仿宋_GB2312" w:cs="仿宋_GB2312"/>
          <w:spacing w:val="0"/>
          <w:kern w:val="21"/>
          <w:sz w:val="24"/>
          <w:szCs w:val="24"/>
          <w:highlight w:val="none"/>
          <w:u w:val="none"/>
          <w:lang w:val="en-US" w:eastAsia="zh-CN"/>
        </w:rPr>
        <w:t>1017万元、较上年同期下降61.4%</w:t>
      </w:r>
      <w:r>
        <w:rPr>
          <w:rFonts w:hint="eastAsia" w:ascii="仿宋_GB2312" w:hAnsi="仿宋_GB2312" w:eastAsia="仿宋_GB2312" w:cs="仿宋_GB2312"/>
          <w:spacing w:val="0"/>
          <w:kern w:val="21"/>
          <w:sz w:val="24"/>
          <w:szCs w:val="24"/>
          <w:highlight w:val="none"/>
          <w:lang w:eastAsia="zh-CN"/>
        </w:rPr>
        <w:t>；</w:t>
      </w:r>
      <w:r>
        <w:rPr>
          <w:rFonts w:hint="eastAsia" w:ascii="仿宋_GB2312" w:hAnsi="仿宋_GB2312" w:eastAsia="仿宋_GB2312" w:cs="仿宋_GB2312"/>
          <w:b/>
          <w:bCs/>
          <w:spacing w:val="0"/>
          <w:kern w:val="21"/>
          <w:sz w:val="24"/>
          <w:szCs w:val="24"/>
          <w:highlight w:val="none"/>
          <w:lang w:val="en-US" w:eastAsia="zh-CN"/>
        </w:rPr>
        <w:t>6.房产税</w:t>
      </w:r>
      <w:r>
        <w:rPr>
          <w:rFonts w:hint="eastAsia" w:ascii="仿宋_GB2312" w:hAnsi="仿宋_GB2312" w:eastAsia="仿宋_GB2312" w:cs="仿宋_GB2312"/>
          <w:spacing w:val="0"/>
          <w:kern w:val="21"/>
          <w:sz w:val="24"/>
          <w:szCs w:val="24"/>
          <w:highlight w:val="none"/>
          <w:lang w:val="en-US" w:eastAsia="zh-CN"/>
        </w:rPr>
        <w:t>20万元；</w:t>
      </w:r>
      <w:r>
        <w:rPr>
          <w:rFonts w:hint="eastAsia" w:ascii="仿宋_GB2312" w:hAnsi="仿宋_GB2312" w:eastAsia="仿宋_GB2312" w:cs="仿宋_GB2312"/>
          <w:b/>
          <w:bCs/>
          <w:spacing w:val="0"/>
          <w:kern w:val="21"/>
          <w:sz w:val="24"/>
          <w:szCs w:val="24"/>
          <w:highlight w:val="none"/>
          <w:lang w:val="en-US" w:eastAsia="zh-CN"/>
        </w:rPr>
        <w:t>7.</w:t>
      </w:r>
      <w:r>
        <w:rPr>
          <w:rFonts w:hint="eastAsia" w:ascii="仿宋_GB2312" w:hAnsi="仿宋_GB2312" w:eastAsia="仿宋_GB2312" w:cs="仿宋_GB2312"/>
          <w:b/>
          <w:bCs/>
          <w:color w:val="auto"/>
          <w:spacing w:val="0"/>
          <w:kern w:val="21"/>
          <w:sz w:val="24"/>
          <w:szCs w:val="24"/>
          <w:highlight w:val="none"/>
          <w:u w:val="none"/>
          <w:lang w:val="en-US" w:eastAsia="zh-CN"/>
        </w:rPr>
        <w:t>印花税</w:t>
      </w:r>
      <w:r>
        <w:rPr>
          <w:rFonts w:hint="eastAsia" w:ascii="仿宋_GB2312" w:hAnsi="仿宋_GB2312" w:eastAsia="仿宋_GB2312" w:cs="仿宋_GB2312"/>
          <w:color w:val="auto"/>
          <w:spacing w:val="0"/>
          <w:kern w:val="21"/>
          <w:sz w:val="24"/>
          <w:szCs w:val="24"/>
          <w:highlight w:val="none"/>
          <w:u w:val="none"/>
          <w:lang w:val="en-US" w:eastAsia="zh-CN"/>
        </w:rPr>
        <w:t>1767万元、</w:t>
      </w:r>
      <w:r>
        <w:rPr>
          <w:rFonts w:hint="eastAsia" w:ascii="仿宋_GB2312" w:hAnsi="仿宋_GB2312" w:eastAsia="仿宋_GB2312" w:cs="仿宋_GB2312"/>
          <w:spacing w:val="0"/>
          <w:kern w:val="21"/>
          <w:sz w:val="24"/>
          <w:szCs w:val="24"/>
          <w:highlight w:val="none"/>
          <w:u w:val="none"/>
          <w:lang w:val="en-US" w:eastAsia="zh-CN"/>
        </w:rPr>
        <w:t>较上年同期上升131%；</w:t>
      </w:r>
      <w:r>
        <w:rPr>
          <w:rFonts w:hint="eastAsia" w:ascii="仿宋_GB2312" w:hAnsi="仿宋_GB2312" w:eastAsia="仿宋_GB2312" w:cs="仿宋_GB2312"/>
          <w:b/>
          <w:bCs/>
          <w:spacing w:val="0"/>
          <w:kern w:val="21"/>
          <w:sz w:val="24"/>
          <w:szCs w:val="24"/>
          <w:highlight w:val="none"/>
          <w:u w:val="none"/>
          <w:lang w:val="en-US" w:eastAsia="zh-CN"/>
        </w:rPr>
        <w:t>8.城镇土地使用税</w:t>
      </w:r>
      <w:r>
        <w:rPr>
          <w:rFonts w:hint="eastAsia" w:ascii="仿宋_GB2312" w:hAnsi="仿宋_GB2312" w:eastAsia="仿宋_GB2312" w:cs="仿宋_GB2312"/>
          <w:b w:val="0"/>
          <w:bCs w:val="0"/>
          <w:spacing w:val="0"/>
          <w:kern w:val="21"/>
          <w:sz w:val="24"/>
          <w:szCs w:val="24"/>
          <w:highlight w:val="none"/>
          <w:u w:val="none"/>
          <w:lang w:val="en-US" w:eastAsia="zh-CN"/>
        </w:rPr>
        <w:t>76</w:t>
      </w:r>
      <w:r>
        <w:rPr>
          <w:rFonts w:hint="eastAsia" w:ascii="仿宋_GB2312" w:hAnsi="仿宋_GB2312" w:eastAsia="仿宋_GB2312" w:cs="仿宋_GB2312"/>
          <w:spacing w:val="0"/>
          <w:kern w:val="21"/>
          <w:sz w:val="24"/>
          <w:szCs w:val="24"/>
          <w:highlight w:val="none"/>
          <w:u w:val="none"/>
          <w:lang w:val="en-US" w:eastAsia="zh-CN"/>
        </w:rPr>
        <w:t>万元、</w:t>
      </w:r>
      <w:r>
        <w:rPr>
          <w:rFonts w:hint="eastAsia" w:ascii="仿宋_GB2312" w:hAnsi="仿宋_GB2312" w:eastAsia="仿宋_GB2312" w:cs="仿宋_GB2312"/>
          <w:color w:val="auto"/>
          <w:spacing w:val="0"/>
          <w:kern w:val="21"/>
          <w:sz w:val="24"/>
          <w:szCs w:val="24"/>
          <w:highlight w:val="none"/>
          <w:u w:val="none"/>
          <w:lang w:val="en-US" w:eastAsia="zh-CN"/>
        </w:rPr>
        <w:t>较上年同期</w:t>
      </w:r>
      <w:r>
        <w:rPr>
          <w:rFonts w:hint="eastAsia" w:ascii="仿宋_GB2312" w:hAnsi="仿宋_GB2312" w:eastAsia="仿宋_GB2312" w:cs="仿宋_GB2312"/>
          <w:spacing w:val="0"/>
          <w:kern w:val="21"/>
          <w:sz w:val="24"/>
          <w:szCs w:val="24"/>
          <w:highlight w:val="none"/>
          <w:u w:val="none"/>
          <w:lang w:val="en-US" w:eastAsia="zh-CN"/>
        </w:rPr>
        <w:t>下降</w:t>
      </w:r>
      <w:r>
        <w:rPr>
          <w:rFonts w:hint="eastAsia" w:ascii="仿宋_GB2312" w:hAnsi="仿宋_GB2312" w:eastAsia="仿宋_GB2312" w:cs="仿宋_GB2312"/>
          <w:color w:val="auto"/>
          <w:spacing w:val="0"/>
          <w:kern w:val="21"/>
          <w:sz w:val="24"/>
          <w:szCs w:val="24"/>
          <w:highlight w:val="none"/>
          <w:u w:val="none"/>
          <w:lang w:val="en-US" w:eastAsia="zh-CN"/>
        </w:rPr>
        <w:t>56.8%</w:t>
      </w:r>
      <w:r>
        <w:rPr>
          <w:rFonts w:hint="eastAsia" w:ascii="仿宋_GB2312" w:hAnsi="仿宋_GB2312" w:eastAsia="仿宋_GB2312" w:cs="仿宋_GB2312"/>
          <w:color w:val="auto"/>
          <w:spacing w:val="0"/>
          <w:kern w:val="21"/>
          <w:sz w:val="24"/>
          <w:szCs w:val="24"/>
          <w:highlight w:val="none"/>
          <w:u w:val="none" w:color="auto"/>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9.土地增值税</w:t>
      </w:r>
      <w:r>
        <w:rPr>
          <w:rFonts w:hint="eastAsia" w:ascii="仿宋_GB2312" w:hAnsi="仿宋_GB2312" w:eastAsia="仿宋_GB2312" w:cs="仿宋_GB2312"/>
          <w:b w:val="0"/>
          <w:bCs w:val="0"/>
          <w:spacing w:val="0"/>
          <w:kern w:val="21"/>
          <w:sz w:val="24"/>
          <w:szCs w:val="24"/>
          <w:highlight w:val="none"/>
          <w:u w:val="none"/>
          <w:lang w:val="en-US" w:eastAsia="zh-CN"/>
        </w:rPr>
        <w:t>117</w:t>
      </w:r>
      <w:r>
        <w:rPr>
          <w:rFonts w:hint="eastAsia" w:ascii="仿宋_GB2312" w:hAnsi="仿宋_GB2312" w:eastAsia="仿宋_GB2312" w:cs="仿宋_GB2312"/>
          <w:spacing w:val="0"/>
          <w:kern w:val="21"/>
          <w:sz w:val="24"/>
          <w:szCs w:val="24"/>
          <w:highlight w:val="none"/>
          <w:u w:val="none"/>
          <w:lang w:val="en-US" w:eastAsia="zh-CN"/>
        </w:rPr>
        <w:t>万元、较上年同期上升80%；</w:t>
      </w:r>
      <w:r>
        <w:rPr>
          <w:rFonts w:hint="eastAsia" w:ascii="仿宋_GB2312" w:hAnsi="仿宋_GB2312" w:eastAsia="仿宋_GB2312" w:cs="仿宋_GB2312"/>
          <w:b/>
          <w:bCs/>
          <w:spacing w:val="0"/>
          <w:kern w:val="21"/>
          <w:sz w:val="24"/>
          <w:szCs w:val="24"/>
          <w:highlight w:val="none"/>
          <w:u w:val="none"/>
          <w:lang w:val="en-US" w:eastAsia="zh-CN"/>
        </w:rPr>
        <w:t>10.车船税</w:t>
      </w:r>
      <w:r>
        <w:rPr>
          <w:rFonts w:hint="eastAsia" w:ascii="仿宋_GB2312" w:hAnsi="仿宋_GB2312" w:eastAsia="仿宋_GB2312" w:cs="仿宋_GB2312"/>
          <w:spacing w:val="0"/>
          <w:kern w:val="21"/>
          <w:sz w:val="24"/>
          <w:szCs w:val="24"/>
          <w:highlight w:val="none"/>
          <w:u w:val="none"/>
          <w:lang w:val="en-US" w:eastAsia="zh-CN"/>
        </w:rPr>
        <w:t>187万元、较上年同期上升3.9%；</w:t>
      </w:r>
      <w:r>
        <w:rPr>
          <w:rFonts w:hint="eastAsia" w:ascii="仿宋_GB2312" w:hAnsi="仿宋_GB2312" w:eastAsia="仿宋_GB2312" w:cs="仿宋_GB2312"/>
          <w:b/>
          <w:bCs/>
          <w:spacing w:val="0"/>
          <w:kern w:val="21"/>
          <w:sz w:val="24"/>
          <w:szCs w:val="24"/>
          <w:highlight w:val="none"/>
          <w:u w:val="none"/>
          <w:lang w:val="en-US" w:eastAsia="zh-CN"/>
        </w:rPr>
        <w:t>11.耕地占用税</w:t>
      </w:r>
      <w:r>
        <w:rPr>
          <w:rFonts w:hint="eastAsia" w:ascii="仿宋_GB2312" w:hAnsi="仿宋_GB2312" w:eastAsia="仿宋_GB2312" w:cs="仿宋_GB2312"/>
          <w:b w:val="0"/>
          <w:bCs w:val="0"/>
          <w:spacing w:val="0"/>
          <w:kern w:val="21"/>
          <w:sz w:val="24"/>
          <w:szCs w:val="24"/>
          <w:highlight w:val="none"/>
          <w:u w:val="none"/>
          <w:lang w:val="en-US" w:eastAsia="zh-CN"/>
        </w:rPr>
        <w:t>4380</w:t>
      </w:r>
      <w:r>
        <w:rPr>
          <w:rFonts w:hint="eastAsia" w:ascii="仿宋_GB2312" w:hAnsi="仿宋_GB2312" w:eastAsia="仿宋_GB2312" w:cs="仿宋_GB2312"/>
          <w:spacing w:val="0"/>
          <w:kern w:val="21"/>
          <w:sz w:val="24"/>
          <w:szCs w:val="24"/>
          <w:highlight w:val="none"/>
          <w:u w:val="none"/>
          <w:lang w:val="en-US" w:eastAsia="zh-CN"/>
        </w:rPr>
        <w:t>万元、较上年同期上升965.7%</w:t>
      </w:r>
      <w:r>
        <w:rPr>
          <w:rFonts w:hint="eastAsia" w:ascii="仿宋_GB2312" w:hAnsi="仿宋_GB2312" w:eastAsia="仿宋_GB2312" w:cs="仿宋_GB2312"/>
          <w:color w:val="auto"/>
          <w:spacing w:val="0"/>
          <w:kern w:val="21"/>
          <w:sz w:val="24"/>
          <w:szCs w:val="24"/>
          <w:lang w:eastAsia="zh-CN"/>
        </w:rPr>
        <w:t>；</w:t>
      </w:r>
      <w:r>
        <w:rPr>
          <w:rFonts w:hint="eastAsia" w:ascii="仿宋_GB2312" w:hAnsi="仿宋_GB2312" w:eastAsia="仿宋_GB2312" w:cs="仿宋_GB2312"/>
          <w:b/>
          <w:bCs/>
          <w:spacing w:val="0"/>
          <w:kern w:val="21"/>
          <w:sz w:val="24"/>
          <w:szCs w:val="24"/>
          <w:highlight w:val="none"/>
          <w:u w:val="none"/>
          <w:lang w:val="en-US" w:eastAsia="zh-CN"/>
        </w:rPr>
        <w:t>12.契税</w:t>
      </w:r>
      <w:r>
        <w:rPr>
          <w:rFonts w:hint="eastAsia" w:ascii="仿宋_GB2312" w:hAnsi="仿宋_GB2312" w:eastAsia="仿宋_GB2312" w:cs="仿宋_GB2312"/>
          <w:spacing w:val="0"/>
          <w:kern w:val="21"/>
          <w:sz w:val="24"/>
          <w:szCs w:val="24"/>
          <w:highlight w:val="none"/>
          <w:u w:val="none"/>
          <w:lang w:val="en-US" w:eastAsia="zh-CN"/>
        </w:rPr>
        <w:t>161万元、较上年同期下降10.1%</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13.环境保护税</w:t>
      </w:r>
      <w:r>
        <w:rPr>
          <w:rFonts w:hint="eastAsia" w:ascii="仿宋_GB2312" w:hAnsi="仿宋_GB2312" w:eastAsia="仿宋_GB2312" w:cs="仿宋_GB2312"/>
          <w:b w:val="0"/>
          <w:bCs w:val="0"/>
          <w:color w:val="auto"/>
          <w:spacing w:val="0"/>
          <w:kern w:val="21"/>
          <w:sz w:val="24"/>
          <w:szCs w:val="24"/>
          <w:highlight w:val="none"/>
          <w:lang w:val="en-US" w:eastAsia="zh-CN"/>
        </w:rPr>
        <w:t>1095万元、较上年同期</w:t>
      </w:r>
      <w:r>
        <w:rPr>
          <w:rFonts w:hint="eastAsia" w:ascii="仿宋_GB2312" w:hAnsi="仿宋_GB2312" w:eastAsia="仿宋_GB2312" w:cs="仿宋_GB2312"/>
          <w:spacing w:val="0"/>
          <w:kern w:val="21"/>
          <w:sz w:val="24"/>
          <w:szCs w:val="24"/>
          <w:highlight w:val="none"/>
          <w:u w:val="none"/>
          <w:lang w:val="en-US" w:eastAsia="zh-CN"/>
        </w:rPr>
        <w:t>下降10.9</w:t>
      </w:r>
      <w:r>
        <w:rPr>
          <w:rFonts w:hint="eastAsia" w:ascii="仿宋_GB2312" w:hAnsi="仿宋_GB2312" w:eastAsia="仿宋_GB2312" w:cs="仿宋_GB2312"/>
          <w:b w:val="0"/>
          <w:bCs w:val="0"/>
          <w:color w:val="auto"/>
          <w:spacing w:val="0"/>
          <w:kern w:val="21"/>
          <w:sz w:val="24"/>
          <w:szCs w:val="24"/>
          <w:highlight w:val="none"/>
          <w:lang w:val="en-US" w:eastAsia="zh-CN"/>
        </w:rPr>
        <w:t>%；</w:t>
      </w:r>
      <w:r>
        <w:rPr>
          <w:rFonts w:hint="eastAsia" w:ascii="仿宋_GB2312" w:hAnsi="仿宋_GB2312" w:eastAsia="仿宋_GB2312" w:cs="仿宋_GB2312"/>
          <w:b/>
          <w:bCs/>
          <w:spacing w:val="0"/>
          <w:kern w:val="21"/>
          <w:sz w:val="24"/>
          <w:szCs w:val="24"/>
          <w:highlight w:val="none"/>
          <w:u w:val="none"/>
          <w:lang w:val="en-US" w:eastAsia="zh-CN"/>
        </w:rPr>
        <w:t>14.其他税收收入5万元；15.非税收入</w:t>
      </w:r>
      <w:r>
        <w:rPr>
          <w:rFonts w:hint="eastAsia" w:ascii="仿宋_GB2312" w:hAnsi="仿宋_GB2312" w:eastAsia="仿宋_GB2312" w:cs="仿宋_GB2312"/>
          <w:spacing w:val="0"/>
          <w:kern w:val="21"/>
          <w:sz w:val="24"/>
          <w:szCs w:val="24"/>
          <w:highlight w:val="none"/>
          <w:u w:val="none"/>
          <w:lang w:val="en-US" w:eastAsia="zh-CN"/>
        </w:rPr>
        <w:t>完成2022万元、较上年同期下降66.9%。</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楷体_GB2312" w:hAnsi="楷体_GB2312" w:eastAsia="楷体_GB2312" w:cs="楷体_GB2312"/>
          <w:b w:val="0"/>
          <w:bCs w:val="0"/>
          <w:spacing w:val="0"/>
          <w:kern w:val="21"/>
          <w:sz w:val="24"/>
          <w:szCs w:val="24"/>
          <w:highlight w:val="none"/>
          <w:u w:val="none"/>
          <w:lang w:val="en-US" w:eastAsia="zh-CN"/>
        </w:rPr>
      </w:pPr>
      <w:r>
        <w:rPr>
          <w:rFonts w:hint="eastAsia" w:ascii="楷体_GB2312" w:hAnsi="楷体_GB2312" w:eastAsia="楷体_GB2312" w:cs="楷体_GB2312"/>
          <w:b w:val="0"/>
          <w:bCs w:val="0"/>
          <w:spacing w:val="0"/>
          <w:kern w:val="21"/>
          <w:sz w:val="24"/>
          <w:szCs w:val="24"/>
          <w:highlight w:val="none"/>
          <w:u w:val="none"/>
          <w:lang w:val="en-US" w:eastAsia="zh-CN"/>
        </w:rPr>
        <w:t>（二）1-7月一般公共预算收入完成情况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default"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截至2023年7月底，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一般公共预算收入累计完成</w:t>
      </w:r>
      <w:r>
        <w:rPr>
          <w:rFonts w:hint="eastAsia" w:ascii="仿宋_GB2312" w:hAnsi="仿宋_GB2312" w:eastAsia="仿宋_GB2312" w:cs="仿宋_GB2312"/>
          <w:spacing w:val="0"/>
          <w:kern w:val="21"/>
          <w:sz w:val="24"/>
          <w:szCs w:val="24"/>
          <w:highlight w:val="none"/>
          <w:u w:val="none"/>
          <w:lang w:val="en-US" w:eastAsia="zh-CN"/>
        </w:rPr>
        <w:t>280316万元</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较上年同期下降23.2%</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剔除上年一次性征收因素，</w:t>
      </w:r>
      <w:r>
        <w:rPr>
          <w:rFonts w:hint="eastAsia" w:ascii="仿宋_GB2312" w:hAnsi="仿宋_GB2312" w:eastAsia="仿宋_GB2312" w:cs="仿宋_GB2312"/>
          <w:spacing w:val="0"/>
          <w:kern w:val="21"/>
          <w:sz w:val="24"/>
          <w:szCs w:val="24"/>
          <w:highlight w:val="none"/>
          <w:u w:val="none"/>
        </w:rPr>
        <w:t>较上年同期</w:t>
      </w:r>
      <w:r>
        <w:rPr>
          <w:rFonts w:hint="eastAsia" w:ascii="仿宋_GB2312" w:hAnsi="仿宋_GB2312" w:eastAsia="仿宋_GB2312" w:cs="仿宋_GB2312"/>
          <w:spacing w:val="0"/>
          <w:kern w:val="21"/>
          <w:sz w:val="24"/>
          <w:szCs w:val="24"/>
          <w:highlight w:val="none"/>
          <w:u w:val="none"/>
          <w:lang w:val="en-US" w:eastAsia="zh-CN"/>
        </w:rPr>
        <w:t>下降0.14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完成年初预算的56.06%。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spacing w:val="0"/>
          <w:kern w:val="21"/>
          <w:sz w:val="24"/>
          <w:szCs w:val="24"/>
          <w:highlight w:val="none"/>
          <w:u w:val="none"/>
        </w:rPr>
        <w:t>分性质：</w:t>
      </w:r>
      <w:r>
        <w:rPr>
          <w:rFonts w:hint="eastAsia" w:ascii="仿宋_GB2312" w:hAnsi="仿宋_GB2312" w:eastAsia="仿宋_GB2312" w:cs="仿宋_GB2312"/>
          <w:spacing w:val="0"/>
          <w:kern w:val="21"/>
          <w:sz w:val="24"/>
          <w:szCs w:val="24"/>
          <w:highlight w:val="none"/>
          <w:u w:val="none"/>
        </w:rPr>
        <w:t>税收收入</w:t>
      </w:r>
      <w:r>
        <w:rPr>
          <w:rFonts w:hint="eastAsia" w:ascii="仿宋_GB2312" w:hAnsi="仿宋_GB2312" w:eastAsia="仿宋_GB2312" w:cs="仿宋_GB2312"/>
          <w:spacing w:val="0"/>
          <w:kern w:val="21"/>
          <w:sz w:val="24"/>
          <w:szCs w:val="24"/>
          <w:highlight w:val="none"/>
          <w:u w:val="none"/>
          <w:lang w:val="en-US" w:eastAsia="zh-CN"/>
        </w:rPr>
        <w:t>257362万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下降23.5</w:t>
      </w:r>
      <w:r>
        <w:rPr>
          <w:rFonts w:hint="eastAsia" w:ascii="仿宋_GB2312" w:hAnsi="仿宋_GB2312" w:eastAsia="仿宋_GB2312" w:cs="仿宋_GB2312"/>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lang w:val="en-US" w:eastAsia="zh-CN"/>
        </w:rPr>
        <w:t>22954万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下降19.7</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91.8%和8.2%</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黑体" w:hAnsi="黑体" w:eastAsia="黑体" w:cs="黑体"/>
          <w:color w:val="auto"/>
          <w:spacing w:val="0"/>
          <w:kern w:val="21"/>
          <w:sz w:val="24"/>
          <w:szCs w:val="24"/>
          <w:highlight w:val="none"/>
          <w:u w:val="none"/>
        </w:rPr>
        <w:t>分部门</w:t>
      </w:r>
      <w:r>
        <w:rPr>
          <w:rFonts w:hint="eastAsia" w:ascii="黑体" w:hAnsi="黑体" w:eastAsia="黑体" w:cs="黑体"/>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旗税务局</w:t>
      </w:r>
      <w:r>
        <w:rPr>
          <w:rFonts w:hint="eastAsia" w:ascii="仿宋_GB2312" w:hAnsi="仿宋_GB2312" w:eastAsia="仿宋_GB2312" w:cs="仿宋_GB2312"/>
          <w:spacing w:val="0"/>
          <w:kern w:val="21"/>
          <w:sz w:val="24"/>
          <w:szCs w:val="24"/>
          <w:highlight w:val="none"/>
          <w:u w:val="none"/>
        </w:rPr>
        <w:t>组织收入</w:t>
      </w:r>
      <w:r>
        <w:rPr>
          <w:rFonts w:hint="eastAsia" w:ascii="仿宋_GB2312" w:hAnsi="仿宋_GB2312" w:eastAsia="仿宋_GB2312" w:cs="仿宋_GB2312"/>
          <w:spacing w:val="0"/>
          <w:kern w:val="21"/>
          <w:sz w:val="24"/>
          <w:szCs w:val="24"/>
          <w:highlight w:val="none"/>
          <w:u w:val="none"/>
          <w:lang w:val="en-US" w:eastAsia="zh-CN"/>
        </w:rPr>
        <w:t>26968万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上升23.4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。开发区税务局组织</w:t>
      </w:r>
      <w:r>
        <w:rPr>
          <w:rFonts w:hint="eastAsia" w:ascii="仿宋_GB2312" w:hAnsi="仿宋_GB2312" w:eastAsia="仿宋_GB2312" w:cs="仿宋_GB2312"/>
          <w:spacing w:val="0"/>
          <w:kern w:val="21"/>
          <w:sz w:val="24"/>
          <w:szCs w:val="24"/>
          <w:highlight w:val="none"/>
          <w:u w:val="none"/>
        </w:rPr>
        <w:t>收入</w:t>
      </w:r>
      <w:r>
        <w:rPr>
          <w:rFonts w:hint="eastAsia" w:ascii="仿宋_GB2312" w:hAnsi="仿宋_GB2312" w:eastAsia="仿宋_GB2312" w:cs="仿宋_GB2312"/>
          <w:spacing w:val="0"/>
          <w:kern w:val="21"/>
          <w:sz w:val="24"/>
          <w:szCs w:val="24"/>
          <w:highlight w:val="none"/>
          <w:u w:val="none"/>
          <w:lang w:val="en-US" w:eastAsia="zh-CN"/>
        </w:rPr>
        <w:t>244218万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下降26.6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9130万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下降15.1%。</w:t>
      </w:r>
      <w:r>
        <w:rPr>
          <w:rFonts w:hint="eastAsia" w:ascii="仿宋_GB2312" w:hAnsi="仿宋_GB2312" w:eastAsia="仿宋_GB2312" w:cs="仿宋_GB2312"/>
          <w:spacing w:val="0"/>
          <w:kern w:val="21"/>
          <w:sz w:val="24"/>
          <w:szCs w:val="24"/>
          <w:highlight w:val="none"/>
          <w:u w:val="none"/>
        </w:rPr>
        <w:t>占比分别为</w:t>
      </w:r>
      <w:r>
        <w:rPr>
          <w:rFonts w:hint="eastAsia" w:ascii="仿宋_GB2312" w:hAnsi="仿宋_GB2312" w:eastAsia="仿宋_GB2312" w:cs="仿宋_GB2312"/>
          <w:spacing w:val="0"/>
          <w:kern w:val="21"/>
          <w:sz w:val="24"/>
          <w:szCs w:val="24"/>
          <w:highlight w:val="none"/>
          <w:u w:val="none"/>
          <w:lang w:val="en-US" w:eastAsia="zh-CN"/>
        </w:rPr>
        <w:t>9.6%、87.1%和3.3%</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bCs/>
          <w:color w:val="auto"/>
          <w:spacing w:val="0"/>
          <w:kern w:val="21"/>
          <w:sz w:val="24"/>
          <w:szCs w:val="24"/>
          <w:highlight w:val="none"/>
          <w:u w:val="single"/>
        </w:rPr>
      </w:pPr>
      <w:r>
        <w:rPr>
          <w:rFonts w:hint="eastAsia" w:ascii="黑体" w:hAnsi="黑体" w:eastAsia="黑体" w:cs="黑体"/>
          <w:color w:val="auto"/>
          <w:spacing w:val="0"/>
          <w:kern w:val="21"/>
          <w:sz w:val="24"/>
          <w:szCs w:val="24"/>
          <w:highlight w:val="none"/>
          <w:u w:val="none"/>
        </w:rPr>
        <w:t>分行业：</w:t>
      </w:r>
      <w:r>
        <w:rPr>
          <w:rFonts w:hint="eastAsia" w:ascii="仿宋_GB2312" w:hAnsi="仿宋_GB2312" w:eastAsia="仿宋_GB2312" w:cs="仿宋_GB2312"/>
          <w:b/>
          <w:color w:val="auto"/>
          <w:spacing w:val="0"/>
          <w:kern w:val="21"/>
          <w:sz w:val="24"/>
          <w:szCs w:val="24"/>
          <w:highlight w:val="none"/>
        </w:rPr>
        <w:t>第二产业</w:t>
      </w:r>
      <w:r>
        <w:rPr>
          <w:rFonts w:hint="eastAsia" w:ascii="仿宋_GB2312" w:hAnsi="仿宋_GB2312" w:eastAsia="仿宋_GB2312" w:cs="仿宋_GB2312"/>
          <w:color w:val="auto"/>
          <w:spacing w:val="0"/>
          <w:kern w:val="21"/>
          <w:sz w:val="24"/>
          <w:szCs w:val="24"/>
          <w:highlight w:val="none"/>
        </w:rPr>
        <w:t>实现一般公共预算收入</w:t>
      </w:r>
      <w:r>
        <w:rPr>
          <w:rFonts w:hint="eastAsia" w:ascii="仿宋_GB2312" w:hAnsi="仿宋_GB2312" w:eastAsia="仿宋_GB2312" w:cs="仿宋_GB2312"/>
          <w:color w:val="auto"/>
          <w:spacing w:val="0"/>
          <w:kern w:val="21"/>
          <w:sz w:val="24"/>
          <w:szCs w:val="24"/>
          <w:highlight w:val="none"/>
          <w:lang w:val="en-US" w:eastAsia="zh-CN"/>
        </w:rPr>
        <w:t>240249</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下降22.6%</w:t>
      </w:r>
      <w:r>
        <w:rPr>
          <w:rFonts w:hint="eastAsia" w:ascii="仿宋_GB2312" w:hAnsi="仿宋_GB2312" w:eastAsia="仿宋_GB2312" w:cs="仿宋_GB2312"/>
          <w:color w:val="auto"/>
          <w:spacing w:val="0"/>
          <w:kern w:val="21"/>
          <w:sz w:val="24"/>
          <w:szCs w:val="24"/>
          <w:highlight w:val="none"/>
        </w:rPr>
        <w:t>，占比</w:t>
      </w:r>
      <w:r>
        <w:rPr>
          <w:rFonts w:hint="eastAsia" w:ascii="仿宋_GB2312" w:hAnsi="仿宋_GB2312" w:eastAsia="仿宋_GB2312" w:cs="仿宋_GB2312"/>
          <w:color w:val="auto"/>
          <w:spacing w:val="0"/>
          <w:kern w:val="21"/>
          <w:sz w:val="24"/>
          <w:szCs w:val="24"/>
          <w:highlight w:val="none"/>
          <w:lang w:val="en-US" w:eastAsia="zh-CN"/>
        </w:rPr>
        <w:t>85.7</w:t>
      </w:r>
      <w:r>
        <w:rPr>
          <w:rFonts w:hint="eastAsia" w:ascii="仿宋_GB2312" w:hAnsi="仿宋_GB2312" w:eastAsia="仿宋_GB2312" w:cs="仿宋_GB2312"/>
          <w:color w:val="auto"/>
          <w:spacing w:val="0"/>
          <w:kern w:val="21"/>
          <w:sz w:val="24"/>
          <w:szCs w:val="24"/>
          <w:highlight w:val="none"/>
        </w:rPr>
        <w:t>%。具体来看：</w:t>
      </w:r>
      <w:r>
        <w:rPr>
          <w:rFonts w:hint="eastAsia" w:ascii="仿宋_GB2312" w:hAnsi="仿宋_GB2312" w:eastAsia="仿宋_GB2312" w:cs="仿宋_GB2312"/>
          <w:b/>
          <w:color w:val="auto"/>
          <w:spacing w:val="0"/>
          <w:kern w:val="21"/>
          <w:sz w:val="24"/>
          <w:szCs w:val="24"/>
          <w:highlight w:val="none"/>
        </w:rPr>
        <w:t>1.煤炭</w:t>
      </w:r>
      <w:r>
        <w:rPr>
          <w:rFonts w:hint="eastAsia" w:ascii="仿宋_GB2312" w:hAnsi="仿宋_GB2312" w:eastAsia="仿宋_GB2312" w:cs="仿宋_GB2312"/>
          <w:color w:val="auto"/>
          <w:spacing w:val="0"/>
          <w:kern w:val="21"/>
          <w:sz w:val="24"/>
          <w:szCs w:val="24"/>
          <w:highlight w:val="none"/>
          <w:lang w:val="en-US" w:eastAsia="zh-CN"/>
        </w:rPr>
        <w:t>137867</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下降9.4</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val="en-US" w:eastAsia="zh-CN"/>
        </w:rPr>
        <w:t>；</w:t>
      </w:r>
      <w:r>
        <w:rPr>
          <w:rFonts w:hint="eastAsia" w:ascii="仿宋_GB2312" w:hAnsi="仿宋_GB2312" w:eastAsia="仿宋_GB2312" w:cs="仿宋_GB2312"/>
          <w:b/>
          <w:bCs/>
          <w:color w:val="auto"/>
          <w:spacing w:val="0"/>
          <w:kern w:val="21"/>
          <w:sz w:val="24"/>
          <w:szCs w:val="24"/>
          <w:highlight w:val="none"/>
          <w:lang w:val="en-US" w:eastAsia="zh-CN"/>
        </w:rPr>
        <w:t>2.天然气</w:t>
      </w:r>
      <w:r>
        <w:rPr>
          <w:rFonts w:hint="eastAsia" w:ascii="仿宋_GB2312" w:hAnsi="仿宋_GB2312" w:eastAsia="仿宋_GB2312" w:cs="仿宋_GB2312"/>
          <w:b w:val="0"/>
          <w:bCs w:val="0"/>
          <w:color w:val="auto"/>
          <w:spacing w:val="0"/>
          <w:kern w:val="21"/>
          <w:sz w:val="24"/>
          <w:szCs w:val="24"/>
          <w:highlight w:val="none"/>
          <w:lang w:val="en-US" w:eastAsia="zh-CN"/>
        </w:rPr>
        <w:t>21353</w:t>
      </w:r>
      <w:r>
        <w:rPr>
          <w:rFonts w:hint="eastAsia" w:ascii="仿宋_GB2312" w:hAnsi="仿宋_GB2312" w:eastAsia="仿宋_GB2312" w:cs="仿宋_GB2312"/>
          <w:color w:val="auto"/>
          <w:spacing w:val="0"/>
          <w:kern w:val="21"/>
          <w:sz w:val="24"/>
          <w:szCs w:val="24"/>
          <w:highlight w:val="none"/>
          <w:lang w:val="en-US" w:eastAsia="zh-CN"/>
        </w:rPr>
        <w:t>万元、增长47.3%</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b/>
          <w:color w:val="auto"/>
          <w:spacing w:val="0"/>
          <w:kern w:val="21"/>
          <w:sz w:val="24"/>
          <w:szCs w:val="24"/>
          <w:highlight w:val="none"/>
          <w:lang w:val="en-US" w:eastAsia="zh-CN"/>
        </w:rPr>
        <w:t>3</w:t>
      </w:r>
      <w:r>
        <w:rPr>
          <w:rFonts w:hint="eastAsia" w:ascii="仿宋_GB2312" w:hAnsi="仿宋_GB2312" w:eastAsia="仿宋_GB2312" w:cs="仿宋_GB2312"/>
          <w:b/>
          <w:color w:val="auto"/>
          <w:spacing w:val="0"/>
          <w:kern w:val="21"/>
          <w:sz w:val="24"/>
          <w:szCs w:val="24"/>
          <w:highlight w:val="none"/>
        </w:rPr>
        <w:t>.化工</w:t>
      </w:r>
      <w:r>
        <w:rPr>
          <w:rFonts w:hint="eastAsia" w:ascii="仿宋_GB2312" w:hAnsi="仿宋_GB2312" w:eastAsia="仿宋_GB2312" w:cs="仿宋_GB2312"/>
          <w:b w:val="0"/>
          <w:bCs/>
          <w:color w:val="auto"/>
          <w:spacing w:val="0"/>
          <w:kern w:val="21"/>
          <w:sz w:val="24"/>
          <w:szCs w:val="24"/>
          <w:highlight w:val="none"/>
          <w:lang w:val="en-US" w:eastAsia="zh-CN"/>
        </w:rPr>
        <w:t>17087</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下降56.9</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lang w:val="en-US" w:eastAsia="zh-CN"/>
        </w:rPr>
        <w:t>4</w:t>
      </w:r>
      <w:r>
        <w:rPr>
          <w:rFonts w:hint="eastAsia" w:ascii="仿宋_GB2312" w:hAnsi="仿宋_GB2312" w:eastAsia="仿宋_GB2312" w:cs="仿宋_GB2312"/>
          <w:b/>
          <w:color w:val="auto"/>
          <w:spacing w:val="0"/>
          <w:kern w:val="21"/>
          <w:sz w:val="24"/>
          <w:szCs w:val="24"/>
          <w:highlight w:val="none"/>
        </w:rPr>
        <w:t>.电力</w:t>
      </w:r>
      <w:r>
        <w:rPr>
          <w:rFonts w:hint="eastAsia" w:ascii="仿宋_GB2312" w:hAnsi="仿宋_GB2312" w:eastAsia="仿宋_GB2312" w:cs="仿宋_GB2312"/>
          <w:color w:val="auto"/>
          <w:spacing w:val="0"/>
          <w:kern w:val="21"/>
          <w:sz w:val="24"/>
          <w:szCs w:val="24"/>
          <w:highlight w:val="none"/>
          <w:lang w:val="en-US" w:eastAsia="zh-CN"/>
        </w:rPr>
        <w:t>9527</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下降17.4</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lang w:val="en-US" w:eastAsia="zh-CN"/>
        </w:rPr>
        <w:t>5</w:t>
      </w:r>
      <w:r>
        <w:rPr>
          <w:rFonts w:hint="eastAsia" w:ascii="仿宋_GB2312" w:hAnsi="仿宋_GB2312" w:eastAsia="仿宋_GB2312" w:cs="仿宋_GB2312"/>
          <w:b/>
          <w:color w:val="auto"/>
          <w:spacing w:val="0"/>
          <w:kern w:val="21"/>
          <w:sz w:val="24"/>
          <w:szCs w:val="24"/>
          <w:highlight w:val="none"/>
        </w:rPr>
        <w:t>.建筑</w:t>
      </w:r>
      <w:r>
        <w:rPr>
          <w:rFonts w:hint="eastAsia" w:ascii="仿宋_GB2312" w:hAnsi="仿宋_GB2312" w:eastAsia="仿宋_GB2312" w:cs="仿宋_GB2312"/>
          <w:b w:val="0"/>
          <w:bCs/>
          <w:color w:val="auto"/>
          <w:spacing w:val="0"/>
          <w:kern w:val="21"/>
          <w:sz w:val="24"/>
          <w:szCs w:val="24"/>
          <w:highlight w:val="none"/>
          <w:lang w:val="en-US" w:eastAsia="zh-CN"/>
        </w:rPr>
        <w:t>7344</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增长33.3</w:t>
      </w:r>
      <w:r>
        <w:rPr>
          <w:rFonts w:hint="eastAsia" w:ascii="仿宋_GB2312" w:hAnsi="仿宋_GB2312" w:eastAsia="仿宋_GB2312" w:cs="仿宋_GB2312"/>
          <w:color w:val="auto"/>
          <w:spacing w:val="0"/>
          <w:kern w:val="21"/>
          <w:sz w:val="24"/>
          <w:szCs w:val="24"/>
          <w:highlight w:val="none"/>
        </w:rPr>
        <w:t>%</w:t>
      </w:r>
      <w:r>
        <w:rPr>
          <w:rFonts w:hint="eastAsia" w:ascii="Times New Roman" w:hAnsi="Times New Roman" w:eastAsia="仿宋_GB2312" w:cs="Times New Roman"/>
          <w:color w:val="auto"/>
          <w:spacing w:val="0"/>
          <w:kern w:val="21"/>
          <w:sz w:val="24"/>
          <w:szCs w:val="24"/>
          <w:highlight w:val="none"/>
          <w:u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6.其他</w:t>
      </w:r>
      <w:r>
        <w:rPr>
          <w:rFonts w:hint="eastAsia" w:ascii="仿宋_GB2312" w:hAnsi="仿宋_GB2312" w:eastAsia="仿宋_GB2312" w:cs="仿宋_GB2312"/>
          <w:color w:val="auto"/>
          <w:spacing w:val="0"/>
          <w:kern w:val="21"/>
          <w:sz w:val="24"/>
          <w:szCs w:val="24"/>
          <w:highlight w:val="none"/>
          <w:lang w:val="en-US" w:eastAsia="zh-CN"/>
        </w:rPr>
        <w:t>47071万元、下降46%。</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2"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eastAsia" w:ascii="仿宋_GB2312" w:hAnsi="仿宋_GB2312" w:eastAsia="仿宋_GB2312" w:cs="仿宋_GB2312"/>
          <w:b/>
          <w:color w:val="auto"/>
          <w:spacing w:val="0"/>
          <w:kern w:val="21"/>
          <w:sz w:val="24"/>
          <w:szCs w:val="24"/>
          <w:highlight w:val="none"/>
        </w:rPr>
        <w:t>第三产业</w:t>
      </w:r>
      <w:r>
        <w:rPr>
          <w:rFonts w:hint="eastAsia" w:ascii="仿宋_GB2312" w:hAnsi="仿宋_GB2312" w:eastAsia="仿宋_GB2312" w:cs="仿宋_GB2312"/>
          <w:color w:val="auto"/>
          <w:spacing w:val="0"/>
          <w:kern w:val="21"/>
          <w:sz w:val="24"/>
          <w:szCs w:val="24"/>
          <w:highlight w:val="none"/>
        </w:rPr>
        <w:t>实现一般公共预算收入</w:t>
      </w:r>
      <w:r>
        <w:rPr>
          <w:rFonts w:hint="eastAsia" w:ascii="仿宋_GB2312" w:hAnsi="仿宋_GB2312" w:eastAsia="仿宋_GB2312" w:cs="仿宋_GB2312"/>
          <w:color w:val="auto"/>
          <w:spacing w:val="0"/>
          <w:kern w:val="21"/>
          <w:sz w:val="24"/>
          <w:szCs w:val="24"/>
          <w:highlight w:val="none"/>
          <w:lang w:val="en-US" w:eastAsia="zh-CN"/>
        </w:rPr>
        <w:t>30665</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下降29.2</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3"/>
          <w:kern w:val="21"/>
          <w:sz w:val="24"/>
          <w:szCs w:val="24"/>
          <w:highlight w:val="none"/>
        </w:rPr>
        <w:t>占比</w:t>
      </w:r>
      <w:r>
        <w:rPr>
          <w:rFonts w:hint="eastAsia" w:ascii="仿宋_GB2312" w:hAnsi="仿宋_GB2312" w:eastAsia="仿宋_GB2312" w:cs="仿宋_GB2312"/>
          <w:color w:val="auto"/>
          <w:spacing w:val="-3"/>
          <w:kern w:val="21"/>
          <w:sz w:val="24"/>
          <w:szCs w:val="24"/>
          <w:highlight w:val="none"/>
          <w:lang w:val="en-US" w:eastAsia="zh-CN"/>
        </w:rPr>
        <w:t>10.9</w:t>
      </w:r>
      <w:r>
        <w:rPr>
          <w:rFonts w:hint="eastAsia" w:ascii="仿宋_GB2312" w:hAnsi="仿宋_GB2312" w:eastAsia="仿宋_GB2312" w:cs="仿宋_GB2312"/>
          <w:color w:val="auto"/>
          <w:spacing w:val="-3"/>
          <w:kern w:val="21"/>
          <w:sz w:val="24"/>
          <w:szCs w:val="24"/>
          <w:highlight w:val="none"/>
        </w:rPr>
        <w:t>%。具体来看：</w:t>
      </w:r>
      <w:r>
        <w:rPr>
          <w:rFonts w:hint="eastAsia" w:ascii="仿宋_GB2312" w:hAnsi="仿宋_GB2312" w:eastAsia="仿宋_GB2312" w:cs="仿宋_GB2312"/>
          <w:b/>
          <w:color w:val="auto"/>
          <w:spacing w:val="-3"/>
          <w:kern w:val="21"/>
          <w:sz w:val="24"/>
          <w:szCs w:val="24"/>
          <w:highlight w:val="none"/>
        </w:rPr>
        <w:t>1.批发零售业</w:t>
      </w:r>
      <w:r>
        <w:rPr>
          <w:rFonts w:hint="eastAsia" w:ascii="仿宋_GB2312" w:hAnsi="仿宋_GB2312" w:eastAsia="仿宋_GB2312" w:cs="仿宋_GB2312"/>
          <w:b w:val="0"/>
          <w:bCs/>
          <w:color w:val="auto"/>
          <w:spacing w:val="-3"/>
          <w:kern w:val="21"/>
          <w:sz w:val="24"/>
          <w:szCs w:val="24"/>
          <w:highlight w:val="none"/>
          <w:lang w:val="en-US" w:eastAsia="zh-CN"/>
        </w:rPr>
        <w:t>5717</w:t>
      </w:r>
      <w:r>
        <w:rPr>
          <w:rFonts w:hint="eastAsia" w:ascii="仿宋_GB2312" w:hAnsi="仿宋_GB2312" w:eastAsia="仿宋_GB2312" w:cs="仿宋_GB2312"/>
          <w:color w:val="auto"/>
          <w:spacing w:val="-3"/>
          <w:kern w:val="21"/>
          <w:sz w:val="24"/>
          <w:szCs w:val="24"/>
          <w:highlight w:val="none"/>
        </w:rPr>
        <w:t>万元、</w:t>
      </w:r>
      <w:r>
        <w:rPr>
          <w:rFonts w:hint="eastAsia" w:ascii="仿宋_GB2312" w:hAnsi="仿宋_GB2312" w:eastAsia="仿宋_GB2312" w:cs="仿宋_GB2312"/>
          <w:color w:val="auto"/>
          <w:spacing w:val="-3"/>
          <w:kern w:val="21"/>
          <w:sz w:val="24"/>
          <w:szCs w:val="24"/>
          <w:highlight w:val="none"/>
          <w:lang w:val="en-US" w:eastAsia="zh-CN"/>
        </w:rPr>
        <w:t>下降51.3</w:t>
      </w:r>
      <w:r>
        <w:rPr>
          <w:rFonts w:hint="eastAsia" w:ascii="仿宋_GB2312" w:hAnsi="仿宋_GB2312" w:eastAsia="仿宋_GB2312" w:cs="仿宋_GB2312"/>
          <w:color w:val="auto"/>
          <w:spacing w:val="-3"/>
          <w:kern w:val="21"/>
          <w:sz w:val="24"/>
          <w:szCs w:val="24"/>
          <w:highlight w:val="none"/>
        </w:rPr>
        <w:t>%</w:t>
      </w:r>
      <w:r>
        <w:rPr>
          <w:rFonts w:hint="eastAsia" w:ascii="仿宋_GB2312" w:hAnsi="仿宋_GB2312" w:eastAsia="仿宋_GB2312" w:cs="仿宋_GB2312"/>
          <w:color w:val="auto"/>
          <w:spacing w:val="-3"/>
          <w:kern w:val="21"/>
          <w:sz w:val="24"/>
          <w:szCs w:val="24"/>
          <w:highlight w:val="none"/>
          <w:lang w:eastAsia="zh-CN"/>
        </w:rPr>
        <w:t>；</w:t>
      </w:r>
      <w:r>
        <w:rPr>
          <w:rFonts w:hint="eastAsia" w:ascii="仿宋_GB2312" w:hAnsi="仿宋_GB2312" w:eastAsia="仿宋_GB2312" w:cs="仿宋_GB2312"/>
          <w:b/>
          <w:color w:val="auto"/>
          <w:spacing w:val="-3"/>
          <w:kern w:val="21"/>
          <w:sz w:val="24"/>
          <w:szCs w:val="24"/>
          <w:highlight w:val="none"/>
        </w:rPr>
        <w:t>2.</w:t>
      </w:r>
      <w:r>
        <w:rPr>
          <w:rFonts w:hint="eastAsia" w:ascii="仿宋_GB2312" w:hAnsi="仿宋_GB2312" w:eastAsia="仿宋_GB2312" w:cs="仿宋_GB2312"/>
          <w:b/>
          <w:color w:val="auto"/>
          <w:spacing w:val="0"/>
          <w:kern w:val="21"/>
          <w:sz w:val="24"/>
          <w:szCs w:val="24"/>
          <w:highlight w:val="none"/>
        </w:rPr>
        <w:t>服务业</w:t>
      </w:r>
      <w:r>
        <w:rPr>
          <w:rFonts w:hint="eastAsia" w:ascii="仿宋_GB2312" w:hAnsi="仿宋_GB2312" w:eastAsia="仿宋_GB2312" w:cs="仿宋_GB2312"/>
          <w:color w:val="auto"/>
          <w:spacing w:val="0"/>
          <w:kern w:val="21"/>
          <w:sz w:val="24"/>
          <w:szCs w:val="24"/>
          <w:highlight w:val="none"/>
          <w:lang w:val="en-US" w:eastAsia="zh-CN"/>
        </w:rPr>
        <w:t>2592</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下降81.3</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b/>
          <w:bCs/>
          <w:color w:val="auto"/>
          <w:spacing w:val="0"/>
          <w:kern w:val="21"/>
          <w:sz w:val="24"/>
          <w:szCs w:val="24"/>
          <w:highlight w:val="none"/>
          <w:u w:val="none"/>
          <w:lang w:val="en-US" w:eastAsia="zh-CN"/>
        </w:rPr>
        <w:t>3</w:t>
      </w:r>
      <w:r>
        <w:rPr>
          <w:rFonts w:hint="eastAsia" w:ascii="仿宋_GB2312" w:hAnsi="仿宋_GB2312" w:eastAsia="仿宋_GB2312" w:cs="仿宋_GB2312"/>
          <w:b/>
          <w:color w:val="auto"/>
          <w:spacing w:val="0"/>
          <w:kern w:val="21"/>
          <w:sz w:val="24"/>
          <w:szCs w:val="24"/>
          <w:highlight w:val="none"/>
        </w:rPr>
        <w:t>.交通运输业</w:t>
      </w:r>
      <w:r>
        <w:rPr>
          <w:rFonts w:hint="eastAsia" w:ascii="仿宋_GB2312" w:hAnsi="仿宋_GB2312" w:eastAsia="仿宋_GB2312" w:cs="仿宋_GB2312"/>
          <w:b w:val="0"/>
          <w:bCs/>
          <w:color w:val="auto"/>
          <w:spacing w:val="0"/>
          <w:kern w:val="21"/>
          <w:sz w:val="24"/>
          <w:szCs w:val="24"/>
          <w:highlight w:val="none"/>
          <w:lang w:val="en-US" w:eastAsia="zh-CN"/>
        </w:rPr>
        <w:t>2509</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color w:val="auto"/>
          <w:spacing w:val="0"/>
          <w:kern w:val="21"/>
          <w:sz w:val="24"/>
          <w:szCs w:val="24"/>
          <w:highlight w:val="none"/>
          <w:lang w:val="en-US" w:eastAsia="zh-CN"/>
        </w:rPr>
        <w:t>下降12.1%</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b/>
          <w:color w:val="auto"/>
          <w:spacing w:val="0"/>
          <w:kern w:val="21"/>
          <w:sz w:val="24"/>
          <w:szCs w:val="24"/>
          <w:highlight w:val="none"/>
        </w:rPr>
        <w:t>4.金融业</w:t>
      </w:r>
      <w:r>
        <w:rPr>
          <w:rFonts w:hint="eastAsia" w:ascii="仿宋_GB2312" w:hAnsi="仿宋_GB2312" w:eastAsia="仿宋_GB2312" w:cs="仿宋_GB2312"/>
          <w:color w:val="auto"/>
          <w:spacing w:val="0"/>
          <w:kern w:val="21"/>
          <w:sz w:val="24"/>
          <w:szCs w:val="24"/>
          <w:highlight w:val="none"/>
          <w:lang w:val="en-US" w:eastAsia="zh-CN"/>
        </w:rPr>
        <w:t>2259</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增长44.9</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color w:val="auto"/>
          <w:spacing w:val="0"/>
          <w:kern w:val="21"/>
          <w:sz w:val="24"/>
          <w:szCs w:val="24"/>
          <w:highlight w:val="none"/>
        </w:rPr>
        <w:t>5.房地产业</w:t>
      </w:r>
      <w:r>
        <w:rPr>
          <w:rFonts w:hint="eastAsia" w:ascii="仿宋_GB2312" w:hAnsi="仿宋_GB2312" w:eastAsia="仿宋_GB2312" w:cs="仿宋_GB2312"/>
          <w:color w:val="auto"/>
          <w:spacing w:val="0"/>
          <w:kern w:val="21"/>
          <w:sz w:val="24"/>
          <w:szCs w:val="24"/>
          <w:highlight w:val="none"/>
          <w:lang w:val="en-US" w:eastAsia="zh-CN"/>
        </w:rPr>
        <w:t>5327</w:t>
      </w:r>
      <w:r>
        <w:rPr>
          <w:rFonts w:hint="eastAsia" w:ascii="仿宋_GB2312" w:hAnsi="仿宋_GB2312" w:eastAsia="仿宋_GB2312" w:cs="仿宋_GB2312"/>
          <w:color w:val="auto"/>
          <w:spacing w:val="0"/>
          <w:kern w:val="21"/>
          <w:sz w:val="24"/>
          <w:szCs w:val="24"/>
          <w:highlight w:val="none"/>
        </w:rPr>
        <w:t>万元、</w:t>
      </w:r>
      <w:r>
        <w:rPr>
          <w:rFonts w:hint="eastAsia" w:ascii="仿宋_GB2312" w:hAnsi="仿宋_GB2312" w:eastAsia="仿宋_GB2312" w:cs="仿宋_GB2312"/>
          <w:color w:val="auto"/>
          <w:spacing w:val="0"/>
          <w:kern w:val="21"/>
          <w:sz w:val="24"/>
          <w:szCs w:val="24"/>
          <w:highlight w:val="none"/>
          <w:lang w:val="en-US" w:eastAsia="zh-CN"/>
        </w:rPr>
        <w:t>下降42.3</w:t>
      </w:r>
      <w:r>
        <w:rPr>
          <w:rFonts w:hint="eastAsia" w:ascii="仿宋_GB2312" w:hAnsi="仿宋_GB2312" w:eastAsia="仿宋_GB2312" w:cs="仿宋_GB2312"/>
          <w:color w:val="auto"/>
          <w:spacing w:val="0"/>
          <w:kern w:val="21"/>
          <w:sz w:val="24"/>
          <w:szCs w:val="24"/>
          <w:highlight w:val="none"/>
        </w:rPr>
        <w:t>%</w:t>
      </w:r>
      <w:r>
        <w:rPr>
          <w:rFonts w:hint="eastAsia" w:ascii="仿宋_GB2312" w:hAnsi="仿宋_GB2312" w:eastAsia="仿宋_GB2312" w:cs="仿宋_GB2312"/>
          <w:color w:val="auto"/>
          <w:spacing w:val="0"/>
          <w:kern w:val="21"/>
          <w:sz w:val="24"/>
          <w:szCs w:val="24"/>
          <w:highlight w:val="none"/>
          <w:lang w:eastAsia="zh-CN"/>
        </w:rPr>
        <w:t>；</w:t>
      </w:r>
      <w:r>
        <w:rPr>
          <w:rFonts w:hint="eastAsia" w:ascii="仿宋_GB2312" w:hAnsi="仿宋_GB2312" w:eastAsia="仿宋_GB2312" w:cs="仿宋_GB2312"/>
          <w:b/>
          <w:bCs/>
          <w:color w:val="auto"/>
          <w:spacing w:val="0"/>
          <w:kern w:val="21"/>
          <w:sz w:val="24"/>
          <w:szCs w:val="24"/>
          <w:highlight w:val="none"/>
          <w:lang w:val="en-US" w:eastAsia="zh-CN"/>
        </w:rPr>
        <w:t>6.其他</w:t>
      </w:r>
      <w:r>
        <w:rPr>
          <w:rFonts w:hint="eastAsia" w:ascii="仿宋_GB2312" w:hAnsi="仿宋_GB2312" w:eastAsia="仿宋_GB2312" w:cs="仿宋_GB2312"/>
          <w:b w:val="0"/>
          <w:bCs w:val="0"/>
          <w:color w:val="auto"/>
          <w:spacing w:val="0"/>
          <w:kern w:val="21"/>
          <w:sz w:val="24"/>
          <w:szCs w:val="24"/>
          <w:highlight w:val="none"/>
          <w:lang w:val="en-US" w:eastAsia="zh-CN"/>
        </w:rPr>
        <w:t>12261</w:t>
      </w:r>
      <w:r>
        <w:rPr>
          <w:rFonts w:hint="eastAsia" w:ascii="仿宋_GB2312" w:hAnsi="仿宋_GB2312" w:eastAsia="仿宋_GB2312" w:cs="仿宋_GB2312"/>
          <w:color w:val="auto"/>
          <w:spacing w:val="0"/>
          <w:kern w:val="21"/>
          <w:sz w:val="24"/>
          <w:szCs w:val="24"/>
          <w:highlight w:val="none"/>
          <w:lang w:val="en-US" w:eastAsia="zh-CN"/>
        </w:rPr>
        <w:t>万元，增长196.8%。</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行业</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highlight w:val="lightGray"/>
          <w:u w:val="none"/>
        </w:rPr>
      </w:pPr>
      <w:r>
        <w:rPr>
          <w:rFonts w:hint="default" w:ascii="Times New Roman" w:hAnsi="Times New Roman" w:eastAsia="楷体_GB2312" w:cs="Times New Roman"/>
          <w:spacing w:val="0"/>
          <w:kern w:val="21"/>
          <w:sz w:val="24"/>
          <w:szCs w:val="24"/>
          <w:highlight w:val="lightGray"/>
          <w:u w:val="none"/>
        </w:rPr>
        <w:pict>
          <v:shape id="_x0000_s1029" o:spid="_x0000_s1029" o:spt="75" type="#_x0000_t75" style="position:absolute;left:0pt;margin-left:9.6pt;margin-top:3.8pt;height:192.95pt;width:314.4pt;z-index:-251644928;mso-width-relative:page;mso-height-relative:page;" o:ole="t" filled="f" o:preferrelative="t" stroked="f" coordsize="21600,21600">
            <v:path/>
            <v:fill on="f" focussize="0,0"/>
            <v:stroke on="f" weight="0pt"/>
            <v:imagedata r:id="rId11" o:title=""/>
            <o:lock v:ext="edit" aspectratio="t"/>
          </v:shape>
          <o:OLEObject Type="Embed" ProgID="Excel.Chart.8" ShapeID="_x0000_s1029" DrawAspect="Content" ObjectID="_1468075725" r:id="rId10">
            <o:LockedField>false</o:LockedField>
          </o:OLEObject>
        </w:pic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6432" behindDoc="0" locked="0" layoutInCell="1" allowOverlap="1">
                <wp:simplePos x="0" y="0"/>
                <wp:positionH relativeFrom="column">
                  <wp:posOffset>3547110</wp:posOffset>
                </wp:positionH>
                <wp:positionV relativeFrom="paragraph">
                  <wp:posOffset>262890</wp:posOffset>
                </wp:positionV>
                <wp:extent cx="560705" cy="370205"/>
                <wp:effectExtent l="0" t="0" r="10795" b="10795"/>
                <wp:wrapNone/>
                <wp:docPr id="1" name="文本框 1"/>
                <wp:cNvGraphicFramePr/>
                <a:graphic xmlns:a="http://schemas.openxmlformats.org/drawingml/2006/main">
                  <a:graphicData uri="http://schemas.microsoft.com/office/word/2010/wordprocessingShape">
                    <wps:wsp>
                      <wps:cNvSpPr txBox="1"/>
                      <wps:spPr>
                        <a:xfrm>
                          <a:off x="3972560" y="5052060"/>
                          <a:ext cx="560705" cy="370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9.3pt;margin-top:20.7pt;height:29.15pt;width:44.15pt;z-index:251666432;mso-width-relative:page;mso-height-relative:page;" filled="f" stroked="f" coordsize="21600,21600" o:gfxdata="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kLsjbAAAACQEAAA8AAAAAAAAAAQAg&#10;AAAAIgAAAGRycy9kb3ducmV2LnhtbFBLAQIUABQAAAAIAIdO4kCTgjSsRAIAAHEEAAAOAAAAAAAA&#10;AAEAIAAAACoBAABkcnMvZTJvRG9jLnhtbFBLBQYAAAAABgAGAFkBAADg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第二产业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b/>
                          <w:bCs/>
                          <w:sz w:val="11"/>
                          <w:szCs w:val="15"/>
                        </w:rPr>
                      </w:pPr>
                      <w:r>
                        <w:rPr>
                          <w:rFonts w:hint="eastAsia" w:ascii="仿宋_GB2312" w:hAnsi="仿宋_GB2312" w:eastAsia="仿宋_GB2312" w:cs="仿宋_GB2312"/>
                          <w:b/>
                          <w:bCs/>
                          <w:sz w:val="11"/>
                          <w:szCs w:val="15"/>
                        </w:rPr>
                        <w:t>第三产业</w:t>
                      </w:r>
                    </w:p>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sz w:val="11"/>
                          <w:szCs w:val="15"/>
                        </w:rPr>
                      </w:pPr>
                    </w:p>
                  </w:txbxContent>
                </v:textbox>
              </v:shape>
            </w:pict>
          </mc:Fallback>
        </mc:AlternateContent>
      </w:r>
      <w:r>
        <w:rPr>
          <w:spacing w:val="0"/>
          <w:kern w:val="21"/>
          <w:sz w:val="24"/>
        </w:rPr>
        <mc:AlternateContent>
          <mc:Choice Requires="wps">
            <w:drawing>
              <wp:anchor distT="0" distB="0" distL="114300" distR="114300" simplePos="0" relativeHeight="251667456" behindDoc="0" locked="0" layoutInCell="1" allowOverlap="1">
                <wp:simplePos x="0" y="0"/>
                <wp:positionH relativeFrom="column">
                  <wp:posOffset>3463290</wp:posOffset>
                </wp:positionH>
                <wp:positionV relativeFrom="paragraph">
                  <wp:posOffset>334645</wp:posOffset>
                </wp:positionV>
                <wp:extent cx="132715" cy="75565"/>
                <wp:effectExtent l="0" t="0" r="635" b="635"/>
                <wp:wrapNone/>
                <wp:docPr id="7" name="矩形 7"/>
                <wp:cNvGraphicFramePr/>
                <a:graphic xmlns:a="http://schemas.openxmlformats.org/drawingml/2006/main">
                  <a:graphicData uri="http://schemas.microsoft.com/office/word/2010/wordprocessingShape">
                    <wps:wsp>
                      <wps:cNvSpPr/>
                      <wps:spPr>
                        <a:xfrm>
                          <a:off x="3834130" y="5022215"/>
                          <a:ext cx="132715" cy="75565"/>
                        </a:xfrm>
                        <a:prstGeom prst="rect">
                          <a:avLst/>
                        </a:prstGeom>
                        <a:gradFill>
                          <a:gsLst>
                            <a:gs pos="0">
                              <a:srgbClr val="007BD3"/>
                            </a:gs>
                            <a:gs pos="100000">
                              <a:srgbClr val="034373"/>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7pt;margin-top:26.35pt;height:5.95pt;width:10.45pt;z-index:251667456;v-text-anchor:middle;mso-width-relative:page;mso-height-relative:page;" fillcolor="#007BD3" filled="t" stroked="f" coordsize="21600,21600" o:gfxdata="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7I6&#10;JNcAAAAJAQAADwAAAAAAAAABACAAAAAiAAAAZHJzL2Rvd25yZXYueG1sUEsBAhQAFAAAAAgAh07i&#10;QL3as/6VAgAAKgUAAA4AAAAAAAAAAQAgAAAAJgEAAGRycy9lMm9Eb2MueG1sUEsFBgAAAAAGAAYA&#10;WQEAAC0GAAAAAA==&#10;">
                <v:fill type="gradient" on="t" color2="#034373" angle="90" focus="100%" focussize="0,0" rotate="t">
                  <o:fill type="gradientUnscaled" v:ext="backwardCompatible"/>
                </v:fill>
                <v:stroke on="f" weight="2pt"/>
                <v:imagedata o:title=""/>
                <o:lock v:ext="edit" aspectratio="f"/>
              </v:rect>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黑体" w:hAnsi="黑体" w:eastAsia="黑体" w:cs="黑体"/>
          <w:spacing w:val="0"/>
          <w:kern w:val="21"/>
          <w:sz w:val="24"/>
          <w:szCs w:val="24"/>
          <w:highlight w:val="none"/>
          <w:u w:val="none"/>
        </w:rPr>
      </w:pPr>
      <w:r>
        <w:rPr>
          <w:spacing w:val="0"/>
          <w:kern w:val="21"/>
          <w:sz w:val="24"/>
        </w:rPr>
        <mc:AlternateContent>
          <mc:Choice Requires="wps">
            <w:drawing>
              <wp:anchor distT="0" distB="0" distL="114300" distR="114300" simplePos="0" relativeHeight="251668480" behindDoc="0" locked="0" layoutInCell="1" allowOverlap="1">
                <wp:simplePos x="0" y="0"/>
                <wp:positionH relativeFrom="column">
                  <wp:posOffset>3458845</wp:posOffset>
                </wp:positionH>
                <wp:positionV relativeFrom="paragraph">
                  <wp:posOffset>85090</wp:posOffset>
                </wp:positionV>
                <wp:extent cx="132715" cy="75565"/>
                <wp:effectExtent l="0" t="0" r="635" b="635"/>
                <wp:wrapNone/>
                <wp:docPr id="8" name="矩形 8"/>
                <wp:cNvGraphicFramePr/>
                <a:graphic xmlns:a="http://schemas.openxmlformats.org/drawingml/2006/main">
                  <a:graphicData uri="http://schemas.microsoft.com/office/word/2010/wordprocessingShape">
                    <wps:wsp>
                      <wps:cNvSpPr/>
                      <wps:spPr>
                        <a:xfrm>
                          <a:off x="0" y="0"/>
                          <a:ext cx="132715" cy="75565"/>
                        </a:xfrm>
                        <a:prstGeom prst="rect">
                          <a:avLst/>
                        </a:prstGeom>
                        <a:gradFill>
                          <a:gsLst>
                            <a:gs pos="0">
                              <a:srgbClr val="012D86"/>
                            </a:gs>
                            <a:gs pos="100000">
                              <a:srgbClr val="0E2557"/>
                            </a:gs>
                          </a:gsLst>
                          <a:lin scaled="0"/>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2.35pt;margin-top:6.7pt;height:5.95pt;width:10.45pt;z-index:251668480;v-text-anchor:middle;mso-width-relative:page;mso-height-relative:page;" fillcolor="#012D86" filled="t" stroked="f" coordsize="21600,21600" o:gfxdata="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L/yaKHbAAAACQEA&#10;AA8AAAAAAAAAAQAgAAAAIgAAAGRycy9kb3ducmV2LnhtbFBLAQIUABQAAAAIAIdO4kA3yBxliQIA&#10;AB4FAAAOAAAAAAAAAAEAIAAAACoBAABkcnMvZTJvRG9jLnhtbFBLBQYAAAAABgAGAFkBAAAlBgAA&#10;AAA=&#10;">
                <v:fill type="gradient" on="t" color2="#0E2557" angle="90" focus="100%" focussize="0,0" rotate="t">
                  <o:fill type="gradientUnscaled" v:ext="backwardCompatible"/>
                </v:fill>
                <v:stroke on="f" weight="2pt"/>
                <v:imagedata o:title=""/>
                <o:lock v:ext="edit" aspectratio="f"/>
              </v:rect>
            </w:pict>
          </mc:Fallback>
        </mc:AlternateContent>
      </w:r>
    </w:p>
    <w:p>
      <w:pPr>
        <w:keepNext w:val="0"/>
        <w:keepLines w:val="0"/>
        <w:pageBreakBefore w:val="0"/>
        <w:widowControl w:val="0"/>
        <w:suppressLineNumbers w:val="0"/>
        <w:kinsoku/>
        <w:wordWrap/>
        <w:overflowPunct/>
        <w:topLinePunct w:val="0"/>
        <w:autoSpaceDE/>
        <w:autoSpaceDN/>
        <w:bidi w:val="0"/>
        <w:adjustRightInd/>
        <w:snapToGrid/>
        <w:spacing w:line="420" w:lineRule="exact"/>
        <w:ind w:firstLine="480" w:firstLineChars="200"/>
        <w:jc w:val="both"/>
        <w:textAlignment w:val="auto"/>
        <w:outlineLvl w:val="9"/>
        <w:rPr>
          <w:rFonts w:hint="default" w:ascii="仿宋_GB2312" w:hAnsi="仿宋_GB2312" w:eastAsia="仿宋_GB2312" w:cs="仿宋_GB2312"/>
          <w:spacing w:val="-3"/>
          <w:kern w:val="21"/>
          <w:sz w:val="24"/>
          <w:szCs w:val="24"/>
          <w:highlight w:val="yellow"/>
          <w:u w:val="none"/>
          <w:lang w:val="en-US"/>
        </w:rPr>
      </w:pPr>
      <w:r>
        <w:rPr>
          <w:rFonts w:hint="eastAsia" w:ascii="黑体" w:hAnsi="黑体" w:eastAsia="黑体" w:cs="黑体"/>
          <w:spacing w:val="0"/>
          <w:kern w:val="21"/>
          <w:sz w:val="24"/>
          <w:szCs w:val="24"/>
          <w:highlight w:val="none"/>
          <w:u w:val="none"/>
        </w:rPr>
        <w:t>分税种：</w:t>
      </w:r>
      <w:r>
        <w:rPr>
          <w:rFonts w:hint="eastAsia" w:ascii="仿宋_GB2312" w:hAnsi="仿宋_GB2312" w:eastAsia="仿宋_GB2312" w:cs="仿宋_GB2312"/>
          <w:b/>
          <w:bCs/>
          <w:spacing w:val="-3"/>
          <w:kern w:val="21"/>
          <w:sz w:val="24"/>
          <w:szCs w:val="24"/>
          <w:highlight w:val="none"/>
          <w:u w:val="none"/>
        </w:rPr>
        <w:t>共享税种</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138517万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同比下降47</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具体来看：</w:t>
      </w:r>
      <w:r>
        <w:rPr>
          <w:rFonts w:hint="eastAsia" w:ascii="仿宋_GB2312" w:hAnsi="仿宋_GB2312" w:eastAsia="仿宋_GB2312" w:cs="仿宋_GB2312"/>
          <w:b/>
          <w:bCs/>
          <w:spacing w:val="-3"/>
          <w:kern w:val="21"/>
          <w:sz w:val="24"/>
          <w:szCs w:val="24"/>
          <w:highlight w:val="none"/>
          <w:u w:val="none"/>
        </w:rPr>
        <w:t>增值税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51746万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下降48.7</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49049万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val="en-US" w:eastAsia="zh-CN"/>
        </w:rPr>
        <w:t>主要是上年同期基数较高以及煤价相比去年大幅下降。</w:t>
      </w:r>
      <w:r>
        <w:rPr>
          <w:rFonts w:hint="eastAsia" w:ascii="仿宋_GB2312" w:hAnsi="仿宋_GB2312" w:eastAsia="仿宋_GB2312" w:cs="仿宋_GB2312"/>
          <w:b/>
          <w:bCs/>
          <w:spacing w:val="-3"/>
          <w:kern w:val="21"/>
          <w:sz w:val="24"/>
          <w:szCs w:val="24"/>
          <w:highlight w:val="none"/>
          <w:u w:val="none"/>
        </w:rPr>
        <w:t>企业所得税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34693万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rPr>
        <w:t>同比</w:t>
      </w:r>
      <w:r>
        <w:rPr>
          <w:rFonts w:hint="eastAsia" w:ascii="仿宋_GB2312" w:hAnsi="仿宋_GB2312" w:eastAsia="仿宋_GB2312" w:cs="仿宋_GB2312"/>
          <w:spacing w:val="-3"/>
          <w:kern w:val="21"/>
          <w:sz w:val="24"/>
          <w:szCs w:val="24"/>
          <w:highlight w:val="none"/>
          <w:u w:val="none"/>
          <w:lang w:val="en-US" w:eastAsia="zh-CN"/>
        </w:rPr>
        <w:t>下降61%</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rPr>
        <w:t>收</w:t>
      </w:r>
      <w:r>
        <w:rPr>
          <w:rFonts w:hint="eastAsia" w:ascii="仿宋_GB2312" w:hAnsi="仿宋_GB2312" w:eastAsia="仿宋_GB2312" w:cs="仿宋_GB2312"/>
          <w:spacing w:val="-3"/>
          <w:kern w:val="21"/>
          <w:sz w:val="24"/>
          <w:szCs w:val="24"/>
          <w:highlight w:val="none"/>
          <w:u w:val="none"/>
          <w:lang w:val="en-US" w:eastAsia="zh-CN"/>
        </w:rPr>
        <w:t>54195</w:t>
      </w:r>
      <w:r>
        <w:rPr>
          <w:rFonts w:hint="eastAsia" w:ascii="仿宋_GB2312" w:hAnsi="仿宋_GB2312" w:eastAsia="仿宋_GB2312" w:cs="仿宋_GB2312"/>
          <w:spacing w:val="-3"/>
          <w:kern w:val="21"/>
          <w:sz w:val="24"/>
          <w:szCs w:val="24"/>
          <w:highlight w:val="none"/>
          <w:u w:val="none"/>
          <w:lang w:eastAsia="zh-CN"/>
        </w:rPr>
        <w:t>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spacing w:val="-3"/>
          <w:kern w:val="21"/>
          <w:sz w:val="24"/>
          <w:szCs w:val="24"/>
          <w:highlight w:val="none"/>
          <w:u w:val="none"/>
          <w:lang w:val="en-US" w:eastAsia="zh-CN"/>
        </w:rPr>
        <w:t>与上年同期相比，市场经济整体环境较差，煤碳、化工等行业产品价格内卷相较严重，导致企业营收下降。</w:t>
      </w:r>
      <w:r>
        <w:rPr>
          <w:rFonts w:hint="eastAsia" w:ascii="仿宋_GB2312" w:hAnsi="仿宋_GB2312" w:eastAsia="仿宋_GB2312" w:cs="仿宋_GB2312"/>
          <w:b/>
          <w:bCs/>
          <w:spacing w:val="-3"/>
          <w:kern w:val="21"/>
          <w:sz w:val="24"/>
          <w:szCs w:val="24"/>
          <w:highlight w:val="none"/>
          <w:u w:val="none"/>
        </w:rPr>
        <w:t>个人所得税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7540万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下降1.7</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132万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spacing w:val="-3"/>
          <w:kern w:val="21"/>
          <w:sz w:val="24"/>
          <w:szCs w:val="24"/>
          <w:highlight w:val="none"/>
          <w:u w:val="none"/>
          <w:lang w:eastAsia="zh-CN"/>
        </w:rPr>
        <w:t>。</w:t>
      </w:r>
      <w:r>
        <w:rPr>
          <w:rFonts w:hint="eastAsia" w:ascii="仿宋_GB2312" w:hAnsi="仿宋_GB2312" w:eastAsia="仿宋_GB2312" w:cs="仿宋_GB2312"/>
          <w:b/>
          <w:bCs/>
          <w:spacing w:val="-3"/>
          <w:kern w:val="21"/>
          <w:sz w:val="24"/>
          <w:szCs w:val="24"/>
          <w:highlight w:val="none"/>
          <w:u w:val="none"/>
        </w:rPr>
        <w:t>资源税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40945万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下降31.7</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w:t>
      </w:r>
      <w:r>
        <w:rPr>
          <w:rFonts w:hint="eastAsia" w:ascii="仿宋_GB2312" w:hAnsi="仿宋_GB2312" w:eastAsia="仿宋_GB2312" w:cs="仿宋_GB2312"/>
          <w:spacing w:val="-3"/>
          <w:kern w:val="21"/>
          <w:sz w:val="24"/>
          <w:szCs w:val="24"/>
          <w:highlight w:val="none"/>
          <w:u w:val="none"/>
          <w:lang w:eastAsia="zh-CN"/>
        </w:rPr>
        <w:t>收</w:t>
      </w:r>
      <w:r>
        <w:rPr>
          <w:rFonts w:hint="eastAsia" w:ascii="仿宋_GB2312" w:hAnsi="仿宋_GB2312" w:eastAsia="仿宋_GB2312" w:cs="仿宋_GB2312"/>
          <w:spacing w:val="-3"/>
          <w:kern w:val="21"/>
          <w:sz w:val="24"/>
          <w:szCs w:val="24"/>
          <w:highlight w:val="none"/>
          <w:u w:val="none"/>
          <w:lang w:val="en-US" w:eastAsia="zh-CN"/>
        </w:rPr>
        <w:t>19021万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color w:val="auto"/>
          <w:spacing w:val="-3"/>
          <w:kern w:val="21"/>
          <w:sz w:val="24"/>
          <w:szCs w:val="24"/>
          <w:highlight w:val="none"/>
          <w:lang w:eastAsia="zh-CN"/>
        </w:rPr>
        <w:t>；</w:t>
      </w:r>
      <w:r>
        <w:rPr>
          <w:rFonts w:hint="eastAsia" w:ascii="仿宋_GB2312" w:hAnsi="仿宋_GB2312" w:eastAsia="仿宋_GB2312" w:cs="仿宋_GB2312"/>
          <w:spacing w:val="-3"/>
          <w:kern w:val="21"/>
          <w:sz w:val="24"/>
          <w:szCs w:val="24"/>
          <w:highlight w:val="none"/>
          <w:u w:val="none"/>
          <w:lang w:val="en-US" w:eastAsia="zh-CN"/>
        </w:rPr>
        <w:t>2022年7月份开始，</w:t>
      </w:r>
      <w:r>
        <w:rPr>
          <w:rFonts w:hint="eastAsia" w:ascii="仿宋_GB2312" w:hAnsi="仿宋_GB2312" w:eastAsia="仿宋_GB2312" w:cs="仿宋_GB2312"/>
          <w:spacing w:val="-3"/>
          <w:kern w:val="21"/>
          <w:sz w:val="24"/>
          <w:szCs w:val="24"/>
          <w:highlight w:val="none"/>
          <w:u w:val="none"/>
          <w:lang w:eastAsia="zh-CN"/>
        </w:rPr>
        <w:t>经过国家和自治区对于煤炭价格的调控，降低了煤炭的价格，各项</w:t>
      </w:r>
      <w:r>
        <w:rPr>
          <w:rFonts w:hint="eastAsia" w:ascii="仿宋_GB2312" w:hAnsi="仿宋_GB2312" w:eastAsia="仿宋_GB2312" w:cs="仿宋_GB2312"/>
          <w:spacing w:val="-3"/>
          <w:kern w:val="21"/>
          <w:sz w:val="24"/>
          <w:szCs w:val="24"/>
          <w:highlight w:val="none"/>
          <w:u w:val="none"/>
          <w:lang w:val="en-US" w:eastAsia="zh-CN"/>
        </w:rPr>
        <w:t>矿产品价格大幅下跌，原煤价格下跌30%；硅铁价格下跌25%；铁矿产品下跌12%，</w:t>
      </w:r>
      <w:r>
        <w:rPr>
          <w:rFonts w:hint="eastAsia" w:ascii="仿宋_GB2312" w:hAnsi="仿宋_GB2312" w:eastAsia="仿宋_GB2312" w:cs="仿宋_GB2312"/>
          <w:spacing w:val="-3"/>
          <w:kern w:val="21"/>
          <w:sz w:val="24"/>
          <w:szCs w:val="24"/>
          <w:highlight w:val="none"/>
          <w:u w:val="none"/>
          <w:lang w:eastAsia="zh-CN"/>
        </w:rPr>
        <w:t>使得煤炭以及相关行业的税收收入均有下降，</w:t>
      </w:r>
      <w:r>
        <w:rPr>
          <w:rFonts w:hint="eastAsia" w:ascii="仿宋_GB2312" w:hAnsi="仿宋_GB2312" w:eastAsia="仿宋_GB2312" w:cs="仿宋_GB2312"/>
          <w:spacing w:val="-3"/>
          <w:kern w:val="21"/>
          <w:sz w:val="24"/>
          <w:szCs w:val="24"/>
          <w:highlight w:val="none"/>
          <w:u w:val="none"/>
          <w:lang w:val="en-US" w:eastAsia="zh-CN"/>
        </w:rPr>
        <w:t>影响收入。</w:t>
      </w:r>
      <w:r>
        <w:rPr>
          <w:rFonts w:hint="eastAsia" w:ascii="仿宋_GB2312" w:hAnsi="仿宋_GB2312" w:eastAsia="仿宋_GB2312" w:cs="仿宋_GB2312"/>
          <w:b/>
          <w:bCs/>
          <w:spacing w:val="-3"/>
          <w:kern w:val="21"/>
          <w:sz w:val="24"/>
          <w:szCs w:val="24"/>
          <w:highlight w:val="none"/>
          <w:u w:val="none"/>
        </w:rPr>
        <w:t>环境保护税</w:t>
      </w:r>
      <w:r>
        <w:rPr>
          <w:rFonts w:hint="eastAsia" w:ascii="仿宋_GB2312" w:hAnsi="仿宋_GB2312" w:eastAsia="仿宋_GB2312" w:cs="仿宋_GB2312"/>
          <w:spacing w:val="-3"/>
          <w:kern w:val="21"/>
          <w:sz w:val="24"/>
          <w:szCs w:val="24"/>
          <w:highlight w:val="none"/>
          <w:u w:val="none"/>
        </w:rPr>
        <w:t>完成</w:t>
      </w:r>
      <w:r>
        <w:rPr>
          <w:rFonts w:hint="eastAsia" w:ascii="仿宋_GB2312" w:hAnsi="仿宋_GB2312" w:eastAsia="仿宋_GB2312" w:cs="仿宋_GB2312"/>
          <w:spacing w:val="-3"/>
          <w:kern w:val="21"/>
          <w:sz w:val="24"/>
          <w:szCs w:val="24"/>
          <w:highlight w:val="none"/>
          <w:u w:val="none"/>
          <w:lang w:val="en-US" w:eastAsia="zh-CN"/>
        </w:rPr>
        <w:t>3593万</w:t>
      </w:r>
      <w:r>
        <w:rPr>
          <w:rFonts w:hint="eastAsia" w:ascii="仿宋_GB2312" w:hAnsi="仿宋_GB2312" w:eastAsia="仿宋_GB2312" w:cs="仿宋_GB2312"/>
          <w:spacing w:val="-3"/>
          <w:kern w:val="21"/>
          <w:sz w:val="24"/>
          <w:szCs w:val="24"/>
          <w:highlight w:val="none"/>
          <w:u w:val="none"/>
        </w:rPr>
        <w:t>元，同比</w:t>
      </w:r>
      <w:r>
        <w:rPr>
          <w:rFonts w:hint="eastAsia" w:ascii="仿宋_GB2312" w:hAnsi="仿宋_GB2312" w:eastAsia="仿宋_GB2312" w:cs="仿宋_GB2312"/>
          <w:spacing w:val="-3"/>
          <w:kern w:val="21"/>
          <w:sz w:val="24"/>
          <w:szCs w:val="24"/>
          <w:highlight w:val="none"/>
          <w:u w:val="none"/>
          <w:lang w:val="en-US" w:eastAsia="zh-CN"/>
        </w:rPr>
        <w:t>下降13</w:t>
      </w:r>
      <w:r>
        <w:rPr>
          <w:rFonts w:hint="eastAsia" w:ascii="仿宋_GB2312" w:hAnsi="仿宋_GB2312" w:eastAsia="仿宋_GB2312" w:cs="仿宋_GB2312"/>
          <w:spacing w:val="-3"/>
          <w:kern w:val="21"/>
          <w:sz w:val="24"/>
          <w:szCs w:val="24"/>
          <w:highlight w:val="none"/>
          <w:u w:val="none"/>
        </w:rPr>
        <w:t>%、</w:t>
      </w:r>
      <w:r>
        <w:rPr>
          <w:rFonts w:hint="eastAsia" w:ascii="仿宋_GB2312" w:hAnsi="仿宋_GB2312" w:eastAsia="仿宋_GB2312" w:cs="仿宋_GB2312"/>
          <w:spacing w:val="-3"/>
          <w:kern w:val="21"/>
          <w:sz w:val="24"/>
          <w:szCs w:val="24"/>
          <w:highlight w:val="none"/>
          <w:u w:val="none"/>
          <w:lang w:val="en-US" w:eastAsia="zh-CN"/>
        </w:rPr>
        <w:t>减收536万</w:t>
      </w:r>
      <w:r>
        <w:rPr>
          <w:rFonts w:hint="eastAsia" w:ascii="仿宋_GB2312" w:hAnsi="仿宋_GB2312" w:eastAsia="仿宋_GB2312" w:cs="仿宋_GB2312"/>
          <w:spacing w:val="-3"/>
          <w:kern w:val="21"/>
          <w:sz w:val="24"/>
          <w:szCs w:val="24"/>
          <w:highlight w:val="none"/>
          <w:u w:val="none"/>
        </w:rPr>
        <w:t>元</w:t>
      </w:r>
      <w:r>
        <w:rPr>
          <w:rFonts w:hint="eastAsia" w:ascii="仿宋_GB2312" w:hAnsi="仿宋_GB2312" w:eastAsia="仿宋_GB2312" w:cs="仿宋_GB2312"/>
          <w:b w:val="0"/>
          <w:bCs/>
          <w:color w:val="auto"/>
          <w:spacing w:val="-3"/>
          <w:kern w:val="21"/>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2" w:firstLineChars="200"/>
        <w:jc w:val="both"/>
        <w:textAlignment w:val="auto"/>
        <w:outlineLvl w:val="9"/>
        <w:rPr>
          <w:rFonts w:hint="default"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
          <w:bCs/>
          <w:color w:val="auto"/>
          <w:spacing w:val="0"/>
          <w:kern w:val="21"/>
          <w:sz w:val="24"/>
          <w:szCs w:val="24"/>
          <w:highlight w:val="none"/>
          <w:u w:val="none"/>
        </w:rPr>
        <w:t>地</w:t>
      </w:r>
      <w:r>
        <w:rPr>
          <w:rFonts w:hint="eastAsia" w:ascii="仿宋_GB2312" w:hAnsi="仿宋_GB2312" w:eastAsia="仿宋_GB2312" w:cs="仿宋_GB2312"/>
          <w:b/>
          <w:bCs/>
          <w:spacing w:val="0"/>
          <w:kern w:val="21"/>
          <w:sz w:val="24"/>
          <w:szCs w:val="24"/>
          <w:highlight w:val="none"/>
          <w:u w:val="none"/>
        </w:rPr>
        <w:t>方税种</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118845万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上升58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lang w:eastAsia="zh-CN"/>
        </w:rPr>
        <w:t>。具体来看：</w:t>
      </w:r>
      <w:r>
        <w:rPr>
          <w:rFonts w:hint="eastAsia" w:ascii="仿宋_GB2312" w:hAnsi="仿宋_GB2312" w:eastAsia="仿宋_GB2312" w:cs="仿宋_GB2312"/>
          <w:b/>
          <w:bCs/>
          <w:spacing w:val="0"/>
          <w:kern w:val="21"/>
          <w:sz w:val="24"/>
          <w:szCs w:val="24"/>
          <w:highlight w:val="none"/>
          <w:u w:val="none"/>
        </w:rPr>
        <w:t>城市维护建设税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11703万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下降47.1</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10401万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主要是受增值税减收影响。</w:t>
      </w:r>
      <w:r>
        <w:rPr>
          <w:rFonts w:hint="eastAsia" w:ascii="仿宋_GB2312" w:hAnsi="仿宋_GB2312" w:eastAsia="仿宋_GB2312" w:cs="仿宋_GB2312"/>
          <w:b/>
          <w:bCs/>
          <w:spacing w:val="0"/>
          <w:kern w:val="21"/>
          <w:sz w:val="24"/>
          <w:szCs w:val="24"/>
          <w:highlight w:val="none"/>
          <w:u w:val="none"/>
        </w:rPr>
        <w:t>房产税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8930万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下降24.1</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2841万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印花税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6347万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eastAsia="zh-CN"/>
        </w:rPr>
        <w:t>上升</w:t>
      </w:r>
      <w:r>
        <w:rPr>
          <w:rFonts w:hint="eastAsia" w:ascii="仿宋_GB2312" w:hAnsi="仿宋_GB2312" w:eastAsia="仿宋_GB2312" w:cs="仿宋_GB2312"/>
          <w:spacing w:val="0"/>
          <w:kern w:val="21"/>
          <w:sz w:val="24"/>
          <w:szCs w:val="24"/>
          <w:highlight w:val="none"/>
          <w:u w:val="none"/>
          <w:lang w:val="en-US" w:eastAsia="zh-CN"/>
        </w:rPr>
        <w:t>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、增</w:t>
      </w:r>
      <w:r>
        <w:rPr>
          <w:rFonts w:hint="eastAsia" w:ascii="仿宋_GB2312" w:hAnsi="仿宋_GB2312" w:eastAsia="仿宋_GB2312" w:cs="仿宋_GB2312"/>
          <w:spacing w:val="0"/>
          <w:kern w:val="21"/>
          <w:sz w:val="24"/>
          <w:szCs w:val="24"/>
          <w:highlight w:val="none"/>
          <w:u w:val="none"/>
          <w:lang w:val="en-US" w:eastAsia="zh-CN"/>
        </w:rPr>
        <w:t>收243万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主要是煤炭产品购销环节形成的印花税增收。</w:t>
      </w:r>
      <w:r>
        <w:rPr>
          <w:rFonts w:hint="eastAsia" w:ascii="仿宋_GB2312" w:hAnsi="仿宋_GB2312" w:eastAsia="仿宋_GB2312" w:cs="仿宋_GB2312"/>
          <w:b/>
          <w:bCs/>
          <w:spacing w:val="0"/>
          <w:kern w:val="21"/>
          <w:sz w:val="24"/>
          <w:szCs w:val="24"/>
          <w:highlight w:val="none"/>
          <w:u w:val="none"/>
        </w:rPr>
        <w:t>城镇土地使用税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14658万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下降20.4</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3753万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主要是上年同期基数较高。</w:t>
      </w:r>
      <w:r>
        <w:rPr>
          <w:rFonts w:hint="eastAsia" w:ascii="仿宋_GB2312" w:hAnsi="仿宋_GB2312" w:eastAsia="仿宋_GB2312" w:cs="仿宋_GB2312"/>
          <w:b/>
          <w:bCs/>
          <w:spacing w:val="0"/>
          <w:kern w:val="21"/>
          <w:sz w:val="24"/>
          <w:szCs w:val="24"/>
          <w:highlight w:val="none"/>
          <w:u w:val="none"/>
        </w:rPr>
        <w:t>土地增值税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1068万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上升32</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259万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车船税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1302万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上升1.7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22万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rPr>
        <w:t>耕地占用税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72986万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上升457.7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w:t>
      </w:r>
      <w:r>
        <w:rPr>
          <w:rFonts w:hint="eastAsia" w:ascii="仿宋_GB2312" w:hAnsi="仿宋_GB2312" w:eastAsia="仿宋_GB2312" w:cs="仿宋_GB2312"/>
          <w:spacing w:val="0"/>
          <w:kern w:val="21"/>
          <w:sz w:val="24"/>
          <w:szCs w:val="24"/>
          <w:highlight w:val="none"/>
          <w:u w:val="none"/>
          <w:lang w:eastAsia="zh-CN"/>
        </w:rPr>
        <w:t>收</w:t>
      </w:r>
      <w:r>
        <w:rPr>
          <w:rFonts w:hint="eastAsia" w:ascii="仿宋_GB2312" w:hAnsi="仿宋_GB2312" w:eastAsia="仿宋_GB2312" w:cs="仿宋_GB2312"/>
          <w:spacing w:val="0"/>
          <w:kern w:val="21"/>
          <w:sz w:val="24"/>
          <w:szCs w:val="24"/>
          <w:highlight w:val="none"/>
          <w:u w:val="none"/>
          <w:lang w:val="en-US" w:eastAsia="zh-CN"/>
        </w:rPr>
        <w:t>59898万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主要是清收以前年度耕地占用税，随即还有滞纳金一同入库，数额较大。</w:t>
      </w:r>
      <w:r>
        <w:rPr>
          <w:rFonts w:hint="eastAsia" w:ascii="仿宋_GB2312" w:hAnsi="仿宋_GB2312" w:eastAsia="仿宋_GB2312" w:cs="仿宋_GB2312"/>
          <w:b/>
          <w:bCs/>
          <w:spacing w:val="0"/>
          <w:kern w:val="21"/>
          <w:sz w:val="24"/>
          <w:szCs w:val="24"/>
          <w:highlight w:val="none"/>
          <w:u w:val="none"/>
        </w:rPr>
        <w:t>契税</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1846万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上升15.3</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增收245万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b/>
          <w:bCs/>
          <w:spacing w:val="0"/>
          <w:kern w:val="21"/>
          <w:sz w:val="24"/>
          <w:szCs w:val="24"/>
          <w:highlight w:val="none"/>
          <w:u w:val="none"/>
          <w:lang w:val="en-US" w:eastAsia="zh-CN"/>
        </w:rPr>
        <w:t>其他税收收入</w:t>
      </w:r>
      <w:r>
        <w:rPr>
          <w:rFonts w:hint="eastAsia" w:ascii="仿宋_GB2312" w:hAnsi="仿宋_GB2312" w:eastAsia="仿宋_GB2312" w:cs="仿宋_GB2312"/>
          <w:spacing w:val="0"/>
          <w:kern w:val="21"/>
          <w:sz w:val="24"/>
          <w:szCs w:val="24"/>
          <w:highlight w:val="none"/>
          <w:u w:val="none"/>
          <w:lang w:val="en-US" w:eastAsia="zh-CN"/>
        </w:rPr>
        <w:t>完成5万元。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482"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b/>
          <w:bCs/>
          <w:spacing w:val="0"/>
          <w:kern w:val="21"/>
          <w:sz w:val="24"/>
          <w:szCs w:val="24"/>
          <w:highlight w:val="none"/>
          <w:u w:val="none"/>
        </w:rPr>
        <w:t>非税收入</w:t>
      </w:r>
      <w:r>
        <w:rPr>
          <w:rFonts w:hint="eastAsia" w:ascii="仿宋_GB2312" w:hAnsi="仿宋_GB2312" w:eastAsia="仿宋_GB2312" w:cs="仿宋_GB2312"/>
          <w:spacing w:val="0"/>
          <w:kern w:val="21"/>
          <w:sz w:val="24"/>
          <w:szCs w:val="24"/>
          <w:highlight w:val="none"/>
          <w:u w:val="none"/>
        </w:rPr>
        <w:t>完成</w:t>
      </w:r>
      <w:r>
        <w:rPr>
          <w:rFonts w:hint="eastAsia" w:ascii="仿宋_GB2312" w:hAnsi="仿宋_GB2312" w:eastAsia="仿宋_GB2312" w:cs="仿宋_GB2312"/>
          <w:spacing w:val="0"/>
          <w:kern w:val="21"/>
          <w:sz w:val="24"/>
          <w:szCs w:val="24"/>
          <w:highlight w:val="none"/>
          <w:u w:val="none"/>
          <w:lang w:val="en-US" w:eastAsia="zh-CN"/>
        </w:rPr>
        <w:t>22954万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rPr>
        <w:t>同比</w:t>
      </w:r>
      <w:r>
        <w:rPr>
          <w:rFonts w:hint="eastAsia" w:ascii="仿宋_GB2312" w:hAnsi="仿宋_GB2312" w:eastAsia="仿宋_GB2312" w:cs="仿宋_GB2312"/>
          <w:spacing w:val="0"/>
          <w:kern w:val="21"/>
          <w:sz w:val="24"/>
          <w:szCs w:val="24"/>
          <w:highlight w:val="none"/>
          <w:u w:val="none"/>
          <w:lang w:val="en-US" w:eastAsia="zh-CN"/>
        </w:rPr>
        <w:t>下降-19.7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减收5636万元。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firstLine="1200" w:firstLineChars="500"/>
        <w:jc w:val="both"/>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highlight w:val="none"/>
          <w:u w:val="none"/>
        </w:rPr>
        <w:pict>
          <v:shape id="_x0000_s1027" o:spid="_x0000_s1027" o:spt="75" type="#_x0000_t75" style="position:absolute;left:0pt;margin-left:48.7pt;margin-top:18.35pt;height:158.7pt;width:259.55pt;z-index:-251645952;mso-width-relative:page;mso-height-relative:page;" o:ole="t" filled="f" o:preferrelative="t" stroked="f" coordsize="21600,21600">
            <v:path/>
            <v:fill on="f" focussize="0,0"/>
            <v:stroke on="f"/>
            <v:imagedata r:id="rId13" o:title=""/>
            <o:lock v:ext="edit" aspectratio="t"/>
          </v:shape>
          <o:OLEObject Type="Embed" ProgID="Excel.Chart.8" ShapeID="_x0000_s1027" DrawAspect="Content" ObjectID="_1468075726" r:id="rId12">
            <o:LockedField>false</o:LockedField>
          </o:OLEObject>
        </w:pict>
      </w: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税种</w:t>
      </w:r>
      <w:r>
        <w:rPr>
          <w:rFonts w:hint="default" w:ascii="Times New Roman" w:hAnsi="Times New Roman" w:eastAsia="楷体_GB2312" w:cs="Times New Roman"/>
          <w:spacing w:val="0"/>
          <w:kern w:val="21"/>
          <w:sz w:val="24"/>
          <w:szCs w:val="24"/>
          <w:highlight w:val="none"/>
          <w:u w:val="none"/>
        </w:rPr>
        <w:t>情况见下图）</w:t>
      </w:r>
      <w:r>
        <w:rPr>
          <w:spacing w:val="0"/>
          <w:kern w:val="21"/>
          <w:sz w:val="24"/>
          <w:highlight w:val="none"/>
        </w:rPr>
        <mc:AlternateContent>
          <mc:Choice Requires="wps">
            <w:drawing>
              <wp:anchor distT="0" distB="0" distL="114300" distR="114300" simplePos="0" relativeHeight="251669504" behindDoc="0" locked="0" layoutInCell="1" allowOverlap="1">
                <wp:simplePos x="0" y="0"/>
                <wp:positionH relativeFrom="column">
                  <wp:posOffset>3943985</wp:posOffset>
                </wp:positionH>
                <wp:positionV relativeFrom="paragraph">
                  <wp:posOffset>248285</wp:posOffset>
                </wp:positionV>
                <wp:extent cx="371475" cy="97155"/>
                <wp:effectExtent l="0" t="0" r="0" b="0"/>
                <wp:wrapNone/>
                <wp:docPr id="10" name="文本框 10"/>
                <wp:cNvGraphicFramePr/>
                <a:graphic xmlns:a="http://schemas.openxmlformats.org/drawingml/2006/main">
                  <a:graphicData uri="http://schemas.microsoft.com/office/word/2010/wordprocessingShape">
                    <wps:wsp>
                      <wps:cNvSpPr txBox="1"/>
                      <wps:spPr>
                        <a:xfrm>
                          <a:off x="4463415" y="4232275"/>
                          <a:ext cx="371475" cy="971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5pt;margin-top:19.55pt;height:7.65pt;width:29.25pt;z-index:251669504;mso-width-relative:page;mso-height-relative:page;" filled="f" stroked="f" coordsize="21600,21600" o:gfxdata="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PXCtH3AAAAAkBAAAPAAAAAAAA&#10;AAEAIAAAACIAAABkcnMvZG93bnJldi54bWxQSwECFAAUAAAACACHTuJAFpYxg0cCAAByBAAADgAA&#10;AAAAAAABACAAAAArAQAAZHJzL2Uyb0RvYy54bWxQSwUGAAAAAAYABgBZAQAA5A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11"/>
                          <w:szCs w:val="15"/>
                          <w:lang w:val="en-US" w:eastAsia="zh-CN"/>
                        </w:rPr>
                      </w:pPr>
                      <w:r>
                        <w:rPr>
                          <w:rFonts w:hint="eastAsia" w:ascii="宋体" w:hAnsi="宋体" w:eastAsia="宋体" w:cs="宋体"/>
                          <w:sz w:val="11"/>
                          <w:szCs w:val="15"/>
                          <w:lang w:val="en-US" w:eastAsia="zh-CN"/>
                        </w:rPr>
                        <w:t>1000%</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eastAsia" w:ascii="仿宋_GB2312" w:hAnsi="仿宋_GB2312" w:eastAsia="仿宋_GB2312" w:cs="仿宋_GB2312"/>
          <w:color w:val="auto"/>
          <w:spacing w:val="0"/>
          <w:kern w:val="21"/>
          <w:sz w:val="24"/>
          <w:szCs w:val="24"/>
          <w:highlight w:val="lightGray"/>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both"/>
        <w:textAlignment w:val="auto"/>
        <w:outlineLvl w:val="9"/>
        <w:rPr>
          <w:rFonts w:hint="eastAsia" w:ascii="仿宋_GB2312" w:hAnsi="仿宋_GB2312" w:eastAsia="仿宋_GB2312" w:cs="仿宋_GB2312"/>
          <w:color w:val="auto"/>
          <w:spacing w:val="0"/>
          <w:kern w:val="21"/>
          <w:sz w:val="24"/>
          <w:szCs w:val="24"/>
          <w:highlight w:val="yellow"/>
          <w:u w:val="none"/>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color w:val="auto"/>
          <w:spacing w:val="0"/>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rPr>
        <w:t>全</w:t>
      </w:r>
      <w:r>
        <w:rPr>
          <w:rFonts w:hint="eastAsia" w:ascii="仿宋_GB2312" w:hAnsi="仿宋_GB2312" w:eastAsia="仿宋_GB2312" w:cs="仿宋_GB2312"/>
          <w:color w:val="auto"/>
          <w:spacing w:val="0"/>
          <w:kern w:val="21"/>
          <w:sz w:val="24"/>
          <w:szCs w:val="24"/>
          <w:highlight w:val="none"/>
          <w:u w:val="none"/>
          <w:lang w:val="en-US" w:eastAsia="zh-CN"/>
        </w:rPr>
        <w:t>市</w:t>
      </w:r>
      <w:r>
        <w:rPr>
          <w:rFonts w:hint="eastAsia" w:ascii="仿宋_GB2312" w:hAnsi="仿宋_GB2312" w:eastAsia="仿宋_GB2312" w:cs="仿宋_GB2312"/>
          <w:color w:val="auto"/>
          <w:spacing w:val="0"/>
          <w:kern w:val="21"/>
          <w:sz w:val="24"/>
          <w:szCs w:val="24"/>
          <w:highlight w:val="none"/>
          <w:u w:val="none"/>
        </w:rPr>
        <w:t>累计完成</w:t>
      </w:r>
      <w:r>
        <w:rPr>
          <w:rFonts w:hint="eastAsia" w:ascii="仿宋_GB2312" w:hAnsi="仿宋_GB2312" w:eastAsia="仿宋_GB2312" w:cs="仿宋_GB2312"/>
          <w:color w:val="auto"/>
          <w:spacing w:val="0"/>
          <w:kern w:val="21"/>
          <w:sz w:val="24"/>
          <w:szCs w:val="24"/>
          <w:highlight w:val="none"/>
          <w:u w:val="none"/>
          <w:lang w:eastAsia="zh-CN"/>
        </w:rPr>
        <w:t>一般公共预算</w:t>
      </w:r>
      <w:r>
        <w:rPr>
          <w:rFonts w:hint="eastAsia" w:ascii="仿宋_GB2312" w:hAnsi="仿宋_GB2312" w:eastAsia="仿宋_GB2312" w:cs="仿宋_GB2312"/>
          <w:color w:val="auto"/>
          <w:spacing w:val="0"/>
          <w:kern w:val="21"/>
          <w:sz w:val="24"/>
          <w:szCs w:val="24"/>
          <w:highlight w:val="none"/>
          <w:u w:val="none"/>
        </w:rPr>
        <w:t>收入</w:t>
      </w:r>
      <w:r>
        <w:rPr>
          <w:rFonts w:hint="eastAsia" w:ascii="仿宋_GB2312" w:hAnsi="仿宋_GB2312" w:eastAsia="仿宋_GB2312" w:cs="仿宋_GB2312"/>
          <w:color w:val="auto"/>
          <w:spacing w:val="0"/>
          <w:kern w:val="21"/>
          <w:sz w:val="24"/>
          <w:szCs w:val="24"/>
          <w:highlight w:val="none"/>
          <w:u w:val="none"/>
          <w:lang w:val="en-US" w:eastAsia="zh-CN"/>
        </w:rPr>
        <w:t>642.74</w:t>
      </w:r>
      <w:r>
        <w:rPr>
          <w:rFonts w:hint="eastAsia" w:ascii="仿宋_GB2312" w:hAnsi="仿宋_GB2312" w:eastAsia="仿宋_GB2312" w:cs="仿宋_GB2312"/>
          <w:color w:val="auto"/>
          <w:spacing w:val="0"/>
          <w:kern w:val="21"/>
          <w:sz w:val="24"/>
          <w:szCs w:val="24"/>
          <w:highlight w:val="none"/>
          <w:u w:val="none"/>
          <w:lang w:eastAsia="zh-CN"/>
        </w:rPr>
        <w:t>亿元，增长</w:t>
      </w:r>
      <w:r>
        <w:rPr>
          <w:rFonts w:hint="eastAsia" w:ascii="仿宋_GB2312" w:hAnsi="仿宋_GB2312" w:eastAsia="仿宋_GB2312" w:cs="仿宋_GB2312"/>
          <w:color w:val="auto"/>
          <w:spacing w:val="0"/>
          <w:kern w:val="21"/>
          <w:sz w:val="24"/>
          <w:szCs w:val="24"/>
          <w:highlight w:val="none"/>
          <w:u w:val="none"/>
          <w:lang w:val="en-US" w:eastAsia="zh-CN"/>
        </w:rPr>
        <w:t>11.7</w:t>
      </w:r>
      <w:r>
        <w:rPr>
          <w:rFonts w:hint="eastAsia" w:ascii="仿宋_GB2312" w:hAnsi="仿宋_GB2312" w:eastAsia="仿宋_GB2312" w:cs="仿宋_GB2312"/>
          <w:color w:val="auto"/>
          <w:spacing w:val="0"/>
          <w:kern w:val="21"/>
          <w:sz w:val="24"/>
          <w:szCs w:val="24"/>
          <w:highlight w:val="none"/>
          <w:u w:val="none"/>
          <w:lang w:eastAsia="zh-CN"/>
        </w:rPr>
        <w:t>%</w:t>
      </w:r>
      <w:r>
        <w:rPr>
          <w:rFonts w:hint="eastAsia" w:ascii="仿宋_GB2312" w:hAnsi="仿宋_GB2312" w:eastAsia="仿宋_GB2312" w:cs="仿宋_GB2312"/>
          <w:color w:val="auto"/>
          <w:spacing w:val="0"/>
          <w:kern w:val="21"/>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outlineLvl w:val="9"/>
        <w:rPr>
          <w:rFonts w:hint="default" w:ascii="仿宋_GB2312" w:hAnsi="仿宋_GB2312" w:eastAsia="仿宋_GB2312" w:cs="仿宋_GB2312"/>
          <w:color w:val="auto"/>
          <w:spacing w:val="0"/>
          <w:kern w:val="21"/>
          <w:sz w:val="24"/>
          <w:szCs w:val="24"/>
          <w:highlight w:val="none"/>
          <w:u w:val="none"/>
        </w:rPr>
      </w:pPr>
      <w:r>
        <w:rPr>
          <w:rFonts w:hint="eastAsia" w:ascii="仿宋_GB2312" w:hAnsi="仿宋_GB2312" w:eastAsia="仿宋_GB2312" w:cs="仿宋_GB2312"/>
          <w:color w:val="auto"/>
          <w:spacing w:val="0"/>
          <w:kern w:val="21"/>
          <w:sz w:val="24"/>
          <w:szCs w:val="24"/>
          <w:highlight w:val="none"/>
          <w:u w:val="none"/>
          <w:lang w:eastAsia="zh-CN"/>
        </w:rPr>
        <w:t>其中：准格尔旗</w:t>
      </w:r>
      <w:r>
        <w:rPr>
          <w:rFonts w:hint="eastAsia" w:ascii="仿宋_GB2312" w:hAnsi="仿宋_GB2312" w:eastAsia="仿宋_GB2312" w:cs="仿宋_GB2312"/>
          <w:color w:val="auto"/>
          <w:spacing w:val="0"/>
          <w:kern w:val="21"/>
          <w:sz w:val="24"/>
          <w:szCs w:val="24"/>
          <w:highlight w:val="none"/>
          <w:u w:val="none"/>
          <w:lang w:val="en-US" w:eastAsia="zh-CN"/>
        </w:rPr>
        <w:t>118.2</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2.3</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；伊金霍洛旗</w:t>
      </w:r>
      <w:r>
        <w:rPr>
          <w:rFonts w:hint="eastAsia" w:ascii="仿宋_GB2312" w:hAnsi="仿宋_GB2312" w:eastAsia="仿宋_GB2312" w:cs="仿宋_GB2312"/>
          <w:color w:val="auto"/>
          <w:spacing w:val="0"/>
          <w:kern w:val="21"/>
          <w:sz w:val="24"/>
          <w:szCs w:val="24"/>
          <w:highlight w:val="none"/>
          <w:u w:val="none"/>
          <w:lang w:val="en-US" w:eastAsia="zh-CN"/>
        </w:rPr>
        <w:t>119.7</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28.4</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；东胜区</w:t>
      </w:r>
      <w:r>
        <w:rPr>
          <w:rFonts w:hint="eastAsia" w:ascii="仿宋_GB2312" w:hAnsi="仿宋_GB2312" w:eastAsia="仿宋_GB2312" w:cs="仿宋_GB2312"/>
          <w:color w:val="auto"/>
          <w:spacing w:val="0"/>
          <w:kern w:val="21"/>
          <w:sz w:val="24"/>
          <w:szCs w:val="24"/>
          <w:highlight w:val="none"/>
          <w:u w:val="none"/>
          <w:lang w:val="en-US" w:eastAsia="zh-CN"/>
        </w:rPr>
        <w:t>46.9</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同口径下降</w:t>
      </w:r>
      <w:r>
        <w:rPr>
          <w:rFonts w:hint="eastAsia" w:ascii="仿宋_GB2312" w:hAnsi="仿宋_GB2312" w:eastAsia="仿宋_GB2312" w:cs="仿宋_GB2312"/>
          <w:color w:val="auto"/>
          <w:spacing w:val="0"/>
          <w:kern w:val="21"/>
          <w:sz w:val="24"/>
          <w:szCs w:val="24"/>
          <w:highlight w:val="none"/>
          <w:u w:val="none"/>
          <w:lang w:val="en-US" w:eastAsia="zh-CN"/>
        </w:rPr>
        <w:t>0.4</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（含园区增长</w:t>
      </w:r>
      <w:r>
        <w:rPr>
          <w:rFonts w:hint="eastAsia" w:ascii="仿宋_GB2312" w:hAnsi="仿宋_GB2312" w:eastAsia="仿宋_GB2312" w:cs="仿宋_GB2312"/>
          <w:color w:val="auto"/>
          <w:spacing w:val="0"/>
          <w:kern w:val="21"/>
          <w:sz w:val="24"/>
          <w:szCs w:val="24"/>
          <w:highlight w:val="none"/>
          <w:u w:val="none"/>
          <w:lang w:val="en-US" w:eastAsia="zh-CN"/>
        </w:rPr>
        <w:t>3%</w:t>
      </w:r>
      <w:r>
        <w:rPr>
          <w:rFonts w:hint="eastAsia" w:ascii="仿宋_GB2312" w:hAnsi="仿宋_GB2312" w:eastAsia="仿宋_GB2312" w:cs="仿宋_GB2312"/>
          <w:color w:val="auto"/>
          <w:spacing w:val="0"/>
          <w:kern w:val="21"/>
          <w:sz w:val="24"/>
          <w:szCs w:val="24"/>
          <w:highlight w:val="none"/>
          <w:u w:val="none"/>
          <w:lang w:eastAsia="zh-CN"/>
        </w:rPr>
        <w:t>）；鄂托克旗</w:t>
      </w:r>
      <w:r>
        <w:rPr>
          <w:rFonts w:hint="eastAsia" w:ascii="仿宋_GB2312" w:hAnsi="仿宋_GB2312" w:eastAsia="仿宋_GB2312" w:cs="仿宋_GB2312"/>
          <w:color w:val="auto"/>
          <w:spacing w:val="0"/>
          <w:kern w:val="21"/>
          <w:sz w:val="24"/>
          <w:szCs w:val="24"/>
          <w:highlight w:val="none"/>
          <w:u w:val="none"/>
          <w:lang w:val="en-US" w:eastAsia="zh-CN"/>
        </w:rPr>
        <w:t>28</w:t>
      </w:r>
      <w:r>
        <w:rPr>
          <w:rFonts w:hint="eastAsia" w:ascii="仿宋_GB2312" w:hAnsi="仿宋_GB2312" w:eastAsia="仿宋_GB2312" w:cs="仿宋_GB2312"/>
          <w:color w:val="auto"/>
          <w:spacing w:val="0"/>
          <w:kern w:val="21"/>
          <w:sz w:val="24"/>
          <w:szCs w:val="24"/>
          <w:highlight w:val="none"/>
          <w:u w:val="none"/>
        </w:rPr>
        <w:t>亿元、</w:t>
      </w:r>
      <w:r>
        <w:rPr>
          <w:rFonts w:hint="eastAsia" w:ascii="仿宋_GB2312" w:hAnsi="仿宋_GB2312" w:eastAsia="仿宋_GB2312" w:cs="仿宋_GB2312"/>
          <w:color w:val="auto"/>
          <w:spacing w:val="0"/>
          <w:kern w:val="21"/>
          <w:sz w:val="24"/>
          <w:szCs w:val="24"/>
          <w:highlight w:val="none"/>
          <w:u w:val="none"/>
          <w:lang w:eastAsia="zh-CN"/>
        </w:rPr>
        <w:t>剔除上年</w:t>
      </w:r>
      <w:r>
        <w:rPr>
          <w:rFonts w:hint="eastAsia" w:ascii="仿宋_GB2312" w:hAnsi="仿宋_GB2312" w:eastAsia="仿宋_GB2312" w:cs="仿宋_GB2312"/>
          <w:color w:val="auto"/>
          <w:spacing w:val="0"/>
          <w:kern w:val="21"/>
          <w:sz w:val="24"/>
          <w:szCs w:val="24"/>
          <w:highlight w:val="none"/>
          <w:u w:val="none"/>
          <w:lang w:val="en-US" w:eastAsia="zh-CN"/>
        </w:rPr>
        <w:t>8.45亿元</w:t>
      </w:r>
      <w:r>
        <w:rPr>
          <w:rFonts w:hint="eastAsia" w:ascii="仿宋_GB2312" w:hAnsi="仿宋_GB2312" w:eastAsia="仿宋_GB2312" w:cs="仿宋_GB2312"/>
          <w:color w:val="auto"/>
          <w:spacing w:val="0"/>
          <w:kern w:val="21"/>
          <w:sz w:val="24"/>
          <w:szCs w:val="24"/>
          <w:highlight w:val="none"/>
          <w:u w:val="none"/>
          <w:lang w:eastAsia="zh-CN"/>
        </w:rPr>
        <w:t>一次性缓税因素下降</w:t>
      </w:r>
      <w:r>
        <w:rPr>
          <w:rFonts w:hint="eastAsia" w:ascii="仿宋_GB2312" w:hAnsi="仿宋_GB2312" w:eastAsia="仿宋_GB2312" w:cs="仿宋_GB2312"/>
          <w:color w:val="auto"/>
          <w:spacing w:val="0"/>
          <w:kern w:val="21"/>
          <w:sz w:val="24"/>
          <w:szCs w:val="24"/>
          <w:highlight w:val="none"/>
          <w:u w:val="none"/>
          <w:lang w:val="en-US" w:eastAsia="zh-CN"/>
        </w:rPr>
        <w:t>0.14%</w:t>
      </w:r>
      <w:r>
        <w:rPr>
          <w:rFonts w:hint="eastAsia" w:ascii="仿宋_GB2312" w:hAnsi="仿宋_GB2312" w:eastAsia="仿宋_GB2312" w:cs="仿宋_GB2312"/>
          <w:color w:val="auto"/>
          <w:spacing w:val="0"/>
          <w:kern w:val="21"/>
          <w:sz w:val="24"/>
          <w:szCs w:val="24"/>
          <w:highlight w:val="none"/>
          <w:u w:val="none"/>
          <w:lang w:eastAsia="zh-CN"/>
        </w:rPr>
        <w:t>；乌审旗</w:t>
      </w:r>
      <w:r>
        <w:rPr>
          <w:rFonts w:hint="eastAsia" w:ascii="仿宋_GB2312" w:hAnsi="仿宋_GB2312" w:eastAsia="仿宋_GB2312" w:cs="仿宋_GB2312"/>
          <w:color w:val="auto"/>
          <w:spacing w:val="0"/>
          <w:kern w:val="21"/>
          <w:sz w:val="24"/>
          <w:szCs w:val="24"/>
          <w:highlight w:val="none"/>
          <w:u w:val="none"/>
          <w:lang w:val="en-US" w:eastAsia="zh-CN"/>
        </w:rPr>
        <w:t>26.7</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10.9</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；达拉特旗</w:t>
      </w:r>
      <w:r>
        <w:rPr>
          <w:rFonts w:hint="eastAsia" w:ascii="仿宋_GB2312" w:hAnsi="仿宋_GB2312" w:eastAsia="仿宋_GB2312" w:cs="仿宋_GB2312"/>
          <w:color w:val="auto"/>
          <w:spacing w:val="0"/>
          <w:kern w:val="21"/>
          <w:sz w:val="24"/>
          <w:szCs w:val="24"/>
          <w:highlight w:val="none"/>
          <w:u w:val="none"/>
          <w:lang w:val="en-US" w:eastAsia="zh-CN"/>
        </w:rPr>
        <w:t>22.3</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9.8</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；鄂托克前旗</w:t>
      </w:r>
      <w:r>
        <w:rPr>
          <w:rFonts w:hint="eastAsia" w:ascii="仿宋_GB2312" w:hAnsi="仿宋_GB2312" w:eastAsia="仿宋_GB2312" w:cs="仿宋_GB2312"/>
          <w:color w:val="auto"/>
          <w:spacing w:val="0"/>
          <w:kern w:val="21"/>
          <w:sz w:val="24"/>
          <w:szCs w:val="24"/>
          <w:highlight w:val="none"/>
          <w:u w:val="none"/>
          <w:lang w:val="en-US" w:eastAsia="zh-CN"/>
        </w:rPr>
        <w:t>13.3</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1.3</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；康巴什区</w:t>
      </w:r>
      <w:r>
        <w:rPr>
          <w:rFonts w:hint="eastAsia" w:ascii="仿宋_GB2312" w:hAnsi="仿宋_GB2312" w:eastAsia="仿宋_GB2312" w:cs="仿宋_GB2312"/>
          <w:color w:val="auto"/>
          <w:spacing w:val="0"/>
          <w:kern w:val="21"/>
          <w:sz w:val="24"/>
          <w:szCs w:val="24"/>
          <w:highlight w:val="none"/>
          <w:u w:val="none"/>
          <w:lang w:val="en-US" w:eastAsia="zh-CN"/>
        </w:rPr>
        <w:t>8.2</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17.8</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；杭锦旗</w:t>
      </w:r>
      <w:r>
        <w:rPr>
          <w:rFonts w:hint="eastAsia" w:ascii="仿宋_GB2312" w:hAnsi="仿宋_GB2312" w:eastAsia="仿宋_GB2312" w:cs="仿宋_GB2312"/>
          <w:color w:val="auto"/>
          <w:spacing w:val="0"/>
          <w:kern w:val="21"/>
          <w:sz w:val="24"/>
          <w:szCs w:val="24"/>
          <w:highlight w:val="none"/>
          <w:u w:val="none"/>
          <w:lang w:val="en-US" w:eastAsia="zh-CN"/>
        </w:rPr>
        <w:t>6.9</w:t>
      </w:r>
      <w:r>
        <w:rPr>
          <w:rFonts w:hint="eastAsia" w:ascii="仿宋_GB2312" w:hAnsi="仿宋_GB2312" w:eastAsia="仿宋_GB2312" w:cs="仿宋_GB2312"/>
          <w:color w:val="auto"/>
          <w:spacing w:val="0"/>
          <w:kern w:val="21"/>
          <w:sz w:val="24"/>
          <w:szCs w:val="24"/>
          <w:highlight w:val="none"/>
          <w:u w:val="none"/>
        </w:rPr>
        <w:t>亿元、增长</w:t>
      </w:r>
      <w:r>
        <w:rPr>
          <w:rFonts w:hint="eastAsia" w:ascii="仿宋_GB2312" w:hAnsi="仿宋_GB2312" w:eastAsia="仿宋_GB2312" w:cs="仿宋_GB2312"/>
          <w:color w:val="auto"/>
          <w:spacing w:val="0"/>
          <w:kern w:val="21"/>
          <w:sz w:val="24"/>
          <w:szCs w:val="24"/>
          <w:highlight w:val="none"/>
          <w:u w:val="none"/>
          <w:lang w:val="en-US" w:eastAsia="zh-CN"/>
        </w:rPr>
        <w:t>12</w:t>
      </w:r>
      <w:r>
        <w:rPr>
          <w:rFonts w:hint="eastAsia" w:ascii="仿宋_GB2312" w:hAnsi="仿宋_GB2312" w:eastAsia="仿宋_GB2312" w:cs="仿宋_GB2312"/>
          <w:color w:val="auto"/>
          <w:spacing w:val="0"/>
          <w:kern w:val="21"/>
          <w:sz w:val="24"/>
          <w:szCs w:val="24"/>
          <w:highlight w:val="none"/>
          <w:u w:val="none"/>
        </w:rPr>
        <w:t>%</w:t>
      </w:r>
      <w:r>
        <w:rPr>
          <w:rFonts w:hint="eastAsia" w:ascii="仿宋_GB2312" w:hAnsi="仿宋_GB2312" w:eastAsia="仿宋_GB2312" w:cs="仿宋_GB2312"/>
          <w:color w:val="auto"/>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highlight w:val="none"/>
          <w:u w:val="none"/>
        </w:rPr>
      </w:pPr>
      <w:r>
        <w:rPr>
          <w:rFonts w:hint="default" w:ascii="Times New Roman" w:hAnsi="Times New Roman" w:eastAsia="楷体_GB2312" w:cs="Times New Roman"/>
          <w:spacing w:val="0"/>
          <w:kern w:val="21"/>
          <w:sz w:val="24"/>
          <w:szCs w:val="24"/>
          <w:u w:val="none"/>
        </w:rPr>
        <w:pict>
          <v:shape id="_x0000_s1032" o:spid="_x0000_s1032" o:spt="75" type="#_x0000_t75" style="position:absolute;left:0pt;margin-left:11.4pt;margin-top:21.7pt;height:184.95pt;width:313.4pt;z-index:-251643904;mso-width-relative:page;mso-height-relative:page;" o:ole="t" filled="f" o:preferrelative="t" stroked="f" coordsize="21600,21600">
            <v:path/>
            <v:fill on="f" focussize="0,0"/>
            <v:stroke on="f"/>
            <v:imagedata r:id="rId15" o:title=""/>
            <o:lock v:ext="edit" aspectratio="t"/>
          </v:shape>
          <o:OLEObject Type="Embed" ProgID="Excel.Chart.8" ShapeID="_x0000_s1032" DrawAspect="Content" ObjectID="_1468075727" r:id="rId14">
            <o:LockedField>false</o:LockedField>
          </o:OLEObject>
        </w:pict>
      </w:r>
      <w:r>
        <w:rPr>
          <w:rFonts w:hint="default" w:ascii="Times New Roman" w:hAnsi="Times New Roman" w:eastAsia="楷体_GB2312" w:cs="Times New Roman"/>
          <w:spacing w:val="0"/>
          <w:kern w:val="21"/>
          <w:sz w:val="24"/>
          <w:szCs w:val="24"/>
          <w:highlight w:val="none"/>
          <w:u w:val="none"/>
        </w:rPr>
        <w:t>（</w:t>
      </w:r>
      <w:r>
        <w:rPr>
          <w:rFonts w:hint="eastAsia" w:ascii="Times New Roman" w:hAnsi="Times New Roman" w:eastAsia="楷体_GB2312" w:cs="Times New Roman"/>
          <w:spacing w:val="0"/>
          <w:kern w:val="21"/>
          <w:sz w:val="24"/>
          <w:szCs w:val="24"/>
          <w:highlight w:val="none"/>
          <w:u w:val="none"/>
          <w:lang w:val="en-US" w:eastAsia="zh-CN"/>
        </w:rPr>
        <w:t>一般公共预算收入</w:t>
      </w:r>
      <w:r>
        <w:rPr>
          <w:rFonts w:hint="default" w:ascii="Times New Roman" w:hAnsi="Times New Roman" w:eastAsia="楷体_GB2312" w:cs="Times New Roman"/>
          <w:spacing w:val="0"/>
          <w:kern w:val="21"/>
          <w:sz w:val="24"/>
          <w:szCs w:val="24"/>
          <w:highlight w:val="none"/>
          <w:u w:val="none"/>
        </w:rPr>
        <w:t>分</w:t>
      </w:r>
      <w:r>
        <w:rPr>
          <w:rFonts w:hint="eastAsia" w:ascii="Times New Roman" w:hAnsi="Times New Roman" w:eastAsia="楷体_GB2312" w:cs="Times New Roman"/>
          <w:spacing w:val="0"/>
          <w:kern w:val="21"/>
          <w:sz w:val="24"/>
          <w:szCs w:val="24"/>
          <w:highlight w:val="none"/>
          <w:u w:val="none"/>
          <w:lang w:eastAsia="zh-CN"/>
        </w:rPr>
        <w:t>旗区</w:t>
      </w:r>
      <w:r>
        <w:rPr>
          <w:rFonts w:hint="default" w:ascii="Times New Roman" w:hAnsi="Times New Roman" w:eastAsia="楷体_GB2312" w:cs="Times New Roman"/>
          <w:spacing w:val="0"/>
          <w:kern w:val="21"/>
          <w:sz w:val="24"/>
          <w:szCs w:val="24"/>
          <w:highlight w:val="none"/>
          <w:u w:val="none"/>
        </w:rPr>
        <w:t>情况见下图）</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9"/>
        <w:rPr>
          <w:rFonts w:hint="default" w:ascii="Times New Roman" w:hAnsi="Times New Roman" w:eastAsia="黑体" w:cs="Times New Roman"/>
          <w:spacing w:val="0"/>
          <w:kern w:val="21"/>
          <w:sz w:val="24"/>
          <w:szCs w:val="24"/>
          <w:highlight w:val="none"/>
          <w:u w:val="none"/>
        </w:rPr>
      </w:pPr>
      <w:r>
        <w:rPr>
          <w:rFonts w:hint="eastAsia" w:ascii="Times New Roman" w:hAnsi="Times New Roman" w:eastAsia="黑体" w:cs="Times New Roman"/>
          <w:spacing w:val="0"/>
          <w:kern w:val="21"/>
          <w:sz w:val="24"/>
          <w:szCs w:val="24"/>
          <w:highlight w:val="none"/>
          <w:u w:val="none"/>
          <w:lang w:val="en-US" w:eastAsia="zh-CN"/>
        </w:rPr>
        <w:t>二、</w:t>
      </w:r>
      <w:r>
        <w:rPr>
          <w:rFonts w:hint="default" w:ascii="Times New Roman" w:hAnsi="Times New Roman" w:eastAsia="黑体" w:cs="Times New Roman"/>
          <w:spacing w:val="0"/>
          <w:kern w:val="21"/>
          <w:sz w:val="24"/>
          <w:szCs w:val="24"/>
          <w:highlight w:val="none"/>
          <w:u w:val="none"/>
        </w:rPr>
        <w:t>全</w:t>
      </w:r>
      <w:r>
        <w:rPr>
          <w:rFonts w:hint="eastAsia" w:ascii="Times New Roman" w:hAnsi="Times New Roman" w:eastAsia="黑体" w:cs="Times New Roman"/>
          <w:spacing w:val="0"/>
          <w:kern w:val="21"/>
          <w:sz w:val="24"/>
          <w:szCs w:val="24"/>
          <w:highlight w:val="none"/>
          <w:u w:val="none"/>
          <w:lang w:val="en-US" w:eastAsia="zh-CN"/>
        </w:rPr>
        <w:t>旗</w:t>
      </w:r>
      <w:r>
        <w:rPr>
          <w:rFonts w:hint="default" w:ascii="Times New Roman" w:hAnsi="Times New Roman" w:eastAsia="黑体" w:cs="Times New Roman"/>
          <w:spacing w:val="0"/>
          <w:kern w:val="21"/>
          <w:sz w:val="24"/>
          <w:szCs w:val="24"/>
          <w:highlight w:val="none"/>
          <w:u w:val="none"/>
        </w:rPr>
        <w:t>地方财政总收入完成情况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截至2023年7月底，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地方财政总收入累计完成</w:t>
      </w:r>
      <w:r>
        <w:rPr>
          <w:rFonts w:hint="eastAsia" w:ascii="仿宋_GB2312" w:hAnsi="仿宋_GB2312" w:eastAsia="仿宋_GB2312" w:cs="仿宋_GB2312"/>
          <w:spacing w:val="0"/>
          <w:kern w:val="21"/>
          <w:sz w:val="24"/>
          <w:szCs w:val="24"/>
          <w:highlight w:val="none"/>
          <w:u w:val="none"/>
          <w:lang w:val="en-US" w:eastAsia="zh-CN"/>
        </w:rPr>
        <w:t>83.29</w:t>
      </w:r>
      <w:r>
        <w:rPr>
          <w:rFonts w:hint="eastAsia" w:ascii="仿宋_GB2312" w:hAnsi="仿宋_GB2312" w:eastAsia="仿宋_GB2312" w:cs="仿宋_GB2312"/>
          <w:bCs/>
          <w:spacing w:val="0"/>
          <w:kern w:val="21"/>
          <w:sz w:val="24"/>
          <w:szCs w:val="24"/>
          <w:highlight w:val="none"/>
          <w:u w:val="none"/>
        </w:rPr>
        <w:t>亿元、</w:t>
      </w:r>
      <w:r>
        <w:rPr>
          <w:rFonts w:hint="eastAsia" w:ascii="仿宋_GB2312" w:hAnsi="仿宋_GB2312" w:eastAsia="仿宋_GB2312" w:cs="仿宋_GB2312"/>
          <w:bCs/>
          <w:spacing w:val="0"/>
          <w:kern w:val="21"/>
          <w:sz w:val="24"/>
          <w:szCs w:val="24"/>
          <w:highlight w:val="none"/>
          <w:u w:val="none"/>
          <w:lang w:val="en-US" w:eastAsia="zh-CN"/>
        </w:rPr>
        <w:t>下降40</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imes New Roman" w:hAnsi="Times New Roman" w:eastAsia="仿宋_GB2312" w:cs="Times New Roman"/>
          <w:bCs/>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分级次：</w:t>
      </w:r>
      <w:r>
        <w:rPr>
          <w:rFonts w:hint="eastAsia" w:ascii="仿宋_GB2312" w:hAnsi="仿宋_GB2312" w:eastAsia="仿宋_GB2312" w:cs="仿宋_GB2312"/>
          <w:bCs/>
          <w:spacing w:val="0"/>
          <w:kern w:val="21"/>
          <w:sz w:val="24"/>
          <w:szCs w:val="24"/>
          <w:highlight w:val="none"/>
          <w:u w:val="none"/>
        </w:rPr>
        <w:t>上划中央税收</w:t>
      </w:r>
      <w:r>
        <w:rPr>
          <w:rFonts w:hint="eastAsia" w:ascii="仿宋_GB2312" w:hAnsi="仿宋_GB2312" w:eastAsia="仿宋_GB2312" w:cs="仿宋_GB2312"/>
          <w:bCs/>
          <w:spacing w:val="0"/>
          <w:kern w:val="21"/>
          <w:sz w:val="24"/>
          <w:szCs w:val="24"/>
          <w:highlight w:val="none"/>
          <w:u w:val="none"/>
          <w:lang w:val="en-US" w:eastAsia="zh-CN"/>
        </w:rPr>
        <w:t>26.29</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下降51.5%</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31.5</w:t>
      </w:r>
      <w:r>
        <w:rPr>
          <w:rFonts w:hint="eastAsia" w:ascii="仿宋_GB2312" w:hAnsi="仿宋_GB2312" w:eastAsia="仿宋_GB2312" w:cs="仿宋_GB2312"/>
          <w:bCs/>
          <w:spacing w:val="0"/>
          <w:kern w:val="21"/>
          <w:sz w:val="24"/>
          <w:szCs w:val="24"/>
          <w:highlight w:val="none"/>
          <w:u w:val="none"/>
        </w:rPr>
        <w:t>%；上划自治区税收</w:t>
      </w:r>
      <w:r>
        <w:rPr>
          <w:rFonts w:hint="eastAsia" w:ascii="仿宋_GB2312" w:hAnsi="仿宋_GB2312" w:eastAsia="仿宋_GB2312" w:cs="仿宋_GB2312"/>
          <w:bCs/>
          <w:spacing w:val="0"/>
          <w:kern w:val="21"/>
          <w:sz w:val="24"/>
          <w:szCs w:val="24"/>
          <w:highlight w:val="none"/>
          <w:u w:val="none"/>
          <w:lang w:val="en-US" w:eastAsia="zh-CN"/>
        </w:rPr>
        <w:t>19.04</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下降35.3</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22.9</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r>
        <w:rPr>
          <w:rFonts w:hint="eastAsia" w:ascii="仿宋_GB2312" w:hAnsi="仿宋_GB2312" w:eastAsia="仿宋_GB2312" w:cs="仿宋_GB2312"/>
          <w:bCs/>
          <w:spacing w:val="0"/>
          <w:kern w:val="21"/>
          <w:sz w:val="24"/>
          <w:szCs w:val="24"/>
          <w:highlight w:val="none"/>
          <w:u w:val="none"/>
          <w:lang w:val="en-US" w:eastAsia="zh-CN"/>
        </w:rPr>
        <w:t>上划市级税收9.93</w:t>
      </w:r>
      <w:r>
        <w:rPr>
          <w:rFonts w:hint="eastAsia" w:ascii="仿宋_GB2312" w:hAnsi="仿宋_GB2312" w:eastAsia="仿宋_GB2312" w:cs="仿宋_GB2312"/>
          <w:bCs/>
          <w:spacing w:val="0"/>
          <w:kern w:val="21"/>
          <w:sz w:val="24"/>
          <w:szCs w:val="24"/>
          <w:highlight w:val="none"/>
          <w:u w:val="none"/>
        </w:rPr>
        <w:t>亿</w:t>
      </w:r>
      <w:r>
        <w:rPr>
          <w:rFonts w:hint="eastAsia" w:ascii="仿宋_GB2312" w:hAnsi="仿宋_GB2312" w:eastAsia="仿宋_GB2312" w:cs="仿宋_GB2312"/>
          <w:bCs/>
          <w:spacing w:val="0"/>
          <w:kern w:val="21"/>
          <w:sz w:val="24"/>
          <w:szCs w:val="24"/>
          <w:highlight w:val="none"/>
          <w:u w:val="none"/>
          <w:lang w:val="en-US" w:eastAsia="zh-CN"/>
        </w:rPr>
        <w:t>元</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val="en-US" w:eastAsia="zh-CN"/>
        </w:rPr>
        <w:t>下降46.8</w:t>
      </w:r>
      <w:r>
        <w:rPr>
          <w:rFonts w:hint="eastAsia" w:ascii="仿宋_GB2312" w:hAnsi="仿宋_GB2312" w:eastAsia="仿宋_GB2312" w:cs="仿宋_GB2312"/>
          <w:bCs/>
          <w:spacing w:val="0"/>
          <w:kern w:val="21"/>
          <w:sz w:val="24"/>
          <w:szCs w:val="24"/>
          <w:highlight w:val="none"/>
          <w:u w:val="none"/>
        </w:rPr>
        <w:t>%，占比</w:t>
      </w:r>
      <w:r>
        <w:rPr>
          <w:rFonts w:hint="eastAsia" w:ascii="仿宋_GB2312" w:hAnsi="仿宋_GB2312" w:eastAsia="仿宋_GB2312" w:cs="仿宋_GB2312"/>
          <w:bCs/>
          <w:spacing w:val="0"/>
          <w:kern w:val="21"/>
          <w:sz w:val="24"/>
          <w:szCs w:val="24"/>
          <w:highlight w:val="none"/>
          <w:u w:val="none"/>
          <w:lang w:val="en-US" w:eastAsia="zh-CN"/>
        </w:rPr>
        <w:t>11.9</w:t>
      </w:r>
      <w:r>
        <w:rPr>
          <w:rFonts w:hint="eastAsia" w:ascii="仿宋_GB2312" w:hAnsi="仿宋_GB2312" w:eastAsia="仿宋_GB2312" w:cs="仿宋_GB2312"/>
          <w:bCs/>
          <w:spacing w:val="0"/>
          <w:kern w:val="21"/>
          <w:sz w:val="24"/>
          <w:szCs w:val="24"/>
          <w:highlight w:val="none"/>
          <w:u w:val="none"/>
        </w:rPr>
        <w:t>%</w:t>
      </w:r>
      <w:r>
        <w:rPr>
          <w:rFonts w:hint="eastAsia" w:ascii="仿宋_GB2312" w:hAnsi="仿宋_GB2312" w:eastAsia="仿宋_GB2312" w:cs="仿宋_GB2312"/>
          <w:bCs/>
          <w:spacing w:val="0"/>
          <w:kern w:val="21"/>
          <w:sz w:val="24"/>
          <w:szCs w:val="24"/>
          <w:highlight w:val="none"/>
          <w:u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left="0" w:leftChars="0" w:right="0"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default" w:ascii="Times New Roman" w:hAnsi="Times New Roman" w:eastAsia="黑体" w:cs="Times New Roman"/>
          <w:spacing w:val="0"/>
          <w:kern w:val="21"/>
          <w:sz w:val="24"/>
          <w:szCs w:val="24"/>
          <w:highlight w:val="none"/>
          <w:u w:val="none"/>
        </w:rPr>
        <w:t>分部门：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8.1</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增长49.9</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9.7</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val="en-US" w:eastAsia="zh-CN"/>
        </w:rPr>
        <w:t>开发区</w:t>
      </w:r>
      <w:r>
        <w:rPr>
          <w:rFonts w:hint="eastAsia" w:ascii="仿宋_GB2312" w:hAnsi="仿宋_GB2312" w:eastAsia="仿宋_GB2312" w:cs="仿宋_GB2312"/>
          <w:spacing w:val="0"/>
          <w:kern w:val="21"/>
          <w:sz w:val="24"/>
          <w:szCs w:val="24"/>
          <w:highlight w:val="none"/>
          <w:u w:val="none"/>
        </w:rPr>
        <w:t>税务部门组织收入</w:t>
      </w:r>
      <w:r>
        <w:rPr>
          <w:rFonts w:hint="eastAsia" w:ascii="仿宋_GB2312" w:hAnsi="仿宋_GB2312" w:eastAsia="仿宋_GB2312" w:cs="仿宋_GB2312"/>
          <w:spacing w:val="0"/>
          <w:kern w:val="21"/>
          <w:sz w:val="24"/>
          <w:szCs w:val="24"/>
          <w:highlight w:val="none"/>
          <w:u w:val="none"/>
          <w:lang w:val="en-US" w:eastAsia="zh-CN"/>
        </w:rPr>
        <w:t>74.28</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下降43.9</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89.2</w:t>
      </w:r>
      <w:r>
        <w:rPr>
          <w:rFonts w:hint="eastAsia" w:ascii="仿宋_GB2312" w:hAnsi="仿宋_GB2312" w:eastAsia="仿宋_GB2312" w:cs="仿宋_GB2312"/>
          <w:spacing w:val="0"/>
          <w:kern w:val="21"/>
          <w:sz w:val="24"/>
          <w:szCs w:val="24"/>
          <w:highlight w:val="none"/>
          <w:u w:val="none"/>
        </w:rPr>
        <w:t>%；财政部门组织收入</w:t>
      </w:r>
      <w:r>
        <w:rPr>
          <w:rFonts w:hint="eastAsia" w:ascii="仿宋_GB2312" w:hAnsi="仿宋_GB2312" w:eastAsia="仿宋_GB2312" w:cs="仿宋_GB2312"/>
          <w:spacing w:val="0"/>
          <w:kern w:val="21"/>
          <w:sz w:val="24"/>
          <w:szCs w:val="24"/>
          <w:highlight w:val="none"/>
          <w:u w:val="none"/>
          <w:lang w:val="en-US" w:eastAsia="zh-CN"/>
        </w:rPr>
        <w:t>0.91</w:t>
      </w:r>
      <w:r>
        <w:rPr>
          <w:rFonts w:hint="eastAsia" w:ascii="仿宋_GB2312" w:hAnsi="仿宋_GB2312" w:eastAsia="仿宋_GB2312" w:cs="仿宋_GB2312"/>
          <w:spacing w:val="0"/>
          <w:kern w:val="21"/>
          <w:sz w:val="24"/>
          <w:szCs w:val="24"/>
          <w:highlight w:val="none"/>
          <w:u w:val="none"/>
        </w:rPr>
        <w:t>亿元、</w:t>
      </w:r>
      <w:r>
        <w:rPr>
          <w:rFonts w:hint="eastAsia" w:ascii="仿宋_GB2312" w:hAnsi="仿宋_GB2312" w:eastAsia="仿宋_GB2312" w:cs="仿宋_GB2312"/>
          <w:spacing w:val="0"/>
          <w:kern w:val="21"/>
          <w:sz w:val="24"/>
          <w:szCs w:val="24"/>
          <w:highlight w:val="none"/>
          <w:u w:val="none"/>
          <w:lang w:val="en-US" w:eastAsia="zh-CN"/>
        </w:rPr>
        <w:t>下降15.1</w:t>
      </w:r>
      <w:r>
        <w:rPr>
          <w:rFonts w:hint="eastAsia" w:ascii="仿宋_GB2312" w:hAnsi="仿宋_GB2312" w:eastAsia="仿宋_GB2312" w:cs="仿宋_GB2312"/>
          <w:spacing w:val="0"/>
          <w:kern w:val="21"/>
          <w:sz w:val="24"/>
          <w:szCs w:val="24"/>
          <w:highlight w:val="none"/>
          <w:u w:val="none"/>
        </w:rPr>
        <w:t>%，占比</w:t>
      </w:r>
      <w:r>
        <w:rPr>
          <w:rFonts w:hint="eastAsia" w:ascii="仿宋_GB2312" w:hAnsi="仿宋_GB2312" w:eastAsia="仿宋_GB2312" w:cs="仿宋_GB2312"/>
          <w:spacing w:val="0"/>
          <w:kern w:val="21"/>
          <w:sz w:val="24"/>
          <w:szCs w:val="24"/>
          <w:highlight w:val="none"/>
          <w:u w:val="none"/>
          <w:lang w:val="en-US" w:eastAsia="zh-CN"/>
        </w:rPr>
        <w:t>1.1</w:t>
      </w:r>
      <w:r>
        <w:rPr>
          <w:rFonts w:hint="eastAsia" w:ascii="仿宋_GB2312" w:hAnsi="仿宋_GB2312" w:eastAsia="仿宋_GB2312" w:cs="仿宋_GB2312"/>
          <w:spacing w:val="0"/>
          <w:kern w:val="21"/>
          <w:sz w:val="24"/>
          <w:szCs w:val="24"/>
          <w:highlight w:val="none"/>
          <w:u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三、一般公共预算支出完成情况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rPr>
      </w:pPr>
      <w:r>
        <w:rPr>
          <w:rFonts w:hint="eastAsia" w:ascii="仿宋_GB2312" w:hAnsi="仿宋_GB2312" w:eastAsia="仿宋_GB2312" w:cs="仿宋_GB2312"/>
          <w:bCs/>
          <w:spacing w:val="0"/>
          <w:kern w:val="21"/>
          <w:sz w:val="24"/>
          <w:szCs w:val="24"/>
          <w:highlight w:val="none"/>
          <w:u w:val="none"/>
          <w:lang w:val="en-US" w:eastAsia="zh-CN"/>
        </w:rPr>
        <w:t>截至2023年7月底，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一般公共预算支出累计完成</w:t>
      </w:r>
      <w:r>
        <w:rPr>
          <w:rFonts w:hint="eastAsia" w:ascii="仿宋_GB2312" w:hAnsi="仿宋_GB2312" w:eastAsia="仿宋_GB2312" w:cs="仿宋_GB2312"/>
          <w:spacing w:val="0"/>
          <w:kern w:val="21"/>
          <w:sz w:val="24"/>
          <w:szCs w:val="24"/>
          <w:highlight w:val="none"/>
          <w:u w:val="none"/>
          <w:lang w:val="en-US" w:eastAsia="zh-CN"/>
        </w:rPr>
        <w:t>325130万</w:t>
      </w:r>
      <w:r>
        <w:rPr>
          <w:rFonts w:hint="eastAsia" w:ascii="仿宋_GB2312" w:hAnsi="仿宋_GB2312" w:eastAsia="仿宋_GB2312" w:cs="仿宋_GB2312"/>
          <w:spacing w:val="0"/>
          <w:kern w:val="21"/>
          <w:sz w:val="24"/>
          <w:szCs w:val="24"/>
          <w:highlight w:val="none"/>
          <w:u w:val="none"/>
        </w:rPr>
        <w:t>元，同比</w:t>
      </w:r>
      <w:r>
        <w:rPr>
          <w:rFonts w:hint="eastAsia" w:ascii="仿宋_GB2312" w:hAnsi="仿宋_GB2312" w:eastAsia="仿宋_GB2312" w:cs="仿宋_GB2312"/>
          <w:spacing w:val="0"/>
          <w:kern w:val="21"/>
          <w:sz w:val="24"/>
          <w:szCs w:val="24"/>
          <w:highlight w:val="none"/>
          <w:u w:val="none"/>
          <w:lang w:val="en-US" w:eastAsia="zh-CN"/>
        </w:rPr>
        <w:t>下降1.8</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其中</w:t>
      </w:r>
      <w:r>
        <w:rPr>
          <w:rFonts w:hint="eastAsia" w:ascii="仿宋_GB2312" w:hAnsi="仿宋_GB2312" w:eastAsia="仿宋_GB2312" w:cs="仿宋_GB2312"/>
          <w:spacing w:val="0"/>
          <w:kern w:val="21"/>
          <w:sz w:val="24"/>
          <w:szCs w:val="24"/>
          <w:highlight w:val="none"/>
          <w:u w:val="none"/>
        </w:rPr>
        <w:t>民生支出</w:t>
      </w:r>
      <w:r>
        <w:rPr>
          <w:rFonts w:hint="eastAsia" w:ascii="仿宋_GB2312" w:hAnsi="仿宋_GB2312" w:eastAsia="仿宋_GB2312" w:cs="仿宋_GB2312"/>
          <w:spacing w:val="0"/>
          <w:kern w:val="21"/>
          <w:sz w:val="24"/>
          <w:szCs w:val="24"/>
          <w:highlight w:val="none"/>
          <w:u w:val="none"/>
          <w:lang w:val="en-US" w:eastAsia="zh-CN"/>
        </w:rPr>
        <w:t>268440万</w:t>
      </w:r>
      <w:r>
        <w:rPr>
          <w:rFonts w:hint="eastAsia" w:ascii="仿宋_GB2312" w:hAnsi="仿宋_GB2312" w:eastAsia="仿宋_GB2312" w:cs="仿宋_GB2312"/>
          <w:spacing w:val="0"/>
          <w:kern w:val="21"/>
          <w:sz w:val="24"/>
          <w:szCs w:val="24"/>
          <w:highlight w:val="none"/>
          <w:u w:val="none"/>
        </w:rPr>
        <w:t>元，占一般公共预算支出的</w:t>
      </w:r>
      <w:r>
        <w:rPr>
          <w:rFonts w:hint="eastAsia" w:ascii="仿宋_GB2312" w:hAnsi="仿宋_GB2312" w:eastAsia="仿宋_GB2312" w:cs="仿宋_GB2312"/>
          <w:spacing w:val="0"/>
          <w:kern w:val="21"/>
          <w:sz w:val="24"/>
          <w:szCs w:val="24"/>
          <w:highlight w:val="none"/>
          <w:u w:val="none"/>
          <w:lang w:val="en-US" w:eastAsia="zh-CN"/>
        </w:rPr>
        <w:t>82.6</w:t>
      </w:r>
      <w:r>
        <w:rPr>
          <w:rFonts w:hint="eastAsia" w:ascii="仿宋_GB2312" w:hAnsi="仿宋_GB2312" w:eastAsia="仿宋_GB2312" w:cs="仿宋_GB2312"/>
          <w:spacing w:val="0"/>
          <w:kern w:val="21"/>
          <w:sz w:val="24"/>
          <w:szCs w:val="24"/>
          <w:highlight w:val="none"/>
          <w:u w:val="none"/>
        </w:rPr>
        <w:t>%</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rPr>
      </w:pPr>
      <w:r>
        <w:rPr>
          <w:rFonts w:hint="default" w:ascii="Times New Roman" w:hAnsi="Times New Roman" w:eastAsia="黑体" w:cs="Times New Roman"/>
          <w:spacing w:val="0"/>
          <w:kern w:val="21"/>
          <w:sz w:val="24"/>
          <w:szCs w:val="24"/>
          <w:highlight w:val="none"/>
          <w:u w:val="none"/>
        </w:rPr>
        <w:t>分</w:t>
      </w:r>
      <w:r>
        <w:rPr>
          <w:rFonts w:hint="eastAsia" w:ascii="Times New Roman" w:hAnsi="Times New Roman" w:eastAsia="黑体" w:cs="Times New Roman"/>
          <w:spacing w:val="0"/>
          <w:kern w:val="21"/>
          <w:sz w:val="24"/>
          <w:szCs w:val="24"/>
          <w:highlight w:val="none"/>
          <w:u w:val="none"/>
          <w:lang w:val="en-US" w:eastAsia="zh-CN"/>
        </w:rPr>
        <w:t>主要项目</w:t>
      </w:r>
      <w:r>
        <w:rPr>
          <w:rFonts w:hint="default" w:ascii="Times New Roman" w:hAnsi="Times New Roman" w:eastAsia="黑体" w:cs="Times New Roman"/>
          <w:spacing w:val="0"/>
          <w:kern w:val="21"/>
          <w:sz w:val="24"/>
          <w:szCs w:val="24"/>
          <w:highlight w:val="none"/>
          <w:u w:val="none"/>
        </w:rPr>
        <w:t>：</w:t>
      </w:r>
      <w:r>
        <w:rPr>
          <w:rFonts w:hint="eastAsia" w:ascii="仿宋_GB2312" w:hAnsi="仿宋_GB2312" w:eastAsia="仿宋_GB2312" w:cs="仿宋_GB2312"/>
          <w:b/>
          <w:bCs/>
          <w:spacing w:val="0"/>
          <w:kern w:val="21"/>
          <w:sz w:val="24"/>
          <w:szCs w:val="24"/>
          <w:highlight w:val="none"/>
          <w:u w:val="none"/>
          <w:lang w:val="en-US" w:eastAsia="zh-CN"/>
        </w:rPr>
        <w:t>一般公共服务支出</w:t>
      </w:r>
      <w:r>
        <w:rPr>
          <w:rFonts w:hint="eastAsia" w:ascii="仿宋_GB2312" w:hAnsi="仿宋_GB2312" w:eastAsia="仿宋_GB2312" w:cs="仿宋_GB2312"/>
          <w:b w:val="0"/>
          <w:bCs w:val="0"/>
          <w:spacing w:val="0"/>
          <w:kern w:val="21"/>
          <w:sz w:val="24"/>
          <w:szCs w:val="24"/>
          <w:highlight w:val="none"/>
          <w:u w:val="none"/>
          <w:lang w:val="en-US" w:eastAsia="zh-CN"/>
        </w:rPr>
        <w:t>29762万元、增长13.2%。</w:t>
      </w:r>
      <w:r>
        <w:rPr>
          <w:rFonts w:hint="eastAsia" w:ascii="仿宋_GB2312" w:hAnsi="仿宋_GB2312" w:eastAsia="仿宋_GB2312" w:cs="仿宋_GB2312"/>
          <w:b/>
          <w:bCs/>
          <w:spacing w:val="0"/>
          <w:kern w:val="21"/>
          <w:sz w:val="24"/>
          <w:szCs w:val="24"/>
          <w:highlight w:val="none"/>
          <w:u w:val="none"/>
          <w:lang w:val="en-US" w:eastAsia="zh-CN"/>
        </w:rPr>
        <w:t>国防支出</w:t>
      </w:r>
      <w:r>
        <w:rPr>
          <w:rFonts w:hint="eastAsia" w:ascii="仿宋_GB2312" w:hAnsi="仿宋_GB2312" w:eastAsia="仿宋_GB2312" w:cs="仿宋_GB2312"/>
          <w:spacing w:val="0"/>
          <w:kern w:val="21"/>
          <w:sz w:val="24"/>
          <w:szCs w:val="24"/>
          <w:highlight w:val="none"/>
          <w:u w:val="none"/>
          <w:lang w:val="en-US" w:eastAsia="zh-CN"/>
        </w:rPr>
        <w:t>8万元、下降75.8%。</w:t>
      </w:r>
      <w:r>
        <w:rPr>
          <w:rFonts w:hint="eastAsia" w:ascii="仿宋_GB2312" w:hAnsi="仿宋_GB2312" w:eastAsia="仿宋_GB2312" w:cs="仿宋_GB2312"/>
          <w:b/>
          <w:bCs/>
          <w:spacing w:val="0"/>
          <w:kern w:val="21"/>
          <w:sz w:val="24"/>
          <w:szCs w:val="24"/>
          <w:highlight w:val="none"/>
          <w:u w:val="none"/>
          <w:lang w:val="en-US" w:eastAsia="zh-CN"/>
        </w:rPr>
        <w:t>公共安全支出</w:t>
      </w:r>
      <w:r>
        <w:rPr>
          <w:rFonts w:hint="eastAsia" w:ascii="仿宋_GB2312" w:hAnsi="仿宋_GB2312" w:eastAsia="仿宋_GB2312" w:cs="仿宋_GB2312"/>
          <w:spacing w:val="0"/>
          <w:kern w:val="21"/>
          <w:sz w:val="24"/>
          <w:szCs w:val="24"/>
          <w:highlight w:val="none"/>
          <w:u w:val="none"/>
          <w:lang w:val="en-US" w:eastAsia="zh-CN"/>
        </w:rPr>
        <w:t>9638万元、下降3.1%。</w:t>
      </w:r>
      <w:r>
        <w:rPr>
          <w:rFonts w:hint="eastAsia" w:ascii="仿宋_GB2312" w:hAnsi="仿宋_GB2312" w:eastAsia="仿宋_GB2312" w:cs="仿宋_GB2312"/>
          <w:b/>
          <w:bCs/>
          <w:spacing w:val="0"/>
          <w:kern w:val="21"/>
          <w:sz w:val="24"/>
          <w:szCs w:val="24"/>
          <w:highlight w:val="none"/>
          <w:u w:val="none"/>
          <w:lang w:val="en-US" w:eastAsia="zh-CN"/>
        </w:rPr>
        <w:t>教育支出</w:t>
      </w:r>
      <w:r>
        <w:rPr>
          <w:rFonts w:hint="eastAsia" w:ascii="仿宋_GB2312" w:hAnsi="仿宋_GB2312" w:eastAsia="仿宋_GB2312" w:cs="仿宋_GB2312"/>
          <w:spacing w:val="0"/>
          <w:kern w:val="21"/>
          <w:sz w:val="24"/>
          <w:szCs w:val="24"/>
          <w:highlight w:val="none"/>
          <w:u w:val="none"/>
          <w:lang w:val="en-US" w:eastAsia="zh-CN"/>
        </w:rPr>
        <w:t>43652万元、增长32.9%，主要是拨付了回购三所私建公助民办幼儿园资金以及教体系统维修、设备采购、校园文化建设等。</w:t>
      </w:r>
      <w:r>
        <w:rPr>
          <w:rFonts w:hint="eastAsia" w:ascii="仿宋_GB2312" w:hAnsi="仿宋_GB2312" w:eastAsia="仿宋_GB2312" w:cs="仿宋_GB2312"/>
          <w:b/>
          <w:bCs/>
          <w:spacing w:val="0"/>
          <w:kern w:val="21"/>
          <w:sz w:val="24"/>
          <w:szCs w:val="24"/>
          <w:highlight w:val="none"/>
          <w:u w:val="none"/>
          <w:lang w:val="en-US" w:eastAsia="zh-CN"/>
        </w:rPr>
        <w:t>科技支出</w:t>
      </w:r>
      <w:r>
        <w:rPr>
          <w:rFonts w:hint="eastAsia" w:ascii="仿宋_GB2312" w:hAnsi="仿宋_GB2312" w:eastAsia="仿宋_GB2312" w:cs="仿宋_GB2312"/>
          <w:spacing w:val="0"/>
          <w:kern w:val="21"/>
          <w:sz w:val="24"/>
          <w:szCs w:val="24"/>
          <w:highlight w:val="none"/>
          <w:u w:val="none"/>
          <w:lang w:val="en-US" w:eastAsia="zh-CN"/>
        </w:rPr>
        <w:t>8852万元、增长111.4%，主要是拨付了科技创新奖补资金。</w:t>
      </w:r>
      <w:r>
        <w:rPr>
          <w:rFonts w:hint="eastAsia" w:ascii="仿宋_GB2312" w:hAnsi="仿宋_GB2312" w:eastAsia="仿宋_GB2312" w:cs="仿宋_GB2312"/>
          <w:b/>
          <w:bCs/>
          <w:spacing w:val="0"/>
          <w:kern w:val="21"/>
          <w:sz w:val="24"/>
          <w:szCs w:val="24"/>
          <w:highlight w:val="none"/>
          <w:u w:val="none"/>
          <w:lang w:val="en-US" w:eastAsia="zh-CN"/>
        </w:rPr>
        <w:t>文化旅游体育与传媒支出</w:t>
      </w:r>
      <w:r>
        <w:rPr>
          <w:rFonts w:hint="eastAsia" w:ascii="仿宋_GB2312" w:hAnsi="仿宋_GB2312" w:eastAsia="仿宋_GB2312" w:cs="仿宋_GB2312"/>
          <w:b w:val="0"/>
          <w:bCs w:val="0"/>
          <w:spacing w:val="0"/>
          <w:kern w:val="21"/>
          <w:sz w:val="24"/>
          <w:szCs w:val="24"/>
          <w:highlight w:val="none"/>
          <w:u w:val="none"/>
          <w:lang w:val="en-US" w:eastAsia="zh-CN"/>
        </w:rPr>
        <w:t>6870</w:t>
      </w:r>
      <w:r>
        <w:rPr>
          <w:rFonts w:hint="eastAsia" w:ascii="仿宋_GB2312" w:hAnsi="仿宋_GB2312" w:eastAsia="仿宋_GB2312" w:cs="仿宋_GB2312"/>
          <w:spacing w:val="0"/>
          <w:kern w:val="21"/>
          <w:sz w:val="24"/>
          <w:szCs w:val="24"/>
          <w:highlight w:val="none"/>
          <w:u w:val="none"/>
          <w:lang w:val="en-US" w:eastAsia="zh-CN"/>
        </w:rPr>
        <w:t>万元、增长27.1%，主要是拨付了文物保护专项资金及鄂托克旗全民健身中心游泳馆及乒羽馆建设项目。</w:t>
      </w:r>
      <w:r>
        <w:rPr>
          <w:rFonts w:hint="eastAsia" w:ascii="仿宋_GB2312" w:hAnsi="仿宋_GB2312" w:eastAsia="仿宋_GB2312" w:cs="仿宋_GB2312"/>
          <w:b/>
          <w:bCs/>
          <w:spacing w:val="0"/>
          <w:kern w:val="21"/>
          <w:sz w:val="24"/>
          <w:szCs w:val="24"/>
          <w:highlight w:val="none"/>
          <w:u w:val="none"/>
          <w:lang w:val="en-US" w:eastAsia="zh-CN"/>
        </w:rPr>
        <w:t>社会保障和就业支出</w:t>
      </w:r>
      <w:r>
        <w:rPr>
          <w:rFonts w:hint="eastAsia" w:ascii="仿宋_GB2312" w:hAnsi="仿宋_GB2312" w:eastAsia="仿宋_GB2312" w:cs="仿宋_GB2312"/>
          <w:spacing w:val="0"/>
          <w:kern w:val="21"/>
          <w:sz w:val="24"/>
          <w:szCs w:val="24"/>
          <w:highlight w:val="none"/>
          <w:u w:val="none"/>
          <w:lang w:val="en-US" w:eastAsia="zh-CN"/>
        </w:rPr>
        <w:t>32015万元、增长12.8%，主要是本月调整增加了企业、机关事业单位基本养老金。</w:t>
      </w:r>
      <w:r>
        <w:rPr>
          <w:rFonts w:hint="eastAsia" w:ascii="仿宋_GB2312" w:hAnsi="仿宋_GB2312" w:eastAsia="仿宋_GB2312" w:cs="仿宋_GB2312"/>
          <w:b/>
          <w:bCs/>
          <w:spacing w:val="0"/>
          <w:kern w:val="21"/>
          <w:sz w:val="24"/>
          <w:szCs w:val="24"/>
          <w:highlight w:val="none"/>
          <w:u w:val="none"/>
          <w:lang w:val="en-US" w:eastAsia="zh-CN"/>
        </w:rPr>
        <w:t>卫生健康支出</w:t>
      </w:r>
      <w:r>
        <w:rPr>
          <w:rFonts w:hint="eastAsia" w:ascii="仿宋_GB2312" w:hAnsi="仿宋_GB2312" w:eastAsia="仿宋_GB2312" w:cs="仿宋_GB2312"/>
          <w:spacing w:val="0"/>
          <w:kern w:val="21"/>
          <w:sz w:val="24"/>
          <w:szCs w:val="24"/>
          <w:highlight w:val="none"/>
          <w:u w:val="none"/>
          <w:lang w:val="en-US" w:eastAsia="zh-CN"/>
        </w:rPr>
        <w:t>19373万元、下降2.8%。</w:t>
      </w:r>
      <w:r>
        <w:rPr>
          <w:rFonts w:hint="eastAsia" w:ascii="仿宋_GB2312" w:hAnsi="仿宋_GB2312" w:eastAsia="仿宋_GB2312" w:cs="仿宋_GB2312"/>
          <w:b/>
          <w:bCs/>
          <w:spacing w:val="0"/>
          <w:kern w:val="21"/>
          <w:sz w:val="24"/>
          <w:szCs w:val="24"/>
          <w:highlight w:val="none"/>
          <w:u w:val="none"/>
          <w:lang w:val="en-US" w:eastAsia="zh-CN"/>
        </w:rPr>
        <w:t>节能环保支出</w:t>
      </w:r>
      <w:r>
        <w:rPr>
          <w:rFonts w:hint="eastAsia" w:ascii="仿宋_GB2312" w:hAnsi="仿宋_GB2312" w:eastAsia="仿宋_GB2312" w:cs="仿宋_GB2312"/>
          <w:b w:val="0"/>
          <w:bCs w:val="0"/>
          <w:spacing w:val="0"/>
          <w:kern w:val="21"/>
          <w:sz w:val="24"/>
          <w:szCs w:val="24"/>
          <w:highlight w:val="none"/>
          <w:u w:val="none"/>
          <w:lang w:val="en-US" w:eastAsia="zh-CN"/>
        </w:rPr>
        <w:t>21703</w:t>
      </w:r>
      <w:r>
        <w:rPr>
          <w:rFonts w:hint="eastAsia" w:ascii="仿宋_GB2312" w:hAnsi="仿宋_GB2312" w:eastAsia="仿宋_GB2312" w:cs="仿宋_GB2312"/>
          <w:spacing w:val="0"/>
          <w:kern w:val="21"/>
          <w:sz w:val="24"/>
          <w:szCs w:val="24"/>
          <w:highlight w:val="none"/>
          <w:u w:val="none"/>
          <w:lang w:val="en-US" w:eastAsia="zh-CN"/>
        </w:rPr>
        <w:t>万元、增长11.8%，主要是拨付了企业退出自然保护区的补偿款。</w:t>
      </w:r>
      <w:r>
        <w:rPr>
          <w:rFonts w:hint="eastAsia" w:ascii="仿宋_GB2312" w:hAnsi="仿宋_GB2312" w:eastAsia="仿宋_GB2312" w:cs="仿宋_GB2312"/>
          <w:b/>
          <w:bCs/>
          <w:spacing w:val="0"/>
          <w:kern w:val="21"/>
          <w:sz w:val="24"/>
          <w:szCs w:val="24"/>
          <w:highlight w:val="none"/>
          <w:u w:val="none"/>
          <w:lang w:val="en-US" w:eastAsia="zh-CN"/>
        </w:rPr>
        <w:t>城乡社区支出</w:t>
      </w:r>
      <w:r>
        <w:rPr>
          <w:rFonts w:hint="eastAsia" w:ascii="仿宋_GB2312" w:hAnsi="仿宋_GB2312" w:eastAsia="仿宋_GB2312" w:cs="仿宋_GB2312"/>
          <w:spacing w:val="0"/>
          <w:kern w:val="21"/>
          <w:sz w:val="24"/>
          <w:szCs w:val="24"/>
          <w:highlight w:val="none"/>
          <w:u w:val="none"/>
          <w:lang w:val="en-US" w:eastAsia="zh-CN"/>
        </w:rPr>
        <w:t>61813万元、增长32.3</w:t>
      </w:r>
      <w:r>
        <w:rPr>
          <w:rFonts w:hint="eastAsia" w:ascii="仿宋_GB2312" w:hAnsi="仿宋_GB2312" w:eastAsia="仿宋_GB2312" w:cs="仿宋_GB2312"/>
          <w:color w:val="auto"/>
          <w:spacing w:val="0"/>
          <w:kern w:val="21"/>
          <w:sz w:val="24"/>
          <w:szCs w:val="24"/>
          <w:highlight w:val="none"/>
          <w:u w:val="none"/>
          <w:lang w:val="en-US" w:eastAsia="zh-CN"/>
        </w:rPr>
        <w:t>%，主要是拨付了乌兰镇集中供热管网改造项目、乌兰镇创城改造维修等项目资金。</w:t>
      </w:r>
      <w:r>
        <w:rPr>
          <w:rFonts w:hint="eastAsia" w:ascii="仿宋_GB2312" w:hAnsi="仿宋_GB2312" w:eastAsia="仿宋_GB2312" w:cs="仿宋_GB2312"/>
          <w:b/>
          <w:bCs/>
          <w:color w:val="auto"/>
          <w:spacing w:val="0"/>
          <w:kern w:val="21"/>
          <w:sz w:val="24"/>
          <w:szCs w:val="24"/>
          <w:highlight w:val="none"/>
          <w:u w:val="none"/>
          <w:lang w:val="en-US" w:eastAsia="zh-CN"/>
        </w:rPr>
        <w:t>农林水</w:t>
      </w:r>
      <w:r>
        <w:rPr>
          <w:rFonts w:hint="eastAsia" w:ascii="仿宋_GB2312" w:hAnsi="仿宋_GB2312" w:eastAsia="仿宋_GB2312" w:cs="仿宋_GB2312"/>
          <w:b/>
          <w:bCs/>
          <w:spacing w:val="-2"/>
          <w:kern w:val="21"/>
          <w:sz w:val="24"/>
          <w:szCs w:val="24"/>
          <w:highlight w:val="none"/>
          <w:u w:val="none"/>
          <w:lang w:val="en-US" w:eastAsia="zh-CN"/>
        </w:rPr>
        <w:t>支出</w:t>
      </w:r>
      <w:r>
        <w:rPr>
          <w:rFonts w:hint="eastAsia" w:ascii="仿宋_GB2312" w:hAnsi="仿宋_GB2312" w:eastAsia="仿宋_GB2312" w:cs="仿宋_GB2312"/>
          <w:b w:val="0"/>
          <w:bCs w:val="0"/>
          <w:spacing w:val="-2"/>
          <w:kern w:val="21"/>
          <w:sz w:val="24"/>
          <w:szCs w:val="24"/>
          <w:highlight w:val="none"/>
          <w:u w:val="none"/>
          <w:lang w:val="en-US" w:eastAsia="zh-CN"/>
        </w:rPr>
        <w:t>47993</w:t>
      </w:r>
      <w:r>
        <w:rPr>
          <w:rFonts w:hint="eastAsia" w:ascii="仿宋_GB2312" w:hAnsi="仿宋_GB2312" w:eastAsia="仿宋_GB2312" w:cs="仿宋_GB2312"/>
          <w:spacing w:val="-2"/>
          <w:kern w:val="21"/>
          <w:sz w:val="24"/>
          <w:szCs w:val="24"/>
          <w:highlight w:val="none"/>
          <w:u w:val="none"/>
          <w:lang w:val="en-US" w:eastAsia="zh-CN"/>
        </w:rPr>
        <w:t>万元、下降28.8%，主要是上年同期拨付了草原生态奖补资金。</w:t>
      </w:r>
      <w:r>
        <w:rPr>
          <w:rFonts w:hint="eastAsia" w:ascii="仿宋_GB2312" w:hAnsi="仿宋_GB2312" w:eastAsia="仿宋_GB2312" w:cs="仿宋_GB2312"/>
          <w:b/>
          <w:bCs/>
          <w:spacing w:val="-2"/>
          <w:kern w:val="21"/>
          <w:sz w:val="24"/>
          <w:szCs w:val="24"/>
          <w:highlight w:val="none"/>
          <w:u w:val="none"/>
          <w:lang w:val="en-US" w:eastAsia="zh-CN"/>
        </w:rPr>
        <w:t>交通运输支出</w:t>
      </w:r>
      <w:r>
        <w:rPr>
          <w:rFonts w:hint="eastAsia" w:ascii="仿宋_GB2312" w:hAnsi="仿宋_GB2312" w:eastAsia="仿宋_GB2312" w:cs="仿宋_GB2312"/>
          <w:spacing w:val="-2"/>
          <w:kern w:val="21"/>
          <w:sz w:val="24"/>
          <w:szCs w:val="24"/>
          <w:highlight w:val="none"/>
          <w:u w:val="none"/>
          <w:lang w:val="en-US" w:eastAsia="zh-CN"/>
        </w:rPr>
        <w:t>12395万元、增长54.8%，主要是拨付了鄂托克旗通用机场公路等资金。</w:t>
      </w:r>
      <w:r>
        <w:rPr>
          <w:rFonts w:hint="eastAsia" w:ascii="仿宋_GB2312" w:hAnsi="仿宋_GB2312" w:eastAsia="仿宋_GB2312" w:cs="仿宋_GB2312"/>
          <w:b/>
          <w:bCs/>
          <w:spacing w:val="-2"/>
          <w:kern w:val="21"/>
          <w:sz w:val="24"/>
          <w:szCs w:val="24"/>
          <w:highlight w:val="none"/>
          <w:u w:val="none"/>
          <w:lang w:val="en-US" w:eastAsia="zh-CN"/>
        </w:rPr>
        <w:t>资源勘探信息等支出</w:t>
      </w:r>
      <w:r>
        <w:rPr>
          <w:rFonts w:hint="eastAsia" w:ascii="仿宋_GB2312" w:hAnsi="仿宋_GB2312" w:eastAsia="仿宋_GB2312" w:cs="仿宋_GB2312"/>
          <w:b w:val="0"/>
          <w:bCs w:val="0"/>
          <w:spacing w:val="-2"/>
          <w:kern w:val="21"/>
          <w:sz w:val="24"/>
          <w:szCs w:val="24"/>
          <w:highlight w:val="none"/>
          <w:u w:val="none"/>
          <w:lang w:val="en-US" w:eastAsia="zh-CN"/>
        </w:rPr>
        <w:t>6048万元、下降78.1%，</w:t>
      </w:r>
      <w:r>
        <w:rPr>
          <w:rFonts w:hint="eastAsia" w:ascii="仿宋_GB2312" w:hAnsi="仿宋_GB2312" w:eastAsia="仿宋_GB2312" w:cs="仿宋_GB2312"/>
          <w:spacing w:val="-2"/>
          <w:kern w:val="21"/>
          <w:sz w:val="24"/>
          <w:szCs w:val="24"/>
          <w:highlight w:val="none"/>
          <w:u w:val="none"/>
          <w:lang w:val="en-US" w:eastAsia="zh-CN"/>
        </w:rPr>
        <w:t>主要是上年同期拨付了</w:t>
      </w:r>
      <w:r>
        <w:rPr>
          <w:rFonts w:hint="eastAsia" w:ascii="仿宋_GB2312" w:hAnsi="仿宋_GB2312" w:eastAsia="仿宋_GB2312" w:cs="仿宋_GB2312"/>
          <w:b w:val="0"/>
          <w:bCs w:val="0"/>
          <w:spacing w:val="-2"/>
          <w:kern w:val="21"/>
          <w:sz w:val="24"/>
          <w:szCs w:val="24"/>
          <w:highlight w:val="none"/>
          <w:u w:val="none"/>
          <w:lang w:val="en-US" w:eastAsia="zh-CN"/>
        </w:rPr>
        <w:t>其他支持中小企业发展和管理支出。</w:t>
      </w:r>
      <w:r>
        <w:rPr>
          <w:rFonts w:hint="eastAsia" w:ascii="仿宋_GB2312" w:hAnsi="仿宋_GB2312" w:eastAsia="仿宋_GB2312" w:cs="仿宋_GB2312"/>
          <w:b/>
          <w:bCs/>
          <w:spacing w:val="-2"/>
          <w:kern w:val="21"/>
          <w:sz w:val="24"/>
          <w:szCs w:val="24"/>
          <w:highlight w:val="none"/>
          <w:u w:val="none"/>
          <w:lang w:val="en-US" w:eastAsia="zh-CN"/>
        </w:rPr>
        <w:t>商业服务业等支出</w:t>
      </w:r>
      <w:r>
        <w:rPr>
          <w:rFonts w:hint="eastAsia" w:ascii="仿宋_GB2312" w:hAnsi="仿宋_GB2312" w:eastAsia="仿宋_GB2312" w:cs="仿宋_GB2312"/>
          <w:b w:val="0"/>
          <w:bCs w:val="0"/>
          <w:spacing w:val="-2"/>
          <w:kern w:val="21"/>
          <w:sz w:val="24"/>
          <w:szCs w:val="24"/>
          <w:highlight w:val="none"/>
          <w:u w:val="none"/>
          <w:lang w:val="en-US" w:eastAsia="zh-CN"/>
        </w:rPr>
        <w:t>2050万元、增长64%，主要是拨付了对外贸易发展专项资金。</w:t>
      </w:r>
      <w:r>
        <w:rPr>
          <w:rFonts w:hint="eastAsia" w:ascii="仿宋_GB2312" w:hAnsi="仿宋_GB2312" w:eastAsia="仿宋_GB2312" w:cs="仿宋_GB2312"/>
          <w:b/>
          <w:bCs/>
          <w:spacing w:val="-2"/>
          <w:kern w:val="21"/>
          <w:sz w:val="24"/>
          <w:szCs w:val="24"/>
          <w:highlight w:val="none"/>
          <w:u w:val="none"/>
          <w:lang w:val="en-US" w:eastAsia="zh-CN"/>
        </w:rPr>
        <w:t>金融支出</w:t>
      </w:r>
      <w:r>
        <w:rPr>
          <w:rFonts w:hint="eastAsia" w:ascii="仿宋_GB2312" w:hAnsi="仿宋_GB2312" w:eastAsia="仿宋_GB2312" w:cs="仿宋_GB2312"/>
          <w:b w:val="0"/>
          <w:bCs w:val="0"/>
          <w:spacing w:val="-2"/>
          <w:kern w:val="21"/>
          <w:sz w:val="24"/>
          <w:szCs w:val="24"/>
          <w:highlight w:val="none"/>
          <w:u w:val="none"/>
          <w:lang w:val="en-US" w:eastAsia="zh-CN"/>
        </w:rPr>
        <w:t>182万元。</w:t>
      </w:r>
      <w:r>
        <w:rPr>
          <w:rFonts w:hint="eastAsia" w:ascii="仿宋_GB2312" w:hAnsi="仿宋_GB2312" w:eastAsia="仿宋_GB2312" w:cs="仿宋_GB2312"/>
          <w:b/>
          <w:bCs/>
          <w:spacing w:val="-2"/>
          <w:kern w:val="21"/>
          <w:sz w:val="24"/>
          <w:szCs w:val="24"/>
          <w:highlight w:val="none"/>
          <w:u w:val="none"/>
          <w:lang w:val="en-US" w:eastAsia="zh-CN"/>
        </w:rPr>
        <w:t>自然资源海洋气象等支出</w:t>
      </w:r>
      <w:r>
        <w:rPr>
          <w:rFonts w:hint="eastAsia" w:ascii="仿宋_GB2312" w:hAnsi="仿宋_GB2312" w:eastAsia="仿宋_GB2312" w:cs="仿宋_GB2312"/>
          <w:b w:val="0"/>
          <w:bCs w:val="0"/>
          <w:spacing w:val="-2"/>
          <w:kern w:val="21"/>
          <w:sz w:val="24"/>
          <w:szCs w:val="24"/>
          <w:highlight w:val="none"/>
          <w:u w:val="none"/>
          <w:lang w:val="en-US" w:eastAsia="zh-CN"/>
        </w:rPr>
        <w:t>4756万元、下降17.3%，主要是上年同期拨付了赛乌素路南雨洪调蓄及生态治理工程资金。</w:t>
      </w:r>
      <w:r>
        <w:rPr>
          <w:rFonts w:hint="eastAsia" w:ascii="仿宋_GB2312" w:hAnsi="仿宋_GB2312" w:eastAsia="仿宋_GB2312" w:cs="仿宋_GB2312"/>
          <w:b/>
          <w:bCs/>
          <w:spacing w:val="-2"/>
          <w:kern w:val="21"/>
          <w:sz w:val="24"/>
          <w:szCs w:val="24"/>
          <w:highlight w:val="none"/>
          <w:u w:val="none"/>
          <w:lang w:val="en-US" w:eastAsia="zh-CN"/>
        </w:rPr>
        <w:t>住房保障支出</w:t>
      </w:r>
      <w:r>
        <w:rPr>
          <w:rFonts w:hint="eastAsia" w:ascii="仿宋_GB2312" w:hAnsi="仿宋_GB2312" w:eastAsia="仿宋_GB2312" w:cs="仿宋_GB2312"/>
          <w:b w:val="0"/>
          <w:bCs w:val="0"/>
          <w:spacing w:val="-2"/>
          <w:kern w:val="21"/>
          <w:sz w:val="24"/>
          <w:szCs w:val="24"/>
          <w:highlight w:val="none"/>
          <w:u w:val="none"/>
          <w:lang w:val="en-US" w:eastAsia="zh-CN"/>
        </w:rPr>
        <w:t>6267万元、下降53.8%，主要是上年同期拨付了老旧住宅小区改造项目资金。</w:t>
      </w:r>
      <w:r>
        <w:rPr>
          <w:rFonts w:hint="eastAsia" w:ascii="仿宋_GB2312" w:hAnsi="仿宋_GB2312" w:eastAsia="仿宋_GB2312" w:cs="仿宋_GB2312"/>
          <w:b/>
          <w:bCs/>
          <w:spacing w:val="-2"/>
          <w:kern w:val="21"/>
          <w:sz w:val="24"/>
          <w:szCs w:val="24"/>
          <w:highlight w:val="none"/>
          <w:u w:val="none"/>
          <w:lang w:val="en-US" w:eastAsia="zh-CN"/>
        </w:rPr>
        <w:t>粮油物资储备支出</w:t>
      </w:r>
      <w:r>
        <w:rPr>
          <w:rFonts w:hint="eastAsia" w:ascii="仿宋_GB2312" w:hAnsi="仿宋_GB2312" w:eastAsia="仿宋_GB2312" w:cs="仿宋_GB2312"/>
          <w:b w:val="0"/>
          <w:bCs w:val="0"/>
          <w:spacing w:val="-2"/>
          <w:kern w:val="21"/>
          <w:sz w:val="24"/>
          <w:szCs w:val="24"/>
          <w:highlight w:val="none"/>
          <w:u w:val="none"/>
          <w:lang w:val="en-US" w:eastAsia="zh-CN"/>
        </w:rPr>
        <w:t>701万元、增长181.5%。</w:t>
      </w:r>
      <w:r>
        <w:rPr>
          <w:rFonts w:hint="eastAsia" w:ascii="仿宋_GB2312" w:hAnsi="仿宋_GB2312" w:eastAsia="仿宋_GB2312" w:cs="仿宋_GB2312"/>
          <w:b/>
          <w:bCs/>
          <w:spacing w:val="-2"/>
          <w:kern w:val="21"/>
          <w:sz w:val="24"/>
          <w:szCs w:val="24"/>
          <w:highlight w:val="none"/>
          <w:u w:val="none"/>
          <w:lang w:val="en-US" w:eastAsia="zh-CN"/>
        </w:rPr>
        <w:t>灾害防治及应急管理支出</w:t>
      </w:r>
      <w:r>
        <w:rPr>
          <w:rFonts w:hint="eastAsia" w:ascii="仿宋_GB2312" w:hAnsi="仿宋_GB2312" w:eastAsia="仿宋_GB2312" w:cs="仿宋_GB2312"/>
          <w:b w:val="0"/>
          <w:bCs w:val="0"/>
          <w:spacing w:val="-2"/>
          <w:kern w:val="21"/>
          <w:sz w:val="24"/>
          <w:szCs w:val="24"/>
          <w:highlight w:val="none"/>
          <w:u w:val="none"/>
          <w:lang w:val="en-US" w:eastAsia="zh-CN"/>
        </w:rPr>
        <w:t>3573万元、下降1.8%</w:t>
      </w:r>
      <w:r>
        <w:rPr>
          <w:rFonts w:hint="eastAsia" w:ascii="仿宋_GB2312" w:hAnsi="仿宋_GB2312" w:eastAsia="仿宋_GB2312" w:cs="仿宋_GB2312"/>
          <w:spacing w:val="-2"/>
          <w:kern w:val="21"/>
          <w:sz w:val="24"/>
          <w:szCs w:val="24"/>
          <w:highlight w:val="none"/>
          <w:u w:val="none"/>
          <w:lang w:val="en-US" w:eastAsia="zh-CN"/>
        </w:rPr>
        <w:t>。</w:t>
      </w:r>
      <w:r>
        <w:rPr>
          <w:rFonts w:hint="eastAsia" w:ascii="仿宋_GB2312" w:hAnsi="仿宋_GB2312" w:eastAsia="仿宋_GB2312" w:cs="仿宋_GB2312"/>
          <w:b/>
          <w:bCs/>
          <w:spacing w:val="-2"/>
          <w:kern w:val="21"/>
          <w:sz w:val="24"/>
          <w:szCs w:val="24"/>
          <w:highlight w:val="none"/>
          <w:u w:val="none"/>
          <w:lang w:val="en-US" w:eastAsia="zh-CN"/>
        </w:rPr>
        <w:t>债务付息支出</w:t>
      </w:r>
      <w:r>
        <w:rPr>
          <w:rFonts w:hint="eastAsia" w:ascii="仿宋_GB2312" w:hAnsi="仿宋_GB2312" w:eastAsia="仿宋_GB2312" w:cs="仿宋_GB2312"/>
          <w:spacing w:val="-2"/>
          <w:kern w:val="21"/>
          <w:sz w:val="24"/>
          <w:szCs w:val="24"/>
          <w:highlight w:val="none"/>
          <w:u w:val="none"/>
          <w:lang w:val="en-US" w:eastAsia="zh-CN"/>
        </w:rPr>
        <w:t>7479万元、下降28.4%。</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default" w:ascii="Times New Roman" w:hAnsi="Times New Roman" w:eastAsia="楷体_GB2312" w:cs="Times New Roman"/>
          <w:spacing w:val="0"/>
          <w:kern w:val="21"/>
          <w:sz w:val="24"/>
          <w:szCs w:val="24"/>
          <w:u w:val="none"/>
        </w:rPr>
        <w:t>（</w:t>
      </w:r>
      <w:r>
        <w:rPr>
          <w:rFonts w:hint="eastAsia" w:ascii="Times New Roman" w:hAnsi="Times New Roman" w:eastAsia="楷体_GB2312" w:cs="Times New Roman"/>
          <w:spacing w:val="0"/>
          <w:kern w:val="21"/>
          <w:sz w:val="24"/>
          <w:szCs w:val="24"/>
          <w:u w:val="none"/>
          <w:lang w:val="en-US" w:eastAsia="zh-CN"/>
        </w:rPr>
        <w:t>一般公共预算支出</w:t>
      </w:r>
      <w:r>
        <w:rPr>
          <w:rFonts w:hint="default" w:ascii="Times New Roman" w:hAnsi="Times New Roman" w:eastAsia="楷体_GB2312" w:cs="Times New Roman"/>
          <w:spacing w:val="0"/>
          <w:kern w:val="21"/>
          <w:sz w:val="24"/>
          <w:szCs w:val="24"/>
          <w:u w:val="none"/>
        </w:rPr>
        <w:t>分项目情况见下图）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right="0"/>
        <w:jc w:val="center"/>
        <w:textAlignment w:val="auto"/>
        <w:outlineLvl w:val="9"/>
        <w:rPr>
          <w:rFonts w:hint="default" w:ascii="Times New Roman" w:hAnsi="Times New Roman" w:eastAsia="楷体_GB2312" w:cs="Times New Roman"/>
          <w:spacing w:val="0"/>
          <w:kern w:val="21"/>
          <w:sz w:val="24"/>
          <w:szCs w:val="24"/>
          <w:u w:val="none"/>
        </w:rPr>
      </w:pPr>
      <w:r>
        <w:rPr>
          <w:rFonts w:hint="eastAsia"/>
          <w:spacing w:val="0"/>
          <w:kern w:val="21"/>
          <w:lang w:eastAsia="zh-CN"/>
        </w:rPr>
        <w:drawing>
          <wp:anchor distT="0" distB="0" distL="114300" distR="114300" simplePos="0" relativeHeight="251673600" behindDoc="1" locked="0" layoutInCell="1" allowOverlap="1">
            <wp:simplePos x="0" y="0"/>
            <wp:positionH relativeFrom="column">
              <wp:posOffset>117475</wp:posOffset>
            </wp:positionH>
            <wp:positionV relativeFrom="paragraph">
              <wp:posOffset>82550</wp:posOffset>
            </wp:positionV>
            <wp:extent cx="3895090" cy="2533015"/>
            <wp:effectExtent l="4445" t="4445" r="5715" b="15240"/>
            <wp:wrapNone/>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textAlignment w:val="auto"/>
        <w:outlineLvl w:val="9"/>
        <w:rPr>
          <w:rFonts w:hint="default"/>
          <w:spacing w:val="0"/>
          <w:kern w:val="21"/>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firstLine="480" w:firstLineChars="200"/>
        <w:jc w:val="both"/>
        <w:textAlignment w:val="auto"/>
        <w:outlineLvl w:val="9"/>
        <w:rPr>
          <w:rFonts w:hint="default" w:ascii="Times New Roman" w:hAnsi="Times New Roman" w:eastAsia="楷体_GB2312" w:cs="Times New Roman"/>
          <w:spacing w:val="0"/>
          <w:kern w:val="21"/>
          <w:sz w:val="24"/>
          <w:szCs w:val="24"/>
          <w:u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Times New Roman" w:hAnsi="Times New Roman" w:eastAsia="黑体" w:cs="Times New Roman"/>
          <w:spacing w:val="0"/>
          <w:kern w:val="21"/>
          <w:sz w:val="24"/>
          <w:szCs w:val="24"/>
          <w:highlight w:val="none"/>
          <w:u w:val="none"/>
          <w:lang w:val="en-US" w:eastAsia="zh-CN"/>
        </w:rPr>
      </w:pPr>
      <w:r>
        <w:rPr>
          <w:rFonts w:hint="eastAsia" w:ascii="Times New Roman" w:hAnsi="Times New Roman" w:eastAsia="黑体" w:cs="Times New Roman"/>
          <w:spacing w:val="0"/>
          <w:kern w:val="21"/>
          <w:sz w:val="24"/>
          <w:szCs w:val="24"/>
          <w:highlight w:val="none"/>
          <w:u w:val="none"/>
          <w:lang w:val="en-US" w:eastAsia="zh-CN"/>
        </w:rPr>
        <w:t>四、政府性基金收支完成情况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eastAsia="zh-CN"/>
        </w:rPr>
      </w:pPr>
      <w:r>
        <w:rPr>
          <w:rFonts w:hint="eastAsia" w:ascii="仿宋_GB2312" w:hAnsi="仿宋_GB2312" w:eastAsia="仿宋_GB2312" w:cs="仿宋_GB2312"/>
          <w:bCs/>
          <w:spacing w:val="0"/>
          <w:kern w:val="21"/>
          <w:sz w:val="24"/>
          <w:szCs w:val="24"/>
          <w:highlight w:val="none"/>
          <w:u w:val="none"/>
          <w:lang w:val="en-US" w:eastAsia="zh-CN"/>
        </w:rPr>
        <w:t>截至2023年7月底，</w:t>
      </w:r>
      <w:r>
        <w:rPr>
          <w:rFonts w:hint="eastAsia" w:ascii="仿宋_GB2312" w:hAnsi="仿宋_GB2312" w:eastAsia="仿宋_GB2312" w:cs="仿宋_GB2312"/>
          <w:spacing w:val="0"/>
          <w:kern w:val="21"/>
          <w:sz w:val="24"/>
          <w:szCs w:val="24"/>
          <w:highlight w:val="none"/>
          <w:u w:val="none"/>
        </w:rPr>
        <w:t>全</w:t>
      </w:r>
      <w:r>
        <w:rPr>
          <w:rFonts w:hint="eastAsia" w:ascii="仿宋_GB2312" w:hAnsi="仿宋_GB2312" w:eastAsia="仿宋_GB2312" w:cs="仿宋_GB2312"/>
          <w:spacing w:val="0"/>
          <w:kern w:val="21"/>
          <w:sz w:val="24"/>
          <w:szCs w:val="24"/>
          <w:highlight w:val="none"/>
          <w:u w:val="none"/>
          <w:lang w:val="en-US" w:eastAsia="zh-CN"/>
        </w:rPr>
        <w:t>旗</w:t>
      </w:r>
      <w:r>
        <w:rPr>
          <w:rFonts w:hint="eastAsia" w:ascii="仿宋_GB2312" w:hAnsi="仿宋_GB2312" w:eastAsia="仿宋_GB2312" w:cs="仿宋_GB2312"/>
          <w:spacing w:val="0"/>
          <w:kern w:val="21"/>
          <w:sz w:val="24"/>
          <w:szCs w:val="24"/>
          <w:highlight w:val="none"/>
          <w:u w:val="none"/>
        </w:rPr>
        <w:t>政府性基金预算收入累计完成</w:t>
      </w:r>
      <w:r>
        <w:rPr>
          <w:rFonts w:hint="eastAsia" w:ascii="仿宋_GB2312" w:hAnsi="仿宋_GB2312" w:eastAsia="仿宋_GB2312" w:cs="仿宋_GB2312"/>
          <w:spacing w:val="0"/>
          <w:kern w:val="21"/>
          <w:sz w:val="24"/>
          <w:szCs w:val="24"/>
          <w:highlight w:val="none"/>
          <w:u w:val="none"/>
          <w:lang w:val="en-US" w:eastAsia="zh-CN"/>
        </w:rPr>
        <w:t>7635万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val="en-US" w:eastAsia="zh-CN"/>
        </w:rPr>
        <w:t>下降60.3</w:t>
      </w:r>
      <w:r>
        <w:rPr>
          <w:rFonts w:hint="eastAsia" w:ascii="仿宋_GB2312" w:hAnsi="仿宋_GB2312" w:eastAsia="仿宋_GB2312" w:cs="仿宋_GB2312"/>
          <w:spacing w:val="0"/>
          <w:kern w:val="21"/>
          <w:sz w:val="24"/>
          <w:szCs w:val="24"/>
          <w:highlight w:val="none"/>
          <w:u w:val="none"/>
        </w:rPr>
        <w:t>%，其中国有土地使用权出让收入</w:t>
      </w:r>
      <w:r>
        <w:rPr>
          <w:rFonts w:hint="eastAsia" w:ascii="仿宋_GB2312" w:hAnsi="仿宋_GB2312" w:eastAsia="仿宋_GB2312" w:cs="仿宋_GB2312"/>
          <w:spacing w:val="0"/>
          <w:kern w:val="21"/>
          <w:sz w:val="24"/>
          <w:szCs w:val="24"/>
          <w:highlight w:val="none"/>
          <w:u w:val="none"/>
          <w:lang w:val="en-US" w:eastAsia="zh-CN"/>
        </w:rPr>
        <w:t>7009万</w:t>
      </w:r>
      <w:r>
        <w:rPr>
          <w:rFonts w:hint="eastAsia" w:ascii="仿宋_GB2312" w:hAnsi="仿宋_GB2312" w:eastAsia="仿宋_GB2312" w:cs="仿宋_GB2312"/>
          <w:spacing w:val="0"/>
          <w:kern w:val="21"/>
          <w:sz w:val="24"/>
          <w:szCs w:val="24"/>
          <w:highlight w:val="none"/>
          <w:u w:val="none"/>
        </w:rPr>
        <w:t>元</w:t>
      </w:r>
      <w:r>
        <w:rPr>
          <w:rFonts w:hint="eastAsia" w:ascii="仿宋_GB2312" w:hAnsi="仿宋_GB2312" w:eastAsia="仿宋_GB2312" w:cs="仿宋_GB2312"/>
          <w:spacing w:val="0"/>
          <w:kern w:val="21"/>
          <w:sz w:val="24"/>
          <w:szCs w:val="24"/>
          <w:highlight w:val="none"/>
          <w:u w:val="none"/>
          <w:lang w:eastAsia="zh-CN"/>
        </w:rPr>
        <w:t>、</w:t>
      </w:r>
      <w:r>
        <w:rPr>
          <w:rFonts w:hint="eastAsia" w:ascii="仿宋_GB2312" w:hAnsi="仿宋_GB2312" w:eastAsia="仿宋_GB2312" w:cs="仿宋_GB2312"/>
          <w:spacing w:val="0"/>
          <w:kern w:val="21"/>
          <w:sz w:val="24"/>
          <w:szCs w:val="24"/>
          <w:highlight w:val="none"/>
          <w:u w:val="none"/>
          <w:lang w:val="en-US" w:eastAsia="zh-CN"/>
        </w:rPr>
        <w:t>下降62%</w:t>
      </w:r>
      <w:r>
        <w:rPr>
          <w:rFonts w:hint="eastAsia" w:ascii="仿宋_GB2312" w:hAnsi="仿宋_GB2312" w:eastAsia="仿宋_GB2312" w:cs="仿宋_GB2312"/>
          <w:spacing w:val="0"/>
          <w:kern w:val="21"/>
          <w:sz w:val="24"/>
          <w:szCs w:val="24"/>
          <w:highlight w:val="none"/>
          <w:u w:val="none"/>
        </w:rPr>
        <w:t>；政府性基金预算支出</w:t>
      </w:r>
      <w:r>
        <w:rPr>
          <w:rFonts w:hint="eastAsia" w:ascii="仿宋_GB2312" w:hAnsi="仿宋_GB2312" w:eastAsia="仿宋_GB2312" w:cs="仿宋_GB2312"/>
          <w:spacing w:val="0"/>
          <w:kern w:val="21"/>
          <w:sz w:val="24"/>
          <w:szCs w:val="24"/>
          <w:highlight w:val="none"/>
          <w:u w:val="none"/>
          <w:lang w:val="en-US" w:eastAsia="zh-CN"/>
        </w:rPr>
        <w:t>累计完成7608万元、下降40.4%</w:t>
      </w:r>
      <w:r>
        <w:rPr>
          <w:rFonts w:hint="eastAsia" w:ascii="仿宋_GB2312" w:hAnsi="仿宋_GB2312" w:eastAsia="仿宋_GB2312" w:cs="仿宋_GB2312"/>
          <w:spacing w:val="0"/>
          <w:kern w:val="21"/>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80" w:firstLineChars="2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附表：1.2023年7月鄂托克旗财政收入分项目执行情况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0"/>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2.2023年7月鄂托克旗财政支出分项目执行情况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spacing w:val="-3"/>
          <w:kern w:val="21"/>
          <w:sz w:val="24"/>
          <w:szCs w:val="24"/>
          <w:highlight w:val="none"/>
          <w:u w:val="none"/>
          <w:lang w:val="en-US" w:eastAsia="zh-CN"/>
        </w:rPr>
      </w:pPr>
      <w:r>
        <w:rPr>
          <w:rFonts w:hint="eastAsia" w:ascii="仿宋_GB2312" w:hAnsi="仿宋_GB2312" w:eastAsia="仿宋_GB2312" w:cs="仿宋_GB2312"/>
          <w:spacing w:val="0"/>
          <w:kern w:val="21"/>
          <w:sz w:val="24"/>
          <w:szCs w:val="24"/>
          <w:highlight w:val="none"/>
          <w:u w:val="none"/>
          <w:lang w:val="en-US" w:eastAsia="zh-CN"/>
        </w:rPr>
        <w:t>3.</w:t>
      </w:r>
      <w:r>
        <w:rPr>
          <w:rFonts w:hint="eastAsia" w:ascii="仿宋_GB2312" w:hAnsi="仿宋_GB2312" w:eastAsia="仿宋_GB2312" w:cs="仿宋_GB2312"/>
          <w:spacing w:val="-3"/>
          <w:kern w:val="21"/>
          <w:sz w:val="24"/>
          <w:szCs w:val="24"/>
          <w:highlight w:val="none"/>
          <w:u w:val="none"/>
          <w:lang w:val="en-US" w:eastAsia="zh-CN"/>
        </w:rPr>
        <w:t>2023年7月鄂托克旗财政收入重点税源纳税情况</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120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r>
        <w:rPr>
          <w:rFonts w:hint="eastAsia" w:ascii="仿宋_GB2312" w:hAnsi="仿宋_GB2312" w:eastAsia="仿宋_GB2312" w:cs="仿宋_GB2312"/>
          <w:color w:val="auto"/>
          <w:spacing w:val="0"/>
          <w:kern w:val="21"/>
          <w:sz w:val="24"/>
          <w:szCs w:val="24"/>
          <w:highlight w:val="none"/>
          <w:u w:val="none"/>
          <w:lang w:val="en-US" w:eastAsia="zh-CN"/>
        </w:rPr>
        <w:t>4.</w:t>
      </w:r>
      <w:r>
        <w:rPr>
          <w:rFonts w:hint="eastAsia" w:ascii="仿宋_GB2312" w:hAnsi="仿宋_GB2312" w:eastAsia="仿宋_GB2312" w:cs="仿宋_GB2312"/>
          <w:color w:val="auto"/>
          <w:spacing w:val="-4"/>
          <w:kern w:val="21"/>
          <w:sz w:val="24"/>
          <w:szCs w:val="24"/>
          <w:highlight w:val="none"/>
          <w:u w:val="none"/>
          <w:lang w:val="en-US" w:eastAsia="zh-CN"/>
        </w:rPr>
        <w:t>2023年7月鄂托克旗经济开发区财政收支完成情况</w:t>
      </w: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ind w:firstLine="1160" w:firstLineChars="500"/>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pStyle w:val="2"/>
        <w:rPr>
          <w:rFonts w:hint="eastAsia" w:ascii="仿宋_GB2312" w:hAnsi="仿宋_GB2312" w:eastAsia="仿宋_GB2312" w:cs="仿宋_GB2312"/>
          <w:color w:val="auto"/>
          <w:spacing w:val="-4"/>
          <w:kern w:val="21"/>
          <w:sz w:val="24"/>
          <w:szCs w:val="24"/>
          <w:highlight w:val="none"/>
          <w:u w:val="none"/>
          <w:lang w:val="en-US" w:eastAsia="zh-CN"/>
        </w:rPr>
      </w:pPr>
    </w:p>
    <w:p>
      <w:pPr>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both"/>
        <w:textAlignment w:val="auto"/>
        <w:outlineLvl w:val="9"/>
        <w:rPr>
          <w:rFonts w:hint="eastAsia" w:ascii="仿宋_GB2312" w:hAnsi="仿宋_GB2312" w:eastAsia="仿宋_GB2312" w:cs="仿宋_GB2312"/>
          <w:color w:val="auto"/>
          <w:spacing w:val="-4"/>
          <w:kern w:val="21"/>
          <w:sz w:val="24"/>
          <w:szCs w:val="24"/>
          <w:highlight w:val="none"/>
          <w:u w:val="none"/>
          <w:lang w:val="en-US" w:eastAsia="zh-CN"/>
        </w:rPr>
      </w:pPr>
    </w:p>
    <w:tbl>
      <w:tblPr>
        <w:tblStyle w:val="11"/>
        <w:tblW w:w="7075"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091"/>
        <w:gridCol w:w="1061"/>
        <w:gridCol w:w="1084"/>
        <w:gridCol w:w="1001"/>
        <w:gridCol w:w="37"/>
        <w:gridCol w:w="1096"/>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51"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2023年7月鄂托克旗财政收入分项目执行情况(一)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黑体" w:hAnsi="黑体" w:eastAsia="黑体" w:cs="黑体"/>
                <w:b w:val="0"/>
                <w:bCs w:val="0"/>
                <w:color w:val="000000"/>
                <w:w w:val="100"/>
                <w:sz w:val="22"/>
                <w:szCs w:val="22"/>
                <w:lang w:val="en-US"/>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exac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地方财政总收入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2"/>
                <w:szCs w:val="22"/>
                <w:u w:val="none"/>
                <w:lang w:val="en-US" w:eastAsia="zh-CN" w:bidi="ar-SA"/>
              </w:rPr>
            </w:pPr>
            <w:r>
              <w:rPr>
                <w:rFonts w:hint="eastAsia" w:ascii="仿宋" w:hAnsi="仿宋" w:eastAsia="仿宋" w:cs="仿宋"/>
                <w:b w:val="0"/>
                <w:bCs/>
                <w:i w:val="0"/>
                <w:color w:val="000000"/>
                <w:kern w:val="0"/>
                <w:sz w:val="22"/>
                <w:szCs w:val="22"/>
                <w:u w:val="none"/>
                <w:lang w:val="en-US" w:eastAsia="zh-CN" w:bidi="ar"/>
              </w:rPr>
              <w:t>66003</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2"/>
                <w:szCs w:val="22"/>
                <w:u w:val="none"/>
                <w:lang w:val="en-US" w:eastAsia="zh-CN" w:bidi="ar-SA"/>
              </w:rPr>
            </w:pPr>
            <w:r>
              <w:rPr>
                <w:rFonts w:hint="eastAsia" w:ascii="仿宋" w:hAnsi="仿宋" w:eastAsia="仿宋" w:cs="仿宋"/>
                <w:b w:val="0"/>
                <w:bCs/>
                <w:i w:val="0"/>
                <w:color w:val="000000"/>
                <w:kern w:val="0"/>
                <w:sz w:val="22"/>
                <w:szCs w:val="22"/>
                <w:u w:val="none"/>
                <w:lang w:val="en-US" w:eastAsia="zh-CN" w:bidi="ar"/>
              </w:rPr>
              <w:t>832932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2"/>
                <w:sz w:val="22"/>
                <w:szCs w:val="22"/>
                <w:u w:val="none"/>
                <w:lang w:val="en-US" w:eastAsia="zh-CN" w:bidi="ar-SA"/>
              </w:rPr>
            </w:pPr>
            <w:r>
              <w:rPr>
                <w:rFonts w:hint="eastAsia" w:ascii="仿宋" w:hAnsi="仿宋" w:eastAsia="仿宋" w:cs="仿宋"/>
                <w:b w:val="0"/>
                <w:bCs/>
                <w:i w:val="0"/>
                <w:color w:val="000000"/>
                <w:kern w:val="0"/>
                <w:sz w:val="22"/>
                <w:szCs w:val="22"/>
                <w:u w:val="none"/>
                <w:lang w:val="en-US" w:eastAsia="zh-CN" w:bidi="ar"/>
              </w:rPr>
              <w:t>1388931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-555999</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-40.0%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80"/>
                <w:kern w:val="0"/>
                <w:sz w:val="22"/>
                <w:szCs w:val="22"/>
                <w:u w:val="none"/>
                <w:lang w:val="en-US" w:eastAsia="zh-CN" w:bidi="ar"/>
              </w:rPr>
              <w:t>一般公共预算收入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21338</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280316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365207</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-84891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-23.2%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（一）税收收入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19316</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257362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336617</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-79255</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仿宋"/>
                <w:b w:val="0"/>
                <w:bCs/>
                <w:i w:val="0"/>
                <w:color w:val="000000"/>
                <w:kern w:val="0"/>
                <w:sz w:val="22"/>
                <w:szCs w:val="22"/>
                <w:u w:val="none"/>
                <w:lang w:val="en-US" w:eastAsia="zh-CN" w:bidi="ar"/>
              </w:rPr>
              <w:t>-23.5%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4787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51746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100795</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-49049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-48.7%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企业所得税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1754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34693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88888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-54195</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-61.0%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个人所得税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340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7540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7672</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-132</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资源税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3610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40945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59966</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-19021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-31.7%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城市维护建设税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1017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11703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22104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-10401</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-47.1%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房产税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20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8930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11771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-2841</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-24.1%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印花税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1767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6347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6104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243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城镇土地使用税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76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14658</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18411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-3753</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土地增值税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117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1068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809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259</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32.0%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76"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车船税</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lang w:val="en-US"/>
              </w:rPr>
            </w:pPr>
            <w:r>
              <w:rPr>
                <w:rFonts w:hint="eastAsia" w:ascii="仿宋" w:hAnsi="仿宋" w:eastAsia="仿宋" w:cs="仿宋"/>
                <w:b w:val="0"/>
                <w:bCs w:val="0"/>
                <w:i w:val="0"/>
                <w:color w:val="000000"/>
                <w:kern w:val="0"/>
                <w:sz w:val="22"/>
                <w:szCs w:val="22"/>
                <w:u w:val="none"/>
                <w:lang w:val="en-US" w:eastAsia="zh-CN" w:bidi="ar"/>
              </w:rPr>
              <w:t xml:space="preserve">187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val="en-US" w:eastAsia="zh-CN"/>
              </w:rPr>
            </w:pPr>
            <w:r>
              <w:rPr>
                <w:rFonts w:hint="eastAsia" w:ascii="仿宋" w:hAnsi="仿宋" w:eastAsia="仿宋" w:cs="仿宋"/>
                <w:b w:val="0"/>
                <w:bCs w:val="0"/>
                <w:i w:val="0"/>
                <w:color w:val="000000"/>
                <w:kern w:val="0"/>
                <w:sz w:val="22"/>
                <w:szCs w:val="22"/>
                <w:u w:val="none"/>
                <w:lang w:val="en-US" w:eastAsia="zh-CN" w:bidi="ar"/>
              </w:rPr>
              <w:t>1302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1280</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22</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耕地占用税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 xml:space="preserve">4380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b w:val="0"/>
                <w:bCs w:val="0"/>
                <w:i w:val="0"/>
                <w:color w:val="000000"/>
                <w:kern w:val="0"/>
                <w:sz w:val="22"/>
                <w:szCs w:val="22"/>
                <w:u w:val="none"/>
                <w:lang w:val="en-US" w:eastAsia="zh-CN" w:bidi="ar"/>
              </w:rPr>
              <w:t>72986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13088</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59898</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457.7%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契税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i w:val="0"/>
                <w:color w:val="000000"/>
                <w:kern w:val="0"/>
                <w:sz w:val="22"/>
                <w:szCs w:val="22"/>
                <w:u w:val="none"/>
                <w:lang w:val="en-US" w:eastAsia="zh-CN" w:bidi="ar"/>
              </w:rPr>
              <w:t xml:space="preserve">161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vertAlign w:val="baseline"/>
                <w:lang w:val="en-US" w:eastAsia="zh-CN" w:bidi="ar-SA"/>
              </w:rPr>
            </w:pPr>
            <w:r>
              <w:rPr>
                <w:rFonts w:hint="eastAsia" w:ascii="仿宋" w:hAnsi="仿宋" w:eastAsia="仿宋" w:cs="仿宋"/>
                <w:b w:val="0"/>
                <w:bCs w:val="0"/>
                <w:i w:val="0"/>
                <w:color w:val="000000"/>
                <w:kern w:val="0"/>
                <w:sz w:val="22"/>
                <w:szCs w:val="22"/>
                <w:u w:val="none"/>
                <w:lang w:val="en-US" w:eastAsia="zh-CN" w:bidi="ar"/>
              </w:rPr>
              <w:t>1846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i w:val="0"/>
                <w:color w:val="000000"/>
                <w:kern w:val="0"/>
                <w:sz w:val="22"/>
                <w:szCs w:val="22"/>
                <w:u w:val="none"/>
                <w:lang w:val="en-US" w:eastAsia="zh-CN" w:bidi="ar"/>
              </w:rPr>
              <w:t>1601</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245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15.3%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环境保护税</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i w:val="0"/>
                <w:color w:val="000000"/>
                <w:kern w:val="0"/>
                <w:sz w:val="22"/>
                <w:szCs w:val="22"/>
                <w:u w:val="none"/>
                <w:lang w:val="en-US" w:eastAsia="zh-CN" w:bidi="ar"/>
              </w:rPr>
              <w:t xml:space="preserve">1095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vertAlign w:val="baseline"/>
                <w:lang w:val="en-US" w:eastAsia="zh-CN" w:bidi="ar-SA"/>
              </w:rPr>
            </w:pPr>
            <w:r>
              <w:rPr>
                <w:rFonts w:hint="eastAsia" w:ascii="仿宋" w:hAnsi="仿宋" w:eastAsia="仿宋" w:cs="仿宋"/>
                <w:b w:val="0"/>
                <w:bCs w:val="0"/>
                <w:i w:val="0"/>
                <w:color w:val="000000"/>
                <w:kern w:val="0"/>
                <w:sz w:val="22"/>
                <w:szCs w:val="22"/>
                <w:u w:val="none"/>
                <w:lang w:val="en-US" w:eastAsia="zh-CN" w:bidi="ar"/>
              </w:rPr>
              <w:t>3593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i w:val="0"/>
                <w:color w:val="000000"/>
                <w:kern w:val="0"/>
                <w:sz w:val="22"/>
                <w:szCs w:val="22"/>
                <w:u w:val="none"/>
                <w:lang w:val="en-US" w:eastAsia="zh-CN" w:bidi="ar"/>
              </w:rPr>
              <w:t>4129</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-536</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-13.0%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476"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kern w:val="21"/>
                <w:sz w:val="22"/>
                <w:szCs w:val="22"/>
                <w:vertAlign w:val="baseline"/>
                <w:lang w:val="en-US" w:eastAsia="zh-CN" w:bidi="ar-SA"/>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其他税收收入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i w:val="0"/>
                <w:color w:val="000000"/>
                <w:kern w:val="0"/>
                <w:sz w:val="22"/>
                <w:szCs w:val="22"/>
                <w:u w:val="none"/>
                <w:lang w:val="en-US" w:eastAsia="zh-CN" w:bidi="ar"/>
              </w:rPr>
              <w:t xml:space="preserve">5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vertAlign w:val="baseline"/>
                <w:lang w:val="en-US" w:eastAsia="zh-CN" w:bidi="ar-SA"/>
              </w:rPr>
            </w:pPr>
            <w:r>
              <w:rPr>
                <w:rFonts w:hint="eastAsia" w:ascii="仿宋" w:hAnsi="仿宋" w:eastAsia="仿宋" w:cs="仿宋"/>
                <w:b w:val="0"/>
                <w:bCs w:val="0"/>
                <w:i w:val="0"/>
                <w:color w:val="000000"/>
                <w:kern w:val="0"/>
                <w:sz w:val="22"/>
                <w:szCs w:val="22"/>
                <w:u w:val="none"/>
                <w:lang w:val="en-US" w:eastAsia="zh-CN" w:bidi="ar"/>
              </w:rPr>
              <w:t>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kern w:val="2"/>
                <w:sz w:val="22"/>
                <w:szCs w:val="22"/>
                <w:lang w:val="en-US" w:eastAsia="zh-CN" w:bidi="ar-SA"/>
              </w:rPr>
            </w:pPr>
            <w:r>
              <w:rPr>
                <w:rFonts w:hint="eastAsia" w:ascii="仿宋" w:hAnsi="仿宋" w:eastAsia="仿宋" w:cs="仿宋"/>
                <w:b w:val="0"/>
                <w:bCs w:val="0"/>
                <w:i w:val="0"/>
                <w:color w:val="000000"/>
                <w:kern w:val="0"/>
                <w:sz w:val="22"/>
                <w:szCs w:val="22"/>
                <w:u w:val="none"/>
                <w:lang w:val="en-US" w:eastAsia="zh-CN" w:bidi="ar"/>
              </w:rPr>
              <w:t>-1</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-600.0%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6"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eastAsia="宋体"/>
                <w:color w:val="FFFFFF"/>
                <w:sz w:val="24"/>
                <w:szCs w:val="24"/>
                <w:vertAlign w:val="baseline"/>
                <w:lang w:eastAsia="zh-CN"/>
              </w:rPr>
            </w:pPr>
            <w:r>
              <w:rPr>
                <w:rFonts w:hint="eastAsia" w:ascii="黑体" w:hAnsi="黑体" w:eastAsia="黑体" w:cs="黑体"/>
                <w:b/>
                <w:bCs/>
                <w:i w:val="0"/>
                <w:iCs w:val="0"/>
                <w:color w:val="FFFFFF"/>
                <w:kern w:val="0"/>
                <w:sz w:val="28"/>
                <w:szCs w:val="28"/>
                <w:u w:val="none"/>
                <w:lang w:val="en-US" w:eastAsia="zh-CN" w:bidi="ar"/>
              </w:rPr>
              <w:t>2023年7月鄂托克旗财政收入分项目执行情况(二)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56"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312"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项   目</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69"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w w:val="100"/>
                <w:kern w:val="0"/>
                <w:sz w:val="22"/>
                <w:szCs w:val="22"/>
                <w:u w:val="none"/>
                <w:lang w:val="en-US" w:eastAsia="zh-CN" w:bidi="ar"/>
              </w:rPr>
              <w:t>（二）非税收入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lang w:val="en-US"/>
              </w:rPr>
            </w:pPr>
            <w:r>
              <w:rPr>
                <w:rFonts w:hint="eastAsia" w:ascii="仿宋" w:hAnsi="仿宋" w:eastAsia="仿宋" w:cs="仿宋"/>
                <w:i w:val="0"/>
                <w:color w:val="000000"/>
                <w:kern w:val="0"/>
                <w:sz w:val="22"/>
                <w:szCs w:val="22"/>
                <w:u w:val="none"/>
                <w:lang w:val="en-US" w:eastAsia="zh-CN" w:bidi="ar"/>
              </w:rPr>
              <w:t>2022</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val="en-US" w:eastAsia="zh-CN"/>
              </w:rPr>
            </w:pPr>
            <w:r>
              <w:rPr>
                <w:rFonts w:hint="eastAsia" w:ascii="仿宋" w:hAnsi="仿宋" w:eastAsia="仿宋" w:cs="仿宋"/>
                <w:i w:val="0"/>
                <w:color w:val="000000"/>
                <w:kern w:val="0"/>
                <w:sz w:val="22"/>
                <w:szCs w:val="22"/>
                <w:u w:val="none"/>
                <w:lang w:val="en-US" w:eastAsia="zh-CN" w:bidi="ar"/>
              </w:rPr>
              <w:t>22954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lang w:val="en-US"/>
              </w:rPr>
            </w:pPr>
            <w:r>
              <w:rPr>
                <w:rFonts w:hint="eastAsia" w:ascii="仿宋" w:hAnsi="仿宋" w:eastAsia="仿宋" w:cs="仿宋"/>
                <w:i w:val="0"/>
                <w:color w:val="000000"/>
                <w:kern w:val="0"/>
                <w:sz w:val="22"/>
                <w:szCs w:val="22"/>
                <w:u w:val="none"/>
                <w:lang w:val="en-US" w:eastAsia="zh-CN" w:bidi="ar"/>
              </w:rPr>
              <w:t>28590</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-5636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-19.7%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专项收入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rPr>
            </w:pPr>
            <w:r>
              <w:rPr>
                <w:rFonts w:hint="eastAsia" w:ascii="仿宋" w:hAnsi="仿宋" w:eastAsia="仿宋" w:cs="仿宋"/>
                <w:b w:val="0"/>
                <w:bCs w:val="0"/>
                <w:i w:val="0"/>
                <w:color w:val="000000"/>
                <w:kern w:val="0"/>
                <w:sz w:val="22"/>
                <w:szCs w:val="22"/>
                <w:u w:val="none"/>
                <w:lang w:val="en-US" w:eastAsia="zh-CN" w:bidi="ar"/>
              </w:rPr>
              <w:t xml:space="preserve">716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vertAlign w:val="baseline"/>
                <w:lang w:eastAsia="zh-CN"/>
              </w:rPr>
            </w:pPr>
            <w:r>
              <w:rPr>
                <w:rFonts w:hint="eastAsia" w:ascii="仿宋" w:hAnsi="仿宋" w:eastAsia="仿宋" w:cs="仿宋"/>
                <w:b w:val="0"/>
                <w:bCs w:val="0"/>
                <w:i w:val="0"/>
                <w:color w:val="000000"/>
                <w:kern w:val="0"/>
                <w:sz w:val="22"/>
                <w:szCs w:val="22"/>
                <w:u w:val="none"/>
                <w:lang w:val="en-US" w:eastAsia="zh-CN" w:bidi="ar"/>
              </w:rPr>
              <w:t>7414</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rPr>
            </w:pPr>
            <w:r>
              <w:rPr>
                <w:rFonts w:hint="eastAsia" w:ascii="仿宋" w:hAnsi="仿宋" w:eastAsia="仿宋" w:cs="仿宋"/>
                <w:b w:val="0"/>
                <w:bCs w:val="0"/>
                <w:i w:val="0"/>
                <w:color w:val="000000"/>
                <w:kern w:val="0"/>
                <w:sz w:val="22"/>
                <w:szCs w:val="22"/>
                <w:u w:val="none"/>
                <w:lang w:val="en-US" w:eastAsia="zh-CN" w:bidi="ar"/>
              </w:rPr>
              <w:t>11502</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w w:val="1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-4088</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w w:val="1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-35.5%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行政性收费收入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rPr>
            </w:pPr>
            <w:r>
              <w:rPr>
                <w:rFonts w:hint="eastAsia" w:ascii="仿宋" w:hAnsi="仿宋" w:eastAsia="仿宋" w:cs="仿宋"/>
                <w:b w:val="0"/>
                <w:bCs w:val="0"/>
                <w:i w:val="0"/>
                <w:color w:val="000000"/>
                <w:kern w:val="0"/>
                <w:sz w:val="22"/>
                <w:szCs w:val="22"/>
                <w:u w:val="none"/>
                <w:lang w:val="en-US" w:eastAsia="zh-CN" w:bidi="ar"/>
              </w:rPr>
              <w:t xml:space="preserve">552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vertAlign w:val="baseline"/>
                <w:lang w:val="en-US" w:eastAsia="zh-CN"/>
              </w:rPr>
            </w:pPr>
            <w:r>
              <w:rPr>
                <w:rFonts w:hint="eastAsia" w:ascii="仿宋" w:hAnsi="仿宋" w:eastAsia="仿宋" w:cs="仿宋"/>
                <w:b w:val="0"/>
                <w:bCs w:val="0"/>
                <w:i w:val="0"/>
                <w:color w:val="000000"/>
                <w:kern w:val="0"/>
                <w:sz w:val="22"/>
                <w:szCs w:val="22"/>
                <w:u w:val="none"/>
                <w:lang w:val="en-US" w:eastAsia="zh-CN" w:bidi="ar"/>
              </w:rPr>
              <w:t>8284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rPr>
            </w:pPr>
            <w:r>
              <w:rPr>
                <w:rFonts w:hint="eastAsia" w:ascii="仿宋" w:hAnsi="仿宋" w:eastAsia="仿宋" w:cs="仿宋"/>
                <w:b w:val="0"/>
                <w:bCs w:val="0"/>
                <w:i w:val="0"/>
                <w:color w:val="000000"/>
                <w:kern w:val="0"/>
                <w:sz w:val="22"/>
                <w:szCs w:val="22"/>
                <w:u w:val="none"/>
                <w:lang w:val="en-US" w:eastAsia="zh-CN" w:bidi="ar"/>
              </w:rPr>
              <w:t>7651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w w:val="1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633</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w w:val="1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8.3%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w w:val="1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罚没收入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rPr>
            </w:pPr>
            <w:r>
              <w:rPr>
                <w:rFonts w:hint="eastAsia" w:ascii="仿宋" w:hAnsi="仿宋" w:eastAsia="仿宋" w:cs="仿宋"/>
                <w:b w:val="0"/>
                <w:bCs w:val="0"/>
                <w:i w:val="0"/>
                <w:color w:val="000000"/>
                <w:kern w:val="0"/>
                <w:sz w:val="22"/>
                <w:szCs w:val="22"/>
                <w:u w:val="none"/>
                <w:lang w:val="en-US" w:eastAsia="zh-CN" w:bidi="ar"/>
              </w:rPr>
              <w:t xml:space="preserve">401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vertAlign w:val="baseline"/>
                <w:lang w:eastAsia="zh-CN"/>
              </w:rPr>
            </w:pPr>
            <w:r>
              <w:rPr>
                <w:rFonts w:hint="eastAsia" w:ascii="仿宋" w:hAnsi="仿宋" w:eastAsia="仿宋" w:cs="仿宋"/>
                <w:b w:val="0"/>
                <w:bCs w:val="0"/>
                <w:i w:val="0"/>
                <w:color w:val="000000"/>
                <w:kern w:val="0"/>
                <w:sz w:val="22"/>
                <w:szCs w:val="22"/>
                <w:u w:val="none"/>
                <w:lang w:val="en-US" w:eastAsia="zh-CN" w:bidi="ar"/>
              </w:rPr>
              <w:t>3497</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w w:val="100"/>
                <w:sz w:val="22"/>
                <w:szCs w:val="22"/>
              </w:rPr>
            </w:pPr>
            <w:r>
              <w:rPr>
                <w:rFonts w:hint="eastAsia" w:ascii="仿宋" w:hAnsi="仿宋" w:eastAsia="仿宋" w:cs="仿宋"/>
                <w:b w:val="0"/>
                <w:bCs w:val="0"/>
                <w:i w:val="0"/>
                <w:color w:val="000000"/>
                <w:kern w:val="0"/>
                <w:sz w:val="22"/>
                <w:szCs w:val="22"/>
                <w:u w:val="none"/>
                <w:lang w:val="en-US" w:eastAsia="zh-CN" w:bidi="ar"/>
              </w:rPr>
              <w:t>7655</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w w:val="1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-4158</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w w:val="1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-54.3%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4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国有资源（资产）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90"/>
                <w:kern w:val="0"/>
                <w:sz w:val="22"/>
                <w:szCs w:val="22"/>
                <w:u w:val="none"/>
                <w:lang w:val="en-US" w:eastAsia="zh-CN" w:bidi="ar"/>
              </w:rPr>
              <w:t>有偿使用收入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 xml:space="preserve">6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b w:val="0"/>
                <w:bCs w:val="0"/>
                <w:i w:val="0"/>
                <w:color w:val="000000"/>
                <w:kern w:val="0"/>
                <w:sz w:val="22"/>
                <w:szCs w:val="22"/>
                <w:u w:val="none"/>
                <w:lang w:val="en-US" w:eastAsia="zh-CN" w:bidi="ar"/>
              </w:rPr>
              <w:t>2596</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1409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1187</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84.2%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捐赠收入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p>
        </w:tc>
        <w:tc>
          <w:tcPr>
            <w:tcW w:w="1061" w:type="dxa"/>
            <w:tcBorders>
              <w:tl2br w:val="nil"/>
              <w:tr2bl w:val="nil"/>
            </w:tcBorders>
            <w:shd w:val="clear" w:color="auto" w:fill="FFFFFF"/>
            <w:vAlign w:val="center"/>
          </w:tcPr>
          <w:p>
            <w:pPr>
              <w:jc w:val="center"/>
              <w:rPr>
                <w:rFonts w:hint="eastAsia" w:ascii="仿宋" w:hAnsi="仿宋" w:eastAsia="仿宋" w:cs="仿宋"/>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 w:hAnsi="仿宋" w:eastAsia="仿宋" w:cs="仿宋"/>
                <w:b w:val="0"/>
                <w:bCs w:val="0"/>
                <w:color w:val="000000"/>
                <w:sz w:val="22"/>
                <w:szCs w:val="22"/>
                <w:lang w:val="en-US" w:eastAsia="zh-CN"/>
              </w:rPr>
            </w:pP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80"/>
                <w:kern w:val="0"/>
                <w:sz w:val="22"/>
                <w:szCs w:val="22"/>
                <w:u w:val="none"/>
                <w:lang w:val="en-US" w:eastAsia="zh-CN" w:bidi="ar"/>
              </w:rPr>
              <w:t>政府住房基金收入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 xml:space="preserve">2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b w:val="0"/>
                <w:bCs w:val="0"/>
                <w:i w:val="0"/>
                <w:color w:val="000000"/>
                <w:kern w:val="0"/>
                <w:sz w:val="22"/>
                <w:szCs w:val="22"/>
                <w:u w:val="none"/>
                <w:lang w:val="en-US" w:eastAsia="zh-CN" w:bidi="ar"/>
              </w:rPr>
              <w:t>14</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24</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-10</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-41.7%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val="0"/>
                <w:bCs w:val="0"/>
                <w:i w:val="0"/>
                <w:iCs w:val="0"/>
                <w:color w:val="000000"/>
                <w:w w:val="100"/>
                <w:kern w:val="0"/>
                <w:sz w:val="22"/>
                <w:szCs w:val="22"/>
                <w:u w:val="none"/>
                <w:lang w:val="en-US" w:eastAsia="zh-CN" w:bidi="ar"/>
              </w:rPr>
              <w:t>其他收入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 xml:space="preserve">345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b w:val="0"/>
                <w:bCs w:val="0"/>
                <w:i w:val="0"/>
                <w:color w:val="000000"/>
                <w:kern w:val="0"/>
                <w:sz w:val="22"/>
                <w:szCs w:val="22"/>
                <w:u w:val="none"/>
                <w:lang w:val="en-US" w:eastAsia="zh-CN" w:bidi="ar"/>
              </w:rPr>
              <w:t>1149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349</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800</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229.2%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32"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0"/>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政府性基金预算收入合计</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28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7635 </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19213</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-11578</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exac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b/>
                <w:bCs/>
                <w:i w:val="0"/>
                <w:iCs w:val="0"/>
                <w:color w:val="000000"/>
                <w:w w:val="90"/>
                <w:kern w:val="0"/>
                <w:sz w:val="22"/>
                <w:szCs w:val="22"/>
                <w:u w:val="none"/>
                <w:lang w:val="en-US" w:eastAsia="zh-CN" w:bidi="ar"/>
              </w:rPr>
              <w:t>政府性基金收入</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 xml:space="preserve">28 </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b w:val="0"/>
                <w:bCs w:val="0"/>
                <w:i w:val="0"/>
                <w:color w:val="000000"/>
                <w:kern w:val="0"/>
                <w:sz w:val="22"/>
                <w:szCs w:val="22"/>
                <w:u w:val="none"/>
                <w:lang w:val="en-US" w:eastAsia="zh-CN" w:bidi="ar"/>
              </w:rPr>
              <w:t>7635</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b w:val="0"/>
                <w:bCs w:val="0"/>
                <w:i w:val="0"/>
                <w:color w:val="000000"/>
                <w:kern w:val="0"/>
                <w:sz w:val="22"/>
                <w:szCs w:val="22"/>
                <w:u w:val="none"/>
                <w:lang w:val="en-US" w:eastAsia="zh-CN" w:bidi="ar"/>
              </w:rPr>
              <w:t>19213</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-11578</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4" w:hRule="exac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国有土地使用权出让收入</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-34 </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7009</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18424</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-11415</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-62.0%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5" w:hRule="exact"/>
          <w:jc w:val="center"/>
        </w:trPr>
        <w:tc>
          <w:tcPr>
            <w:tcW w:w="1705" w:type="dxa"/>
            <w:tcBorders>
              <w:tl2br w:val="nil"/>
              <w:tr2bl w:val="nil"/>
            </w:tcBorders>
            <w:shd w:val="clear" w:color="auto" w:fill="DBEEF3" w:themeFill="accent5" w:themeFillTint="3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60"/>
                <w:kern w:val="0"/>
                <w:sz w:val="22"/>
                <w:szCs w:val="22"/>
                <w:u w:val="none"/>
                <w:lang w:val="en-US" w:eastAsia="zh-CN" w:bidi="ar"/>
              </w:rPr>
            </w:pPr>
            <w:r>
              <w:rPr>
                <w:rFonts w:hint="eastAsia" w:ascii="仿宋_GB2312" w:hAnsi="仿宋_GB2312" w:eastAsia="仿宋_GB2312" w:cs="仿宋_GB2312"/>
                <w:b w:val="0"/>
                <w:bCs w:val="0"/>
                <w:i w:val="0"/>
                <w:iCs w:val="0"/>
                <w:color w:val="000000"/>
                <w:w w:val="60"/>
                <w:kern w:val="0"/>
                <w:sz w:val="22"/>
                <w:szCs w:val="22"/>
                <w:u w:val="none"/>
                <w:lang w:val="en-US" w:eastAsia="zh-CN" w:bidi="ar"/>
              </w:rPr>
              <w:t>城市基础设施配套费收入</w:t>
            </w:r>
          </w:p>
        </w:tc>
        <w:tc>
          <w:tcPr>
            <w:tcW w:w="109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27 </w:t>
            </w:r>
          </w:p>
        </w:tc>
        <w:tc>
          <w:tcPr>
            <w:tcW w:w="106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449</w:t>
            </w:r>
          </w:p>
        </w:tc>
        <w:tc>
          <w:tcPr>
            <w:tcW w:w="1084"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654</w:t>
            </w:r>
          </w:p>
        </w:tc>
        <w:tc>
          <w:tcPr>
            <w:tcW w:w="1001" w:type="dxa"/>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-205</w:t>
            </w:r>
          </w:p>
        </w:tc>
        <w:tc>
          <w:tcPr>
            <w:tcW w:w="1133" w:type="dxa"/>
            <w:gridSpan w:val="2"/>
            <w:tcBorders>
              <w:tl2br w:val="nil"/>
              <w:tr2bl w:val="nil"/>
            </w:tcBorders>
            <w:shd w:val="clear" w:color="auto" w:fill="DBEEF3" w:themeFill="accent5" w:themeFillTint="32"/>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-31.3%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39" w:hRule="exac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90"/>
                <w:kern w:val="0"/>
                <w:sz w:val="22"/>
                <w:szCs w:val="22"/>
                <w:u w:val="none"/>
                <w:lang w:val="en-US" w:eastAsia="zh-CN" w:bidi="ar"/>
              </w:rPr>
            </w:pPr>
            <w:r>
              <w:rPr>
                <w:rFonts w:hint="eastAsia" w:ascii="仿宋_GB2312" w:hAnsi="仿宋_GB2312" w:eastAsia="仿宋_GB2312" w:cs="仿宋_GB2312"/>
                <w:b w:val="0"/>
                <w:bCs w:val="0"/>
                <w:i w:val="0"/>
                <w:iCs w:val="0"/>
                <w:color w:val="000000"/>
                <w:w w:val="100"/>
                <w:kern w:val="21"/>
                <w:sz w:val="22"/>
                <w:szCs w:val="22"/>
                <w:u w:val="none"/>
                <w:lang w:val="en-US" w:eastAsia="zh-CN" w:bidi="ar"/>
              </w:rPr>
              <w:t>污水处理费</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 xml:space="preserve">35 </w:t>
            </w:r>
          </w:p>
        </w:tc>
        <w:tc>
          <w:tcPr>
            <w:tcW w:w="106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177</w:t>
            </w:r>
          </w:p>
        </w:tc>
        <w:tc>
          <w:tcPr>
            <w:tcW w:w="1084"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135</w:t>
            </w: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42</w:t>
            </w: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b w:val="0"/>
                <w:bCs w:val="0"/>
                <w:i w:val="0"/>
                <w:color w:val="000000"/>
                <w:kern w:val="0"/>
                <w:sz w:val="22"/>
                <w:szCs w:val="22"/>
                <w:u w:val="none"/>
                <w:lang w:val="en-US" w:eastAsia="zh-CN" w:bidi="ar"/>
              </w:rPr>
              <w:t>31.1%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51" w:hRule="atLeast"/>
          <w:jc w:val="center"/>
        </w:trPr>
        <w:tc>
          <w:tcPr>
            <w:tcW w:w="1705" w:type="dxa"/>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i w:val="0"/>
                <w:iCs w:val="0"/>
                <w:color w:val="000000"/>
                <w:w w:val="100"/>
                <w:kern w:val="21"/>
                <w:sz w:val="22"/>
                <w:szCs w:val="22"/>
                <w:u w:val="none"/>
                <w:lang w:val="en-US" w:eastAsia="zh-CN" w:bidi="ar"/>
              </w:rPr>
            </w:pPr>
            <w:r>
              <w:rPr>
                <w:rFonts w:hint="eastAsia" w:ascii="仿宋_GB2312" w:hAnsi="仿宋_GB2312" w:eastAsia="仿宋_GB2312" w:cs="仿宋_GB2312"/>
                <w:b/>
                <w:bCs/>
                <w:i w:val="0"/>
                <w:iCs w:val="0"/>
                <w:color w:val="000000"/>
                <w:w w:val="90"/>
                <w:kern w:val="0"/>
                <w:sz w:val="22"/>
                <w:szCs w:val="22"/>
                <w:u w:val="none"/>
                <w:lang w:val="en-US" w:eastAsia="zh-CN" w:bidi="ar"/>
              </w:rPr>
              <w:t>专项债务对应项目专项收入</w:t>
            </w:r>
          </w:p>
        </w:tc>
        <w:tc>
          <w:tcPr>
            <w:tcW w:w="109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c>
          <w:tcPr>
            <w:tcW w:w="1061" w:type="dxa"/>
            <w:tcBorders>
              <w:tl2br w:val="nil"/>
              <w:tr2bl w:val="nil"/>
            </w:tcBorders>
            <w:shd w:val="clear" w:color="auto" w:fill="FFFFFF" w:themeFill="background1"/>
            <w:vAlign w:val="center"/>
          </w:tcPr>
          <w:p>
            <w:pPr>
              <w:jc w:val="center"/>
              <w:rPr>
                <w:rFonts w:hint="eastAsia" w:ascii="仿宋" w:hAnsi="仿宋" w:eastAsia="仿宋" w:cs="仿宋"/>
                <w:b w:val="0"/>
                <w:bCs w:val="0"/>
                <w:i w:val="0"/>
                <w:color w:val="000000"/>
                <w:kern w:val="0"/>
                <w:sz w:val="22"/>
                <w:szCs w:val="22"/>
                <w:u w:val="none"/>
                <w:lang w:val="en-US" w:eastAsia="zh-CN" w:bidi="ar"/>
              </w:rPr>
            </w:pPr>
          </w:p>
        </w:tc>
        <w:tc>
          <w:tcPr>
            <w:tcW w:w="1084" w:type="dxa"/>
            <w:tcBorders>
              <w:tl2br w:val="nil"/>
              <w:tr2bl w:val="nil"/>
            </w:tcBorders>
            <w:shd w:val="clear" w:color="auto" w:fill="FFFFFF" w:themeFill="background1"/>
            <w:vAlign w:val="center"/>
          </w:tcPr>
          <w:p>
            <w:pPr>
              <w:jc w:val="center"/>
              <w:rPr>
                <w:rFonts w:hint="eastAsia" w:ascii="仿宋" w:hAnsi="仿宋" w:eastAsia="仿宋" w:cs="仿宋"/>
                <w:b w:val="0"/>
                <w:bCs w:val="0"/>
                <w:i w:val="0"/>
                <w:color w:val="000000"/>
                <w:kern w:val="0"/>
                <w:sz w:val="22"/>
                <w:szCs w:val="22"/>
                <w:u w:val="none"/>
                <w:lang w:val="en-US" w:eastAsia="zh-CN" w:bidi="ar"/>
              </w:rPr>
            </w:pPr>
          </w:p>
        </w:tc>
        <w:tc>
          <w:tcPr>
            <w:tcW w:w="1001"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c>
          <w:tcPr>
            <w:tcW w:w="1133" w:type="dxa"/>
            <w:gridSpan w:val="2"/>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仿宋" w:hAnsi="仿宋" w:eastAsia="仿宋" w:cs="仿宋"/>
                <w:b w:val="0"/>
                <w:bCs w:val="0"/>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5"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2023年7月鄂托克旗财政支出分项目执行情况（一）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83"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9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rPr>
            </w:pPr>
          </w:p>
        </w:tc>
        <w:tc>
          <w:tcPr>
            <w:tcW w:w="1061"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1"/>
                <w:szCs w:val="21"/>
                <w:vertAlign w:val="baseline"/>
                <w:lang w:eastAsia="zh-CN"/>
              </w:rPr>
            </w:pPr>
          </w:p>
        </w:tc>
        <w:tc>
          <w:tcPr>
            <w:tcW w:w="1084" w:type="dxa"/>
            <w:vMerge w:val="continue"/>
            <w:tcBorders>
              <w:tl2br w:val="nil"/>
              <w:tr2bl w:val="nil"/>
            </w:tcBorders>
            <w:shd w:val="clear" w:color="auto" w:fill="E9F1F5"/>
            <w:vAlign w:val="center"/>
          </w:tcPr>
          <w:p>
            <w:pPr>
              <w:jc w:val="center"/>
              <w:rPr>
                <w:rFonts w:hint="eastAsia" w:ascii="黑体" w:hAnsi="黑体" w:eastAsia="黑体" w:cs="黑体"/>
                <w:b w:val="0"/>
                <w:bCs w:val="0"/>
                <w:color w:val="000000"/>
                <w:sz w:val="22"/>
                <w:szCs w:val="22"/>
              </w:rPr>
            </w:pP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6"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一般公共预算支出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rPr>
            </w:pPr>
            <w:r>
              <w:rPr>
                <w:rFonts w:hint="eastAsia" w:ascii="仿宋" w:hAnsi="仿宋" w:eastAsia="仿宋" w:cs="仿宋"/>
                <w:i w:val="0"/>
                <w:color w:val="000000"/>
                <w:kern w:val="0"/>
                <w:sz w:val="22"/>
                <w:szCs w:val="22"/>
                <w:u w:val="none"/>
                <w:lang w:val="en-US" w:eastAsia="zh-CN" w:bidi="ar"/>
              </w:rPr>
              <w:t>60577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325130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331118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-5988</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一般公共服务支出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3960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29762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26290</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3472</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13.2%</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外交支出</w:t>
            </w:r>
          </w:p>
        </w:tc>
        <w:tc>
          <w:tcPr>
            <w:tcW w:w="1091" w:type="dxa"/>
            <w:tcBorders>
              <w:tl2br w:val="nil"/>
              <w:tr2bl w:val="nil"/>
            </w:tcBorders>
            <w:shd w:val="clear" w:color="auto" w:fill="FFFFFF"/>
            <w:vAlign w:val="center"/>
          </w:tcPr>
          <w:p>
            <w:pPr>
              <w:jc w:val="center"/>
              <w:rPr>
                <w:rFonts w:hint="eastAsia" w:ascii="仿宋" w:hAnsi="仿宋" w:eastAsia="仿宋" w:cs="仿宋"/>
                <w:b w:val="0"/>
                <w:bCs w:val="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 w:hAnsi="仿宋" w:eastAsia="仿宋" w:cs="仿宋"/>
                <w:b w:val="0"/>
                <w:bCs w:val="0"/>
                <w:sz w:val="22"/>
                <w:szCs w:val="22"/>
                <w:lang w:val="en-US" w:eastAsia="zh-CN"/>
              </w:rPr>
            </w:pPr>
          </w:p>
        </w:tc>
        <w:tc>
          <w:tcPr>
            <w:tcW w:w="1084" w:type="dxa"/>
            <w:tcBorders>
              <w:tl2br w:val="nil"/>
              <w:tr2bl w:val="nil"/>
            </w:tcBorders>
            <w:shd w:val="clear" w:color="auto" w:fill="FFFFFF"/>
            <w:vAlign w:val="center"/>
          </w:tcPr>
          <w:p>
            <w:pPr>
              <w:jc w:val="center"/>
              <w:rPr>
                <w:rFonts w:hint="eastAsia" w:ascii="仿宋" w:hAnsi="仿宋" w:eastAsia="仿宋" w:cs="仿宋"/>
                <w:b w:val="0"/>
                <w:bCs w:val="0"/>
                <w:sz w:val="22"/>
                <w:szCs w:val="22"/>
              </w:rPr>
            </w:pPr>
          </w:p>
        </w:tc>
        <w:tc>
          <w:tcPr>
            <w:tcW w:w="1038" w:type="dxa"/>
            <w:gridSpan w:val="2"/>
            <w:tcBorders>
              <w:tl2br w:val="nil"/>
              <w:tr2bl w:val="nil"/>
            </w:tcBorders>
            <w:shd w:val="clear" w:color="auto" w:fill="FFFFFF"/>
            <w:vAlign w:val="center"/>
          </w:tcPr>
          <w:p>
            <w:pPr>
              <w:jc w:val="center"/>
              <w:rPr>
                <w:rFonts w:hint="eastAsia" w:ascii="仿宋" w:hAnsi="仿宋" w:eastAsia="仿宋" w:cs="仿宋"/>
                <w:b w:val="0"/>
                <w:bCs w:val="0"/>
                <w:sz w:val="22"/>
                <w:szCs w:val="22"/>
                <w:lang w:val="en-US" w:eastAsia="zh-CN"/>
              </w:rPr>
            </w:pPr>
          </w:p>
        </w:tc>
        <w:tc>
          <w:tcPr>
            <w:tcW w:w="1096" w:type="dxa"/>
            <w:tcBorders>
              <w:tl2br w:val="nil"/>
              <w:tr2bl w:val="nil"/>
            </w:tcBorders>
            <w:shd w:val="clear" w:color="auto" w:fill="FFFFFF"/>
            <w:vAlign w:val="center"/>
          </w:tcPr>
          <w:p>
            <w:pPr>
              <w:jc w:val="center"/>
              <w:rPr>
                <w:rFonts w:hint="eastAsia" w:ascii="仿宋" w:hAnsi="仿宋" w:eastAsia="仿宋" w:cs="仿宋"/>
                <w:b w:val="0"/>
                <w:bCs w:val="0"/>
                <w:sz w:val="22"/>
                <w:szCs w:val="22"/>
                <w:lang w:val="en-US" w:eastAsia="zh-CN"/>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5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国防支出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1</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33</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-25</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-75.8%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43"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公共安全支出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1267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9638</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9942</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-304</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-3.1%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教育支出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rPr>
            </w:pPr>
            <w:r>
              <w:rPr>
                <w:rFonts w:hint="eastAsia" w:ascii="仿宋" w:hAnsi="仿宋" w:eastAsia="仿宋" w:cs="仿宋"/>
                <w:i w:val="0"/>
                <w:color w:val="000000"/>
                <w:kern w:val="0"/>
                <w:sz w:val="22"/>
                <w:szCs w:val="22"/>
                <w:u w:val="none"/>
                <w:lang w:val="en-US" w:eastAsia="zh-CN" w:bidi="ar"/>
              </w:rPr>
              <w:t>4657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43652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32848</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10804</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32.9%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科学技术支出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144</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8852</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4188</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4664</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111.4%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9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940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6870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5404</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1466</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27.1%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08"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社会保障和</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就业支出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6420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32015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28377</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3638</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12.8%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卫生健康支出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3162</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19373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19926</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-553</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-2.8%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节能环保支出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1467</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21703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19411</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2292</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11.8%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24163</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61813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46723</w:t>
            </w:r>
          </w:p>
        </w:tc>
        <w:tc>
          <w:tcPr>
            <w:tcW w:w="1038"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15090</w:t>
            </w:r>
          </w:p>
        </w:tc>
        <w:tc>
          <w:tcPr>
            <w:tcW w:w="1096"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32.3%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67"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农林水支出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9386</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eastAsia="zh-CN"/>
              </w:rPr>
            </w:pPr>
            <w:r>
              <w:rPr>
                <w:rFonts w:hint="eastAsia" w:ascii="仿宋" w:hAnsi="仿宋" w:eastAsia="仿宋" w:cs="仿宋"/>
                <w:i w:val="0"/>
                <w:color w:val="000000"/>
                <w:kern w:val="0"/>
                <w:sz w:val="22"/>
                <w:szCs w:val="22"/>
                <w:u w:val="none"/>
                <w:lang w:val="en-US" w:eastAsia="zh-CN" w:bidi="ar"/>
              </w:rPr>
              <w:t>47993</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rPr>
            </w:pPr>
            <w:r>
              <w:rPr>
                <w:rFonts w:hint="eastAsia" w:ascii="仿宋" w:hAnsi="仿宋" w:eastAsia="仿宋" w:cs="仿宋"/>
                <w:i w:val="0"/>
                <w:color w:val="000000"/>
                <w:kern w:val="0"/>
                <w:sz w:val="22"/>
                <w:szCs w:val="22"/>
                <w:u w:val="none"/>
                <w:lang w:val="en-US" w:eastAsia="zh-CN" w:bidi="ar"/>
              </w:rPr>
              <w:t>67439</w:t>
            </w:r>
          </w:p>
        </w:tc>
        <w:tc>
          <w:tcPr>
            <w:tcW w:w="1038"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-19446</w:t>
            </w:r>
          </w:p>
        </w:tc>
        <w:tc>
          <w:tcPr>
            <w:tcW w:w="1096"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sz w:val="22"/>
                <w:szCs w:val="22"/>
                <w:lang w:val="en-US" w:eastAsia="zh-CN"/>
              </w:rPr>
            </w:pPr>
            <w:r>
              <w:rPr>
                <w:rFonts w:hint="eastAsia" w:ascii="仿宋" w:hAnsi="仿宋" w:eastAsia="仿宋" w:cs="仿宋"/>
                <w:i w:val="0"/>
                <w:color w:val="000000"/>
                <w:kern w:val="0"/>
                <w:sz w:val="22"/>
                <w:szCs w:val="22"/>
                <w:u w:val="none"/>
                <w:lang w:val="en-US" w:eastAsia="zh-CN" w:bidi="ar"/>
              </w:rPr>
              <w:t>-28.8%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08"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2023年7月鄂托克旗财政支出分项目执行情况（二）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288"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交通运输支出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3280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12395</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8009</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4386</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54.8%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资源勘探信息等支出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35</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i w:val="0"/>
                <w:color w:val="000000"/>
                <w:kern w:val="0"/>
                <w:sz w:val="22"/>
                <w:szCs w:val="22"/>
                <w:u w:val="none"/>
                <w:lang w:val="en-US" w:eastAsia="zh-CN" w:bidi="ar"/>
              </w:rPr>
              <w:t>6048</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27641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-21593</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-78.1%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商业服务业等支出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99</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2050</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1250</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800</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64.0%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金融支出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lang w:val="en-US"/>
              </w:rPr>
            </w:pP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val="en-US" w:eastAsia="zh-CN"/>
              </w:rPr>
            </w:pPr>
            <w:r>
              <w:rPr>
                <w:rFonts w:hint="eastAsia" w:ascii="仿宋" w:hAnsi="仿宋" w:eastAsia="仿宋" w:cs="仿宋"/>
                <w:i w:val="0"/>
                <w:color w:val="000000"/>
                <w:kern w:val="0"/>
                <w:sz w:val="22"/>
                <w:szCs w:val="22"/>
                <w:u w:val="none"/>
                <w:lang w:val="en-US" w:eastAsia="zh-CN" w:bidi="ar"/>
              </w:rPr>
              <w:t>182</w:t>
            </w:r>
          </w:p>
        </w:tc>
        <w:tc>
          <w:tcPr>
            <w:tcW w:w="1084" w:type="dxa"/>
            <w:tcBorders>
              <w:tl2br w:val="nil"/>
              <w:tr2bl w:val="nil"/>
            </w:tcBorders>
            <w:shd w:val="clear" w:color="auto" w:fill="E9F1F5"/>
            <w:vAlign w:val="center"/>
          </w:tcPr>
          <w:p>
            <w:pPr>
              <w:keepNext w:val="0"/>
              <w:keepLines w:val="0"/>
              <w:widowControl/>
              <w:suppressLineNumbers w:val="0"/>
              <w:jc w:val="both"/>
              <w:textAlignment w:val="center"/>
              <w:rPr>
                <w:rFonts w:hint="eastAsia" w:ascii="仿宋" w:hAnsi="仿宋" w:eastAsia="仿宋" w:cs="仿宋"/>
                <w:b w:val="0"/>
                <w:bCs w:val="0"/>
                <w:color w:val="000000"/>
                <w:sz w:val="22"/>
                <w:szCs w:val="22"/>
                <w:lang w:val="en-US" w:eastAsia="zh-CN"/>
              </w:rPr>
            </w:pP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182</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自然资源海洋气象等支出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334</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i w:val="0"/>
                <w:color w:val="000000"/>
                <w:kern w:val="0"/>
                <w:sz w:val="22"/>
                <w:szCs w:val="22"/>
                <w:u w:val="none"/>
                <w:lang w:val="en-US" w:eastAsia="zh-CN" w:bidi="ar"/>
              </w:rPr>
              <w:t>4756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5748</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-992</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-17.3%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住房保障支出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729</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val="en-US" w:eastAsia="zh-CN"/>
              </w:rPr>
            </w:pPr>
            <w:r>
              <w:rPr>
                <w:rFonts w:hint="eastAsia" w:ascii="仿宋" w:hAnsi="仿宋" w:eastAsia="仿宋" w:cs="仿宋"/>
                <w:i w:val="0"/>
                <w:color w:val="000000"/>
                <w:kern w:val="0"/>
                <w:sz w:val="22"/>
                <w:szCs w:val="22"/>
                <w:u w:val="none"/>
                <w:lang w:val="en-US" w:eastAsia="zh-CN" w:bidi="ar"/>
              </w:rPr>
              <w:t>6267</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13561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-7294</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-53.8%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粮油物资储备支出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6</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i w:val="0"/>
                <w:color w:val="000000"/>
                <w:kern w:val="0"/>
                <w:sz w:val="22"/>
                <w:szCs w:val="22"/>
                <w:u w:val="none"/>
                <w:lang w:val="en-US" w:eastAsia="zh-CN" w:bidi="ar"/>
              </w:rPr>
              <w:t>701</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249</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452</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181.5%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灾害防治及应急管理支出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527</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eastAsia="zh-CN"/>
              </w:rPr>
            </w:pPr>
            <w:r>
              <w:rPr>
                <w:rFonts w:hint="eastAsia" w:ascii="仿宋" w:hAnsi="仿宋" w:eastAsia="仿宋" w:cs="仿宋"/>
                <w:i w:val="0"/>
                <w:color w:val="000000"/>
                <w:kern w:val="0"/>
                <w:sz w:val="22"/>
                <w:szCs w:val="22"/>
                <w:u w:val="none"/>
                <w:lang w:val="en-US" w:eastAsia="zh-CN" w:bidi="ar"/>
              </w:rPr>
              <w:t>3573</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rPr>
            </w:pPr>
            <w:r>
              <w:rPr>
                <w:rFonts w:hint="eastAsia" w:ascii="仿宋" w:hAnsi="仿宋" w:eastAsia="仿宋" w:cs="仿宋"/>
                <w:i w:val="0"/>
                <w:color w:val="000000"/>
                <w:kern w:val="0"/>
                <w:sz w:val="22"/>
                <w:szCs w:val="22"/>
                <w:u w:val="none"/>
                <w:lang w:val="en-US" w:eastAsia="zh-CN" w:bidi="ar"/>
              </w:rPr>
              <w:t>3639</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-66</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jc w:val="center"/>
              <w:rPr>
                <w:rFonts w:hint="eastAsia" w:ascii="仿宋" w:hAnsi="仿宋" w:eastAsia="仿宋" w:cs="仿宋"/>
                <w:b w:val="0"/>
                <w:bCs w:val="0"/>
                <w:color w:val="00000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 w:hAnsi="仿宋" w:eastAsia="仿宋" w:cs="仿宋"/>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 w:hAnsi="仿宋" w:eastAsia="仿宋" w:cs="仿宋"/>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 w:hAnsi="仿宋" w:eastAsia="仿宋" w:cs="仿宋"/>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 w:hAnsi="仿宋" w:eastAsia="仿宋" w:cs="仿宋"/>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lang w:val="en-US" w:eastAsia="zh-CN"/>
              </w:rPr>
            </w:pPr>
            <w:r>
              <w:rPr>
                <w:rFonts w:hint="eastAsia" w:ascii="仿宋" w:hAnsi="仿宋" w:eastAsia="仿宋" w:cs="仿宋"/>
                <w:i w:val="0"/>
                <w:color w:val="000000"/>
                <w:kern w:val="0"/>
                <w:sz w:val="22"/>
                <w:szCs w:val="22"/>
                <w:u w:val="none"/>
                <w:lang w:val="en-US" w:eastAsia="zh-CN" w:bidi="ar"/>
              </w:rPr>
              <w:t>0</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vertAlign w:val="baseline"/>
                <w:lang w:val="en-US" w:eastAsia="zh-CN"/>
              </w:rPr>
            </w:pPr>
            <w:r>
              <w:rPr>
                <w:rFonts w:hint="eastAsia" w:ascii="仿宋" w:hAnsi="仿宋" w:eastAsia="仿宋" w:cs="仿宋"/>
                <w:i w:val="0"/>
                <w:color w:val="000000"/>
                <w:kern w:val="0"/>
                <w:sz w:val="22"/>
                <w:szCs w:val="22"/>
                <w:u w:val="none"/>
                <w:lang w:val="en-US" w:eastAsia="zh-CN" w:bidi="ar"/>
              </w:rPr>
              <w:t>7479</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color w:val="000000"/>
                <w:sz w:val="22"/>
                <w:szCs w:val="22"/>
                <w:lang w:val="en-US" w:eastAsia="zh-CN"/>
              </w:rPr>
            </w:pPr>
            <w:r>
              <w:rPr>
                <w:rFonts w:hint="eastAsia" w:ascii="仿宋" w:hAnsi="仿宋" w:eastAsia="仿宋" w:cs="仿宋"/>
                <w:i w:val="0"/>
                <w:color w:val="000000"/>
                <w:kern w:val="0"/>
                <w:sz w:val="22"/>
                <w:szCs w:val="22"/>
                <w:u w:val="none"/>
                <w:lang w:val="en-US" w:eastAsia="zh-CN" w:bidi="ar"/>
              </w:rPr>
              <w:t>10440</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-2961</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-28.4%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75"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61"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vertAlign w:val="baseline"/>
                <w:lang w:val="en-US" w:eastAsia="zh-CN"/>
              </w:rPr>
            </w:pPr>
          </w:p>
        </w:tc>
        <w:tc>
          <w:tcPr>
            <w:tcW w:w="1084" w:type="dxa"/>
            <w:tcBorders>
              <w:tl2br w:val="nil"/>
              <w:tr2bl w:val="nil"/>
            </w:tcBorders>
            <w:shd w:val="clear" w:color="auto" w:fill="FFFFFF"/>
            <w:vAlign w:val="center"/>
          </w:tcPr>
          <w:p>
            <w:pPr>
              <w:jc w:val="center"/>
              <w:rPr>
                <w:rFonts w:hint="eastAsia" w:ascii="仿宋_GB2312" w:hAnsi="仿宋_GB2312" w:eastAsia="仿宋_GB2312" w:cs="仿宋_GB2312"/>
                <w:b w:val="0"/>
                <w:bCs w:val="0"/>
                <w:color w:val="000000"/>
                <w:sz w:val="22"/>
                <w:szCs w:val="22"/>
                <w:lang w:val="en-US" w:eastAsia="zh-CN"/>
              </w:rPr>
            </w:pPr>
          </w:p>
        </w:tc>
        <w:tc>
          <w:tcPr>
            <w:tcW w:w="1001" w:type="dxa"/>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_GB2312" w:hAnsi="仿宋_GB2312" w:eastAsia="仿宋_GB2312" w:cs="仿宋_GB2312"/>
                <w:b w:val="0"/>
                <w:bCs w:val="0"/>
                <w:i w:val="0"/>
                <w:iCs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i w:val="0"/>
                <w:iCs w:val="0"/>
                <w:color w:val="FFFFFF"/>
                <w:kern w:val="0"/>
                <w:sz w:val="28"/>
                <w:szCs w:val="28"/>
                <w:u w:val="none"/>
                <w:lang w:val="en-US" w:eastAsia="zh-CN" w:bidi="ar"/>
              </w:rPr>
              <w:t>2023年7月鄂托克旗财政支出分项目执行情况（三）</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7075" w:type="dxa"/>
            <w:gridSpan w:val="7"/>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color w:val="000000"/>
                <w:w w:val="100"/>
                <w:sz w:val="22"/>
                <w:szCs w:val="22"/>
                <w:vertAlign w:val="baseline"/>
                <w:lang w:val="en-US" w:eastAsia="zh-CN"/>
              </w:rPr>
              <w:t>科目名称</w:t>
            </w:r>
          </w:p>
        </w:tc>
        <w:tc>
          <w:tcPr>
            <w:tcW w:w="109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61"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8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同期数</w:t>
            </w:r>
          </w:p>
        </w:tc>
        <w:tc>
          <w:tcPr>
            <w:tcW w:w="2134" w:type="dxa"/>
            <w:gridSpan w:val="3"/>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9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61"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vertAlign w:val="baseline"/>
                <w:lang w:eastAsia="zh-CN"/>
              </w:rPr>
            </w:pPr>
          </w:p>
        </w:tc>
        <w:tc>
          <w:tcPr>
            <w:tcW w:w="1084" w:type="dxa"/>
            <w:vMerge w:val="continue"/>
            <w:tcBorders>
              <w:tl2br w:val="nil"/>
              <w:tr2bl w:val="nil"/>
            </w:tcBorders>
            <w:shd w:val="clear" w:color="auto" w:fill="E9F1F5"/>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w w:val="100"/>
                <w:sz w:val="22"/>
                <w:szCs w:val="22"/>
              </w:rPr>
            </w:pPr>
          </w:p>
        </w:tc>
        <w:tc>
          <w:tcPr>
            <w:tcW w:w="1001"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增减额</w:t>
            </w:r>
          </w:p>
        </w:tc>
        <w:tc>
          <w:tcPr>
            <w:tcW w:w="1133" w:type="dxa"/>
            <w:gridSpan w:val="2"/>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eastAsia" w:ascii="仿宋_GB2312" w:hAnsi="仿宋_GB2312" w:eastAsia="仿宋_GB2312" w:cs="仿宋_GB2312"/>
                <w:b/>
                <w:bCs/>
                <w:i w:val="0"/>
                <w:iCs w:val="0"/>
                <w:color w:val="000000"/>
                <w:kern w:val="0"/>
                <w:sz w:val="22"/>
                <w:szCs w:val="22"/>
                <w:u w:val="none"/>
                <w:lang w:val="en-US" w:eastAsia="zh-CN" w:bidi="ar"/>
              </w:rPr>
              <w:t>政府性基金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val="0"/>
                <w:bCs w:val="0"/>
                <w:color w:val="000000"/>
                <w:kern w:val="2"/>
                <w:sz w:val="22"/>
                <w:szCs w:val="22"/>
                <w:vertAlign w:val="baseline"/>
                <w:lang w:val="en-US" w:eastAsia="zh-CN" w:bidi="ar-SA"/>
              </w:rPr>
            </w:pPr>
            <w:r>
              <w:rPr>
                <w:rFonts w:hint="eastAsia" w:ascii="仿宋_GB2312" w:hAnsi="仿宋_GB2312" w:eastAsia="仿宋_GB2312" w:cs="仿宋_GB2312"/>
                <w:b/>
                <w:bCs/>
                <w:i w:val="0"/>
                <w:iCs w:val="0"/>
                <w:color w:val="000000"/>
                <w:kern w:val="0"/>
                <w:sz w:val="22"/>
                <w:szCs w:val="22"/>
                <w:u w:val="none"/>
                <w:lang w:val="en-US" w:eastAsia="zh-CN" w:bidi="ar"/>
              </w:rPr>
              <w:t>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874</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2"/>
                <w:sz w:val="22"/>
                <w:szCs w:val="22"/>
                <w:vertAlign w:val="baseline"/>
                <w:lang w:val="en-US" w:eastAsia="zh-CN" w:bidi="ar-SA"/>
              </w:rPr>
            </w:pPr>
            <w:r>
              <w:rPr>
                <w:rFonts w:hint="eastAsia" w:ascii="仿宋" w:hAnsi="仿宋" w:eastAsia="仿宋" w:cs="仿宋"/>
                <w:i w:val="0"/>
                <w:color w:val="000000"/>
                <w:kern w:val="0"/>
                <w:sz w:val="22"/>
                <w:szCs w:val="22"/>
                <w:u w:val="none"/>
                <w:lang w:val="en-US" w:eastAsia="zh-CN" w:bidi="ar"/>
              </w:rPr>
              <w:t>7608</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color w:val="000000"/>
                <w:kern w:val="2"/>
                <w:sz w:val="22"/>
                <w:szCs w:val="22"/>
                <w:lang w:val="en-US" w:eastAsia="zh-CN" w:bidi="ar-SA"/>
              </w:rPr>
            </w:pPr>
            <w:r>
              <w:rPr>
                <w:rFonts w:hint="eastAsia" w:ascii="仿宋" w:hAnsi="仿宋" w:eastAsia="仿宋" w:cs="仿宋"/>
                <w:i w:val="0"/>
                <w:color w:val="000000"/>
                <w:kern w:val="0"/>
                <w:sz w:val="22"/>
                <w:szCs w:val="22"/>
                <w:u w:val="none"/>
                <w:lang w:val="en-US" w:eastAsia="zh-CN" w:bidi="ar"/>
              </w:rPr>
              <w:t>12760</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-5152</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-40.4%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文化旅游体育与传媒支出</w:t>
            </w:r>
          </w:p>
        </w:tc>
        <w:tc>
          <w:tcPr>
            <w:tcW w:w="1091" w:type="dxa"/>
            <w:tcBorders>
              <w:tl2br w:val="nil"/>
              <w:tr2bl w:val="nil"/>
            </w:tcBorders>
            <w:shd w:val="clear" w:color="auto" w:fill="FFFFFF"/>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61" w:type="dxa"/>
            <w:tcBorders>
              <w:tl2br w:val="nil"/>
              <w:tr2bl w:val="nil"/>
            </w:tcBorders>
            <w:shd w:val="clear" w:color="auto" w:fill="FFFFFF"/>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84" w:type="dxa"/>
            <w:tcBorders>
              <w:tl2br w:val="nil"/>
              <w:tr2bl w:val="nil"/>
            </w:tcBorders>
            <w:shd w:val="clear" w:color="auto" w:fill="FFFFFF"/>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001" w:type="dxa"/>
            <w:tcBorders>
              <w:tl2br w:val="nil"/>
              <w:tr2bl w:val="nil"/>
            </w:tcBorders>
            <w:shd w:val="clear" w:color="auto" w:fill="FFFFFF"/>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133" w:type="dxa"/>
            <w:gridSpan w:val="2"/>
            <w:tcBorders>
              <w:tl2br w:val="nil"/>
              <w:tr2bl w:val="nil"/>
            </w:tcBorders>
            <w:shd w:val="clear" w:color="auto" w:fill="FFFFFF"/>
            <w:vAlign w:val="center"/>
          </w:tcPr>
          <w:p>
            <w:pPr>
              <w:jc w:val="center"/>
              <w:rPr>
                <w:rFonts w:hint="eastAsia" w:ascii="仿宋" w:hAnsi="仿宋" w:eastAsia="仿宋" w:cs="仿宋"/>
                <w:i w:val="0"/>
                <w:color w:val="000000"/>
                <w:kern w:val="2"/>
                <w:sz w:val="22"/>
                <w:szCs w:val="22"/>
                <w:u w:val="none"/>
                <w:lang w:val="en-US" w:eastAsia="zh-CN" w:bidi="ar-SA"/>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城乡社区支出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color w:val="000000"/>
                <w:sz w:val="22"/>
                <w:szCs w:val="22"/>
              </w:rPr>
            </w:pPr>
            <w:r>
              <w:rPr>
                <w:rFonts w:hint="eastAsia" w:ascii="仿宋" w:hAnsi="仿宋" w:eastAsia="仿宋" w:cs="仿宋"/>
                <w:i w:val="0"/>
                <w:color w:val="000000"/>
                <w:kern w:val="0"/>
                <w:sz w:val="22"/>
                <w:szCs w:val="22"/>
                <w:u w:val="none"/>
                <w:lang w:val="en-US" w:eastAsia="zh-CN" w:bidi="ar"/>
              </w:rPr>
              <w:t>794</w:t>
            </w: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color w:val="000000"/>
                <w:sz w:val="22"/>
                <w:szCs w:val="22"/>
                <w:vertAlign w:val="baseline"/>
                <w:lang w:val="en-US" w:eastAsia="zh-CN"/>
              </w:rPr>
            </w:pPr>
            <w:r>
              <w:rPr>
                <w:rFonts w:hint="eastAsia" w:ascii="仿宋" w:hAnsi="仿宋" w:eastAsia="仿宋" w:cs="仿宋"/>
                <w:i w:val="0"/>
                <w:color w:val="000000"/>
                <w:kern w:val="0"/>
                <w:sz w:val="22"/>
                <w:szCs w:val="22"/>
                <w:u w:val="none"/>
                <w:lang w:val="en-US" w:eastAsia="zh-CN" w:bidi="ar"/>
              </w:rPr>
              <w:t>5432</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color w:val="000000"/>
                <w:sz w:val="22"/>
                <w:szCs w:val="22"/>
                <w:lang w:val="en-US"/>
              </w:rPr>
            </w:pPr>
            <w:r>
              <w:rPr>
                <w:rFonts w:hint="eastAsia" w:ascii="仿宋" w:hAnsi="仿宋" w:eastAsia="仿宋" w:cs="仿宋"/>
                <w:i w:val="0"/>
                <w:color w:val="000000"/>
                <w:kern w:val="0"/>
                <w:sz w:val="22"/>
                <w:szCs w:val="22"/>
                <w:u w:val="none"/>
                <w:lang w:val="en-US" w:eastAsia="zh-CN" w:bidi="ar"/>
              </w:rPr>
              <w:t>8922</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-3490</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-39.1%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其他支出</w:t>
            </w:r>
          </w:p>
        </w:tc>
        <w:tc>
          <w:tcPr>
            <w:tcW w:w="109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80</w:t>
            </w:r>
          </w:p>
        </w:tc>
        <w:tc>
          <w:tcPr>
            <w:tcW w:w="106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396</w:t>
            </w:r>
          </w:p>
        </w:tc>
        <w:tc>
          <w:tcPr>
            <w:tcW w:w="108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359</w:t>
            </w:r>
          </w:p>
        </w:tc>
        <w:tc>
          <w:tcPr>
            <w:tcW w:w="1001"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37</w:t>
            </w:r>
          </w:p>
        </w:tc>
        <w:tc>
          <w:tcPr>
            <w:tcW w:w="1133" w:type="dxa"/>
            <w:gridSpan w:val="2"/>
            <w:tcBorders>
              <w:tl2br w:val="nil"/>
              <w:tr2bl w:val="nil"/>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10.3%</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债务付息支出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color w:val="000000"/>
                <w:sz w:val="22"/>
                <w:szCs w:val="22"/>
              </w:rPr>
            </w:pPr>
          </w:p>
        </w:tc>
        <w:tc>
          <w:tcPr>
            <w:tcW w:w="106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color w:val="000000"/>
                <w:sz w:val="22"/>
                <w:szCs w:val="22"/>
                <w:vertAlign w:val="baseline"/>
                <w:lang w:val="en-US" w:eastAsia="zh-CN"/>
              </w:rPr>
            </w:pPr>
            <w:r>
              <w:rPr>
                <w:rFonts w:hint="eastAsia" w:ascii="仿宋" w:hAnsi="仿宋" w:eastAsia="仿宋" w:cs="仿宋"/>
                <w:i w:val="0"/>
                <w:color w:val="000000"/>
                <w:kern w:val="0"/>
                <w:sz w:val="22"/>
                <w:szCs w:val="22"/>
                <w:u w:val="none"/>
                <w:lang w:val="en-US" w:eastAsia="zh-CN" w:bidi="ar"/>
              </w:rPr>
              <w:t>1780</w:t>
            </w: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color w:val="000000"/>
                <w:sz w:val="22"/>
                <w:szCs w:val="22"/>
              </w:rPr>
            </w:pPr>
            <w:r>
              <w:rPr>
                <w:rFonts w:hint="eastAsia" w:ascii="仿宋" w:hAnsi="仿宋" w:eastAsia="仿宋" w:cs="仿宋"/>
                <w:i w:val="0"/>
                <w:color w:val="000000"/>
                <w:kern w:val="0"/>
                <w:sz w:val="22"/>
                <w:szCs w:val="22"/>
                <w:u w:val="none"/>
                <w:lang w:val="en-US" w:eastAsia="zh-CN" w:bidi="ar"/>
              </w:rPr>
              <w:t>1901</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-121</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-6.4%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债务发行费用支出</w:t>
            </w:r>
          </w:p>
        </w:tc>
        <w:tc>
          <w:tcPr>
            <w:tcW w:w="1091" w:type="dxa"/>
            <w:tcBorders>
              <w:tl2br w:val="nil"/>
              <w:tr2bl w:val="nil"/>
            </w:tcBorders>
            <w:shd w:val="clear" w:color="auto" w:fill="E9F1F5"/>
            <w:vAlign w:val="center"/>
          </w:tcPr>
          <w:p>
            <w:pPr>
              <w:jc w:val="center"/>
              <w:rPr>
                <w:rFonts w:hint="eastAsia" w:ascii="仿宋" w:hAnsi="仿宋" w:eastAsia="仿宋" w:cs="仿宋"/>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 w:hAnsi="仿宋" w:eastAsia="仿宋" w:cs="仿宋"/>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jc w:val="center"/>
              <w:rPr>
                <w:rFonts w:hint="eastAsia" w:ascii="仿宋" w:hAnsi="仿宋" w:eastAsia="仿宋" w:cs="仿宋"/>
                <w:i w:val="0"/>
                <w:color w:val="000000"/>
                <w:kern w:val="0"/>
                <w:sz w:val="22"/>
                <w:szCs w:val="22"/>
                <w:u w:val="none"/>
                <w:lang w:val="en-US" w:eastAsia="zh-CN" w:bidi="ar"/>
              </w:rPr>
            </w:pPr>
          </w:p>
        </w:tc>
        <w:tc>
          <w:tcPr>
            <w:tcW w:w="1001" w:type="dxa"/>
            <w:tcBorders>
              <w:tl2br w:val="nil"/>
              <w:tr2bl w:val="nil"/>
            </w:tcBorders>
            <w:shd w:val="clear" w:color="auto" w:fill="E9F1F5"/>
            <w:vAlign w:val="center"/>
          </w:tcPr>
          <w:p>
            <w:pPr>
              <w:jc w:val="center"/>
              <w:rPr>
                <w:rFonts w:hint="eastAsia" w:ascii="仿宋" w:hAnsi="仿宋" w:eastAsia="仿宋" w:cs="仿宋"/>
                <w:i w:val="0"/>
                <w:color w:val="000000"/>
                <w:kern w:val="0"/>
                <w:sz w:val="22"/>
                <w:szCs w:val="22"/>
                <w:u w:val="none"/>
                <w:lang w:val="en-US" w:eastAsia="zh-CN" w:bidi="ar"/>
              </w:rPr>
            </w:pPr>
          </w:p>
        </w:tc>
        <w:tc>
          <w:tcPr>
            <w:tcW w:w="1133" w:type="dxa"/>
            <w:gridSpan w:val="2"/>
            <w:tcBorders>
              <w:tl2br w:val="nil"/>
              <w:tr2bl w:val="nil"/>
            </w:tcBorders>
            <w:shd w:val="clear" w:color="auto" w:fill="E9F1F5"/>
            <w:vAlign w:val="center"/>
          </w:tcPr>
          <w:p>
            <w:pPr>
              <w:jc w:val="center"/>
              <w:rPr>
                <w:rFonts w:hint="eastAsia" w:ascii="仿宋" w:hAnsi="仿宋" w:eastAsia="仿宋" w:cs="仿宋"/>
                <w:i w:val="0"/>
                <w:color w:val="000000"/>
                <w:kern w:val="0"/>
                <w:sz w:val="22"/>
                <w:szCs w:val="22"/>
                <w:u w:val="none"/>
                <w:lang w:val="en-US" w:eastAsia="zh-CN" w:bidi="ar"/>
              </w:rPr>
            </w:pP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cantSplit/>
          <w:trHeight w:val="680"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抗疫特别国债安排的支出</w:t>
            </w:r>
          </w:p>
        </w:tc>
        <w:tc>
          <w:tcPr>
            <w:tcW w:w="109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p>
        </w:tc>
        <w:tc>
          <w:tcPr>
            <w:tcW w:w="1061" w:type="dxa"/>
            <w:tcBorders>
              <w:tl2br w:val="nil"/>
              <w:tr2bl w:val="nil"/>
            </w:tcBorders>
            <w:shd w:val="clear" w:color="auto" w:fill="E9F1F5"/>
            <w:vAlign w:val="center"/>
          </w:tcPr>
          <w:p>
            <w:pPr>
              <w:jc w:val="center"/>
              <w:rPr>
                <w:rFonts w:hint="eastAsia" w:ascii="仿宋" w:hAnsi="仿宋" w:eastAsia="仿宋" w:cs="仿宋"/>
                <w:i w:val="0"/>
                <w:color w:val="000000"/>
                <w:kern w:val="0"/>
                <w:sz w:val="22"/>
                <w:szCs w:val="22"/>
                <w:u w:val="none"/>
                <w:lang w:val="en-US" w:eastAsia="zh-CN" w:bidi="ar"/>
              </w:rPr>
            </w:pPr>
          </w:p>
        </w:tc>
        <w:tc>
          <w:tcPr>
            <w:tcW w:w="108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1578</w:t>
            </w:r>
          </w:p>
        </w:tc>
        <w:tc>
          <w:tcPr>
            <w:tcW w:w="1001"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-1578</w:t>
            </w:r>
          </w:p>
        </w:tc>
        <w:tc>
          <w:tcPr>
            <w:tcW w:w="1133" w:type="dxa"/>
            <w:gridSpan w:val="2"/>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-100.0%</w:t>
            </w:r>
          </w:p>
        </w:tc>
      </w:tr>
    </w:tbl>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eastAsia" w:ascii="Times New Roman" w:hAnsi="Times New Roman" w:eastAsia="黑体" w:cs="Times New Roman"/>
          <w:sz w:val="24"/>
          <w:szCs w:val="24"/>
          <w:highlight w:val="none"/>
          <w:u w:val="none"/>
          <w:lang w:val="en-US" w:eastAsia="zh-CN"/>
        </w:rPr>
      </w:pPr>
    </w:p>
    <w:p/>
    <w:p/>
    <w:p/>
    <w:p/>
    <w:tbl>
      <w:tblPr>
        <w:tblStyle w:val="11"/>
        <w:tblW w:w="7034"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144"/>
        <w:gridCol w:w="1105"/>
        <w:gridCol w:w="1044"/>
        <w:gridCol w:w="1024"/>
        <w:gridCol w:w="101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default" w:ascii="黑体" w:hAnsi="黑体" w:eastAsia="黑体" w:cs="黑体"/>
                <w:color w:val="FFFFFF"/>
                <w:w w:val="90"/>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2023年7月鄂托克旗财政收入重点税源纳税情况（一）</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b/>
                <w:bCs/>
                <w:i w:val="0"/>
                <w:iCs w:val="0"/>
                <w:color w:val="000000"/>
                <w:kern w:val="0"/>
                <w:sz w:val="22"/>
                <w:szCs w:val="22"/>
                <w:u w:val="none"/>
                <w:lang w:val="en-US" w:eastAsia="zh-CN" w:bidi="ar"/>
              </w:rPr>
              <w:t>合  计</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13679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default" w:ascii="仿宋_GB2312" w:hAnsi="宋体" w:eastAsia="仿宋_GB2312" w:cs="仿宋_GB2312"/>
                <w:i w:val="0"/>
                <w:color w:val="000000"/>
                <w:kern w:val="0"/>
                <w:sz w:val="22"/>
                <w:szCs w:val="22"/>
                <w:u w:val="none"/>
                <w:lang w:val="en-US" w:eastAsia="zh-CN" w:bidi="ar"/>
              </w:rPr>
              <w:t xml:space="preserve">146199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307448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-161249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-52.4%</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81"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君正能源化工有限公司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2310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12345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48366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-36021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-74.5%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鄂尔多斯电力有限责任公司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1317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default" w:ascii="仿宋_GB2312" w:hAnsi="宋体" w:eastAsia="仿宋_GB2312" w:cs="仿宋_GB2312"/>
                <w:i w:val="0"/>
                <w:color w:val="000000"/>
                <w:kern w:val="0"/>
                <w:sz w:val="22"/>
                <w:szCs w:val="22"/>
                <w:u w:val="none"/>
                <w:lang w:val="en-US" w:eastAsia="zh-CN" w:bidi="ar"/>
              </w:rPr>
              <w:t xml:space="preserve">12955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21061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-8106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-38.5%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w w:val="8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神华蒙西煤化股份有限公司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2845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default" w:ascii="仿宋_GB2312" w:hAnsi="宋体" w:eastAsia="仿宋_GB2312" w:cs="仿宋_GB2312"/>
                <w:i w:val="0"/>
                <w:color w:val="000000"/>
                <w:kern w:val="0"/>
                <w:sz w:val="22"/>
                <w:szCs w:val="22"/>
                <w:u w:val="none"/>
                <w:lang w:val="en-US" w:eastAsia="zh-CN" w:bidi="ar"/>
              </w:rPr>
              <w:t xml:space="preserve">43406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97968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-54562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-55.7%</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7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内蒙古中谷矿业有限责任公司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155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default" w:ascii="仿宋_GB2312" w:hAnsi="宋体" w:eastAsia="仿宋_GB2312" w:cs="仿宋_GB2312"/>
                <w:i w:val="0"/>
                <w:color w:val="000000"/>
                <w:kern w:val="0"/>
                <w:sz w:val="22"/>
                <w:szCs w:val="22"/>
                <w:u w:val="none"/>
                <w:lang w:val="en-US" w:eastAsia="zh-CN" w:bidi="ar"/>
              </w:rPr>
              <w:t xml:space="preserve">1743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521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1222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234.5%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b w:val="0"/>
                <w:bCs w:val="0"/>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内蒙古星光煤炭集团有限责任公司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3308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default" w:ascii="仿宋_GB2312" w:hAnsi="宋体" w:eastAsia="仿宋_GB2312" w:cs="仿宋_GB2312"/>
                <w:i w:val="0"/>
                <w:color w:val="000000"/>
                <w:kern w:val="0"/>
                <w:sz w:val="22"/>
                <w:szCs w:val="22"/>
                <w:u w:val="none"/>
                <w:lang w:val="en-US" w:eastAsia="zh-CN" w:bidi="ar"/>
              </w:rPr>
              <w:t xml:space="preserve">43578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80534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-36956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-45.9%</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4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内蒙古鄂尔多斯高新材料有限公司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1632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7071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4712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2359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50.1%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2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鄂托克旗福强煤业有限公司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18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29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639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-610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-95.5%</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30"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鄂尔多斯市双欣化学工业有限公司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208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6130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14255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-8125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-57.0%</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106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内蒙古星光煤炭集团鄂托克旗华誉煤焦化有限公司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184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-3094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5650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-8744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-154.8%</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4BACC6"/>
            <w:vAlign w:val="center"/>
          </w:tcPr>
          <w:p>
            <w:pPr>
              <w:keepNext w:val="0"/>
              <w:keepLines w:val="0"/>
              <w:widowControl/>
              <w:suppressLineNumbers w:val="0"/>
              <w:jc w:val="center"/>
              <w:textAlignment w:val="center"/>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u w:val="none"/>
                <w:lang w:val="en-US" w:eastAsia="zh-CN"/>
                <w14:textFill>
                  <w14:solidFill>
                    <w14:schemeClr w14:val="bg1"/>
                  </w14:solidFill>
                </w14:textFill>
              </w:rPr>
              <w:t>2023年7月鄂托克旗财政收入重点税源纳税情况（二）</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7034" w:type="dxa"/>
            <w:gridSpan w:val="6"/>
            <w:tcBorders>
              <w:tl2br w:val="nil"/>
              <w:tr2bl w:val="nil"/>
            </w:tcBorders>
            <w:shd w:val="clear" w:color="auto" w:fill="E9F1F5"/>
            <w:vAlign w:val="center"/>
          </w:tcPr>
          <w:p>
            <w:pPr>
              <w:keepNext w:val="0"/>
              <w:keepLines w:val="0"/>
              <w:widowControl/>
              <w:suppressLineNumbers w:val="0"/>
              <w:jc w:val="right"/>
              <w:textAlignment w:val="center"/>
              <w:rPr>
                <w:color w:val="000000"/>
                <w:sz w:val="15"/>
                <w:szCs w:val="18"/>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1"/>
                <w:szCs w:val="21"/>
                <w:vertAlign w:val="baseline"/>
                <w:lang w:eastAsia="zh-CN"/>
              </w:rPr>
            </w:pPr>
            <w:r>
              <w:rPr>
                <w:rFonts w:hint="eastAsia" w:ascii="黑体" w:hAnsi="黑体" w:eastAsia="黑体" w:cs="黑体"/>
                <w:b w:val="0"/>
                <w:bCs w:val="0"/>
                <w:color w:val="000000"/>
                <w:sz w:val="22"/>
                <w:szCs w:val="22"/>
                <w:vertAlign w:val="baseline"/>
                <w:lang w:val="en-US" w:eastAsia="zh-CN"/>
              </w:rPr>
              <w:t>科目名称</w:t>
            </w:r>
          </w:p>
        </w:tc>
        <w:tc>
          <w:tcPr>
            <w:tcW w:w="11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当月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105"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100"/>
                <w:kern w:val="0"/>
                <w:sz w:val="22"/>
                <w:szCs w:val="22"/>
                <w:u w:val="none"/>
                <w:lang w:val="en-US" w:eastAsia="zh-CN" w:bidi="ar"/>
              </w:rPr>
            </w:pPr>
            <w:r>
              <w:rPr>
                <w:rFonts w:hint="eastAsia" w:ascii="黑体" w:hAnsi="黑体" w:eastAsia="黑体" w:cs="黑体"/>
                <w:b w:val="0"/>
                <w:bCs w:val="0"/>
                <w:i w:val="0"/>
                <w:iCs w:val="0"/>
                <w:color w:val="000000"/>
                <w:w w:val="100"/>
                <w:kern w:val="0"/>
                <w:sz w:val="22"/>
                <w:szCs w:val="22"/>
                <w:u w:val="none"/>
                <w:lang w:val="en-US" w:eastAsia="zh-CN" w:bidi="ar"/>
              </w:rPr>
              <w:t>累计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w w:val="100"/>
                <w:sz w:val="22"/>
                <w:szCs w:val="22"/>
                <w:vertAlign w:val="baseline"/>
                <w:lang w:eastAsia="zh-CN"/>
              </w:rPr>
            </w:pPr>
            <w:r>
              <w:rPr>
                <w:rFonts w:hint="eastAsia" w:ascii="黑体" w:hAnsi="黑体" w:eastAsia="黑体" w:cs="黑体"/>
                <w:b w:val="0"/>
                <w:bCs w:val="0"/>
                <w:i w:val="0"/>
                <w:iCs w:val="0"/>
                <w:color w:val="000000"/>
                <w:w w:val="100"/>
                <w:kern w:val="0"/>
                <w:sz w:val="22"/>
                <w:szCs w:val="22"/>
                <w:u w:val="none"/>
                <w:lang w:val="en-US" w:eastAsia="zh-CN" w:bidi="ar"/>
              </w:rPr>
              <w:t>完成数</w:t>
            </w:r>
          </w:p>
        </w:tc>
        <w:tc>
          <w:tcPr>
            <w:tcW w:w="1044" w:type="dxa"/>
            <w:vMerge w:val="restart"/>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kern w:val="0"/>
                <w:sz w:val="22"/>
                <w:szCs w:val="22"/>
                <w:u w:val="none"/>
                <w:lang w:val="en-US" w:eastAsia="zh-CN" w:bidi="ar"/>
              </w:rPr>
            </w:pPr>
            <w:r>
              <w:rPr>
                <w:rFonts w:hint="eastAsia" w:ascii="黑体" w:hAnsi="黑体" w:eastAsia="黑体" w:cs="黑体"/>
                <w:b w:val="0"/>
                <w:bCs w:val="0"/>
                <w:i w:val="0"/>
                <w:iCs w:val="0"/>
                <w:color w:val="000000"/>
                <w:kern w:val="0"/>
                <w:sz w:val="22"/>
                <w:szCs w:val="22"/>
                <w:u w:val="none"/>
                <w:lang w:val="en-US" w:eastAsia="zh-CN" w:bidi="ar"/>
              </w:rPr>
              <w:t>上年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同期数</w:t>
            </w:r>
          </w:p>
        </w:tc>
        <w:tc>
          <w:tcPr>
            <w:tcW w:w="2036" w:type="dxa"/>
            <w:gridSpan w:val="2"/>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比上年同期</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510" w:hRule="atLeast"/>
          <w:jc w:val="center"/>
        </w:trPr>
        <w:tc>
          <w:tcPr>
            <w:tcW w:w="17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1"/>
                <w:szCs w:val="21"/>
                <w:vertAlign w:val="baseline"/>
                <w:lang w:eastAsia="zh-CN"/>
              </w:rPr>
            </w:pPr>
          </w:p>
        </w:tc>
        <w:tc>
          <w:tcPr>
            <w:tcW w:w="11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105"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vertAlign w:val="baseline"/>
                <w:lang w:eastAsia="zh-CN"/>
              </w:rPr>
            </w:pPr>
          </w:p>
        </w:tc>
        <w:tc>
          <w:tcPr>
            <w:tcW w:w="1044" w:type="dxa"/>
            <w:vMerge w:val="continue"/>
            <w:tcBorders>
              <w:tl2br w:val="nil"/>
              <w:tr2bl w:val="nil"/>
            </w:tcBorders>
            <w:shd w:val="clear" w:color="auto" w:fill="E9F1F5"/>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b w:val="0"/>
                <w:bCs w:val="0"/>
                <w:color w:val="000000"/>
                <w:sz w:val="22"/>
                <w:szCs w:val="22"/>
              </w:rPr>
            </w:pPr>
          </w:p>
        </w:tc>
        <w:tc>
          <w:tcPr>
            <w:tcW w:w="1024"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rPr>
            </w:pPr>
            <w:r>
              <w:rPr>
                <w:rFonts w:hint="eastAsia" w:ascii="黑体" w:hAnsi="黑体" w:eastAsia="黑体" w:cs="黑体"/>
                <w:b w:val="0"/>
                <w:bCs w:val="0"/>
                <w:i w:val="0"/>
                <w:iCs w:val="0"/>
                <w:color w:val="000000"/>
                <w:kern w:val="0"/>
                <w:sz w:val="22"/>
                <w:szCs w:val="22"/>
                <w:u w:val="none"/>
                <w:lang w:val="en-US" w:eastAsia="zh-CN" w:bidi="ar"/>
              </w:rPr>
              <w:t>增减额</w:t>
            </w:r>
          </w:p>
        </w:tc>
        <w:tc>
          <w:tcPr>
            <w:tcW w:w="1012"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i w:val="0"/>
                <w:iCs w:val="0"/>
                <w:color w:val="000000"/>
                <w:kern w:val="0"/>
                <w:sz w:val="22"/>
                <w:szCs w:val="22"/>
                <w:u w:val="none"/>
                <w:lang w:val="en-US" w:eastAsia="zh-CN" w:bidi="ar"/>
              </w:rPr>
              <w:t>增减幅</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000000"/>
                <w:sz w:val="22"/>
                <w:szCs w:val="22"/>
                <w:vertAlign w:val="baseline"/>
                <w:lang w:eastAsia="zh-CN"/>
              </w:rPr>
            </w:pPr>
            <w:r>
              <w:rPr>
                <w:rFonts w:hint="eastAsia" w:ascii="仿宋_GB2312" w:hAnsi="仿宋_GB2312" w:eastAsia="仿宋_GB2312" w:cs="仿宋_GB2312"/>
                <w:i w:val="0"/>
                <w:iCs w:val="0"/>
                <w:color w:val="000000"/>
                <w:kern w:val="0"/>
                <w:sz w:val="22"/>
                <w:szCs w:val="22"/>
                <w:u w:val="none"/>
                <w:lang w:val="en-US" w:eastAsia="zh-CN" w:bidi="ar"/>
              </w:rPr>
              <w:t>内蒙古德晟金属制品有限公司</w:t>
            </w:r>
          </w:p>
        </w:tc>
        <w:tc>
          <w:tcPr>
            <w:tcW w:w="11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23 </w:t>
            </w:r>
          </w:p>
        </w:tc>
        <w:tc>
          <w:tcPr>
            <w:tcW w:w="110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vertAlign w:val="baseline"/>
                <w:lang w:eastAsia="zh-CN"/>
              </w:rPr>
            </w:pPr>
            <w:r>
              <w:rPr>
                <w:rFonts w:hint="default" w:ascii="仿宋_GB2312" w:hAnsi="宋体" w:eastAsia="仿宋_GB2312" w:cs="仿宋_GB2312"/>
                <w:i w:val="0"/>
                <w:color w:val="000000"/>
                <w:kern w:val="0"/>
                <w:sz w:val="22"/>
                <w:szCs w:val="22"/>
                <w:u w:val="none"/>
                <w:lang w:val="en-US" w:eastAsia="zh-CN" w:bidi="ar"/>
              </w:rPr>
              <w:t xml:space="preserve">615 </w:t>
            </w:r>
          </w:p>
        </w:tc>
        <w:tc>
          <w:tcPr>
            <w:tcW w:w="104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2"/>
                <w:szCs w:val="22"/>
              </w:rPr>
            </w:pPr>
            <w:r>
              <w:rPr>
                <w:rFonts w:hint="default" w:ascii="仿宋_GB2312" w:hAnsi="宋体" w:eastAsia="仿宋_GB2312" w:cs="仿宋_GB2312"/>
                <w:i w:val="0"/>
                <w:color w:val="000000"/>
                <w:kern w:val="0"/>
                <w:sz w:val="22"/>
                <w:szCs w:val="22"/>
                <w:u w:val="none"/>
                <w:lang w:val="en-US" w:eastAsia="zh-CN" w:bidi="ar"/>
              </w:rPr>
              <w:t xml:space="preserve">-1427 </w:t>
            </w:r>
          </w:p>
        </w:tc>
        <w:tc>
          <w:tcPr>
            <w:tcW w:w="102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2042 </w:t>
            </w:r>
          </w:p>
        </w:tc>
        <w:tc>
          <w:tcPr>
            <w:tcW w:w="1012"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-143.1%</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709" w:hRule="atLeast"/>
          <w:jc w:val="center"/>
        </w:trPr>
        <w:tc>
          <w:tcPr>
            <w:tcW w:w="1705" w:type="dxa"/>
            <w:tcBorders>
              <w:tl2br w:val="nil"/>
              <w:tr2bl w:val="nil"/>
            </w:tcBorders>
            <w:shd w:val="clear" w:color="auto" w:fill="E9F1F5"/>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内蒙古利民煤焦有限责任公司</w:t>
            </w:r>
          </w:p>
        </w:tc>
        <w:tc>
          <w:tcPr>
            <w:tcW w:w="11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1679 </w:t>
            </w:r>
          </w:p>
        </w:tc>
        <w:tc>
          <w:tcPr>
            <w:tcW w:w="11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21421 </w:t>
            </w:r>
          </w:p>
        </w:tc>
        <w:tc>
          <w:tcPr>
            <w:tcW w:w="104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35169 </w:t>
            </w:r>
          </w:p>
        </w:tc>
        <w:tc>
          <w:tcPr>
            <w:tcW w:w="10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-13748 </w:t>
            </w:r>
          </w:p>
        </w:tc>
        <w:tc>
          <w:tcPr>
            <w:tcW w:w="101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-39.1%</w:t>
            </w:r>
          </w:p>
        </w:tc>
      </w:tr>
    </w:tbl>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4"/>
          <w:szCs w:val="24"/>
        </w:rPr>
      </w:pPr>
    </w:p>
    <w:tbl>
      <w:tblPr>
        <w:tblStyle w:val="11"/>
        <w:tblW w:w="6906" w:type="dxa"/>
        <w:jc w:val="cente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Layout w:type="fixed"/>
        <w:tblCellMar>
          <w:top w:w="0" w:type="dxa"/>
          <w:left w:w="108" w:type="dxa"/>
          <w:bottom w:w="0" w:type="dxa"/>
          <w:right w:w="108" w:type="dxa"/>
        </w:tblCellMar>
      </w:tblPr>
      <w:tblGrid>
        <w:gridCol w:w="1705"/>
        <w:gridCol w:w="1224"/>
        <w:gridCol w:w="1205"/>
        <w:gridCol w:w="1380"/>
        <w:gridCol w:w="1392"/>
      </w:tblGrid>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19" w:hRule="atLeast"/>
          <w:jc w:val="center"/>
        </w:trPr>
        <w:tc>
          <w:tcPr>
            <w:tcW w:w="6906" w:type="dxa"/>
            <w:gridSpan w:val="5"/>
            <w:tcBorders>
              <w:tl2br w:val="nil"/>
              <w:tr2bl w:val="nil"/>
            </w:tcBorders>
            <w:shd w:val="clear" w:color="auto" w:fill="4BACC6"/>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FFFFFF"/>
                <w:sz w:val="24"/>
                <w:szCs w:val="24"/>
                <w:vertAlign w:val="baseline"/>
                <w:lang w:val="en-US" w:eastAsia="zh-CN"/>
              </w:rPr>
            </w:pPr>
            <w:r>
              <w:rPr>
                <w:rFonts w:hint="eastAsia" w:ascii="黑体" w:hAnsi="黑体" w:eastAsia="黑体" w:cs="黑体"/>
                <w:b/>
                <w:bCs/>
                <w:color w:val="FFFFFF" w:themeColor="background1"/>
                <w:w w:val="90"/>
                <w:sz w:val="28"/>
                <w:szCs w:val="28"/>
                <w:highlight w:val="none"/>
                <w:vertAlign w:val="baseline"/>
                <w:lang w:val="en-US" w:eastAsia="zh-CN"/>
                <w14:textFill>
                  <w14:solidFill>
                    <w14:schemeClr w14:val="bg1"/>
                  </w14:solidFill>
                </w14:textFill>
              </w:rPr>
              <w:t>2023年7月鄂托克旗经济开发区财政收支完成情况表</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295" w:hRule="atLeast"/>
          <w:jc w:val="center"/>
        </w:trPr>
        <w:tc>
          <w:tcPr>
            <w:tcW w:w="6906" w:type="dxa"/>
            <w:gridSpan w:val="5"/>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color w:val="000000"/>
                <w:sz w:val="15"/>
                <w:szCs w:val="18"/>
              </w:rPr>
            </w:pPr>
            <w:r>
              <w:rPr>
                <w:rFonts w:hint="eastAsia"/>
                <w:color w:val="000000"/>
                <w:sz w:val="21"/>
                <w:szCs w:val="21"/>
                <w:vertAlign w:val="baseline"/>
                <w:lang w:val="en-US" w:eastAsia="zh-CN"/>
              </w:rPr>
              <w:t>单位：万元</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34" w:hRule="atLeast"/>
          <w:jc w:val="center"/>
        </w:trPr>
        <w:tc>
          <w:tcPr>
            <w:tcW w:w="1705" w:type="dxa"/>
            <w:vMerge w:val="restart"/>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地  区</w:t>
            </w:r>
          </w:p>
        </w:tc>
        <w:tc>
          <w:tcPr>
            <w:tcW w:w="2429"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预估补助收入数</w:t>
            </w:r>
          </w:p>
        </w:tc>
        <w:tc>
          <w:tcPr>
            <w:tcW w:w="2772" w:type="dxa"/>
            <w:gridSpan w:val="2"/>
            <w:tcBorders>
              <w:tl2br w:val="nil"/>
              <w:tr2bl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r>
              <w:rPr>
                <w:rFonts w:hint="eastAsia" w:ascii="黑体" w:hAnsi="黑体" w:eastAsia="黑体" w:cs="黑体"/>
                <w:b w:val="0"/>
                <w:bCs w:val="0"/>
                <w:color w:val="000000"/>
                <w:sz w:val="22"/>
                <w:szCs w:val="22"/>
                <w:vertAlign w:val="baseline"/>
                <w:lang w:val="en-US" w:eastAsia="zh-CN"/>
              </w:rPr>
              <w:t>支出完成数</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417" w:hRule="atLeast"/>
          <w:jc w:val="center"/>
        </w:trPr>
        <w:tc>
          <w:tcPr>
            <w:tcW w:w="1705" w:type="dxa"/>
            <w:vMerge w:val="continue"/>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vertAlign w:val="baseline"/>
                <w:lang w:eastAsia="zh-CN"/>
              </w:rPr>
            </w:pPr>
          </w:p>
        </w:tc>
        <w:tc>
          <w:tcPr>
            <w:tcW w:w="1224"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2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c>
          <w:tcPr>
            <w:tcW w:w="1380"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rPr>
            </w:pPr>
            <w:r>
              <w:rPr>
                <w:rFonts w:hint="eastAsia" w:ascii="黑体" w:hAnsi="黑体" w:eastAsia="黑体" w:cs="黑体"/>
                <w:b w:val="0"/>
                <w:bCs w:val="0"/>
                <w:color w:val="000000"/>
                <w:sz w:val="22"/>
                <w:szCs w:val="22"/>
                <w:highlight w:val="none"/>
                <w:vertAlign w:val="baseline"/>
                <w:lang w:val="en-US" w:eastAsia="zh-CN"/>
              </w:rPr>
              <w:t>本月</w:t>
            </w:r>
          </w:p>
        </w:tc>
        <w:tc>
          <w:tcPr>
            <w:tcW w:w="1392"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color w:val="000000"/>
                <w:sz w:val="22"/>
                <w:szCs w:val="22"/>
                <w:highlight w:val="none"/>
                <w:vertAlign w:val="baseline"/>
                <w:lang w:eastAsia="zh-CN"/>
              </w:rPr>
            </w:pPr>
            <w:r>
              <w:rPr>
                <w:rFonts w:hint="eastAsia" w:ascii="黑体" w:hAnsi="黑体" w:eastAsia="黑体" w:cs="黑体"/>
                <w:b w:val="0"/>
                <w:bCs w:val="0"/>
                <w:color w:val="000000"/>
                <w:sz w:val="22"/>
                <w:szCs w:val="22"/>
                <w:highlight w:val="none"/>
                <w:vertAlign w:val="baseline"/>
                <w:lang w:val="en-US" w:eastAsia="zh-CN"/>
              </w:rPr>
              <w:t>累计</w:t>
            </w:r>
          </w:p>
        </w:tc>
      </w:tr>
      <w:tr>
        <w:tblPrEx>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CellMar>
            <w:top w:w="0" w:type="dxa"/>
            <w:left w:w="108" w:type="dxa"/>
            <w:bottom w:w="0" w:type="dxa"/>
            <w:right w:w="108" w:type="dxa"/>
          </w:tblCellMar>
        </w:tblPrEx>
        <w:trPr>
          <w:trHeight w:val="680" w:hRule="atLeast"/>
          <w:jc w:val="center"/>
        </w:trPr>
        <w:tc>
          <w:tcPr>
            <w:tcW w:w="1705" w:type="dxa"/>
            <w:tcBorders>
              <w:tl2br w:val="nil"/>
              <w:tr2bl w:val="nil"/>
            </w:tcBorders>
            <w:shd w:val="clear" w:color="auto" w:fill="E9F1F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color w:val="000000"/>
                <w:sz w:val="22"/>
                <w:szCs w:val="22"/>
                <w:vertAlign w:val="baseline"/>
                <w:lang w:val="en-US" w:eastAsia="zh-CN"/>
              </w:rPr>
            </w:pPr>
            <w:r>
              <w:rPr>
                <w:rFonts w:hint="eastAsia" w:ascii="仿宋_GB2312" w:hAnsi="仿宋_GB2312" w:eastAsia="仿宋_GB2312" w:cs="仿宋_GB2312"/>
                <w:b w:val="0"/>
                <w:bCs w:val="0"/>
                <w:color w:val="000000"/>
                <w:sz w:val="22"/>
                <w:szCs w:val="22"/>
                <w:vertAlign w:val="baseline"/>
                <w:lang w:val="en-US" w:eastAsia="zh-CN"/>
              </w:rPr>
              <w:t>鄂托克旗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val="0"/>
                <w:bCs w:val="0"/>
                <w:i w:val="0"/>
                <w:iCs w:val="0"/>
                <w:color w:val="000000"/>
                <w:kern w:val="0"/>
                <w:sz w:val="22"/>
                <w:szCs w:val="22"/>
                <w:u w:val="none"/>
                <w:lang w:val="en-US" w:eastAsia="zh-CN" w:bidi="ar"/>
              </w:rPr>
            </w:pPr>
            <w:r>
              <w:rPr>
                <w:rFonts w:hint="eastAsia" w:ascii="仿宋_GB2312" w:hAnsi="仿宋_GB2312" w:eastAsia="仿宋_GB2312" w:cs="仿宋_GB2312"/>
                <w:b w:val="0"/>
                <w:bCs w:val="0"/>
                <w:color w:val="000000"/>
                <w:sz w:val="22"/>
                <w:szCs w:val="22"/>
                <w:vertAlign w:val="baseline"/>
                <w:lang w:val="en-US" w:eastAsia="zh-CN"/>
              </w:rPr>
              <w:t>经济开发区</w:t>
            </w:r>
          </w:p>
        </w:tc>
        <w:tc>
          <w:tcPr>
            <w:tcW w:w="1224"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u w:val="none"/>
                <w:lang w:val="en-US" w:eastAsia="zh-CN" w:bidi="ar"/>
              </w:rPr>
              <w:t xml:space="preserve">8333 </w:t>
            </w:r>
          </w:p>
        </w:tc>
        <w:tc>
          <w:tcPr>
            <w:tcW w:w="1205"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u w:val="none"/>
                <w:lang w:val="en-US" w:eastAsia="zh-CN" w:bidi="ar"/>
              </w:rPr>
              <w:t xml:space="preserve">58331 </w:t>
            </w:r>
          </w:p>
        </w:tc>
        <w:tc>
          <w:tcPr>
            <w:tcW w:w="1380"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u w:val="none"/>
                <w:lang w:val="en-US" w:eastAsia="zh-CN" w:bidi="ar"/>
              </w:rPr>
              <w:t xml:space="preserve">21914 </w:t>
            </w:r>
          </w:p>
        </w:tc>
        <w:tc>
          <w:tcPr>
            <w:tcW w:w="1392" w:type="dxa"/>
            <w:tcBorders>
              <w:tl2br w:val="nil"/>
              <w:tr2bl w:val="nil"/>
            </w:tcBorders>
            <w:shd w:val="clear" w:color="auto" w:fill="E9F1F5"/>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u w:val="none"/>
                <w:lang w:val="en-US" w:eastAsia="zh-CN" w:bidi="ar"/>
              </w:rPr>
              <w:t xml:space="preserve">53784 </w:t>
            </w: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lang w:val="en-US" w:eastAsia="zh-CN"/>
        </w:rPr>
      </w:pPr>
      <w:r>
        <w:rPr>
          <w:rFonts w:hint="eastAsia" w:ascii="黑体" w:hAnsi="黑体" w:eastAsia="黑体" w:cs="黑体"/>
          <w:b w:val="0"/>
          <w:bCs w:val="0"/>
          <w:sz w:val="22"/>
          <w:szCs w:val="22"/>
          <w:lang w:val="en-US" w:eastAsia="zh-CN"/>
        </w:rPr>
        <w:t>备注：该地区补助收入最终以年终结算数据为准。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22"/>
          <w:szCs w:val="22"/>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right"/>
        <w:textAlignment w:val="auto"/>
        <w:rPr>
          <w:rFonts w:hint="eastAsia" w:ascii="仿宋_GB2312" w:hAnsi="仿宋_GB2312" w:eastAsia="仿宋_GB2312" w:cs="仿宋_GB2312"/>
          <w:sz w:val="24"/>
          <w:szCs w:val="24"/>
          <w:lang w:val="en-US" w:eastAsia="zh-CN"/>
        </w:rPr>
      </w:pPr>
    </w:p>
    <w:sectPr>
      <w:footerReference r:id="rId7" w:type="default"/>
      <w:footerReference r:id="rId8" w:type="even"/>
      <w:footnotePr>
        <w:numFmt w:val="decimalEnclosedCircleChinese"/>
      </w:footnotePr>
      <w:pgSz w:w="8390" w:h="11905"/>
      <w:pgMar w:top="1134" w:right="850" w:bottom="1020" w:left="850" w:header="851" w:footer="737" w:gutter="0"/>
      <w:pgBorders>
        <w:top w:val="none" w:sz="0" w:space="0"/>
        <w:left w:val="none" w:sz="0" w:space="0"/>
        <w:bottom w:val="none" w:sz="0" w:space="0"/>
        <w:right w:val="none" w:sz="0" w:space="0"/>
      </w:pgBorders>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MWcht">
    <w:altName w:val="Segoe Print"/>
    <w:panose1 w:val="00000400000000000000"/>
    <w:charset w:val="00"/>
    <w:family w:val="auto"/>
    <w:pitch w:val="default"/>
    <w:sig w:usb0="00000000" w:usb1="00000000" w:usb2="00000000" w:usb3="00000000" w:csb0="00000001" w:csb1="00000000"/>
  </w:font>
  <w:font w:name="方正小标宋简体">
    <w:altName w:val="黑体"/>
    <w:panose1 w:val="02010601030101010101"/>
    <w:charset w:val="86"/>
    <w:family w:val="auto"/>
    <w:pitch w:val="default"/>
    <w:sig w:usb0="00000000" w:usb1="00000000" w:usb2="00000000"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粗黑体">
    <w:altName w:val="黑体"/>
    <w:panose1 w:val="0201060900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sz w:val="21"/>
                        <w:szCs w:val="21"/>
                        <w:lang w:eastAsia="zh-CN"/>
                      </w:rPr>
                    </w:pPr>
                    <w:r>
                      <w:rPr>
                        <w:rFonts w:hint="eastAsia"/>
                        <w:sz w:val="21"/>
                        <w:szCs w:val="21"/>
                        <w:lang w:eastAsia="zh-CN"/>
                      </w:rPr>
                      <w:t>—</w:t>
                    </w:r>
                    <w:r>
                      <w:rPr>
                        <w:rFonts w:hint="eastAsia"/>
                        <w:sz w:val="21"/>
                        <w:szCs w:val="21"/>
                        <w:lang w:val="en-US" w:eastAsia="zh-CN"/>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r>
                      <w:rPr>
                        <w:rFonts w:hint="eastAsia"/>
                        <w:sz w:val="21"/>
                        <w:szCs w:val="21"/>
                        <w:lang w:val="en-US" w:eastAsia="zh-CN"/>
                      </w:rPr>
                      <w:t xml:space="preserve"> </w:t>
                    </w:r>
                    <w:r>
                      <w:rPr>
                        <w:rFonts w:hint="eastAsia"/>
                        <w:sz w:val="21"/>
                        <w:szCs w:val="21"/>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column">
                <wp:posOffset>3160395</wp:posOffset>
              </wp:positionH>
              <wp:positionV relativeFrom="paragraph">
                <wp:posOffset>-135890</wp:posOffset>
              </wp:positionV>
              <wp:extent cx="1189355" cy="285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189355"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85pt;margin-top:-10.7pt;height:22.5pt;width:93.65pt;z-index:251663360;mso-width-relative:page;mso-height-relative:page;" filled="f" stroked="f" coordsize="21600,21600" o:gfxdata="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ZMoD3AAAAAoBAAAPAAAAAAAAAAEAIAAAACIA&#10;AABkcnMvZG93bnJldi54bWxQSwECFAAUAAAACACHTuJAJrGC8z4CAABoBAAADgAAAAAAAAABACAA&#10;AAArAQAAZHJzL2Uyb0RvYy54bWxQSwUGAAAAAAYABgBZAQAA2wUAAAAA&#10;">
              <v:fill on="f" focussize="0,0"/>
              <v:stroke on="f" weight="0.5pt"/>
              <v:imagedata o:title=""/>
              <o:lock v:ext="edit" aspectratio="f"/>
              <v:textbox>
                <w:txbxContent>
                  <w:p>
                    <w:pP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pPr>
                    <w:r>
                      <w:rPr>
                        <w:rFonts w:hint="eastAsia" w:ascii="汉真广标" w:hAnsi="汉真广标" w:eastAsia="汉真广标" w:cs="汉真广标"/>
                        <w:color w:val="FFFFFF" w:themeColor="background1"/>
                        <w:spacing w:val="20"/>
                        <w:sz w:val="16"/>
                        <w:szCs w:val="16"/>
                        <w:lang w:val="en-US" w:eastAsia="zh-CN"/>
                        <w14:textFill>
                          <w14:solidFill>
                            <w14:schemeClr w14:val="bg1"/>
                          </w14:solidFill>
                        </w14:textFill>
                      </w:rPr>
                      <w:t>鄂托克旗财政局</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-629285</wp:posOffset>
              </wp:positionH>
              <wp:positionV relativeFrom="paragraph">
                <wp:posOffset>-86360</wp:posOffset>
              </wp:positionV>
              <wp:extent cx="5053330" cy="126365"/>
              <wp:effectExtent l="0" t="0" r="13970" b="6985"/>
              <wp:wrapNone/>
              <wp:docPr id="48" name="矩形 48"/>
              <wp:cNvGraphicFramePr/>
              <a:graphic xmlns:a="http://schemas.openxmlformats.org/drawingml/2006/main">
                <a:graphicData uri="http://schemas.microsoft.com/office/word/2010/wordprocessingShape">
                  <wps:wsp>
                    <wps:cNvSpPr/>
                    <wps:spPr>
                      <a:xfrm rot="10800000">
                        <a:off x="0" y="0"/>
                        <a:ext cx="50533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55pt;margin-top:-6.8pt;height:9.95pt;width:397.9pt;rotation:11796480f;z-index:251662336;v-text-anchor:middle;mso-width-relative:page;mso-height-relative:page;" fillcolor="#FFFFFF [3212]" filled="t" stroked="f" coordsize="21600,21600" o:gfxdata="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2L5aDaAAAACQEAAA8AAAAAAAAAAQAgAAAAIgAAAGRycy9kb3ducmV2LnhtbFBLAQIUABQAAAAI&#10;AIdO4kAWrBwDlgIAAEEFAAAOAAAAAAAAAAEAIAAAACkBAABkcnMvZTJvRG9jLnhtbFBLBQYAAAAA&#10;BgAGAFkBAAAxBgAAAAA=&#10;">
              <v:fill type="gradient" on="t" color2="#0070C0" angle="320" focus="100%" focussize="0,0" rotate="t">
                <o:fill type="gradientUnscaled" v:ext="backwardCompatible"/>
              </v:fill>
              <v:stroke on="f" weight="2pt"/>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sz w:val="18"/>
      </w:rPr>
      <mc:AlternateContent>
        <mc:Choice Requires="wps">
          <w:drawing>
            <wp:anchor distT="0" distB="0" distL="114300" distR="114300" simplePos="0" relativeHeight="251667456" behindDoc="0" locked="0" layoutInCell="1" allowOverlap="1">
              <wp:simplePos x="0" y="0"/>
              <wp:positionH relativeFrom="column">
                <wp:posOffset>245110</wp:posOffset>
              </wp:positionH>
              <wp:positionV relativeFrom="paragraph">
                <wp:posOffset>-241935</wp:posOffset>
              </wp:positionV>
              <wp:extent cx="353695" cy="375285"/>
              <wp:effectExtent l="0" t="0" r="5715" b="8255"/>
              <wp:wrapNone/>
              <wp:docPr id="19" name="L 形 19"/>
              <wp:cNvGraphicFramePr/>
              <a:graphic xmlns:a="http://schemas.openxmlformats.org/drawingml/2006/main">
                <a:graphicData uri="http://schemas.microsoft.com/office/word/2010/wordprocessingShape">
                  <wps:wsp>
                    <wps:cNvSpPr/>
                    <wps:spPr>
                      <a:xfrm rot="16200000">
                        <a:off x="0" y="0"/>
                        <a:ext cx="353695" cy="375285"/>
                      </a:xfrm>
                      <a:prstGeom prst="corner">
                        <a:avLst>
                          <a:gd name="adj1" fmla="val 31777"/>
                          <a:gd name="adj2" fmla="val 9694"/>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3pt;margin-top:-19.05pt;height:29.55pt;width:27.85pt;rotation:-5898240f;z-index:251667456;v-text-anchor:middle;mso-width-relative:page;mso-height-relative:page;" fillcolor="#0070C0" filled="t" stroked="f" coordsize="353695,375285" o:gfxdata="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p3UB3VAAAACAEAAA8AAAAAAAAA&#10;AQAgAAAAIgAAAGRycy9kb3ducmV2LnhtbFBLAQIUABQAAAAIAIdO4kBazDf/hgIAABUFAAAOAAAA&#10;AAAAAAEAIAAAACQBAABkcnMvZTJvRG9jLnhtbFBLBQYAAAAABgAGAFkBAAAcBgAAAAA=&#10;" path="m0,0l34287,0,34287,262891,353695,262891,353695,375285,0,375285xe">
              <v:path o:connectlocs="353695,319088;176847,375285;0,187642;17143,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column">
                <wp:posOffset>549910</wp:posOffset>
              </wp:positionH>
              <wp:positionV relativeFrom="paragraph">
                <wp:posOffset>-83185</wp:posOffset>
              </wp:positionV>
              <wp:extent cx="3681730" cy="126365"/>
              <wp:effectExtent l="0" t="0" r="13970" b="6985"/>
              <wp:wrapNone/>
              <wp:docPr id="4" name="矩形 4"/>
              <wp:cNvGraphicFramePr/>
              <a:graphic xmlns:a="http://schemas.openxmlformats.org/drawingml/2006/main">
                <a:graphicData uri="http://schemas.microsoft.com/office/word/2010/wordprocessingShape">
                  <wps:wsp>
                    <wps:cNvSpPr/>
                    <wps:spPr>
                      <a:xfrm>
                        <a:off x="0" y="0"/>
                        <a:ext cx="3681730" cy="126365"/>
                      </a:xfrm>
                      <a:prstGeom prst="rect">
                        <a:avLst/>
                      </a:prstGeom>
                      <a:gradFill>
                        <a:gsLst>
                          <a:gs pos="9000">
                            <a:schemeClr val="bg1"/>
                          </a:gs>
                          <a:gs pos="94000">
                            <a:srgbClr val="0070C0"/>
                          </a:gs>
                        </a:gsLst>
                        <a:lin ang="7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3pt;margin-top:-6.55pt;height:9.95pt;width:289.9pt;z-index:251664384;v-text-anchor:middle;mso-width-relative:page;mso-height-relative:page;" fillcolor="#FFFFFF [3212]" filled="t" stroked="f" coordsize="21600,21600" o:gfxdata="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equ6H2AAA&#10;AAgBAAAPAAAAAAAAAAEAIAAAACIAAABkcnMvZG93bnJldi54bWxQSwECFAAUAAAACACHTuJANF/p&#10;D5ACAAAwBQAADgAAAAAAAAABACAAAAAnAQAAZHJzL2Uyb0RvYy54bWxQSwUGAAAAAAYABgBZAQAA&#10;KQYAAAAA&#10;">
              <v:fill type="gradient" on="t" color2="#0070C0" angle="320" focus="100%" focussize="0,0" rotate="t">
                <o:fill type="gradientUnscaled" v:ext="backwardCompatible"/>
              </v:fill>
              <v:stroke on="f" weight="2pt"/>
              <v:imagedata o:title=""/>
              <o:lock v:ext="edit" aspectratio="f"/>
            </v:rect>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column">
                <wp:posOffset>-132715</wp:posOffset>
              </wp:positionH>
              <wp:positionV relativeFrom="paragraph">
                <wp:posOffset>-318135</wp:posOffset>
              </wp:positionV>
              <wp:extent cx="353695" cy="375285"/>
              <wp:effectExtent l="0" t="0" r="5715" b="8255"/>
              <wp:wrapNone/>
              <wp:docPr id="18" name="L 形 18"/>
              <wp:cNvGraphicFramePr/>
              <a:graphic xmlns:a="http://schemas.openxmlformats.org/drawingml/2006/main">
                <a:graphicData uri="http://schemas.microsoft.com/office/word/2010/wordprocessingShape">
                  <wps:wsp>
                    <wps:cNvSpPr/>
                    <wps:spPr>
                      <a:xfrm rot="5400000">
                        <a:off x="0" y="0"/>
                        <a:ext cx="353695" cy="375285"/>
                      </a:xfrm>
                      <a:prstGeom prst="corner">
                        <a:avLst>
                          <a:gd name="adj1" fmla="val 27289"/>
                          <a:gd name="adj2" fmla="val 16337"/>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45pt;margin-top:-25.05pt;height:29.55pt;width:27.85pt;rotation:5898240f;z-index:251666432;v-text-anchor:middle;mso-width-relative:page;mso-height-relative:page;" fillcolor="#0070C0" filled="t" stroked="f" coordsize="353695,375285" o:gfxdata="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Iku/nXAAAACAEAAA8AAAAA&#10;AAAAAQAgAAAAIgAAAGRycy9kb3ducmV2LnhtbFBLAQIUABQAAAAIAIdO4kCOi6nhhwIAABUFAAAO&#10;AAAAAAAAAAEAIAAAACYBAABkcnMvZTJvRG9jLnhtbFBLBQYAAAAABgAGAFkBAAAfBgAAAAA=&#10;" path="m0,0l57783,0,57783,278765,353695,278765,353695,375285,0,375285xe">
              <v:path o:connectlocs="353695,327025;176847,375285;0,187642;28891,0" o:connectangles="0,82,164,247"/>
              <v:fill on="t" focussize="0,0"/>
              <v:stroke on="f" weight="2pt"/>
              <v:imagedata o:title=""/>
              <o:lock v:ext="edit" aspectratio="f"/>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-123190</wp:posOffset>
              </wp:positionH>
              <wp:positionV relativeFrom="paragraph">
                <wp:posOffset>-276860</wp:posOffset>
              </wp:positionV>
              <wp:extent cx="1543685" cy="5016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543685" cy="501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pt;margin-top:-21.8pt;height:39.5pt;width:121.55pt;z-index:251665408;mso-width-relative:page;mso-height-relative:page;" filled="f" stroked="f" coordsize="21600,21600" o:gfxdata="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qNXpdwAAAAKAQAADwAAAAAAAAABACAAAAAiAAAA&#10;ZHJzL2Rvd25yZXYueG1sUEsBAhQAFAAAAAgAh07iQEayCt88AgAAaAQAAA4AAAAAAAAAAQAgAAAA&#10;KwEAAGRycy9lMm9Eb2MueG1sUEsFBgAAAAAGAAYAWQEAANkFAAAAAA==&#10;">
              <v:fill on="f" focussize="0,0"/>
              <v:stroke on="f" weight="0.5pt"/>
              <v:imagedata o:title=""/>
              <o:lock v:ext="edit" aspectratio="f"/>
              <v:textbox>
                <w:txbxContent>
                  <w:p>
                    <w:pPr>
                      <w:rPr>
                        <w:rFonts w:hint="eastAsia" w:ascii="汉真广标" w:hAnsi="汉真广标" w:eastAsia="汉真广标" w:cs="汉真广标"/>
                        <w:color w:val="0070C0"/>
                        <w:sz w:val="16"/>
                        <w:szCs w:val="20"/>
                        <w:lang w:val="en-US" w:eastAsia="zh-CN"/>
                      </w:rPr>
                    </w:pPr>
                    <w:r>
                      <w:rPr>
                        <w:rFonts w:hint="eastAsia" w:ascii="汉真广标" w:hAnsi="汉真广标" w:eastAsia="汉真广标" w:cs="汉真广标"/>
                        <w:color w:val="0070C0"/>
                        <w:sz w:val="40"/>
                        <w:szCs w:val="48"/>
                        <w:lang w:val="en-US" w:eastAsia="zh-CN"/>
                      </w:rPr>
                      <w:t xml:space="preserve">财政  </w:t>
                    </w:r>
                    <w:r>
                      <w:rPr>
                        <w:rFonts w:hint="eastAsia" w:ascii="粗黑体" w:hAnsi="粗黑体" w:eastAsia="粗黑体" w:cs="粗黑体"/>
                        <w:color w:val="FFFFFF" w:themeColor="background1"/>
                        <w:sz w:val="16"/>
                        <w:szCs w:val="20"/>
                        <w:lang w:val="en-US" w:eastAsia="zh-CN"/>
                        <w14:textFill>
                          <w14:solidFill>
                            <w14:schemeClr w14:val="bg1"/>
                          </w14:solidFill>
                        </w14:textFill>
                      </w:rPr>
                      <w:t>收支分析</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ZGE1MzZkMWJhYmY1ZTUxMTQ0ODM1N2U3ZTc3M2UifQ=="/>
  </w:docVars>
  <w:rsids>
    <w:rsidRoot w:val="00172A27"/>
    <w:rsid w:val="00046E56"/>
    <w:rsid w:val="00065DAD"/>
    <w:rsid w:val="000C7620"/>
    <w:rsid w:val="00193C3F"/>
    <w:rsid w:val="00253305"/>
    <w:rsid w:val="0027254F"/>
    <w:rsid w:val="00511298"/>
    <w:rsid w:val="005807DB"/>
    <w:rsid w:val="00687AE5"/>
    <w:rsid w:val="006A29D8"/>
    <w:rsid w:val="006E0456"/>
    <w:rsid w:val="00911E2A"/>
    <w:rsid w:val="009C506D"/>
    <w:rsid w:val="00BC46EF"/>
    <w:rsid w:val="00CB048B"/>
    <w:rsid w:val="00CB1EBC"/>
    <w:rsid w:val="00D61E75"/>
    <w:rsid w:val="00DF0877"/>
    <w:rsid w:val="00E327E7"/>
    <w:rsid w:val="00E755C8"/>
    <w:rsid w:val="00F71253"/>
    <w:rsid w:val="01045EF1"/>
    <w:rsid w:val="01224276"/>
    <w:rsid w:val="012310E1"/>
    <w:rsid w:val="01251BD9"/>
    <w:rsid w:val="01317C62"/>
    <w:rsid w:val="013E6BB4"/>
    <w:rsid w:val="013F6D58"/>
    <w:rsid w:val="01407440"/>
    <w:rsid w:val="015161E2"/>
    <w:rsid w:val="01531E39"/>
    <w:rsid w:val="0156177E"/>
    <w:rsid w:val="016F5C12"/>
    <w:rsid w:val="0171218F"/>
    <w:rsid w:val="01747C2F"/>
    <w:rsid w:val="01772BAE"/>
    <w:rsid w:val="01777839"/>
    <w:rsid w:val="017B5815"/>
    <w:rsid w:val="018030A2"/>
    <w:rsid w:val="01822573"/>
    <w:rsid w:val="018C7F99"/>
    <w:rsid w:val="01926BE8"/>
    <w:rsid w:val="01B77390"/>
    <w:rsid w:val="01BE490E"/>
    <w:rsid w:val="01C517BD"/>
    <w:rsid w:val="01C9314E"/>
    <w:rsid w:val="01D82CB0"/>
    <w:rsid w:val="01DC2C55"/>
    <w:rsid w:val="01EC20E2"/>
    <w:rsid w:val="01FA4811"/>
    <w:rsid w:val="0206304D"/>
    <w:rsid w:val="02095D42"/>
    <w:rsid w:val="020C36B9"/>
    <w:rsid w:val="02176E2F"/>
    <w:rsid w:val="0218479F"/>
    <w:rsid w:val="021A71E6"/>
    <w:rsid w:val="02206FAC"/>
    <w:rsid w:val="022078E7"/>
    <w:rsid w:val="022655F4"/>
    <w:rsid w:val="022B6721"/>
    <w:rsid w:val="023238ED"/>
    <w:rsid w:val="0244013F"/>
    <w:rsid w:val="025B14EB"/>
    <w:rsid w:val="026530FE"/>
    <w:rsid w:val="02680AD9"/>
    <w:rsid w:val="026C54CD"/>
    <w:rsid w:val="02756B4F"/>
    <w:rsid w:val="027812F4"/>
    <w:rsid w:val="0278146E"/>
    <w:rsid w:val="027E5817"/>
    <w:rsid w:val="02840D7E"/>
    <w:rsid w:val="028A7883"/>
    <w:rsid w:val="02982612"/>
    <w:rsid w:val="029E6366"/>
    <w:rsid w:val="02A11761"/>
    <w:rsid w:val="02B360D5"/>
    <w:rsid w:val="02CC6C45"/>
    <w:rsid w:val="02D46F37"/>
    <w:rsid w:val="02D50CD9"/>
    <w:rsid w:val="02E20CFE"/>
    <w:rsid w:val="02E7697C"/>
    <w:rsid w:val="03003AD3"/>
    <w:rsid w:val="030F16FD"/>
    <w:rsid w:val="031D6D56"/>
    <w:rsid w:val="032801E6"/>
    <w:rsid w:val="032821E3"/>
    <w:rsid w:val="033248AF"/>
    <w:rsid w:val="033F375B"/>
    <w:rsid w:val="033F3B43"/>
    <w:rsid w:val="03413BB8"/>
    <w:rsid w:val="03451B61"/>
    <w:rsid w:val="034C108A"/>
    <w:rsid w:val="034C489F"/>
    <w:rsid w:val="034C77B0"/>
    <w:rsid w:val="03511E5E"/>
    <w:rsid w:val="03524CD3"/>
    <w:rsid w:val="03665380"/>
    <w:rsid w:val="036D2DAF"/>
    <w:rsid w:val="0378017C"/>
    <w:rsid w:val="03813AA7"/>
    <w:rsid w:val="03874EB8"/>
    <w:rsid w:val="038E7B1F"/>
    <w:rsid w:val="038F19D5"/>
    <w:rsid w:val="03926802"/>
    <w:rsid w:val="03935D2B"/>
    <w:rsid w:val="03B304C7"/>
    <w:rsid w:val="03B405A6"/>
    <w:rsid w:val="03B966B3"/>
    <w:rsid w:val="03C30C20"/>
    <w:rsid w:val="03E1623A"/>
    <w:rsid w:val="03EB11EA"/>
    <w:rsid w:val="03EB3E5F"/>
    <w:rsid w:val="03F62E79"/>
    <w:rsid w:val="03F74148"/>
    <w:rsid w:val="040757DD"/>
    <w:rsid w:val="04077E2D"/>
    <w:rsid w:val="040E5F16"/>
    <w:rsid w:val="041C5F52"/>
    <w:rsid w:val="041D119A"/>
    <w:rsid w:val="0424225B"/>
    <w:rsid w:val="04322984"/>
    <w:rsid w:val="043949E6"/>
    <w:rsid w:val="044654BA"/>
    <w:rsid w:val="044948F2"/>
    <w:rsid w:val="04556113"/>
    <w:rsid w:val="04586458"/>
    <w:rsid w:val="04597688"/>
    <w:rsid w:val="046547D3"/>
    <w:rsid w:val="0466617C"/>
    <w:rsid w:val="046A6E17"/>
    <w:rsid w:val="046C4B3F"/>
    <w:rsid w:val="046C6FE6"/>
    <w:rsid w:val="047A7131"/>
    <w:rsid w:val="047B776A"/>
    <w:rsid w:val="04806B11"/>
    <w:rsid w:val="04877EA0"/>
    <w:rsid w:val="048C03F6"/>
    <w:rsid w:val="049241FC"/>
    <w:rsid w:val="04951C3A"/>
    <w:rsid w:val="04A22540"/>
    <w:rsid w:val="04A4722A"/>
    <w:rsid w:val="04AB0032"/>
    <w:rsid w:val="04AB0BAA"/>
    <w:rsid w:val="04AC64FA"/>
    <w:rsid w:val="04B27B68"/>
    <w:rsid w:val="04CF771D"/>
    <w:rsid w:val="04E36478"/>
    <w:rsid w:val="04E86CF1"/>
    <w:rsid w:val="04F10BCA"/>
    <w:rsid w:val="04F50737"/>
    <w:rsid w:val="050C14C0"/>
    <w:rsid w:val="05166722"/>
    <w:rsid w:val="051C2CDE"/>
    <w:rsid w:val="051E5238"/>
    <w:rsid w:val="05246F06"/>
    <w:rsid w:val="05300538"/>
    <w:rsid w:val="053730A2"/>
    <w:rsid w:val="053B19AC"/>
    <w:rsid w:val="054E0740"/>
    <w:rsid w:val="05647715"/>
    <w:rsid w:val="056D6164"/>
    <w:rsid w:val="057300A0"/>
    <w:rsid w:val="05896C67"/>
    <w:rsid w:val="058B252F"/>
    <w:rsid w:val="058E3326"/>
    <w:rsid w:val="05A31707"/>
    <w:rsid w:val="05AA45C3"/>
    <w:rsid w:val="05BE6967"/>
    <w:rsid w:val="05C06587"/>
    <w:rsid w:val="05C55124"/>
    <w:rsid w:val="05C61F26"/>
    <w:rsid w:val="05DC6461"/>
    <w:rsid w:val="05EB7002"/>
    <w:rsid w:val="05EC237C"/>
    <w:rsid w:val="05F55CA5"/>
    <w:rsid w:val="060B6692"/>
    <w:rsid w:val="061B45C8"/>
    <w:rsid w:val="06292C2E"/>
    <w:rsid w:val="06372B9B"/>
    <w:rsid w:val="063E2926"/>
    <w:rsid w:val="06514C09"/>
    <w:rsid w:val="06576FFA"/>
    <w:rsid w:val="065A439B"/>
    <w:rsid w:val="066300A9"/>
    <w:rsid w:val="06795045"/>
    <w:rsid w:val="068C0DAD"/>
    <w:rsid w:val="06993539"/>
    <w:rsid w:val="069D3F9E"/>
    <w:rsid w:val="069F0D8C"/>
    <w:rsid w:val="06AC6BFF"/>
    <w:rsid w:val="06B60E4C"/>
    <w:rsid w:val="06B67994"/>
    <w:rsid w:val="06CC534B"/>
    <w:rsid w:val="06DE0B05"/>
    <w:rsid w:val="06E61C2C"/>
    <w:rsid w:val="06F36C39"/>
    <w:rsid w:val="06F7538F"/>
    <w:rsid w:val="06FC55E6"/>
    <w:rsid w:val="07077405"/>
    <w:rsid w:val="071B4F62"/>
    <w:rsid w:val="07220D87"/>
    <w:rsid w:val="072348F4"/>
    <w:rsid w:val="07256196"/>
    <w:rsid w:val="07437BE4"/>
    <w:rsid w:val="07442AEF"/>
    <w:rsid w:val="074A4A05"/>
    <w:rsid w:val="07615C8D"/>
    <w:rsid w:val="07655EAB"/>
    <w:rsid w:val="079767B6"/>
    <w:rsid w:val="079B1D2B"/>
    <w:rsid w:val="079B3AB3"/>
    <w:rsid w:val="07C8681F"/>
    <w:rsid w:val="07CF565F"/>
    <w:rsid w:val="080918BD"/>
    <w:rsid w:val="0810530C"/>
    <w:rsid w:val="08117B8A"/>
    <w:rsid w:val="081222B5"/>
    <w:rsid w:val="08150A88"/>
    <w:rsid w:val="081A3182"/>
    <w:rsid w:val="082B0755"/>
    <w:rsid w:val="08313493"/>
    <w:rsid w:val="08326375"/>
    <w:rsid w:val="08447529"/>
    <w:rsid w:val="085F7207"/>
    <w:rsid w:val="086B36D6"/>
    <w:rsid w:val="086C54D2"/>
    <w:rsid w:val="0879694A"/>
    <w:rsid w:val="088416A5"/>
    <w:rsid w:val="08872BFA"/>
    <w:rsid w:val="088C2C03"/>
    <w:rsid w:val="088D0B8A"/>
    <w:rsid w:val="088F2D5F"/>
    <w:rsid w:val="089024C1"/>
    <w:rsid w:val="08AE6BF8"/>
    <w:rsid w:val="08AF3021"/>
    <w:rsid w:val="08BC43DC"/>
    <w:rsid w:val="08DD1DE8"/>
    <w:rsid w:val="08E81878"/>
    <w:rsid w:val="08ED5DD1"/>
    <w:rsid w:val="09044294"/>
    <w:rsid w:val="090B3252"/>
    <w:rsid w:val="091D0A35"/>
    <w:rsid w:val="09227F22"/>
    <w:rsid w:val="093063E7"/>
    <w:rsid w:val="093B5937"/>
    <w:rsid w:val="093D2159"/>
    <w:rsid w:val="09423B75"/>
    <w:rsid w:val="09497E1A"/>
    <w:rsid w:val="094B4B2C"/>
    <w:rsid w:val="094E373D"/>
    <w:rsid w:val="094F748C"/>
    <w:rsid w:val="09600591"/>
    <w:rsid w:val="09653653"/>
    <w:rsid w:val="0970453B"/>
    <w:rsid w:val="0976104A"/>
    <w:rsid w:val="0983162C"/>
    <w:rsid w:val="098C3331"/>
    <w:rsid w:val="09967046"/>
    <w:rsid w:val="09974E49"/>
    <w:rsid w:val="0999061E"/>
    <w:rsid w:val="09BD0E2C"/>
    <w:rsid w:val="09C6642A"/>
    <w:rsid w:val="09CC13EC"/>
    <w:rsid w:val="09CD5456"/>
    <w:rsid w:val="09CF6F31"/>
    <w:rsid w:val="09D95E76"/>
    <w:rsid w:val="09DC4FFE"/>
    <w:rsid w:val="09E33668"/>
    <w:rsid w:val="09EE6E88"/>
    <w:rsid w:val="0A014B4A"/>
    <w:rsid w:val="0A0165C2"/>
    <w:rsid w:val="0A2554EA"/>
    <w:rsid w:val="0A2605EF"/>
    <w:rsid w:val="0A29786E"/>
    <w:rsid w:val="0A387E7C"/>
    <w:rsid w:val="0A3C0A1E"/>
    <w:rsid w:val="0A423016"/>
    <w:rsid w:val="0A46224F"/>
    <w:rsid w:val="0A5336FE"/>
    <w:rsid w:val="0A7B7B99"/>
    <w:rsid w:val="0A7C3505"/>
    <w:rsid w:val="0AB45767"/>
    <w:rsid w:val="0AC72CA8"/>
    <w:rsid w:val="0AE94316"/>
    <w:rsid w:val="0AF36519"/>
    <w:rsid w:val="0AF85B92"/>
    <w:rsid w:val="0AFA4183"/>
    <w:rsid w:val="0AFD13D2"/>
    <w:rsid w:val="0B036D53"/>
    <w:rsid w:val="0B094569"/>
    <w:rsid w:val="0B1C10B3"/>
    <w:rsid w:val="0B291CB1"/>
    <w:rsid w:val="0B2B29FD"/>
    <w:rsid w:val="0B3A2110"/>
    <w:rsid w:val="0B492353"/>
    <w:rsid w:val="0B505197"/>
    <w:rsid w:val="0B59720D"/>
    <w:rsid w:val="0B5D743B"/>
    <w:rsid w:val="0B653158"/>
    <w:rsid w:val="0B7D1FFD"/>
    <w:rsid w:val="0B7F2240"/>
    <w:rsid w:val="0B840F95"/>
    <w:rsid w:val="0B867722"/>
    <w:rsid w:val="0BA41CDB"/>
    <w:rsid w:val="0BBD7D57"/>
    <w:rsid w:val="0BCD4C63"/>
    <w:rsid w:val="0BD41339"/>
    <w:rsid w:val="0BDB140A"/>
    <w:rsid w:val="0BDE3074"/>
    <w:rsid w:val="0BDF68B2"/>
    <w:rsid w:val="0BE97E8B"/>
    <w:rsid w:val="0BEE7CD6"/>
    <w:rsid w:val="0BFD182C"/>
    <w:rsid w:val="0BFD701C"/>
    <w:rsid w:val="0C027E5F"/>
    <w:rsid w:val="0C07480C"/>
    <w:rsid w:val="0C0B2129"/>
    <w:rsid w:val="0C325FFF"/>
    <w:rsid w:val="0C366B7A"/>
    <w:rsid w:val="0C417D2C"/>
    <w:rsid w:val="0C4A1EDF"/>
    <w:rsid w:val="0C5E6314"/>
    <w:rsid w:val="0C6A38B0"/>
    <w:rsid w:val="0C6C7A01"/>
    <w:rsid w:val="0C754A95"/>
    <w:rsid w:val="0C851F3C"/>
    <w:rsid w:val="0C92590F"/>
    <w:rsid w:val="0C9C1D21"/>
    <w:rsid w:val="0C9D6CDF"/>
    <w:rsid w:val="0CBF19C9"/>
    <w:rsid w:val="0CBF1C0A"/>
    <w:rsid w:val="0CBF7554"/>
    <w:rsid w:val="0CC634A7"/>
    <w:rsid w:val="0CC95561"/>
    <w:rsid w:val="0CD52810"/>
    <w:rsid w:val="0CE83156"/>
    <w:rsid w:val="0CEA556F"/>
    <w:rsid w:val="0CEA7A84"/>
    <w:rsid w:val="0CF11BBB"/>
    <w:rsid w:val="0CF322B1"/>
    <w:rsid w:val="0CF464E3"/>
    <w:rsid w:val="0D0B503A"/>
    <w:rsid w:val="0D184626"/>
    <w:rsid w:val="0D2046AA"/>
    <w:rsid w:val="0D23530D"/>
    <w:rsid w:val="0D2D6598"/>
    <w:rsid w:val="0D2F3B7E"/>
    <w:rsid w:val="0D346C56"/>
    <w:rsid w:val="0D383D2E"/>
    <w:rsid w:val="0D4728C2"/>
    <w:rsid w:val="0D475D18"/>
    <w:rsid w:val="0D4D07E0"/>
    <w:rsid w:val="0D507578"/>
    <w:rsid w:val="0D5D6039"/>
    <w:rsid w:val="0D7520CD"/>
    <w:rsid w:val="0D7D0115"/>
    <w:rsid w:val="0D81644E"/>
    <w:rsid w:val="0D8A0F98"/>
    <w:rsid w:val="0D8E6664"/>
    <w:rsid w:val="0DA556F4"/>
    <w:rsid w:val="0DA9263A"/>
    <w:rsid w:val="0DAD70BF"/>
    <w:rsid w:val="0DB000BD"/>
    <w:rsid w:val="0DB1587E"/>
    <w:rsid w:val="0DB22317"/>
    <w:rsid w:val="0DBB4D47"/>
    <w:rsid w:val="0DBD3F2B"/>
    <w:rsid w:val="0DBE26AE"/>
    <w:rsid w:val="0DC37C4B"/>
    <w:rsid w:val="0DC61ECA"/>
    <w:rsid w:val="0DD80C32"/>
    <w:rsid w:val="0DDF0D4D"/>
    <w:rsid w:val="0DE04FF7"/>
    <w:rsid w:val="0DF065E9"/>
    <w:rsid w:val="0DF25245"/>
    <w:rsid w:val="0DF81E0C"/>
    <w:rsid w:val="0E020192"/>
    <w:rsid w:val="0E045482"/>
    <w:rsid w:val="0E073A79"/>
    <w:rsid w:val="0E106F2A"/>
    <w:rsid w:val="0E146012"/>
    <w:rsid w:val="0E1700C6"/>
    <w:rsid w:val="0E232583"/>
    <w:rsid w:val="0E2341A2"/>
    <w:rsid w:val="0E2B3CC1"/>
    <w:rsid w:val="0E2C43E7"/>
    <w:rsid w:val="0E4152C5"/>
    <w:rsid w:val="0E4B7DB8"/>
    <w:rsid w:val="0E4C4C12"/>
    <w:rsid w:val="0E4F5E3A"/>
    <w:rsid w:val="0E5B7FA5"/>
    <w:rsid w:val="0E6F684F"/>
    <w:rsid w:val="0E70375D"/>
    <w:rsid w:val="0E7B0734"/>
    <w:rsid w:val="0E951321"/>
    <w:rsid w:val="0E9766E5"/>
    <w:rsid w:val="0E9B409C"/>
    <w:rsid w:val="0EAC46F6"/>
    <w:rsid w:val="0EB8319A"/>
    <w:rsid w:val="0EBC21D2"/>
    <w:rsid w:val="0EC5347E"/>
    <w:rsid w:val="0EC77EA9"/>
    <w:rsid w:val="0ECE329B"/>
    <w:rsid w:val="0ED660C5"/>
    <w:rsid w:val="0EDE00E9"/>
    <w:rsid w:val="0EE63367"/>
    <w:rsid w:val="0EF425D6"/>
    <w:rsid w:val="0F0206A3"/>
    <w:rsid w:val="0F23625C"/>
    <w:rsid w:val="0F2E3B0B"/>
    <w:rsid w:val="0F3E2A7D"/>
    <w:rsid w:val="0F4566BB"/>
    <w:rsid w:val="0F457A63"/>
    <w:rsid w:val="0F4B524E"/>
    <w:rsid w:val="0F5F6F25"/>
    <w:rsid w:val="0F7D511F"/>
    <w:rsid w:val="0F8B4796"/>
    <w:rsid w:val="0F8E45AC"/>
    <w:rsid w:val="0F944E4B"/>
    <w:rsid w:val="0FA23D6F"/>
    <w:rsid w:val="0FA5184C"/>
    <w:rsid w:val="0FB160D6"/>
    <w:rsid w:val="0FB465A9"/>
    <w:rsid w:val="0FD76BC3"/>
    <w:rsid w:val="0FD83E8C"/>
    <w:rsid w:val="0FDA7A1E"/>
    <w:rsid w:val="0FE25850"/>
    <w:rsid w:val="0FE45EF1"/>
    <w:rsid w:val="0FE57360"/>
    <w:rsid w:val="0FF23A96"/>
    <w:rsid w:val="0FF27E1A"/>
    <w:rsid w:val="0FFA7610"/>
    <w:rsid w:val="0FFE7C6A"/>
    <w:rsid w:val="100017E2"/>
    <w:rsid w:val="10053967"/>
    <w:rsid w:val="10107804"/>
    <w:rsid w:val="101D546B"/>
    <w:rsid w:val="10250C2A"/>
    <w:rsid w:val="102A3A78"/>
    <w:rsid w:val="1032712F"/>
    <w:rsid w:val="10381E8C"/>
    <w:rsid w:val="103E151E"/>
    <w:rsid w:val="105E26E0"/>
    <w:rsid w:val="106E6549"/>
    <w:rsid w:val="10702130"/>
    <w:rsid w:val="107C0C93"/>
    <w:rsid w:val="10852AB5"/>
    <w:rsid w:val="108C56E4"/>
    <w:rsid w:val="1092654A"/>
    <w:rsid w:val="10A457FD"/>
    <w:rsid w:val="10A52C59"/>
    <w:rsid w:val="10A73935"/>
    <w:rsid w:val="10A834AA"/>
    <w:rsid w:val="10AB230B"/>
    <w:rsid w:val="10B76E0A"/>
    <w:rsid w:val="10C009BC"/>
    <w:rsid w:val="10C50306"/>
    <w:rsid w:val="10CA399E"/>
    <w:rsid w:val="10E84A0F"/>
    <w:rsid w:val="10FC5772"/>
    <w:rsid w:val="10FE4FEC"/>
    <w:rsid w:val="11053052"/>
    <w:rsid w:val="11095AE5"/>
    <w:rsid w:val="11134EFD"/>
    <w:rsid w:val="1113685D"/>
    <w:rsid w:val="1132332E"/>
    <w:rsid w:val="11325BFB"/>
    <w:rsid w:val="11325CCF"/>
    <w:rsid w:val="11357A85"/>
    <w:rsid w:val="11410E7A"/>
    <w:rsid w:val="11412159"/>
    <w:rsid w:val="11474649"/>
    <w:rsid w:val="115D4CC0"/>
    <w:rsid w:val="11632FBD"/>
    <w:rsid w:val="11677B65"/>
    <w:rsid w:val="11736482"/>
    <w:rsid w:val="117B69AE"/>
    <w:rsid w:val="11921A36"/>
    <w:rsid w:val="11AC1B00"/>
    <w:rsid w:val="11AF6260"/>
    <w:rsid w:val="11BF168E"/>
    <w:rsid w:val="11C0689E"/>
    <w:rsid w:val="11C35DF5"/>
    <w:rsid w:val="11CB03D5"/>
    <w:rsid w:val="11CB71A7"/>
    <w:rsid w:val="11CD4795"/>
    <w:rsid w:val="11D24E2F"/>
    <w:rsid w:val="11D3366C"/>
    <w:rsid w:val="11DE546B"/>
    <w:rsid w:val="11E36E77"/>
    <w:rsid w:val="11E711FC"/>
    <w:rsid w:val="11EB0205"/>
    <w:rsid w:val="12053623"/>
    <w:rsid w:val="121D25F8"/>
    <w:rsid w:val="121F0AC2"/>
    <w:rsid w:val="12287632"/>
    <w:rsid w:val="12394EC7"/>
    <w:rsid w:val="12476CAF"/>
    <w:rsid w:val="124A3DA7"/>
    <w:rsid w:val="12616EDA"/>
    <w:rsid w:val="126273B8"/>
    <w:rsid w:val="126F5496"/>
    <w:rsid w:val="127668FD"/>
    <w:rsid w:val="127826F9"/>
    <w:rsid w:val="128400C0"/>
    <w:rsid w:val="128626AB"/>
    <w:rsid w:val="12906D89"/>
    <w:rsid w:val="12931AE3"/>
    <w:rsid w:val="129E72D4"/>
    <w:rsid w:val="12BA5D88"/>
    <w:rsid w:val="12C14AF0"/>
    <w:rsid w:val="12CC72B7"/>
    <w:rsid w:val="12CD5EF3"/>
    <w:rsid w:val="12D30092"/>
    <w:rsid w:val="12DE5A77"/>
    <w:rsid w:val="12E81804"/>
    <w:rsid w:val="12EA43E0"/>
    <w:rsid w:val="12ED3AEB"/>
    <w:rsid w:val="12F207FB"/>
    <w:rsid w:val="12FD49FC"/>
    <w:rsid w:val="12FE0B24"/>
    <w:rsid w:val="130B0F50"/>
    <w:rsid w:val="130F4CDF"/>
    <w:rsid w:val="13375DFC"/>
    <w:rsid w:val="134F386D"/>
    <w:rsid w:val="135C032C"/>
    <w:rsid w:val="135D217C"/>
    <w:rsid w:val="136D2EB1"/>
    <w:rsid w:val="137B44B3"/>
    <w:rsid w:val="13826EF9"/>
    <w:rsid w:val="138867E1"/>
    <w:rsid w:val="138C7E6B"/>
    <w:rsid w:val="138F7936"/>
    <w:rsid w:val="13953E25"/>
    <w:rsid w:val="13A35C64"/>
    <w:rsid w:val="13A546FF"/>
    <w:rsid w:val="13B330F4"/>
    <w:rsid w:val="13BB5A7F"/>
    <w:rsid w:val="13CA6835"/>
    <w:rsid w:val="13D62E35"/>
    <w:rsid w:val="13F11D0A"/>
    <w:rsid w:val="13F36765"/>
    <w:rsid w:val="13FB2E7D"/>
    <w:rsid w:val="14033ACD"/>
    <w:rsid w:val="141E1D6C"/>
    <w:rsid w:val="142D4436"/>
    <w:rsid w:val="1433604E"/>
    <w:rsid w:val="1435511E"/>
    <w:rsid w:val="143F6249"/>
    <w:rsid w:val="144F4841"/>
    <w:rsid w:val="145157B4"/>
    <w:rsid w:val="145A1F77"/>
    <w:rsid w:val="145A493C"/>
    <w:rsid w:val="145E23DB"/>
    <w:rsid w:val="146E11DB"/>
    <w:rsid w:val="147514AC"/>
    <w:rsid w:val="147555C5"/>
    <w:rsid w:val="147A4030"/>
    <w:rsid w:val="14921D75"/>
    <w:rsid w:val="149245B7"/>
    <w:rsid w:val="149D2E21"/>
    <w:rsid w:val="14A20EF9"/>
    <w:rsid w:val="14A47A00"/>
    <w:rsid w:val="14B27322"/>
    <w:rsid w:val="14B91B57"/>
    <w:rsid w:val="14BB4F6D"/>
    <w:rsid w:val="14C12672"/>
    <w:rsid w:val="14C57338"/>
    <w:rsid w:val="14C93A9A"/>
    <w:rsid w:val="14D41C07"/>
    <w:rsid w:val="14D6556D"/>
    <w:rsid w:val="14E55B4B"/>
    <w:rsid w:val="14F46355"/>
    <w:rsid w:val="14F67AD6"/>
    <w:rsid w:val="15011594"/>
    <w:rsid w:val="151D38EF"/>
    <w:rsid w:val="15215F12"/>
    <w:rsid w:val="15235100"/>
    <w:rsid w:val="153455E5"/>
    <w:rsid w:val="154C1F83"/>
    <w:rsid w:val="1551497C"/>
    <w:rsid w:val="155E206D"/>
    <w:rsid w:val="15600FCA"/>
    <w:rsid w:val="156430AD"/>
    <w:rsid w:val="15686A35"/>
    <w:rsid w:val="156B01DE"/>
    <w:rsid w:val="157224A6"/>
    <w:rsid w:val="15763D45"/>
    <w:rsid w:val="15853975"/>
    <w:rsid w:val="158741A4"/>
    <w:rsid w:val="158C17BA"/>
    <w:rsid w:val="158C19C5"/>
    <w:rsid w:val="158C2283"/>
    <w:rsid w:val="159A4AA6"/>
    <w:rsid w:val="159B2CF7"/>
    <w:rsid w:val="15A63383"/>
    <w:rsid w:val="15A84D94"/>
    <w:rsid w:val="15AC22BA"/>
    <w:rsid w:val="15B6375D"/>
    <w:rsid w:val="15B9464E"/>
    <w:rsid w:val="15C215FF"/>
    <w:rsid w:val="15CC19D4"/>
    <w:rsid w:val="15CC2E57"/>
    <w:rsid w:val="15CD3AFF"/>
    <w:rsid w:val="15CF00B7"/>
    <w:rsid w:val="15D942D4"/>
    <w:rsid w:val="15DC5FB0"/>
    <w:rsid w:val="15DF1880"/>
    <w:rsid w:val="15E45D42"/>
    <w:rsid w:val="15E56617"/>
    <w:rsid w:val="15E74779"/>
    <w:rsid w:val="15ED05A6"/>
    <w:rsid w:val="15ED1A9B"/>
    <w:rsid w:val="15F17251"/>
    <w:rsid w:val="16084568"/>
    <w:rsid w:val="160F7CF5"/>
    <w:rsid w:val="1610756A"/>
    <w:rsid w:val="16136E2F"/>
    <w:rsid w:val="161B669A"/>
    <w:rsid w:val="162738E6"/>
    <w:rsid w:val="163776FC"/>
    <w:rsid w:val="16381525"/>
    <w:rsid w:val="16591530"/>
    <w:rsid w:val="165B13F3"/>
    <w:rsid w:val="166105CF"/>
    <w:rsid w:val="166859A0"/>
    <w:rsid w:val="1674081C"/>
    <w:rsid w:val="16992B2C"/>
    <w:rsid w:val="169D65C8"/>
    <w:rsid w:val="16A35FDC"/>
    <w:rsid w:val="16A36EFD"/>
    <w:rsid w:val="16A45129"/>
    <w:rsid w:val="16AE7A47"/>
    <w:rsid w:val="16B30F63"/>
    <w:rsid w:val="16B54FFC"/>
    <w:rsid w:val="16C378D0"/>
    <w:rsid w:val="16CB369D"/>
    <w:rsid w:val="16D853A9"/>
    <w:rsid w:val="16D86DA9"/>
    <w:rsid w:val="16DB628A"/>
    <w:rsid w:val="17085842"/>
    <w:rsid w:val="170C4772"/>
    <w:rsid w:val="170D375B"/>
    <w:rsid w:val="170E7DF5"/>
    <w:rsid w:val="17296A1B"/>
    <w:rsid w:val="17310418"/>
    <w:rsid w:val="174213A1"/>
    <w:rsid w:val="1747404C"/>
    <w:rsid w:val="17584769"/>
    <w:rsid w:val="175D7687"/>
    <w:rsid w:val="176D4E54"/>
    <w:rsid w:val="17777043"/>
    <w:rsid w:val="17781027"/>
    <w:rsid w:val="17827B30"/>
    <w:rsid w:val="179C7FCB"/>
    <w:rsid w:val="17AD1250"/>
    <w:rsid w:val="17B06870"/>
    <w:rsid w:val="17B75058"/>
    <w:rsid w:val="17B978D0"/>
    <w:rsid w:val="17C47DC2"/>
    <w:rsid w:val="17C95F1A"/>
    <w:rsid w:val="17E26153"/>
    <w:rsid w:val="17E770AD"/>
    <w:rsid w:val="17EE4066"/>
    <w:rsid w:val="17F203A8"/>
    <w:rsid w:val="17FA3987"/>
    <w:rsid w:val="1815469F"/>
    <w:rsid w:val="181A45F4"/>
    <w:rsid w:val="181B6799"/>
    <w:rsid w:val="18232A46"/>
    <w:rsid w:val="182C7857"/>
    <w:rsid w:val="183335A7"/>
    <w:rsid w:val="18396009"/>
    <w:rsid w:val="18403DE3"/>
    <w:rsid w:val="18464C88"/>
    <w:rsid w:val="184D4BA4"/>
    <w:rsid w:val="18567A9F"/>
    <w:rsid w:val="185F4FAB"/>
    <w:rsid w:val="187E51B4"/>
    <w:rsid w:val="188047DA"/>
    <w:rsid w:val="18841379"/>
    <w:rsid w:val="188554D4"/>
    <w:rsid w:val="188F5267"/>
    <w:rsid w:val="18977571"/>
    <w:rsid w:val="18A16ACF"/>
    <w:rsid w:val="18A35A77"/>
    <w:rsid w:val="18B20267"/>
    <w:rsid w:val="18B77D0D"/>
    <w:rsid w:val="18BB5030"/>
    <w:rsid w:val="18BE3BA5"/>
    <w:rsid w:val="18BE7CA7"/>
    <w:rsid w:val="18C25A33"/>
    <w:rsid w:val="18D76BB6"/>
    <w:rsid w:val="190833DE"/>
    <w:rsid w:val="19090609"/>
    <w:rsid w:val="19093A9E"/>
    <w:rsid w:val="19121DF2"/>
    <w:rsid w:val="191C2E55"/>
    <w:rsid w:val="19205850"/>
    <w:rsid w:val="19287A4C"/>
    <w:rsid w:val="193C36BB"/>
    <w:rsid w:val="194153A8"/>
    <w:rsid w:val="194E00C1"/>
    <w:rsid w:val="19600F94"/>
    <w:rsid w:val="19696900"/>
    <w:rsid w:val="19707C0A"/>
    <w:rsid w:val="19754B7A"/>
    <w:rsid w:val="198253AE"/>
    <w:rsid w:val="198F7DD1"/>
    <w:rsid w:val="19931150"/>
    <w:rsid w:val="199B7D35"/>
    <w:rsid w:val="19A12B2A"/>
    <w:rsid w:val="19A849BF"/>
    <w:rsid w:val="19BF6B37"/>
    <w:rsid w:val="19C451C0"/>
    <w:rsid w:val="19D32B92"/>
    <w:rsid w:val="19E02C3C"/>
    <w:rsid w:val="19F8658F"/>
    <w:rsid w:val="19FC38D3"/>
    <w:rsid w:val="19FE1017"/>
    <w:rsid w:val="1A002548"/>
    <w:rsid w:val="1A0B136E"/>
    <w:rsid w:val="1A4F690C"/>
    <w:rsid w:val="1A631281"/>
    <w:rsid w:val="1A67778E"/>
    <w:rsid w:val="1A684373"/>
    <w:rsid w:val="1A6E4D99"/>
    <w:rsid w:val="1A726054"/>
    <w:rsid w:val="1A753591"/>
    <w:rsid w:val="1A790B44"/>
    <w:rsid w:val="1A8102AE"/>
    <w:rsid w:val="1A8A47B4"/>
    <w:rsid w:val="1A8F7175"/>
    <w:rsid w:val="1A942A52"/>
    <w:rsid w:val="1A9C5992"/>
    <w:rsid w:val="1AC8608D"/>
    <w:rsid w:val="1ACC6416"/>
    <w:rsid w:val="1ADA2480"/>
    <w:rsid w:val="1AE40380"/>
    <w:rsid w:val="1AE552DE"/>
    <w:rsid w:val="1AEA51BE"/>
    <w:rsid w:val="1AF55AD7"/>
    <w:rsid w:val="1AF85414"/>
    <w:rsid w:val="1AFB15D3"/>
    <w:rsid w:val="1B096D4A"/>
    <w:rsid w:val="1B163ADA"/>
    <w:rsid w:val="1B1851AF"/>
    <w:rsid w:val="1B3874C2"/>
    <w:rsid w:val="1B3B7F4C"/>
    <w:rsid w:val="1B3C7E8C"/>
    <w:rsid w:val="1B422D4A"/>
    <w:rsid w:val="1B54411C"/>
    <w:rsid w:val="1B6D560A"/>
    <w:rsid w:val="1B747051"/>
    <w:rsid w:val="1B776305"/>
    <w:rsid w:val="1B861CEA"/>
    <w:rsid w:val="1B884A51"/>
    <w:rsid w:val="1B8A054A"/>
    <w:rsid w:val="1BAB5731"/>
    <w:rsid w:val="1BB03947"/>
    <w:rsid w:val="1BC073F8"/>
    <w:rsid w:val="1BC53BE1"/>
    <w:rsid w:val="1BC71B7A"/>
    <w:rsid w:val="1BCD640C"/>
    <w:rsid w:val="1BD1045D"/>
    <w:rsid w:val="1BE15102"/>
    <w:rsid w:val="1BFE541B"/>
    <w:rsid w:val="1C083F4E"/>
    <w:rsid w:val="1C08536C"/>
    <w:rsid w:val="1C380D1A"/>
    <w:rsid w:val="1C3F779A"/>
    <w:rsid w:val="1C465FAA"/>
    <w:rsid w:val="1C474536"/>
    <w:rsid w:val="1C4D4BB6"/>
    <w:rsid w:val="1C577AF1"/>
    <w:rsid w:val="1C603D5A"/>
    <w:rsid w:val="1C624755"/>
    <w:rsid w:val="1C646D36"/>
    <w:rsid w:val="1C662CC7"/>
    <w:rsid w:val="1C7014DB"/>
    <w:rsid w:val="1C752FA8"/>
    <w:rsid w:val="1C820505"/>
    <w:rsid w:val="1C846C91"/>
    <w:rsid w:val="1C864A21"/>
    <w:rsid w:val="1C88527A"/>
    <w:rsid w:val="1C9075BD"/>
    <w:rsid w:val="1C9D0AAB"/>
    <w:rsid w:val="1CA1438C"/>
    <w:rsid w:val="1CAA5EC6"/>
    <w:rsid w:val="1CAB4073"/>
    <w:rsid w:val="1CB45D9E"/>
    <w:rsid w:val="1CB97E53"/>
    <w:rsid w:val="1CC161AC"/>
    <w:rsid w:val="1CC83128"/>
    <w:rsid w:val="1CD37B85"/>
    <w:rsid w:val="1CD53A5F"/>
    <w:rsid w:val="1CDB046F"/>
    <w:rsid w:val="1CDF5669"/>
    <w:rsid w:val="1CED27BC"/>
    <w:rsid w:val="1CFF4657"/>
    <w:rsid w:val="1D0656B9"/>
    <w:rsid w:val="1D197B7C"/>
    <w:rsid w:val="1D213AF7"/>
    <w:rsid w:val="1D3117D0"/>
    <w:rsid w:val="1D4E1ACA"/>
    <w:rsid w:val="1D5379C3"/>
    <w:rsid w:val="1D632BAB"/>
    <w:rsid w:val="1D65360B"/>
    <w:rsid w:val="1D6A5C3E"/>
    <w:rsid w:val="1D784A2A"/>
    <w:rsid w:val="1D7D0597"/>
    <w:rsid w:val="1D7E5C8E"/>
    <w:rsid w:val="1D8450B1"/>
    <w:rsid w:val="1D8E6679"/>
    <w:rsid w:val="1DA5212C"/>
    <w:rsid w:val="1DB17B34"/>
    <w:rsid w:val="1DB75EB7"/>
    <w:rsid w:val="1DCC3D2B"/>
    <w:rsid w:val="1DD36BA0"/>
    <w:rsid w:val="1DD56871"/>
    <w:rsid w:val="1DE67B7A"/>
    <w:rsid w:val="1DEA4177"/>
    <w:rsid w:val="1DF47525"/>
    <w:rsid w:val="1E01429B"/>
    <w:rsid w:val="1E052C35"/>
    <w:rsid w:val="1E054696"/>
    <w:rsid w:val="1E077B3D"/>
    <w:rsid w:val="1E0873CC"/>
    <w:rsid w:val="1E170912"/>
    <w:rsid w:val="1E1B49BC"/>
    <w:rsid w:val="1E290DBC"/>
    <w:rsid w:val="1E347DB9"/>
    <w:rsid w:val="1E3E1CDA"/>
    <w:rsid w:val="1E3F4952"/>
    <w:rsid w:val="1E410386"/>
    <w:rsid w:val="1E4752C4"/>
    <w:rsid w:val="1E546BAB"/>
    <w:rsid w:val="1E593EEF"/>
    <w:rsid w:val="1E64666F"/>
    <w:rsid w:val="1E717FDF"/>
    <w:rsid w:val="1E881CB1"/>
    <w:rsid w:val="1E945B97"/>
    <w:rsid w:val="1EA062D6"/>
    <w:rsid w:val="1EA9439B"/>
    <w:rsid w:val="1EAF5F3C"/>
    <w:rsid w:val="1EB0087E"/>
    <w:rsid w:val="1EB17DAA"/>
    <w:rsid w:val="1EB83BF5"/>
    <w:rsid w:val="1EBA05F9"/>
    <w:rsid w:val="1ECB0460"/>
    <w:rsid w:val="1ED275E6"/>
    <w:rsid w:val="1EE00E4C"/>
    <w:rsid w:val="1EF32A87"/>
    <w:rsid w:val="1EFC5BFB"/>
    <w:rsid w:val="1EFF5EE5"/>
    <w:rsid w:val="1F004D9B"/>
    <w:rsid w:val="1F031592"/>
    <w:rsid w:val="1F0E3F3F"/>
    <w:rsid w:val="1F0F1896"/>
    <w:rsid w:val="1F0F19B1"/>
    <w:rsid w:val="1F2B74D9"/>
    <w:rsid w:val="1F2C0C32"/>
    <w:rsid w:val="1F3A06CD"/>
    <w:rsid w:val="1F50594B"/>
    <w:rsid w:val="1F5454E3"/>
    <w:rsid w:val="1F5572CA"/>
    <w:rsid w:val="1F610A5A"/>
    <w:rsid w:val="1F64191A"/>
    <w:rsid w:val="1F677ABC"/>
    <w:rsid w:val="1F693DD6"/>
    <w:rsid w:val="1F7A0F0F"/>
    <w:rsid w:val="1F8A5C8B"/>
    <w:rsid w:val="1F8F7B9C"/>
    <w:rsid w:val="1FA9279F"/>
    <w:rsid w:val="1FAA5242"/>
    <w:rsid w:val="1FAD1D43"/>
    <w:rsid w:val="1FAD63AE"/>
    <w:rsid w:val="1FAE7F19"/>
    <w:rsid w:val="1FAF2E88"/>
    <w:rsid w:val="1FB20309"/>
    <w:rsid w:val="1FBE5490"/>
    <w:rsid w:val="1FDB32B2"/>
    <w:rsid w:val="1FDB6889"/>
    <w:rsid w:val="1FE059E6"/>
    <w:rsid w:val="1FE07075"/>
    <w:rsid w:val="1FE320D9"/>
    <w:rsid w:val="1FE53602"/>
    <w:rsid w:val="20022746"/>
    <w:rsid w:val="200C32FC"/>
    <w:rsid w:val="200E6332"/>
    <w:rsid w:val="202307B7"/>
    <w:rsid w:val="20420393"/>
    <w:rsid w:val="204B2EF8"/>
    <w:rsid w:val="204D33CA"/>
    <w:rsid w:val="20504A23"/>
    <w:rsid w:val="205D6A7E"/>
    <w:rsid w:val="2068653E"/>
    <w:rsid w:val="206F2542"/>
    <w:rsid w:val="2070318C"/>
    <w:rsid w:val="20794048"/>
    <w:rsid w:val="208126F3"/>
    <w:rsid w:val="20841250"/>
    <w:rsid w:val="208E152E"/>
    <w:rsid w:val="208E3BCE"/>
    <w:rsid w:val="20996711"/>
    <w:rsid w:val="20A64E1E"/>
    <w:rsid w:val="20B13608"/>
    <w:rsid w:val="20C15F92"/>
    <w:rsid w:val="20D2403D"/>
    <w:rsid w:val="20DF19CB"/>
    <w:rsid w:val="20DF62A0"/>
    <w:rsid w:val="20EC3AE1"/>
    <w:rsid w:val="20F213A9"/>
    <w:rsid w:val="210A748B"/>
    <w:rsid w:val="210B39F0"/>
    <w:rsid w:val="210E57C5"/>
    <w:rsid w:val="21174678"/>
    <w:rsid w:val="211A0A87"/>
    <w:rsid w:val="21274B82"/>
    <w:rsid w:val="21363C12"/>
    <w:rsid w:val="21420090"/>
    <w:rsid w:val="2147436B"/>
    <w:rsid w:val="215830DF"/>
    <w:rsid w:val="21604EE4"/>
    <w:rsid w:val="21612C11"/>
    <w:rsid w:val="2177523C"/>
    <w:rsid w:val="217A2679"/>
    <w:rsid w:val="217B6B45"/>
    <w:rsid w:val="21901C6C"/>
    <w:rsid w:val="21910EA5"/>
    <w:rsid w:val="219F77CE"/>
    <w:rsid w:val="21A61719"/>
    <w:rsid w:val="21B60E10"/>
    <w:rsid w:val="21B66021"/>
    <w:rsid w:val="21B93877"/>
    <w:rsid w:val="21BB576E"/>
    <w:rsid w:val="21C5083C"/>
    <w:rsid w:val="21E431E7"/>
    <w:rsid w:val="21E43479"/>
    <w:rsid w:val="21EC3696"/>
    <w:rsid w:val="21FD45BC"/>
    <w:rsid w:val="220A3853"/>
    <w:rsid w:val="2211452E"/>
    <w:rsid w:val="221620B5"/>
    <w:rsid w:val="22173BAC"/>
    <w:rsid w:val="22211305"/>
    <w:rsid w:val="22235027"/>
    <w:rsid w:val="22237B22"/>
    <w:rsid w:val="222A6A6C"/>
    <w:rsid w:val="222F4CE5"/>
    <w:rsid w:val="22310679"/>
    <w:rsid w:val="22346B42"/>
    <w:rsid w:val="224118D5"/>
    <w:rsid w:val="22432047"/>
    <w:rsid w:val="224E061C"/>
    <w:rsid w:val="224F7DF7"/>
    <w:rsid w:val="22552704"/>
    <w:rsid w:val="225E0FC4"/>
    <w:rsid w:val="22670B30"/>
    <w:rsid w:val="226A7C8D"/>
    <w:rsid w:val="228C70FF"/>
    <w:rsid w:val="228D4310"/>
    <w:rsid w:val="228F3215"/>
    <w:rsid w:val="22964988"/>
    <w:rsid w:val="22AB1A52"/>
    <w:rsid w:val="22AD52E8"/>
    <w:rsid w:val="22AE54AB"/>
    <w:rsid w:val="22B07690"/>
    <w:rsid w:val="22B72F8D"/>
    <w:rsid w:val="22D05321"/>
    <w:rsid w:val="22D67E4D"/>
    <w:rsid w:val="22DA102D"/>
    <w:rsid w:val="22E13B56"/>
    <w:rsid w:val="23014829"/>
    <w:rsid w:val="231426CB"/>
    <w:rsid w:val="231A53DC"/>
    <w:rsid w:val="231F0B79"/>
    <w:rsid w:val="23255838"/>
    <w:rsid w:val="232A323C"/>
    <w:rsid w:val="232C6837"/>
    <w:rsid w:val="23333918"/>
    <w:rsid w:val="233876DC"/>
    <w:rsid w:val="233D2589"/>
    <w:rsid w:val="233F29DA"/>
    <w:rsid w:val="23403BE4"/>
    <w:rsid w:val="2342123A"/>
    <w:rsid w:val="23453250"/>
    <w:rsid w:val="23502AED"/>
    <w:rsid w:val="23513562"/>
    <w:rsid w:val="2352225F"/>
    <w:rsid w:val="2353345A"/>
    <w:rsid w:val="23547E4D"/>
    <w:rsid w:val="235E79B6"/>
    <w:rsid w:val="237103CA"/>
    <w:rsid w:val="237A2D06"/>
    <w:rsid w:val="237B28FF"/>
    <w:rsid w:val="239670AB"/>
    <w:rsid w:val="23D802C6"/>
    <w:rsid w:val="23DC205C"/>
    <w:rsid w:val="23DD151B"/>
    <w:rsid w:val="23E31E2C"/>
    <w:rsid w:val="23F154D8"/>
    <w:rsid w:val="23F70F0E"/>
    <w:rsid w:val="23F817DE"/>
    <w:rsid w:val="23FC2E84"/>
    <w:rsid w:val="24046099"/>
    <w:rsid w:val="242416B3"/>
    <w:rsid w:val="242849CB"/>
    <w:rsid w:val="242D1BFA"/>
    <w:rsid w:val="242D259E"/>
    <w:rsid w:val="24433E52"/>
    <w:rsid w:val="24462A7F"/>
    <w:rsid w:val="244814CF"/>
    <w:rsid w:val="244E526C"/>
    <w:rsid w:val="24561884"/>
    <w:rsid w:val="245A5890"/>
    <w:rsid w:val="245A5C01"/>
    <w:rsid w:val="24600CE8"/>
    <w:rsid w:val="24710B7D"/>
    <w:rsid w:val="24771887"/>
    <w:rsid w:val="247753E3"/>
    <w:rsid w:val="247E6772"/>
    <w:rsid w:val="24912E0F"/>
    <w:rsid w:val="24934201"/>
    <w:rsid w:val="24A634C6"/>
    <w:rsid w:val="24AE34FB"/>
    <w:rsid w:val="24B4785E"/>
    <w:rsid w:val="24BA64E4"/>
    <w:rsid w:val="24C500D8"/>
    <w:rsid w:val="24D628A4"/>
    <w:rsid w:val="24D740D4"/>
    <w:rsid w:val="24E11F4A"/>
    <w:rsid w:val="24FB0A58"/>
    <w:rsid w:val="250745F0"/>
    <w:rsid w:val="250E7F7F"/>
    <w:rsid w:val="250F4EE9"/>
    <w:rsid w:val="251226E1"/>
    <w:rsid w:val="25295A79"/>
    <w:rsid w:val="252A533F"/>
    <w:rsid w:val="25414523"/>
    <w:rsid w:val="254A29F0"/>
    <w:rsid w:val="254D7E1A"/>
    <w:rsid w:val="25585D32"/>
    <w:rsid w:val="255D55ED"/>
    <w:rsid w:val="256404E2"/>
    <w:rsid w:val="25684D1F"/>
    <w:rsid w:val="258D7F70"/>
    <w:rsid w:val="259061A2"/>
    <w:rsid w:val="25AC4F0D"/>
    <w:rsid w:val="25AC76BA"/>
    <w:rsid w:val="25B94092"/>
    <w:rsid w:val="25CD74DC"/>
    <w:rsid w:val="25D121E1"/>
    <w:rsid w:val="25E90563"/>
    <w:rsid w:val="25F01041"/>
    <w:rsid w:val="26012914"/>
    <w:rsid w:val="2604201C"/>
    <w:rsid w:val="2604404A"/>
    <w:rsid w:val="26076916"/>
    <w:rsid w:val="262413A8"/>
    <w:rsid w:val="2633498F"/>
    <w:rsid w:val="265107AF"/>
    <w:rsid w:val="26513591"/>
    <w:rsid w:val="265832E5"/>
    <w:rsid w:val="265C5850"/>
    <w:rsid w:val="26604043"/>
    <w:rsid w:val="266D5C05"/>
    <w:rsid w:val="268266D9"/>
    <w:rsid w:val="26880147"/>
    <w:rsid w:val="268C4178"/>
    <w:rsid w:val="268E1F38"/>
    <w:rsid w:val="268F110A"/>
    <w:rsid w:val="269607E0"/>
    <w:rsid w:val="26991C7F"/>
    <w:rsid w:val="26A2127F"/>
    <w:rsid w:val="26A47737"/>
    <w:rsid w:val="26A566F0"/>
    <w:rsid w:val="26D07DC7"/>
    <w:rsid w:val="26DB5018"/>
    <w:rsid w:val="26F53C3C"/>
    <w:rsid w:val="270F6BFF"/>
    <w:rsid w:val="27102320"/>
    <w:rsid w:val="271613DC"/>
    <w:rsid w:val="272123F7"/>
    <w:rsid w:val="272E44C4"/>
    <w:rsid w:val="27301F38"/>
    <w:rsid w:val="27327CD4"/>
    <w:rsid w:val="273A2AFE"/>
    <w:rsid w:val="273B5F22"/>
    <w:rsid w:val="273F2577"/>
    <w:rsid w:val="274F2F61"/>
    <w:rsid w:val="276632BF"/>
    <w:rsid w:val="27684ABB"/>
    <w:rsid w:val="276A7481"/>
    <w:rsid w:val="276B7A62"/>
    <w:rsid w:val="277546BE"/>
    <w:rsid w:val="277F2613"/>
    <w:rsid w:val="278B38AD"/>
    <w:rsid w:val="278C0528"/>
    <w:rsid w:val="279679F3"/>
    <w:rsid w:val="27AB7CF8"/>
    <w:rsid w:val="27AD3CAE"/>
    <w:rsid w:val="27CE5442"/>
    <w:rsid w:val="27DA0B9B"/>
    <w:rsid w:val="27DC1611"/>
    <w:rsid w:val="27DC21BF"/>
    <w:rsid w:val="27EC05FC"/>
    <w:rsid w:val="27FA2780"/>
    <w:rsid w:val="2805039A"/>
    <w:rsid w:val="280A085A"/>
    <w:rsid w:val="280B5A60"/>
    <w:rsid w:val="280F2499"/>
    <w:rsid w:val="281109A6"/>
    <w:rsid w:val="281915DE"/>
    <w:rsid w:val="282034FC"/>
    <w:rsid w:val="2834672E"/>
    <w:rsid w:val="28382209"/>
    <w:rsid w:val="284321AC"/>
    <w:rsid w:val="284E076E"/>
    <w:rsid w:val="2850346E"/>
    <w:rsid w:val="286046A8"/>
    <w:rsid w:val="28623F1D"/>
    <w:rsid w:val="286449C2"/>
    <w:rsid w:val="28645AF8"/>
    <w:rsid w:val="286A596C"/>
    <w:rsid w:val="286B08D8"/>
    <w:rsid w:val="28701061"/>
    <w:rsid w:val="28874178"/>
    <w:rsid w:val="289A754C"/>
    <w:rsid w:val="28A733CE"/>
    <w:rsid w:val="28B64B0E"/>
    <w:rsid w:val="28BA1D43"/>
    <w:rsid w:val="28C42045"/>
    <w:rsid w:val="28C561D9"/>
    <w:rsid w:val="28C57065"/>
    <w:rsid w:val="28DF6388"/>
    <w:rsid w:val="28EC0E8C"/>
    <w:rsid w:val="28F57593"/>
    <w:rsid w:val="29150C1F"/>
    <w:rsid w:val="292407B9"/>
    <w:rsid w:val="292B036D"/>
    <w:rsid w:val="29485F41"/>
    <w:rsid w:val="29561917"/>
    <w:rsid w:val="295966C7"/>
    <w:rsid w:val="297E257E"/>
    <w:rsid w:val="298675F6"/>
    <w:rsid w:val="29871CC3"/>
    <w:rsid w:val="29B97196"/>
    <w:rsid w:val="29CB5CA6"/>
    <w:rsid w:val="29D82903"/>
    <w:rsid w:val="29DA5A4E"/>
    <w:rsid w:val="29DD1E0E"/>
    <w:rsid w:val="29EE0187"/>
    <w:rsid w:val="2A001770"/>
    <w:rsid w:val="2A0C6D1E"/>
    <w:rsid w:val="2A147325"/>
    <w:rsid w:val="2A1756D0"/>
    <w:rsid w:val="2A1D64B2"/>
    <w:rsid w:val="2A2004DD"/>
    <w:rsid w:val="2A22737A"/>
    <w:rsid w:val="2A380A25"/>
    <w:rsid w:val="2A422ADF"/>
    <w:rsid w:val="2A427950"/>
    <w:rsid w:val="2A4B754A"/>
    <w:rsid w:val="2A575F99"/>
    <w:rsid w:val="2A59017D"/>
    <w:rsid w:val="2A67719A"/>
    <w:rsid w:val="2A6A3954"/>
    <w:rsid w:val="2A6E5EEC"/>
    <w:rsid w:val="2A76546A"/>
    <w:rsid w:val="2A862F5D"/>
    <w:rsid w:val="2A91633E"/>
    <w:rsid w:val="2AA34F23"/>
    <w:rsid w:val="2AAA33C4"/>
    <w:rsid w:val="2ABC0D70"/>
    <w:rsid w:val="2AC73862"/>
    <w:rsid w:val="2AD16847"/>
    <w:rsid w:val="2ADD14DD"/>
    <w:rsid w:val="2AE07F86"/>
    <w:rsid w:val="2AED555A"/>
    <w:rsid w:val="2AEF0276"/>
    <w:rsid w:val="2B110BFD"/>
    <w:rsid w:val="2B117EE6"/>
    <w:rsid w:val="2B181F13"/>
    <w:rsid w:val="2B22288C"/>
    <w:rsid w:val="2B2679A2"/>
    <w:rsid w:val="2B29304D"/>
    <w:rsid w:val="2B337600"/>
    <w:rsid w:val="2B4531B8"/>
    <w:rsid w:val="2B4E7453"/>
    <w:rsid w:val="2B5603D4"/>
    <w:rsid w:val="2B614FDE"/>
    <w:rsid w:val="2B645CA4"/>
    <w:rsid w:val="2B684260"/>
    <w:rsid w:val="2B7604E2"/>
    <w:rsid w:val="2B86072F"/>
    <w:rsid w:val="2B8F6308"/>
    <w:rsid w:val="2B936CDC"/>
    <w:rsid w:val="2B9B40AD"/>
    <w:rsid w:val="2BA973BF"/>
    <w:rsid w:val="2BAC03FB"/>
    <w:rsid w:val="2BB31CF8"/>
    <w:rsid w:val="2BB821BD"/>
    <w:rsid w:val="2BB965C0"/>
    <w:rsid w:val="2BBC772A"/>
    <w:rsid w:val="2BC43303"/>
    <w:rsid w:val="2BC61A6F"/>
    <w:rsid w:val="2BC62080"/>
    <w:rsid w:val="2BC745B0"/>
    <w:rsid w:val="2BCE1C3A"/>
    <w:rsid w:val="2BD47143"/>
    <w:rsid w:val="2C0306FF"/>
    <w:rsid w:val="2C0E6BA1"/>
    <w:rsid w:val="2C223010"/>
    <w:rsid w:val="2C234D1E"/>
    <w:rsid w:val="2C360DAA"/>
    <w:rsid w:val="2C3A5C79"/>
    <w:rsid w:val="2C4120F3"/>
    <w:rsid w:val="2C436F5F"/>
    <w:rsid w:val="2C484BA7"/>
    <w:rsid w:val="2C4C00E0"/>
    <w:rsid w:val="2C520C10"/>
    <w:rsid w:val="2C611176"/>
    <w:rsid w:val="2C7A0602"/>
    <w:rsid w:val="2C936FCE"/>
    <w:rsid w:val="2C987FE1"/>
    <w:rsid w:val="2CA221B6"/>
    <w:rsid w:val="2CAE0848"/>
    <w:rsid w:val="2CB6049A"/>
    <w:rsid w:val="2CDB5B71"/>
    <w:rsid w:val="2CE75F26"/>
    <w:rsid w:val="2CFE0B56"/>
    <w:rsid w:val="2CFF368A"/>
    <w:rsid w:val="2D0228D7"/>
    <w:rsid w:val="2D064D5F"/>
    <w:rsid w:val="2D0B7785"/>
    <w:rsid w:val="2D1000E1"/>
    <w:rsid w:val="2D130CDD"/>
    <w:rsid w:val="2D1A4F14"/>
    <w:rsid w:val="2D2F54EF"/>
    <w:rsid w:val="2D32067E"/>
    <w:rsid w:val="2D3403FC"/>
    <w:rsid w:val="2D365036"/>
    <w:rsid w:val="2D3F0917"/>
    <w:rsid w:val="2D400C10"/>
    <w:rsid w:val="2D467292"/>
    <w:rsid w:val="2D475E7A"/>
    <w:rsid w:val="2D510EC7"/>
    <w:rsid w:val="2D5321CD"/>
    <w:rsid w:val="2D5533D4"/>
    <w:rsid w:val="2D601BFA"/>
    <w:rsid w:val="2D75253D"/>
    <w:rsid w:val="2D7961B7"/>
    <w:rsid w:val="2D7B6574"/>
    <w:rsid w:val="2D816055"/>
    <w:rsid w:val="2D830FB2"/>
    <w:rsid w:val="2D8E37EF"/>
    <w:rsid w:val="2D8F7C42"/>
    <w:rsid w:val="2D96306E"/>
    <w:rsid w:val="2DA5274D"/>
    <w:rsid w:val="2DAD04FD"/>
    <w:rsid w:val="2DB76961"/>
    <w:rsid w:val="2DBC2D82"/>
    <w:rsid w:val="2DBD1A18"/>
    <w:rsid w:val="2DD04B8D"/>
    <w:rsid w:val="2DDE7967"/>
    <w:rsid w:val="2DF41946"/>
    <w:rsid w:val="2DF80C6B"/>
    <w:rsid w:val="2DFD2D2A"/>
    <w:rsid w:val="2E0E72BE"/>
    <w:rsid w:val="2E124861"/>
    <w:rsid w:val="2E2C5491"/>
    <w:rsid w:val="2E300981"/>
    <w:rsid w:val="2E3A6CF5"/>
    <w:rsid w:val="2E4B3F3C"/>
    <w:rsid w:val="2E4D0124"/>
    <w:rsid w:val="2E4F6418"/>
    <w:rsid w:val="2E660C44"/>
    <w:rsid w:val="2E6730C1"/>
    <w:rsid w:val="2E693FEF"/>
    <w:rsid w:val="2E712C38"/>
    <w:rsid w:val="2E8F3CFA"/>
    <w:rsid w:val="2E94771C"/>
    <w:rsid w:val="2E9A5741"/>
    <w:rsid w:val="2E9F3B2B"/>
    <w:rsid w:val="2EA60137"/>
    <w:rsid w:val="2EB201D9"/>
    <w:rsid w:val="2EB97341"/>
    <w:rsid w:val="2EDD25A7"/>
    <w:rsid w:val="2EE44E93"/>
    <w:rsid w:val="2EF00A96"/>
    <w:rsid w:val="2EF35676"/>
    <w:rsid w:val="2F042803"/>
    <w:rsid w:val="2F0F7920"/>
    <w:rsid w:val="2F355BCF"/>
    <w:rsid w:val="2F38516D"/>
    <w:rsid w:val="2F436B76"/>
    <w:rsid w:val="2F4A3B9A"/>
    <w:rsid w:val="2F4B026F"/>
    <w:rsid w:val="2F5317E2"/>
    <w:rsid w:val="2F563BFD"/>
    <w:rsid w:val="2F595ECB"/>
    <w:rsid w:val="2F5E262D"/>
    <w:rsid w:val="2F63034E"/>
    <w:rsid w:val="2F7834F6"/>
    <w:rsid w:val="2F7D2661"/>
    <w:rsid w:val="2F8355B5"/>
    <w:rsid w:val="2F9E628E"/>
    <w:rsid w:val="2FB021B0"/>
    <w:rsid w:val="2FB862E3"/>
    <w:rsid w:val="2FBF6CB7"/>
    <w:rsid w:val="2FE74586"/>
    <w:rsid w:val="2FED154B"/>
    <w:rsid w:val="2FF143EF"/>
    <w:rsid w:val="2FFC3FA9"/>
    <w:rsid w:val="30002009"/>
    <w:rsid w:val="300633F7"/>
    <w:rsid w:val="300D6409"/>
    <w:rsid w:val="30113BF6"/>
    <w:rsid w:val="301B7FD8"/>
    <w:rsid w:val="30232200"/>
    <w:rsid w:val="30232956"/>
    <w:rsid w:val="30356CF7"/>
    <w:rsid w:val="30383EA5"/>
    <w:rsid w:val="30393EF6"/>
    <w:rsid w:val="30455800"/>
    <w:rsid w:val="304A181A"/>
    <w:rsid w:val="304D433A"/>
    <w:rsid w:val="305D7DEB"/>
    <w:rsid w:val="305E4DE3"/>
    <w:rsid w:val="30650DC6"/>
    <w:rsid w:val="306B04F2"/>
    <w:rsid w:val="3070271E"/>
    <w:rsid w:val="307911B4"/>
    <w:rsid w:val="307B314E"/>
    <w:rsid w:val="30A02BD6"/>
    <w:rsid w:val="30AB3AD7"/>
    <w:rsid w:val="30C16364"/>
    <w:rsid w:val="30C6046C"/>
    <w:rsid w:val="30D81900"/>
    <w:rsid w:val="30F203BC"/>
    <w:rsid w:val="30FC4B1E"/>
    <w:rsid w:val="30FD2EA0"/>
    <w:rsid w:val="311174F5"/>
    <w:rsid w:val="3114323C"/>
    <w:rsid w:val="311D6ECF"/>
    <w:rsid w:val="31274CDF"/>
    <w:rsid w:val="312E6C33"/>
    <w:rsid w:val="3135410A"/>
    <w:rsid w:val="3149149A"/>
    <w:rsid w:val="31496BA2"/>
    <w:rsid w:val="314D5143"/>
    <w:rsid w:val="314F3BC9"/>
    <w:rsid w:val="31534C46"/>
    <w:rsid w:val="31577470"/>
    <w:rsid w:val="31606E00"/>
    <w:rsid w:val="3168639F"/>
    <w:rsid w:val="316A5188"/>
    <w:rsid w:val="31741D61"/>
    <w:rsid w:val="31866CD3"/>
    <w:rsid w:val="31977556"/>
    <w:rsid w:val="3199032F"/>
    <w:rsid w:val="319B4AAD"/>
    <w:rsid w:val="319C1D7B"/>
    <w:rsid w:val="31A7114E"/>
    <w:rsid w:val="31CF5EDD"/>
    <w:rsid w:val="3203266B"/>
    <w:rsid w:val="32044096"/>
    <w:rsid w:val="320A7E3B"/>
    <w:rsid w:val="320C3980"/>
    <w:rsid w:val="320E382B"/>
    <w:rsid w:val="32184301"/>
    <w:rsid w:val="3231776E"/>
    <w:rsid w:val="32381623"/>
    <w:rsid w:val="325A54E8"/>
    <w:rsid w:val="325F4087"/>
    <w:rsid w:val="326E15F6"/>
    <w:rsid w:val="327B2F1E"/>
    <w:rsid w:val="327D7014"/>
    <w:rsid w:val="327E3E53"/>
    <w:rsid w:val="32A9622C"/>
    <w:rsid w:val="32B07776"/>
    <w:rsid w:val="32B24FCF"/>
    <w:rsid w:val="32B31CD1"/>
    <w:rsid w:val="32CB2F5E"/>
    <w:rsid w:val="32D429C0"/>
    <w:rsid w:val="32D464AC"/>
    <w:rsid w:val="32DF4F4B"/>
    <w:rsid w:val="32E024AA"/>
    <w:rsid w:val="32E15043"/>
    <w:rsid w:val="32E73C83"/>
    <w:rsid w:val="32E866F1"/>
    <w:rsid w:val="32EA0BEA"/>
    <w:rsid w:val="32EA386A"/>
    <w:rsid w:val="32F01644"/>
    <w:rsid w:val="32FC4C87"/>
    <w:rsid w:val="33046D40"/>
    <w:rsid w:val="33056C32"/>
    <w:rsid w:val="330900FC"/>
    <w:rsid w:val="331D7A9E"/>
    <w:rsid w:val="33310A23"/>
    <w:rsid w:val="33402CB8"/>
    <w:rsid w:val="334A4FD9"/>
    <w:rsid w:val="335F0CA3"/>
    <w:rsid w:val="33602E32"/>
    <w:rsid w:val="336E4816"/>
    <w:rsid w:val="33767B93"/>
    <w:rsid w:val="337A018F"/>
    <w:rsid w:val="337A0276"/>
    <w:rsid w:val="339200B4"/>
    <w:rsid w:val="33A9623C"/>
    <w:rsid w:val="33B07EDA"/>
    <w:rsid w:val="33C908DA"/>
    <w:rsid w:val="33D43348"/>
    <w:rsid w:val="33D66F21"/>
    <w:rsid w:val="33DC2422"/>
    <w:rsid w:val="33DE6588"/>
    <w:rsid w:val="33EE12A6"/>
    <w:rsid w:val="33F754AE"/>
    <w:rsid w:val="33FB4198"/>
    <w:rsid w:val="33FE36E4"/>
    <w:rsid w:val="34237336"/>
    <w:rsid w:val="342A3062"/>
    <w:rsid w:val="343904AE"/>
    <w:rsid w:val="3451362E"/>
    <w:rsid w:val="34653293"/>
    <w:rsid w:val="34671568"/>
    <w:rsid w:val="3467582F"/>
    <w:rsid w:val="34756C2D"/>
    <w:rsid w:val="347B2CDA"/>
    <w:rsid w:val="347B5F9E"/>
    <w:rsid w:val="348928CE"/>
    <w:rsid w:val="34927D9F"/>
    <w:rsid w:val="34996365"/>
    <w:rsid w:val="349C4D58"/>
    <w:rsid w:val="34A67989"/>
    <w:rsid w:val="34AA584F"/>
    <w:rsid w:val="34B13158"/>
    <w:rsid w:val="34BE64FD"/>
    <w:rsid w:val="34BF0AE4"/>
    <w:rsid w:val="34D1004F"/>
    <w:rsid w:val="34D43597"/>
    <w:rsid w:val="34DA0CBD"/>
    <w:rsid w:val="34ED33D4"/>
    <w:rsid w:val="34F4013A"/>
    <w:rsid w:val="34F76965"/>
    <w:rsid w:val="34FB2BFA"/>
    <w:rsid w:val="35011218"/>
    <w:rsid w:val="350B5400"/>
    <w:rsid w:val="351566A0"/>
    <w:rsid w:val="35273A86"/>
    <w:rsid w:val="352A3C5B"/>
    <w:rsid w:val="354002A2"/>
    <w:rsid w:val="35472E02"/>
    <w:rsid w:val="35566E20"/>
    <w:rsid w:val="35637093"/>
    <w:rsid w:val="35642B71"/>
    <w:rsid w:val="356C1A30"/>
    <w:rsid w:val="356D198D"/>
    <w:rsid w:val="35745612"/>
    <w:rsid w:val="35764F64"/>
    <w:rsid w:val="35860B74"/>
    <w:rsid w:val="359B6990"/>
    <w:rsid w:val="359D7E31"/>
    <w:rsid w:val="35A471C0"/>
    <w:rsid w:val="35A97D87"/>
    <w:rsid w:val="35B82A01"/>
    <w:rsid w:val="35C15A78"/>
    <w:rsid w:val="35CA680B"/>
    <w:rsid w:val="35CF579B"/>
    <w:rsid w:val="35D078C6"/>
    <w:rsid w:val="35DE51D0"/>
    <w:rsid w:val="35E34FE2"/>
    <w:rsid w:val="35EA309B"/>
    <w:rsid w:val="35FD4A2E"/>
    <w:rsid w:val="36101489"/>
    <w:rsid w:val="36114705"/>
    <w:rsid w:val="3618764A"/>
    <w:rsid w:val="361B02C4"/>
    <w:rsid w:val="36230ADB"/>
    <w:rsid w:val="362D5AB6"/>
    <w:rsid w:val="3645533C"/>
    <w:rsid w:val="36535546"/>
    <w:rsid w:val="366A18CF"/>
    <w:rsid w:val="36780540"/>
    <w:rsid w:val="36794FEB"/>
    <w:rsid w:val="367F418B"/>
    <w:rsid w:val="36871C63"/>
    <w:rsid w:val="368C2615"/>
    <w:rsid w:val="369C7AB6"/>
    <w:rsid w:val="36A97035"/>
    <w:rsid w:val="36C07CE0"/>
    <w:rsid w:val="36CA0019"/>
    <w:rsid w:val="36EA2E8D"/>
    <w:rsid w:val="36EB6787"/>
    <w:rsid w:val="36F6663C"/>
    <w:rsid w:val="36F80942"/>
    <w:rsid w:val="37074CED"/>
    <w:rsid w:val="370B3E85"/>
    <w:rsid w:val="371C27E0"/>
    <w:rsid w:val="37200B07"/>
    <w:rsid w:val="372B65A6"/>
    <w:rsid w:val="372F1B4E"/>
    <w:rsid w:val="37356E1E"/>
    <w:rsid w:val="3749298B"/>
    <w:rsid w:val="374B79EA"/>
    <w:rsid w:val="374F637B"/>
    <w:rsid w:val="375D211C"/>
    <w:rsid w:val="376436EA"/>
    <w:rsid w:val="376E1BF4"/>
    <w:rsid w:val="3776411B"/>
    <w:rsid w:val="37821EA6"/>
    <w:rsid w:val="378A59D5"/>
    <w:rsid w:val="37913F6D"/>
    <w:rsid w:val="3794497F"/>
    <w:rsid w:val="37A4748D"/>
    <w:rsid w:val="37B76850"/>
    <w:rsid w:val="37B84853"/>
    <w:rsid w:val="37B92B12"/>
    <w:rsid w:val="37C846CA"/>
    <w:rsid w:val="37DC4049"/>
    <w:rsid w:val="37E10C20"/>
    <w:rsid w:val="37E3396B"/>
    <w:rsid w:val="37E36D57"/>
    <w:rsid w:val="37F332A3"/>
    <w:rsid w:val="37F52347"/>
    <w:rsid w:val="38005B02"/>
    <w:rsid w:val="381072ED"/>
    <w:rsid w:val="381C42E2"/>
    <w:rsid w:val="38216989"/>
    <w:rsid w:val="382C204C"/>
    <w:rsid w:val="382F3B56"/>
    <w:rsid w:val="38357C60"/>
    <w:rsid w:val="3839708F"/>
    <w:rsid w:val="383E109A"/>
    <w:rsid w:val="386F2C28"/>
    <w:rsid w:val="387E3C97"/>
    <w:rsid w:val="388E2929"/>
    <w:rsid w:val="389970B8"/>
    <w:rsid w:val="38BF7F5A"/>
    <w:rsid w:val="38C476A9"/>
    <w:rsid w:val="38D14710"/>
    <w:rsid w:val="38DB3435"/>
    <w:rsid w:val="38E8660F"/>
    <w:rsid w:val="38EA24F3"/>
    <w:rsid w:val="38FD2513"/>
    <w:rsid w:val="38FD6E1C"/>
    <w:rsid w:val="38FF7072"/>
    <w:rsid w:val="39081439"/>
    <w:rsid w:val="390A6195"/>
    <w:rsid w:val="390C7DD5"/>
    <w:rsid w:val="39141B29"/>
    <w:rsid w:val="39145662"/>
    <w:rsid w:val="391645D1"/>
    <w:rsid w:val="39220281"/>
    <w:rsid w:val="392E1315"/>
    <w:rsid w:val="392E340E"/>
    <w:rsid w:val="39341C5A"/>
    <w:rsid w:val="393D76B3"/>
    <w:rsid w:val="395B6F4C"/>
    <w:rsid w:val="39607B46"/>
    <w:rsid w:val="39760769"/>
    <w:rsid w:val="3981477B"/>
    <w:rsid w:val="398855FD"/>
    <w:rsid w:val="398C41F1"/>
    <w:rsid w:val="398E6E49"/>
    <w:rsid w:val="39991158"/>
    <w:rsid w:val="39A9748A"/>
    <w:rsid w:val="39AC7AA2"/>
    <w:rsid w:val="39B23DFF"/>
    <w:rsid w:val="39B25E07"/>
    <w:rsid w:val="39B81AC8"/>
    <w:rsid w:val="39C2782D"/>
    <w:rsid w:val="39C37CF9"/>
    <w:rsid w:val="39C709C6"/>
    <w:rsid w:val="39CA6017"/>
    <w:rsid w:val="39D31B46"/>
    <w:rsid w:val="39D4453D"/>
    <w:rsid w:val="39E3724F"/>
    <w:rsid w:val="39F66877"/>
    <w:rsid w:val="3A037BE8"/>
    <w:rsid w:val="3A063029"/>
    <w:rsid w:val="3A082F84"/>
    <w:rsid w:val="3A093C32"/>
    <w:rsid w:val="3A2B1C4D"/>
    <w:rsid w:val="3A4C648A"/>
    <w:rsid w:val="3A670103"/>
    <w:rsid w:val="3A6806CC"/>
    <w:rsid w:val="3A6B51A0"/>
    <w:rsid w:val="3A79025B"/>
    <w:rsid w:val="3A79500B"/>
    <w:rsid w:val="3A7F4156"/>
    <w:rsid w:val="3A7F46E3"/>
    <w:rsid w:val="3A84337B"/>
    <w:rsid w:val="3A853B87"/>
    <w:rsid w:val="3A934393"/>
    <w:rsid w:val="3A9707CE"/>
    <w:rsid w:val="3A98382E"/>
    <w:rsid w:val="3A9B56EA"/>
    <w:rsid w:val="3AA11861"/>
    <w:rsid w:val="3AA2675A"/>
    <w:rsid w:val="3ACB299B"/>
    <w:rsid w:val="3ACB3B14"/>
    <w:rsid w:val="3AD76523"/>
    <w:rsid w:val="3ADF76AF"/>
    <w:rsid w:val="3AE172B2"/>
    <w:rsid w:val="3AF87954"/>
    <w:rsid w:val="3AF95CA4"/>
    <w:rsid w:val="3B01637A"/>
    <w:rsid w:val="3B0A6B5A"/>
    <w:rsid w:val="3B397455"/>
    <w:rsid w:val="3B457983"/>
    <w:rsid w:val="3B5B60C5"/>
    <w:rsid w:val="3B7E4B6A"/>
    <w:rsid w:val="3B8170D6"/>
    <w:rsid w:val="3B8D791F"/>
    <w:rsid w:val="3B9C6A32"/>
    <w:rsid w:val="3BAD2A98"/>
    <w:rsid w:val="3BB50E49"/>
    <w:rsid w:val="3BC322CE"/>
    <w:rsid w:val="3BC84B00"/>
    <w:rsid w:val="3BCA0586"/>
    <w:rsid w:val="3BCC73C9"/>
    <w:rsid w:val="3BDA350E"/>
    <w:rsid w:val="3BDB12E2"/>
    <w:rsid w:val="3BE717FE"/>
    <w:rsid w:val="3BEB18F0"/>
    <w:rsid w:val="3C002B89"/>
    <w:rsid w:val="3C12242C"/>
    <w:rsid w:val="3C1B73B6"/>
    <w:rsid w:val="3C1C54F2"/>
    <w:rsid w:val="3C2158ED"/>
    <w:rsid w:val="3C2237D5"/>
    <w:rsid w:val="3C3C6499"/>
    <w:rsid w:val="3C3C7F65"/>
    <w:rsid w:val="3C4077D7"/>
    <w:rsid w:val="3C53755B"/>
    <w:rsid w:val="3C590C07"/>
    <w:rsid w:val="3C5E5053"/>
    <w:rsid w:val="3C7358A4"/>
    <w:rsid w:val="3C7F729A"/>
    <w:rsid w:val="3C851966"/>
    <w:rsid w:val="3C8856E5"/>
    <w:rsid w:val="3C892D71"/>
    <w:rsid w:val="3C8A12AA"/>
    <w:rsid w:val="3C924B88"/>
    <w:rsid w:val="3C9A4090"/>
    <w:rsid w:val="3CAF1C2F"/>
    <w:rsid w:val="3CBF4B0D"/>
    <w:rsid w:val="3CC76E3D"/>
    <w:rsid w:val="3CCB7977"/>
    <w:rsid w:val="3CD00AF7"/>
    <w:rsid w:val="3CD736D4"/>
    <w:rsid w:val="3CF33D49"/>
    <w:rsid w:val="3CF7402E"/>
    <w:rsid w:val="3CF8672B"/>
    <w:rsid w:val="3CFB7FC0"/>
    <w:rsid w:val="3D102E9C"/>
    <w:rsid w:val="3D180BD2"/>
    <w:rsid w:val="3D383CB7"/>
    <w:rsid w:val="3D4359A2"/>
    <w:rsid w:val="3D4D0B49"/>
    <w:rsid w:val="3D4E07D5"/>
    <w:rsid w:val="3D4E4165"/>
    <w:rsid w:val="3D5B6314"/>
    <w:rsid w:val="3D63047E"/>
    <w:rsid w:val="3D6661DF"/>
    <w:rsid w:val="3D6B637D"/>
    <w:rsid w:val="3D70575F"/>
    <w:rsid w:val="3D716DEF"/>
    <w:rsid w:val="3D7B073B"/>
    <w:rsid w:val="3D7C0BB3"/>
    <w:rsid w:val="3D886524"/>
    <w:rsid w:val="3D88787F"/>
    <w:rsid w:val="3DAA5F13"/>
    <w:rsid w:val="3DB845E5"/>
    <w:rsid w:val="3DBC5076"/>
    <w:rsid w:val="3DBD7514"/>
    <w:rsid w:val="3DBF4303"/>
    <w:rsid w:val="3DC2439D"/>
    <w:rsid w:val="3DC25F89"/>
    <w:rsid w:val="3DC968B5"/>
    <w:rsid w:val="3DD724FF"/>
    <w:rsid w:val="3DDB658B"/>
    <w:rsid w:val="3DE768E7"/>
    <w:rsid w:val="3DEE21D2"/>
    <w:rsid w:val="3E152F1E"/>
    <w:rsid w:val="3E2079D4"/>
    <w:rsid w:val="3E24308F"/>
    <w:rsid w:val="3E253F8F"/>
    <w:rsid w:val="3E2658DF"/>
    <w:rsid w:val="3E2C685B"/>
    <w:rsid w:val="3E2E05F7"/>
    <w:rsid w:val="3E2E0E60"/>
    <w:rsid w:val="3E303C96"/>
    <w:rsid w:val="3E3933B5"/>
    <w:rsid w:val="3E3C6007"/>
    <w:rsid w:val="3E4203B8"/>
    <w:rsid w:val="3E5F1A19"/>
    <w:rsid w:val="3E714AB3"/>
    <w:rsid w:val="3E864F15"/>
    <w:rsid w:val="3E9015F5"/>
    <w:rsid w:val="3E936640"/>
    <w:rsid w:val="3E953C09"/>
    <w:rsid w:val="3E994910"/>
    <w:rsid w:val="3EA16047"/>
    <w:rsid w:val="3EA95918"/>
    <w:rsid w:val="3EB119F9"/>
    <w:rsid w:val="3EB375E7"/>
    <w:rsid w:val="3EBB6664"/>
    <w:rsid w:val="3EC47A50"/>
    <w:rsid w:val="3EC71FA5"/>
    <w:rsid w:val="3EDD35B7"/>
    <w:rsid w:val="3EEB7F50"/>
    <w:rsid w:val="3EF11B2A"/>
    <w:rsid w:val="3EF22B21"/>
    <w:rsid w:val="3EF25DD3"/>
    <w:rsid w:val="3EF3148E"/>
    <w:rsid w:val="3EF76E33"/>
    <w:rsid w:val="3EF81BE0"/>
    <w:rsid w:val="3F0062A9"/>
    <w:rsid w:val="3F0474CA"/>
    <w:rsid w:val="3F092F85"/>
    <w:rsid w:val="3F0F2043"/>
    <w:rsid w:val="3F17464A"/>
    <w:rsid w:val="3F1B216B"/>
    <w:rsid w:val="3F235AC2"/>
    <w:rsid w:val="3F2721D8"/>
    <w:rsid w:val="3F2D7AEE"/>
    <w:rsid w:val="3F321852"/>
    <w:rsid w:val="3F445E10"/>
    <w:rsid w:val="3F514D57"/>
    <w:rsid w:val="3F6E0810"/>
    <w:rsid w:val="3F7427C1"/>
    <w:rsid w:val="3F745A32"/>
    <w:rsid w:val="3F7B3DBE"/>
    <w:rsid w:val="3F7E477E"/>
    <w:rsid w:val="3F857DB0"/>
    <w:rsid w:val="3F897A7E"/>
    <w:rsid w:val="3F897B51"/>
    <w:rsid w:val="3F9D0C7D"/>
    <w:rsid w:val="3FA14896"/>
    <w:rsid w:val="3FAB3C23"/>
    <w:rsid w:val="3FAD011D"/>
    <w:rsid w:val="3FB502F2"/>
    <w:rsid w:val="3FBD52F1"/>
    <w:rsid w:val="3FC219AB"/>
    <w:rsid w:val="3FC71361"/>
    <w:rsid w:val="3FD15E98"/>
    <w:rsid w:val="3FE6359F"/>
    <w:rsid w:val="3FEA3158"/>
    <w:rsid w:val="3FEB1463"/>
    <w:rsid w:val="3FEC2CD2"/>
    <w:rsid w:val="3FEF3DD9"/>
    <w:rsid w:val="3FF40BC2"/>
    <w:rsid w:val="4024721E"/>
    <w:rsid w:val="40296BEB"/>
    <w:rsid w:val="402A192A"/>
    <w:rsid w:val="403601E9"/>
    <w:rsid w:val="403709F3"/>
    <w:rsid w:val="40397D53"/>
    <w:rsid w:val="404158CD"/>
    <w:rsid w:val="404A2E0B"/>
    <w:rsid w:val="404F253B"/>
    <w:rsid w:val="40833E1B"/>
    <w:rsid w:val="409F5C3D"/>
    <w:rsid w:val="40B0451C"/>
    <w:rsid w:val="40B2554C"/>
    <w:rsid w:val="40BD2BB0"/>
    <w:rsid w:val="40D16C4B"/>
    <w:rsid w:val="40D83EF0"/>
    <w:rsid w:val="40E14AF7"/>
    <w:rsid w:val="40FB360D"/>
    <w:rsid w:val="40FF5B59"/>
    <w:rsid w:val="410214B2"/>
    <w:rsid w:val="41130B01"/>
    <w:rsid w:val="411B386E"/>
    <w:rsid w:val="412146BF"/>
    <w:rsid w:val="412231F0"/>
    <w:rsid w:val="41265013"/>
    <w:rsid w:val="412C3F01"/>
    <w:rsid w:val="412E7557"/>
    <w:rsid w:val="414E7B8C"/>
    <w:rsid w:val="41511373"/>
    <w:rsid w:val="415D0DB1"/>
    <w:rsid w:val="41634696"/>
    <w:rsid w:val="416E4D2C"/>
    <w:rsid w:val="41703CF9"/>
    <w:rsid w:val="417115E1"/>
    <w:rsid w:val="41732F74"/>
    <w:rsid w:val="41736B1D"/>
    <w:rsid w:val="41745781"/>
    <w:rsid w:val="41756704"/>
    <w:rsid w:val="418E59C3"/>
    <w:rsid w:val="4192676E"/>
    <w:rsid w:val="41AA1BA4"/>
    <w:rsid w:val="41E00614"/>
    <w:rsid w:val="41E50407"/>
    <w:rsid w:val="41EA35C4"/>
    <w:rsid w:val="41EB4BA9"/>
    <w:rsid w:val="41EF6AA3"/>
    <w:rsid w:val="41F769BB"/>
    <w:rsid w:val="42050B5F"/>
    <w:rsid w:val="421318CD"/>
    <w:rsid w:val="421639F2"/>
    <w:rsid w:val="421A0859"/>
    <w:rsid w:val="4223228C"/>
    <w:rsid w:val="423406D4"/>
    <w:rsid w:val="4239321B"/>
    <w:rsid w:val="423B7657"/>
    <w:rsid w:val="423F6CDD"/>
    <w:rsid w:val="42436716"/>
    <w:rsid w:val="424821B1"/>
    <w:rsid w:val="425F2C92"/>
    <w:rsid w:val="42633A97"/>
    <w:rsid w:val="427B4418"/>
    <w:rsid w:val="42840CEE"/>
    <w:rsid w:val="429071BB"/>
    <w:rsid w:val="42927483"/>
    <w:rsid w:val="42990CA6"/>
    <w:rsid w:val="42B7578F"/>
    <w:rsid w:val="42BF5A0D"/>
    <w:rsid w:val="42C43A92"/>
    <w:rsid w:val="42DE2DA6"/>
    <w:rsid w:val="42DF2DAD"/>
    <w:rsid w:val="42E60F7D"/>
    <w:rsid w:val="42EF2F5B"/>
    <w:rsid w:val="42FC5183"/>
    <w:rsid w:val="43053389"/>
    <w:rsid w:val="43216F94"/>
    <w:rsid w:val="432C30B3"/>
    <w:rsid w:val="4348125E"/>
    <w:rsid w:val="43487315"/>
    <w:rsid w:val="434E51B4"/>
    <w:rsid w:val="4355293C"/>
    <w:rsid w:val="43647DC7"/>
    <w:rsid w:val="437E45C3"/>
    <w:rsid w:val="43815046"/>
    <w:rsid w:val="43867F2F"/>
    <w:rsid w:val="4393238C"/>
    <w:rsid w:val="439D7AD6"/>
    <w:rsid w:val="43B86DAF"/>
    <w:rsid w:val="43BB61EA"/>
    <w:rsid w:val="43C576FA"/>
    <w:rsid w:val="43CE38F2"/>
    <w:rsid w:val="43D31E79"/>
    <w:rsid w:val="43E30930"/>
    <w:rsid w:val="43E815B8"/>
    <w:rsid w:val="43F81B99"/>
    <w:rsid w:val="43FA73B9"/>
    <w:rsid w:val="440525B4"/>
    <w:rsid w:val="4414585E"/>
    <w:rsid w:val="441734B8"/>
    <w:rsid w:val="44374DA6"/>
    <w:rsid w:val="445C6678"/>
    <w:rsid w:val="445E5F5E"/>
    <w:rsid w:val="4462549B"/>
    <w:rsid w:val="44742E40"/>
    <w:rsid w:val="44780F8C"/>
    <w:rsid w:val="449D2C6D"/>
    <w:rsid w:val="449E48C7"/>
    <w:rsid w:val="44A310FD"/>
    <w:rsid w:val="44AF0AA0"/>
    <w:rsid w:val="44B76DAA"/>
    <w:rsid w:val="44B8631A"/>
    <w:rsid w:val="44BE3121"/>
    <w:rsid w:val="44C3043F"/>
    <w:rsid w:val="44C95C02"/>
    <w:rsid w:val="44DC3001"/>
    <w:rsid w:val="44E3525C"/>
    <w:rsid w:val="44E54426"/>
    <w:rsid w:val="44E87D4D"/>
    <w:rsid w:val="44EF2890"/>
    <w:rsid w:val="44FF6477"/>
    <w:rsid w:val="450700F1"/>
    <w:rsid w:val="4510794B"/>
    <w:rsid w:val="45191903"/>
    <w:rsid w:val="451E41C3"/>
    <w:rsid w:val="451F443C"/>
    <w:rsid w:val="45321FB1"/>
    <w:rsid w:val="453224BC"/>
    <w:rsid w:val="4544151B"/>
    <w:rsid w:val="4547590E"/>
    <w:rsid w:val="454967F2"/>
    <w:rsid w:val="45557BBE"/>
    <w:rsid w:val="455C3634"/>
    <w:rsid w:val="45630354"/>
    <w:rsid w:val="456357E4"/>
    <w:rsid w:val="45674A17"/>
    <w:rsid w:val="456A547C"/>
    <w:rsid w:val="457366F4"/>
    <w:rsid w:val="45787C88"/>
    <w:rsid w:val="45794B36"/>
    <w:rsid w:val="457F4D5E"/>
    <w:rsid w:val="45857367"/>
    <w:rsid w:val="459045CF"/>
    <w:rsid w:val="45910A69"/>
    <w:rsid w:val="45921C25"/>
    <w:rsid w:val="4593031D"/>
    <w:rsid w:val="45937524"/>
    <w:rsid w:val="459B4F7E"/>
    <w:rsid w:val="45A3532B"/>
    <w:rsid w:val="45C13422"/>
    <w:rsid w:val="45CB16FC"/>
    <w:rsid w:val="45D746E0"/>
    <w:rsid w:val="45E834F5"/>
    <w:rsid w:val="45ED3300"/>
    <w:rsid w:val="45EE1DFC"/>
    <w:rsid w:val="45FC5957"/>
    <w:rsid w:val="46115240"/>
    <w:rsid w:val="46144D75"/>
    <w:rsid w:val="461536C0"/>
    <w:rsid w:val="461A3AAC"/>
    <w:rsid w:val="462562CB"/>
    <w:rsid w:val="46314D1D"/>
    <w:rsid w:val="463E6649"/>
    <w:rsid w:val="46446B62"/>
    <w:rsid w:val="46454EEA"/>
    <w:rsid w:val="464A6099"/>
    <w:rsid w:val="467C2C27"/>
    <w:rsid w:val="468351A0"/>
    <w:rsid w:val="468D417D"/>
    <w:rsid w:val="46913067"/>
    <w:rsid w:val="4693778E"/>
    <w:rsid w:val="469A5C98"/>
    <w:rsid w:val="46BE047D"/>
    <w:rsid w:val="46CA3FE0"/>
    <w:rsid w:val="46CD663C"/>
    <w:rsid w:val="46D17AF3"/>
    <w:rsid w:val="46D23F85"/>
    <w:rsid w:val="46E34EDB"/>
    <w:rsid w:val="46E70CA0"/>
    <w:rsid w:val="46EB3C9E"/>
    <w:rsid w:val="46F223B2"/>
    <w:rsid w:val="46F24521"/>
    <w:rsid w:val="46F61F0D"/>
    <w:rsid w:val="47020F86"/>
    <w:rsid w:val="470458D6"/>
    <w:rsid w:val="47092594"/>
    <w:rsid w:val="472559C6"/>
    <w:rsid w:val="472713BB"/>
    <w:rsid w:val="47354D1C"/>
    <w:rsid w:val="473B469B"/>
    <w:rsid w:val="473F3410"/>
    <w:rsid w:val="4748319D"/>
    <w:rsid w:val="47511CD6"/>
    <w:rsid w:val="475F5DFF"/>
    <w:rsid w:val="476215AB"/>
    <w:rsid w:val="47643588"/>
    <w:rsid w:val="4768204A"/>
    <w:rsid w:val="47694045"/>
    <w:rsid w:val="476F3000"/>
    <w:rsid w:val="476F3936"/>
    <w:rsid w:val="47767A51"/>
    <w:rsid w:val="477B5758"/>
    <w:rsid w:val="47812EAC"/>
    <w:rsid w:val="478957DB"/>
    <w:rsid w:val="47964D70"/>
    <w:rsid w:val="479D0150"/>
    <w:rsid w:val="47A81641"/>
    <w:rsid w:val="47AA2D9E"/>
    <w:rsid w:val="47B75B89"/>
    <w:rsid w:val="47CF3E74"/>
    <w:rsid w:val="47DD5C1D"/>
    <w:rsid w:val="47E34F12"/>
    <w:rsid w:val="47ED091C"/>
    <w:rsid w:val="47EF7803"/>
    <w:rsid w:val="47F41D66"/>
    <w:rsid w:val="47F6035B"/>
    <w:rsid w:val="47F70CA0"/>
    <w:rsid w:val="47F86D5D"/>
    <w:rsid w:val="480A4D05"/>
    <w:rsid w:val="480D6B62"/>
    <w:rsid w:val="4815472D"/>
    <w:rsid w:val="481B4D15"/>
    <w:rsid w:val="482B4F59"/>
    <w:rsid w:val="483B72B0"/>
    <w:rsid w:val="483E19C8"/>
    <w:rsid w:val="484B1D38"/>
    <w:rsid w:val="48543FBB"/>
    <w:rsid w:val="485F42FF"/>
    <w:rsid w:val="48703B7B"/>
    <w:rsid w:val="489F0BAB"/>
    <w:rsid w:val="48A472C6"/>
    <w:rsid w:val="48A80D43"/>
    <w:rsid w:val="48AA0E94"/>
    <w:rsid w:val="48AC309C"/>
    <w:rsid w:val="48B4127F"/>
    <w:rsid w:val="48C93B24"/>
    <w:rsid w:val="48CB27CF"/>
    <w:rsid w:val="48D70627"/>
    <w:rsid w:val="48F35A05"/>
    <w:rsid w:val="48FE7DD3"/>
    <w:rsid w:val="49087921"/>
    <w:rsid w:val="491532C4"/>
    <w:rsid w:val="49191E77"/>
    <w:rsid w:val="49233C2C"/>
    <w:rsid w:val="4938010D"/>
    <w:rsid w:val="49437E06"/>
    <w:rsid w:val="494B19D8"/>
    <w:rsid w:val="49793676"/>
    <w:rsid w:val="499745FC"/>
    <w:rsid w:val="49A14417"/>
    <w:rsid w:val="49AE1A90"/>
    <w:rsid w:val="49B11FB0"/>
    <w:rsid w:val="49B368FF"/>
    <w:rsid w:val="49BB4ECD"/>
    <w:rsid w:val="49C73D5E"/>
    <w:rsid w:val="49CB5F79"/>
    <w:rsid w:val="49CD6240"/>
    <w:rsid w:val="49CE0A01"/>
    <w:rsid w:val="49CE5C40"/>
    <w:rsid w:val="49D515AF"/>
    <w:rsid w:val="49E91F64"/>
    <w:rsid w:val="49EA64D4"/>
    <w:rsid w:val="49ED463A"/>
    <w:rsid w:val="49EF1A2A"/>
    <w:rsid w:val="49F66C27"/>
    <w:rsid w:val="4A0219B1"/>
    <w:rsid w:val="4A0B55F5"/>
    <w:rsid w:val="4A1F557B"/>
    <w:rsid w:val="4A235E1B"/>
    <w:rsid w:val="4A291240"/>
    <w:rsid w:val="4A356C57"/>
    <w:rsid w:val="4A3D040D"/>
    <w:rsid w:val="4A480220"/>
    <w:rsid w:val="4A4D4FB1"/>
    <w:rsid w:val="4A5062A9"/>
    <w:rsid w:val="4A5706E1"/>
    <w:rsid w:val="4A621824"/>
    <w:rsid w:val="4A767604"/>
    <w:rsid w:val="4A8039E1"/>
    <w:rsid w:val="4A847548"/>
    <w:rsid w:val="4A874DB9"/>
    <w:rsid w:val="4A8C1339"/>
    <w:rsid w:val="4A921155"/>
    <w:rsid w:val="4A940B24"/>
    <w:rsid w:val="4A9B4E0F"/>
    <w:rsid w:val="4AA47DD1"/>
    <w:rsid w:val="4AC265F2"/>
    <w:rsid w:val="4AC62288"/>
    <w:rsid w:val="4AC9567C"/>
    <w:rsid w:val="4ACA1585"/>
    <w:rsid w:val="4ACA1CB9"/>
    <w:rsid w:val="4ACD148A"/>
    <w:rsid w:val="4AD32257"/>
    <w:rsid w:val="4ADC5758"/>
    <w:rsid w:val="4ADD5677"/>
    <w:rsid w:val="4ADE6345"/>
    <w:rsid w:val="4AE64EED"/>
    <w:rsid w:val="4AE66CC4"/>
    <w:rsid w:val="4AF74563"/>
    <w:rsid w:val="4B004498"/>
    <w:rsid w:val="4B057D3A"/>
    <w:rsid w:val="4B0E7E60"/>
    <w:rsid w:val="4B281124"/>
    <w:rsid w:val="4B2D4044"/>
    <w:rsid w:val="4B3014D5"/>
    <w:rsid w:val="4B3241CD"/>
    <w:rsid w:val="4B3C4D39"/>
    <w:rsid w:val="4B532119"/>
    <w:rsid w:val="4B5D14FD"/>
    <w:rsid w:val="4B60536A"/>
    <w:rsid w:val="4B605FC7"/>
    <w:rsid w:val="4B651E35"/>
    <w:rsid w:val="4B6C292B"/>
    <w:rsid w:val="4B6E7E38"/>
    <w:rsid w:val="4B7A6074"/>
    <w:rsid w:val="4B7B4877"/>
    <w:rsid w:val="4B7D21A3"/>
    <w:rsid w:val="4B8052FB"/>
    <w:rsid w:val="4B8D3201"/>
    <w:rsid w:val="4B8F7BF5"/>
    <w:rsid w:val="4B993C9F"/>
    <w:rsid w:val="4B9D2962"/>
    <w:rsid w:val="4BA130B3"/>
    <w:rsid w:val="4BAC587F"/>
    <w:rsid w:val="4BB00987"/>
    <w:rsid w:val="4BB20956"/>
    <w:rsid w:val="4BC02CBA"/>
    <w:rsid w:val="4BCC3117"/>
    <w:rsid w:val="4BCF2932"/>
    <w:rsid w:val="4BD54757"/>
    <w:rsid w:val="4BDB502C"/>
    <w:rsid w:val="4BE22384"/>
    <w:rsid w:val="4BEC13B3"/>
    <w:rsid w:val="4BEC3A67"/>
    <w:rsid w:val="4C004C58"/>
    <w:rsid w:val="4C025983"/>
    <w:rsid w:val="4C0566C8"/>
    <w:rsid w:val="4C097AB0"/>
    <w:rsid w:val="4C1B34B8"/>
    <w:rsid w:val="4C433C79"/>
    <w:rsid w:val="4C4547C2"/>
    <w:rsid w:val="4C5C441C"/>
    <w:rsid w:val="4C5E5A5A"/>
    <w:rsid w:val="4C6A38FC"/>
    <w:rsid w:val="4C8B4A7A"/>
    <w:rsid w:val="4C8F6909"/>
    <w:rsid w:val="4C910358"/>
    <w:rsid w:val="4C9E4D26"/>
    <w:rsid w:val="4CB3186A"/>
    <w:rsid w:val="4CB45014"/>
    <w:rsid w:val="4CB621E7"/>
    <w:rsid w:val="4CBB2ED4"/>
    <w:rsid w:val="4CC55816"/>
    <w:rsid w:val="4CC61158"/>
    <w:rsid w:val="4CF26E2E"/>
    <w:rsid w:val="4CFA7D96"/>
    <w:rsid w:val="4CFF1B08"/>
    <w:rsid w:val="4D06583A"/>
    <w:rsid w:val="4D411042"/>
    <w:rsid w:val="4D44459F"/>
    <w:rsid w:val="4D503E81"/>
    <w:rsid w:val="4D561F6D"/>
    <w:rsid w:val="4D6E1551"/>
    <w:rsid w:val="4DA1744F"/>
    <w:rsid w:val="4DAA7889"/>
    <w:rsid w:val="4DAF268B"/>
    <w:rsid w:val="4DBE5426"/>
    <w:rsid w:val="4DCA5415"/>
    <w:rsid w:val="4DCF27DD"/>
    <w:rsid w:val="4DD4141A"/>
    <w:rsid w:val="4DE627FD"/>
    <w:rsid w:val="4DEC5DB6"/>
    <w:rsid w:val="4DF725A8"/>
    <w:rsid w:val="4E0949F7"/>
    <w:rsid w:val="4E0D6331"/>
    <w:rsid w:val="4E156C32"/>
    <w:rsid w:val="4E262CE8"/>
    <w:rsid w:val="4E284409"/>
    <w:rsid w:val="4E3359FD"/>
    <w:rsid w:val="4E4C4B92"/>
    <w:rsid w:val="4E5D49A3"/>
    <w:rsid w:val="4E7838BE"/>
    <w:rsid w:val="4E797D25"/>
    <w:rsid w:val="4E864BFA"/>
    <w:rsid w:val="4E9B7D5C"/>
    <w:rsid w:val="4EA92FFD"/>
    <w:rsid w:val="4EAB6938"/>
    <w:rsid w:val="4EC90F72"/>
    <w:rsid w:val="4EC92950"/>
    <w:rsid w:val="4ED954E7"/>
    <w:rsid w:val="4EDD6746"/>
    <w:rsid w:val="4EE96D5A"/>
    <w:rsid w:val="4EEB01F1"/>
    <w:rsid w:val="4EF825E9"/>
    <w:rsid w:val="4F0017FB"/>
    <w:rsid w:val="4F1711AD"/>
    <w:rsid w:val="4F1C5FA9"/>
    <w:rsid w:val="4F1D519B"/>
    <w:rsid w:val="4F34047D"/>
    <w:rsid w:val="4F4A712D"/>
    <w:rsid w:val="4F4D06E2"/>
    <w:rsid w:val="4F573578"/>
    <w:rsid w:val="4F57512A"/>
    <w:rsid w:val="4F6F0A80"/>
    <w:rsid w:val="4F7909AE"/>
    <w:rsid w:val="4F8A4EE4"/>
    <w:rsid w:val="4FB47FE2"/>
    <w:rsid w:val="4FB91F8F"/>
    <w:rsid w:val="4FC44853"/>
    <w:rsid w:val="4FDA3FD1"/>
    <w:rsid w:val="4FE56B2B"/>
    <w:rsid w:val="4FF31659"/>
    <w:rsid w:val="4FF8580C"/>
    <w:rsid w:val="4FFF0D16"/>
    <w:rsid w:val="50106AAC"/>
    <w:rsid w:val="50325D99"/>
    <w:rsid w:val="50364F62"/>
    <w:rsid w:val="50384543"/>
    <w:rsid w:val="503F43CD"/>
    <w:rsid w:val="50474FA5"/>
    <w:rsid w:val="50503878"/>
    <w:rsid w:val="50652809"/>
    <w:rsid w:val="506865B0"/>
    <w:rsid w:val="506D25C2"/>
    <w:rsid w:val="50741186"/>
    <w:rsid w:val="50743208"/>
    <w:rsid w:val="508672BB"/>
    <w:rsid w:val="50906693"/>
    <w:rsid w:val="50913DD1"/>
    <w:rsid w:val="50A013AC"/>
    <w:rsid w:val="50C24721"/>
    <w:rsid w:val="50C80F0F"/>
    <w:rsid w:val="50D5138F"/>
    <w:rsid w:val="50D601BC"/>
    <w:rsid w:val="50F2322A"/>
    <w:rsid w:val="50F74298"/>
    <w:rsid w:val="50F95450"/>
    <w:rsid w:val="51015B63"/>
    <w:rsid w:val="510B3F9B"/>
    <w:rsid w:val="510D0B58"/>
    <w:rsid w:val="51135211"/>
    <w:rsid w:val="51170440"/>
    <w:rsid w:val="51255057"/>
    <w:rsid w:val="514E047E"/>
    <w:rsid w:val="515039A3"/>
    <w:rsid w:val="51521A6D"/>
    <w:rsid w:val="51622DF4"/>
    <w:rsid w:val="516B7C56"/>
    <w:rsid w:val="516C49CC"/>
    <w:rsid w:val="517276E6"/>
    <w:rsid w:val="51777A1C"/>
    <w:rsid w:val="51833592"/>
    <w:rsid w:val="518F14A8"/>
    <w:rsid w:val="518F60D4"/>
    <w:rsid w:val="5196029E"/>
    <w:rsid w:val="519D406A"/>
    <w:rsid w:val="51A32099"/>
    <w:rsid w:val="51AB1835"/>
    <w:rsid w:val="51BB4799"/>
    <w:rsid w:val="51BF4A25"/>
    <w:rsid w:val="51C44185"/>
    <w:rsid w:val="51C729C7"/>
    <w:rsid w:val="51D82D01"/>
    <w:rsid w:val="51DE03BA"/>
    <w:rsid w:val="51DE4C8C"/>
    <w:rsid w:val="51DF66AF"/>
    <w:rsid w:val="51F0763C"/>
    <w:rsid w:val="52002D6C"/>
    <w:rsid w:val="52047E3D"/>
    <w:rsid w:val="52153E40"/>
    <w:rsid w:val="52256028"/>
    <w:rsid w:val="522737A6"/>
    <w:rsid w:val="52446C54"/>
    <w:rsid w:val="524E1CF4"/>
    <w:rsid w:val="525F1FEE"/>
    <w:rsid w:val="52604BF7"/>
    <w:rsid w:val="5267203C"/>
    <w:rsid w:val="5273143A"/>
    <w:rsid w:val="5274289C"/>
    <w:rsid w:val="52765170"/>
    <w:rsid w:val="5280271C"/>
    <w:rsid w:val="52873591"/>
    <w:rsid w:val="528D0FB9"/>
    <w:rsid w:val="528F5903"/>
    <w:rsid w:val="52AF7414"/>
    <w:rsid w:val="52BB7A38"/>
    <w:rsid w:val="52C71F43"/>
    <w:rsid w:val="52CA4F53"/>
    <w:rsid w:val="52D91AF9"/>
    <w:rsid w:val="52E234CB"/>
    <w:rsid w:val="52F93212"/>
    <w:rsid w:val="52FC5647"/>
    <w:rsid w:val="530000F4"/>
    <w:rsid w:val="53014B5F"/>
    <w:rsid w:val="530A6306"/>
    <w:rsid w:val="531652E6"/>
    <w:rsid w:val="53291111"/>
    <w:rsid w:val="53347D25"/>
    <w:rsid w:val="533869E1"/>
    <w:rsid w:val="534B7141"/>
    <w:rsid w:val="536E5A80"/>
    <w:rsid w:val="537330A1"/>
    <w:rsid w:val="537760CE"/>
    <w:rsid w:val="539314BE"/>
    <w:rsid w:val="53955A31"/>
    <w:rsid w:val="539D0577"/>
    <w:rsid w:val="53A10F74"/>
    <w:rsid w:val="53A47464"/>
    <w:rsid w:val="53AF1B11"/>
    <w:rsid w:val="53C14870"/>
    <w:rsid w:val="53C323FB"/>
    <w:rsid w:val="53CA1C9D"/>
    <w:rsid w:val="53CC2E87"/>
    <w:rsid w:val="53E00978"/>
    <w:rsid w:val="53E04A40"/>
    <w:rsid w:val="53E175EE"/>
    <w:rsid w:val="53ED4B21"/>
    <w:rsid w:val="53EF3BF9"/>
    <w:rsid w:val="53EF42E8"/>
    <w:rsid w:val="540838DA"/>
    <w:rsid w:val="54085483"/>
    <w:rsid w:val="540F4BA3"/>
    <w:rsid w:val="54112BA1"/>
    <w:rsid w:val="54283886"/>
    <w:rsid w:val="542E430B"/>
    <w:rsid w:val="54331C81"/>
    <w:rsid w:val="54344DA9"/>
    <w:rsid w:val="54382DD2"/>
    <w:rsid w:val="54423663"/>
    <w:rsid w:val="5444306B"/>
    <w:rsid w:val="544D65EB"/>
    <w:rsid w:val="54596F47"/>
    <w:rsid w:val="5475274F"/>
    <w:rsid w:val="547F572A"/>
    <w:rsid w:val="54901A33"/>
    <w:rsid w:val="549147C2"/>
    <w:rsid w:val="54975816"/>
    <w:rsid w:val="54A043E5"/>
    <w:rsid w:val="54A905E7"/>
    <w:rsid w:val="54B355DC"/>
    <w:rsid w:val="54B36B26"/>
    <w:rsid w:val="54C47DC3"/>
    <w:rsid w:val="54CF10CC"/>
    <w:rsid w:val="54D4007A"/>
    <w:rsid w:val="54DD5FAB"/>
    <w:rsid w:val="54DD66B8"/>
    <w:rsid w:val="54DF009F"/>
    <w:rsid w:val="54E50897"/>
    <w:rsid w:val="54EB7139"/>
    <w:rsid w:val="54F025DB"/>
    <w:rsid w:val="5508642B"/>
    <w:rsid w:val="550F1BE8"/>
    <w:rsid w:val="55284958"/>
    <w:rsid w:val="552D690F"/>
    <w:rsid w:val="55387C17"/>
    <w:rsid w:val="553B1EBA"/>
    <w:rsid w:val="553E1482"/>
    <w:rsid w:val="554528CF"/>
    <w:rsid w:val="554A3F12"/>
    <w:rsid w:val="55533436"/>
    <w:rsid w:val="55646765"/>
    <w:rsid w:val="55667F9D"/>
    <w:rsid w:val="55675DCD"/>
    <w:rsid w:val="556A6733"/>
    <w:rsid w:val="55782654"/>
    <w:rsid w:val="557D644E"/>
    <w:rsid w:val="557F321C"/>
    <w:rsid w:val="55822BC4"/>
    <w:rsid w:val="558475A5"/>
    <w:rsid w:val="558B1747"/>
    <w:rsid w:val="55A92E34"/>
    <w:rsid w:val="55B20498"/>
    <w:rsid w:val="55B4712C"/>
    <w:rsid w:val="55B6208F"/>
    <w:rsid w:val="55B70714"/>
    <w:rsid w:val="55B96FE6"/>
    <w:rsid w:val="55C37945"/>
    <w:rsid w:val="55C91693"/>
    <w:rsid w:val="55CA2FB5"/>
    <w:rsid w:val="55DE4DCA"/>
    <w:rsid w:val="55ED14B2"/>
    <w:rsid w:val="55F300E5"/>
    <w:rsid w:val="55FB6E41"/>
    <w:rsid w:val="560132BD"/>
    <w:rsid w:val="560E5C3B"/>
    <w:rsid w:val="5613582B"/>
    <w:rsid w:val="56240B88"/>
    <w:rsid w:val="562B7679"/>
    <w:rsid w:val="56310D87"/>
    <w:rsid w:val="5635503A"/>
    <w:rsid w:val="565E44D2"/>
    <w:rsid w:val="566D635D"/>
    <w:rsid w:val="56757155"/>
    <w:rsid w:val="56774F92"/>
    <w:rsid w:val="568640A5"/>
    <w:rsid w:val="568C115F"/>
    <w:rsid w:val="568D5B5D"/>
    <w:rsid w:val="568E067B"/>
    <w:rsid w:val="56B729EF"/>
    <w:rsid w:val="56C23A69"/>
    <w:rsid w:val="56CA27ED"/>
    <w:rsid w:val="56F70B6A"/>
    <w:rsid w:val="57022F2E"/>
    <w:rsid w:val="5719426D"/>
    <w:rsid w:val="572006A5"/>
    <w:rsid w:val="57315125"/>
    <w:rsid w:val="574E1733"/>
    <w:rsid w:val="577411CC"/>
    <w:rsid w:val="57757E18"/>
    <w:rsid w:val="577E1C80"/>
    <w:rsid w:val="57830D69"/>
    <w:rsid w:val="578F1DDE"/>
    <w:rsid w:val="57900406"/>
    <w:rsid w:val="579262DE"/>
    <w:rsid w:val="57AA1DE1"/>
    <w:rsid w:val="57AB1005"/>
    <w:rsid w:val="57B27348"/>
    <w:rsid w:val="57B56BFF"/>
    <w:rsid w:val="57CB327F"/>
    <w:rsid w:val="57CC1813"/>
    <w:rsid w:val="57D33CE4"/>
    <w:rsid w:val="57D91077"/>
    <w:rsid w:val="57D94165"/>
    <w:rsid w:val="57DA1351"/>
    <w:rsid w:val="57E44AE7"/>
    <w:rsid w:val="57E873DB"/>
    <w:rsid w:val="57E97B1E"/>
    <w:rsid w:val="57F53C6E"/>
    <w:rsid w:val="57FF7457"/>
    <w:rsid w:val="58036386"/>
    <w:rsid w:val="580F343A"/>
    <w:rsid w:val="58102982"/>
    <w:rsid w:val="581C5C37"/>
    <w:rsid w:val="58203052"/>
    <w:rsid w:val="5833267C"/>
    <w:rsid w:val="583E7492"/>
    <w:rsid w:val="58426A9C"/>
    <w:rsid w:val="58475529"/>
    <w:rsid w:val="584F684B"/>
    <w:rsid w:val="58606D0C"/>
    <w:rsid w:val="586111E4"/>
    <w:rsid w:val="586244C0"/>
    <w:rsid w:val="588E0E9B"/>
    <w:rsid w:val="58A34317"/>
    <w:rsid w:val="58AA3DF9"/>
    <w:rsid w:val="58AF600C"/>
    <w:rsid w:val="58B0742D"/>
    <w:rsid w:val="58B13B74"/>
    <w:rsid w:val="58B946EE"/>
    <w:rsid w:val="58BB7CD0"/>
    <w:rsid w:val="58BC3A6E"/>
    <w:rsid w:val="58BE3005"/>
    <w:rsid w:val="58C4669E"/>
    <w:rsid w:val="58CE2F82"/>
    <w:rsid w:val="58D01F59"/>
    <w:rsid w:val="58D32A07"/>
    <w:rsid w:val="58DB634A"/>
    <w:rsid w:val="58E53511"/>
    <w:rsid w:val="58F1488F"/>
    <w:rsid w:val="59185461"/>
    <w:rsid w:val="5923193B"/>
    <w:rsid w:val="5930779C"/>
    <w:rsid w:val="59337937"/>
    <w:rsid w:val="593D2D13"/>
    <w:rsid w:val="5944419A"/>
    <w:rsid w:val="59567E98"/>
    <w:rsid w:val="59795801"/>
    <w:rsid w:val="597C7A56"/>
    <w:rsid w:val="597F0B59"/>
    <w:rsid w:val="59847B60"/>
    <w:rsid w:val="59920478"/>
    <w:rsid w:val="59926240"/>
    <w:rsid w:val="599A62D3"/>
    <w:rsid w:val="59A162B1"/>
    <w:rsid w:val="59AB4D42"/>
    <w:rsid w:val="59AE1DC0"/>
    <w:rsid w:val="59B85771"/>
    <w:rsid w:val="59C40A6B"/>
    <w:rsid w:val="59D532C7"/>
    <w:rsid w:val="59DA0EAD"/>
    <w:rsid w:val="59DB49DB"/>
    <w:rsid w:val="59E07109"/>
    <w:rsid w:val="5A025E2E"/>
    <w:rsid w:val="5A075B7B"/>
    <w:rsid w:val="5A1B48A7"/>
    <w:rsid w:val="5A22243F"/>
    <w:rsid w:val="5A2423BD"/>
    <w:rsid w:val="5A3437AB"/>
    <w:rsid w:val="5A3812BC"/>
    <w:rsid w:val="5A4C29B5"/>
    <w:rsid w:val="5A5203D9"/>
    <w:rsid w:val="5A5D681E"/>
    <w:rsid w:val="5A702838"/>
    <w:rsid w:val="5A913C31"/>
    <w:rsid w:val="5A9A3903"/>
    <w:rsid w:val="5A9B4CBB"/>
    <w:rsid w:val="5AA40D6F"/>
    <w:rsid w:val="5AA73183"/>
    <w:rsid w:val="5AAF5826"/>
    <w:rsid w:val="5AB300E9"/>
    <w:rsid w:val="5AD00E97"/>
    <w:rsid w:val="5AD02E1B"/>
    <w:rsid w:val="5AD1117B"/>
    <w:rsid w:val="5AD85556"/>
    <w:rsid w:val="5AE6536A"/>
    <w:rsid w:val="5AEE1330"/>
    <w:rsid w:val="5AF65F0D"/>
    <w:rsid w:val="5AFA3261"/>
    <w:rsid w:val="5B106A47"/>
    <w:rsid w:val="5B124D7A"/>
    <w:rsid w:val="5B191037"/>
    <w:rsid w:val="5B1F2679"/>
    <w:rsid w:val="5B3028AE"/>
    <w:rsid w:val="5B305D11"/>
    <w:rsid w:val="5B321A89"/>
    <w:rsid w:val="5B360352"/>
    <w:rsid w:val="5B385AE9"/>
    <w:rsid w:val="5B3D4621"/>
    <w:rsid w:val="5B505B95"/>
    <w:rsid w:val="5B6B6662"/>
    <w:rsid w:val="5B701B1C"/>
    <w:rsid w:val="5B861DD0"/>
    <w:rsid w:val="5B88511F"/>
    <w:rsid w:val="5B904753"/>
    <w:rsid w:val="5B95226D"/>
    <w:rsid w:val="5B980929"/>
    <w:rsid w:val="5B987ABA"/>
    <w:rsid w:val="5BA81440"/>
    <w:rsid w:val="5BC10E8E"/>
    <w:rsid w:val="5BC94D1D"/>
    <w:rsid w:val="5BCA737A"/>
    <w:rsid w:val="5BD85010"/>
    <w:rsid w:val="5BDA1E29"/>
    <w:rsid w:val="5BDC09C2"/>
    <w:rsid w:val="5BE33B24"/>
    <w:rsid w:val="5BE4644B"/>
    <w:rsid w:val="5BED5D14"/>
    <w:rsid w:val="5BF366BC"/>
    <w:rsid w:val="5BF36B7D"/>
    <w:rsid w:val="5C0C339E"/>
    <w:rsid w:val="5C0F57F7"/>
    <w:rsid w:val="5C190243"/>
    <w:rsid w:val="5C412D83"/>
    <w:rsid w:val="5C626A07"/>
    <w:rsid w:val="5C63116D"/>
    <w:rsid w:val="5C68234B"/>
    <w:rsid w:val="5C6F3CA6"/>
    <w:rsid w:val="5C770DCB"/>
    <w:rsid w:val="5C7B120D"/>
    <w:rsid w:val="5C831EA1"/>
    <w:rsid w:val="5C83525B"/>
    <w:rsid w:val="5C850A90"/>
    <w:rsid w:val="5C85337E"/>
    <w:rsid w:val="5C8B5318"/>
    <w:rsid w:val="5C8E2990"/>
    <w:rsid w:val="5C8E6D84"/>
    <w:rsid w:val="5C935381"/>
    <w:rsid w:val="5C9C2E0B"/>
    <w:rsid w:val="5CAC59B9"/>
    <w:rsid w:val="5CB53700"/>
    <w:rsid w:val="5CB81FAB"/>
    <w:rsid w:val="5CBA6FE3"/>
    <w:rsid w:val="5CC26E3C"/>
    <w:rsid w:val="5CC3413A"/>
    <w:rsid w:val="5CC90F18"/>
    <w:rsid w:val="5CCB772B"/>
    <w:rsid w:val="5CD14F52"/>
    <w:rsid w:val="5CD305BF"/>
    <w:rsid w:val="5CD40B5C"/>
    <w:rsid w:val="5CF26D8F"/>
    <w:rsid w:val="5CF5041A"/>
    <w:rsid w:val="5CF809D5"/>
    <w:rsid w:val="5CFE0E07"/>
    <w:rsid w:val="5D004A76"/>
    <w:rsid w:val="5D0143FB"/>
    <w:rsid w:val="5D06027A"/>
    <w:rsid w:val="5D094B01"/>
    <w:rsid w:val="5D0E1BEF"/>
    <w:rsid w:val="5D142E53"/>
    <w:rsid w:val="5D156F6C"/>
    <w:rsid w:val="5D323152"/>
    <w:rsid w:val="5D374FDF"/>
    <w:rsid w:val="5D380B84"/>
    <w:rsid w:val="5D3B6548"/>
    <w:rsid w:val="5D443CF5"/>
    <w:rsid w:val="5D462B3B"/>
    <w:rsid w:val="5D546B45"/>
    <w:rsid w:val="5D5F685A"/>
    <w:rsid w:val="5D65678D"/>
    <w:rsid w:val="5D6C3080"/>
    <w:rsid w:val="5D7516D4"/>
    <w:rsid w:val="5D7672EA"/>
    <w:rsid w:val="5D7A40D2"/>
    <w:rsid w:val="5D7C523D"/>
    <w:rsid w:val="5D800CEF"/>
    <w:rsid w:val="5D9B32B7"/>
    <w:rsid w:val="5DA86032"/>
    <w:rsid w:val="5DA91A22"/>
    <w:rsid w:val="5DBE4362"/>
    <w:rsid w:val="5DC216D2"/>
    <w:rsid w:val="5DC32346"/>
    <w:rsid w:val="5DCB43E2"/>
    <w:rsid w:val="5DE00302"/>
    <w:rsid w:val="5DE71D1C"/>
    <w:rsid w:val="5DF1699C"/>
    <w:rsid w:val="5DF5146D"/>
    <w:rsid w:val="5DFA2CDB"/>
    <w:rsid w:val="5DFA7138"/>
    <w:rsid w:val="5E002406"/>
    <w:rsid w:val="5E130140"/>
    <w:rsid w:val="5E20259F"/>
    <w:rsid w:val="5E217D16"/>
    <w:rsid w:val="5E2801D1"/>
    <w:rsid w:val="5E3244ED"/>
    <w:rsid w:val="5E371AAA"/>
    <w:rsid w:val="5E5F3EFA"/>
    <w:rsid w:val="5E730583"/>
    <w:rsid w:val="5E754530"/>
    <w:rsid w:val="5E76076F"/>
    <w:rsid w:val="5E77204F"/>
    <w:rsid w:val="5E7926FF"/>
    <w:rsid w:val="5E7E38EB"/>
    <w:rsid w:val="5E920F01"/>
    <w:rsid w:val="5E9602B3"/>
    <w:rsid w:val="5E995350"/>
    <w:rsid w:val="5E9F6092"/>
    <w:rsid w:val="5EA35B10"/>
    <w:rsid w:val="5EB601E2"/>
    <w:rsid w:val="5EBE5E29"/>
    <w:rsid w:val="5EC529A8"/>
    <w:rsid w:val="5ED1731B"/>
    <w:rsid w:val="5EE24347"/>
    <w:rsid w:val="5EE6067F"/>
    <w:rsid w:val="5EEE40CF"/>
    <w:rsid w:val="5EFC7EFC"/>
    <w:rsid w:val="5EFE1396"/>
    <w:rsid w:val="5F0718AB"/>
    <w:rsid w:val="5F0A412D"/>
    <w:rsid w:val="5F0F3F1E"/>
    <w:rsid w:val="5F182AB0"/>
    <w:rsid w:val="5F19355D"/>
    <w:rsid w:val="5F1A7236"/>
    <w:rsid w:val="5F335DCF"/>
    <w:rsid w:val="5F380ED5"/>
    <w:rsid w:val="5F3A53B0"/>
    <w:rsid w:val="5F410233"/>
    <w:rsid w:val="5F5875E4"/>
    <w:rsid w:val="5F5D0468"/>
    <w:rsid w:val="5F6906CA"/>
    <w:rsid w:val="5F6F1E8C"/>
    <w:rsid w:val="5F6F27CA"/>
    <w:rsid w:val="5F754BD6"/>
    <w:rsid w:val="5F7D6F92"/>
    <w:rsid w:val="5F7E6C49"/>
    <w:rsid w:val="5F8E6876"/>
    <w:rsid w:val="5F9B5415"/>
    <w:rsid w:val="5FA4749E"/>
    <w:rsid w:val="5FB5011B"/>
    <w:rsid w:val="5FB930BB"/>
    <w:rsid w:val="5FBA3A80"/>
    <w:rsid w:val="5FC258EA"/>
    <w:rsid w:val="5FCD0AEE"/>
    <w:rsid w:val="5FCD7808"/>
    <w:rsid w:val="5FD05755"/>
    <w:rsid w:val="5FD95CB1"/>
    <w:rsid w:val="5FDE4D54"/>
    <w:rsid w:val="5FF66989"/>
    <w:rsid w:val="5FF72E6D"/>
    <w:rsid w:val="5FFA67E1"/>
    <w:rsid w:val="6003052B"/>
    <w:rsid w:val="60074F8B"/>
    <w:rsid w:val="600E6F29"/>
    <w:rsid w:val="60274834"/>
    <w:rsid w:val="602A7214"/>
    <w:rsid w:val="602D5A7D"/>
    <w:rsid w:val="60384787"/>
    <w:rsid w:val="603C6C2F"/>
    <w:rsid w:val="60583D0D"/>
    <w:rsid w:val="60647D43"/>
    <w:rsid w:val="60651416"/>
    <w:rsid w:val="60694A66"/>
    <w:rsid w:val="607275B8"/>
    <w:rsid w:val="60751CC1"/>
    <w:rsid w:val="60764ACD"/>
    <w:rsid w:val="607B2649"/>
    <w:rsid w:val="607C3BD5"/>
    <w:rsid w:val="60841A2F"/>
    <w:rsid w:val="60894F77"/>
    <w:rsid w:val="608D7E30"/>
    <w:rsid w:val="60940CA2"/>
    <w:rsid w:val="609B1876"/>
    <w:rsid w:val="609B6CFA"/>
    <w:rsid w:val="60A400CE"/>
    <w:rsid w:val="60A525D6"/>
    <w:rsid w:val="60BC4BC8"/>
    <w:rsid w:val="60C912C0"/>
    <w:rsid w:val="60C9621E"/>
    <w:rsid w:val="60CE4D21"/>
    <w:rsid w:val="60D71B69"/>
    <w:rsid w:val="60D969C0"/>
    <w:rsid w:val="60DA0465"/>
    <w:rsid w:val="60E427EF"/>
    <w:rsid w:val="60EB1F69"/>
    <w:rsid w:val="610D0146"/>
    <w:rsid w:val="611A4715"/>
    <w:rsid w:val="611F660B"/>
    <w:rsid w:val="61265262"/>
    <w:rsid w:val="612C34D4"/>
    <w:rsid w:val="613228AC"/>
    <w:rsid w:val="61430FE6"/>
    <w:rsid w:val="6150195A"/>
    <w:rsid w:val="617E3B52"/>
    <w:rsid w:val="61822F22"/>
    <w:rsid w:val="618B75B1"/>
    <w:rsid w:val="61AD396D"/>
    <w:rsid w:val="61D13245"/>
    <w:rsid w:val="61D222BB"/>
    <w:rsid w:val="61DA2E6B"/>
    <w:rsid w:val="61DB29A5"/>
    <w:rsid w:val="61E11B13"/>
    <w:rsid w:val="61EF4A64"/>
    <w:rsid w:val="61F33732"/>
    <w:rsid w:val="61F90C07"/>
    <w:rsid w:val="61FC68CF"/>
    <w:rsid w:val="620C243C"/>
    <w:rsid w:val="62142BC3"/>
    <w:rsid w:val="62150DB6"/>
    <w:rsid w:val="621A31CE"/>
    <w:rsid w:val="621C29D1"/>
    <w:rsid w:val="621F751A"/>
    <w:rsid w:val="6223579E"/>
    <w:rsid w:val="622D10AC"/>
    <w:rsid w:val="622E643B"/>
    <w:rsid w:val="62326FEC"/>
    <w:rsid w:val="623A6E25"/>
    <w:rsid w:val="623F0C7C"/>
    <w:rsid w:val="624131F7"/>
    <w:rsid w:val="624575A7"/>
    <w:rsid w:val="624F1738"/>
    <w:rsid w:val="62533D98"/>
    <w:rsid w:val="626C7837"/>
    <w:rsid w:val="626D3CCC"/>
    <w:rsid w:val="6273727D"/>
    <w:rsid w:val="627E4ECF"/>
    <w:rsid w:val="628559E6"/>
    <w:rsid w:val="629306E1"/>
    <w:rsid w:val="62B14184"/>
    <w:rsid w:val="62BD60DC"/>
    <w:rsid w:val="62BE48B3"/>
    <w:rsid w:val="62C66818"/>
    <w:rsid w:val="62D21BF7"/>
    <w:rsid w:val="62E51E80"/>
    <w:rsid w:val="62F77630"/>
    <w:rsid w:val="631B1924"/>
    <w:rsid w:val="63224B85"/>
    <w:rsid w:val="632D557A"/>
    <w:rsid w:val="633244CC"/>
    <w:rsid w:val="63387D0C"/>
    <w:rsid w:val="633A1A03"/>
    <w:rsid w:val="63443C65"/>
    <w:rsid w:val="634B2C19"/>
    <w:rsid w:val="634D6DC5"/>
    <w:rsid w:val="634D7C4C"/>
    <w:rsid w:val="63501FF4"/>
    <w:rsid w:val="636B5E54"/>
    <w:rsid w:val="63726279"/>
    <w:rsid w:val="637C7B92"/>
    <w:rsid w:val="63A866A3"/>
    <w:rsid w:val="63AC58C7"/>
    <w:rsid w:val="63AC6CA5"/>
    <w:rsid w:val="63CB7580"/>
    <w:rsid w:val="63CC49FB"/>
    <w:rsid w:val="63CD34CB"/>
    <w:rsid w:val="63DA702B"/>
    <w:rsid w:val="63EF1684"/>
    <w:rsid w:val="63F24C98"/>
    <w:rsid w:val="641835A6"/>
    <w:rsid w:val="641B3AB4"/>
    <w:rsid w:val="641C47F7"/>
    <w:rsid w:val="641E116B"/>
    <w:rsid w:val="64241A2F"/>
    <w:rsid w:val="64257220"/>
    <w:rsid w:val="6437395A"/>
    <w:rsid w:val="64412F48"/>
    <w:rsid w:val="64443B21"/>
    <w:rsid w:val="64497A5F"/>
    <w:rsid w:val="644D33F7"/>
    <w:rsid w:val="64543002"/>
    <w:rsid w:val="64742B80"/>
    <w:rsid w:val="647B6F28"/>
    <w:rsid w:val="64813477"/>
    <w:rsid w:val="64A25626"/>
    <w:rsid w:val="64AA624B"/>
    <w:rsid w:val="64AC529C"/>
    <w:rsid w:val="64B27796"/>
    <w:rsid w:val="64C317A8"/>
    <w:rsid w:val="64D93BE7"/>
    <w:rsid w:val="64D963A0"/>
    <w:rsid w:val="64E03E0B"/>
    <w:rsid w:val="64E6105A"/>
    <w:rsid w:val="64E81117"/>
    <w:rsid w:val="64EE633E"/>
    <w:rsid w:val="650E3E0A"/>
    <w:rsid w:val="6510659A"/>
    <w:rsid w:val="651D6A11"/>
    <w:rsid w:val="652307C3"/>
    <w:rsid w:val="6535573B"/>
    <w:rsid w:val="65403EB7"/>
    <w:rsid w:val="65414DDC"/>
    <w:rsid w:val="65463F88"/>
    <w:rsid w:val="65623251"/>
    <w:rsid w:val="6562740E"/>
    <w:rsid w:val="656E6C8D"/>
    <w:rsid w:val="65796F3A"/>
    <w:rsid w:val="657E650A"/>
    <w:rsid w:val="65840709"/>
    <w:rsid w:val="658C19A5"/>
    <w:rsid w:val="65A82210"/>
    <w:rsid w:val="65AB2BCE"/>
    <w:rsid w:val="65BD08FA"/>
    <w:rsid w:val="65C71E6A"/>
    <w:rsid w:val="65CC06D1"/>
    <w:rsid w:val="65CC66B7"/>
    <w:rsid w:val="65CE6593"/>
    <w:rsid w:val="65CF4873"/>
    <w:rsid w:val="65D2781F"/>
    <w:rsid w:val="65D311C0"/>
    <w:rsid w:val="65DF56D0"/>
    <w:rsid w:val="65F85B9A"/>
    <w:rsid w:val="65FA28E7"/>
    <w:rsid w:val="66083144"/>
    <w:rsid w:val="66150C95"/>
    <w:rsid w:val="66167D4C"/>
    <w:rsid w:val="661701F9"/>
    <w:rsid w:val="66255DB3"/>
    <w:rsid w:val="66267B2C"/>
    <w:rsid w:val="663D7C58"/>
    <w:rsid w:val="66446865"/>
    <w:rsid w:val="66572635"/>
    <w:rsid w:val="66582BC6"/>
    <w:rsid w:val="668511FF"/>
    <w:rsid w:val="668A0E8D"/>
    <w:rsid w:val="66A74EE2"/>
    <w:rsid w:val="66AC59A3"/>
    <w:rsid w:val="66BD5449"/>
    <w:rsid w:val="66C038B6"/>
    <w:rsid w:val="66C62BA3"/>
    <w:rsid w:val="66CE18A0"/>
    <w:rsid w:val="66CE2110"/>
    <w:rsid w:val="66D42107"/>
    <w:rsid w:val="66D56A3C"/>
    <w:rsid w:val="66DC6B83"/>
    <w:rsid w:val="66DF0520"/>
    <w:rsid w:val="66E56466"/>
    <w:rsid w:val="66E762B1"/>
    <w:rsid w:val="66FE4F15"/>
    <w:rsid w:val="672A25EC"/>
    <w:rsid w:val="673A3F78"/>
    <w:rsid w:val="67475C51"/>
    <w:rsid w:val="67550438"/>
    <w:rsid w:val="67624E20"/>
    <w:rsid w:val="67682399"/>
    <w:rsid w:val="676D41CA"/>
    <w:rsid w:val="677956ED"/>
    <w:rsid w:val="678A71D7"/>
    <w:rsid w:val="678C4C75"/>
    <w:rsid w:val="6797047B"/>
    <w:rsid w:val="67A67DCB"/>
    <w:rsid w:val="67AC4971"/>
    <w:rsid w:val="67D74A3A"/>
    <w:rsid w:val="67E96EBC"/>
    <w:rsid w:val="68032B6F"/>
    <w:rsid w:val="680F2480"/>
    <w:rsid w:val="68123075"/>
    <w:rsid w:val="68127C70"/>
    <w:rsid w:val="681A7892"/>
    <w:rsid w:val="681D43FF"/>
    <w:rsid w:val="68317DD1"/>
    <w:rsid w:val="68343A71"/>
    <w:rsid w:val="683D3B11"/>
    <w:rsid w:val="68437B16"/>
    <w:rsid w:val="684412EC"/>
    <w:rsid w:val="68465690"/>
    <w:rsid w:val="68517234"/>
    <w:rsid w:val="68642224"/>
    <w:rsid w:val="68750023"/>
    <w:rsid w:val="687908E0"/>
    <w:rsid w:val="68813D76"/>
    <w:rsid w:val="688143B6"/>
    <w:rsid w:val="688E1B13"/>
    <w:rsid w:val="688F5B1A"/>
    <w:rsid w:val="6896139D"/>
    <w:rsid w:val="68A63399"/>
    <w:rsid w:val="68A7429B"/>
    <w:rsid w:val="68B14D38"/>
    <w:rsid w:val="68B9321D"/>
    <w:rsid w:val="68B93CF2"/>
    <w:rsid w:val="68C06926"/>
    <w:rsid w:val="68CE6693"/>
    <w:rsid w:val="68DA244D"/>
    <w:rsid w:val="68E37A74"/>
    <w:rsid w:val="68E63EB3"/>
    <w:rsid w:val="68E82F4E"/>
    <w:rsid w:val="68E9208E"/>
    <w:rsid w:val="690175CF"/>
    <w:rsid w:val="690E1242"/>
    <w:rsid w:val="690E30F8"/>
    <w:rsid w:val="693B2B5A"/>
    <w:rsid w:val="69420A99"/>
    <w:rsid w:val="69464CD1"/>
    <w:rsid w:val="694B0482"/>
    <w:rsid w:val="694E3BD0"/>
    <w:rsid w:val="6953168E"/>
    <w:rsid w:val="69756568"/>
    <w:rsid w:val="69796DF8"/>
    <w:rsid w:val="697B5AEA"/>
    <w:rsid w:val="697D4729"/>
    <w:rsid w:val="697F0860"/>
    <w:rsid w:val="698D785E"/>
    <w:rsid w:val="69A57BD2"/>
    <w:rsid w:val="69BC7086"/>
    <w:rsid w:val="69C23F6B"/>
    <w:rsid w:val="69CF36DE"/>
    <w:rsid w:val="69D66396"/>
    <w:rsid w:val="69DC4E96"/>
    <w:rsid w:val="69E63318"/>
    <w:rsid w:val="69F22079"/>
    <w:rsid w:val="69F33383"/>
    <w:rsid w:val="69FE342D"/>
    <w:rsid w:val="6A045754"/>
    <w:rsid w:val="6A080807"/>
    <w:rsid w:val="6A0A5E44"/>
    <w:rsid w:val="6A0F5299"/>
    <w:rsid w:val="6A1B07E5"/>
    <w:rsid w:val="6A1C4C09"/>
    <w:rsid w:val="6A2001CE"/>
    <w:rsid w:val="6A2A0CD6"/>
    <w:rsid w:val="6A2F4C15"/>
    <w:rsid w:val="6A3168FC"/>
    <w:rsid w:val="6A3B45DC"/>
    <w:rsid w:val="6A4858C1"/>
    <w:rsid w:val="6A4A2CD9"/>
    <w:rsid w:val="6A576684"/>
    <w:rsid w:val="6A581EA4"/>
    <w:rsid w:val="6A704735"/>
    <w:rsid w:val="6A705BB6"/>
    <w:rsid w:val="6A7560C4"/>
    <w:rsid w:val="6A8E5DBC"/>
    <w:rsid w:val="6AB06374"/>
    <w:rsid w:val="6AB0722C"/>
    <w:rsid w:val="6ABD3E45"/>
    <w:rsid w:val="6ACA1783"/>
    <w:rsid w:val="6AE804F5"/>
    <w:rsid w:val="6AE8063E"/>
    <w:rsid w:val="6AEB01B5"/>
    <w:rsid w:val="6AEB66B6"/>
    <w:rsid w:val="6AF00213"/>
    <w:rsid w:val="6AFD62BC"/>
    <w:rsid w:val="6B03359E"/>
    <w:rsid w:val="6B0A61EF"/>
    <w:rsid w:val="6B0C434F"/>
    <w:rsid w:val="6B111005"/>
    <w:rsid w:val="6B13730E"/>
    <w:rsid w:val="6B1F5CD8"/>
    <w:rsid w:val="6B23017D"/>
    <w:rsid w:val="6B342919"/>
    <w:rsid w:val="6B393CDB"/>
    <w:rsid w:val="6B476E8A"/>
    <w:rsid w:val="6B480E55"/>
    <w:rsid w:val="6B5F48B9"/>
    <w:rsid w:val="6B663217"/>
    <w:rsid w:val="6B697FF6"/>
    <w:rsid w:val="6B6A4D22"/>
    <w:rsid w:val="6B6E100E"/>
    <w:rsid w:val="6B713D7F"/>
    <w:rsid w:val="6B7A1B25"/>
    <w:rsid w:val="6B7B5E53"/>
    <w:rsid w:val="6B7C24F7"/>
    <w:rsid w:val="6B8535B2"/>
    <w:rsid w:val="6B9C4810"/>
    <w:rsid w:val="6BA6697D"/>
    <w:rsid w:val="6BAF3790"/>
    <w:rsid w:val="6BB67763"/>
    <w:rsid w:val="6BCD1D21"/>
    <w:rsid w:val="6BE77DA5"/>
    <w:rsid w:val="6BE841CE"/>
    <w:rsid w:val="6BEF7354"/>
    <w:rsid w:val="6C044D7B"/>
    <w:rsid w:val="6C2D7C00"/>
    <w:rsid w:val="6C2F371D"/>
    <w:rsid w:val="6C36467B"/>
    <w:rsid w:val="6C3B2096"/>
    <w:rsid w:val="6C4731BA"/>
    <w:rsid w:val="6C4E45E0"/>
    <w:rsid w:val="6C5A68D9"/>
    <w:rsid w:val="6C652476"/>
    <w:rsid w:val="6C6D213A"/>
    <w:rsid w:val="6C6E5706"/>
    <w:rsid w:val="6C760176"/>
    <w:rsid w:val="6C79713D"/>
    <w:rsid w:val="6C7A503E"/>
    <w:rsid w:val="6C806CAF"/>
    <w:rsid w:val="6C896C7E"/>
    <w:rsid w:val="6C8D2FC3"/>
    <w:rsid w:val="6C9753F4"/>
    <w:rsid w:val="6CB12570"/>
    <w:rsid w:val="6CB17414"/>
    <w:rsid w:val="6CB17579"/>
    <w:rsid w:val="6CBB7287"/>
    <w:rsid w:val="6CCB0111"/>
    <w:rsid w:val="6CCE3AC6"/>
    <w:rsid w:val="6CCF5DCF"/>
    <w:rsid w:val="6CD24E7A"/>
    <w:rsid w:val="6CD46C09"/>
    <w:rsid w:val="6CD75FEC"/>
    <w:rsid w:val="6CDA770E"/>
    <w:rsid w:val="6CE5037D"/>
    <w:rsid w:val="6CFB6A1F"/>
    <w:rsid w:val="6D0322F0"/>
    <w:rsid w:val="6D080689"/>
    <w:rsid w:val="6D1129CD"/>
    <w:rsid w:val="6D1661B0"/>
    <w:rsid w:val="6D250429"/>
    <w:rsid w:val="6D2F7BD6"/>
    <w:rsid w:val="6D3C2256"/>
    <w:rsid w:val="6D4D3BD6"/>
    <w:rsid w:val="6D725D15"/>
    <w:rsid w:val="6D737D44"/>
    <w:rsid w:val="6D74543A"/>
    <w:rsid w:val="6D7B34B9"/>
    <w:rsid w:val="6D820B95"/>
    <w:rsid w:val="6D8E5CEB"/>
    <w:rsid w:val="6D925F67"/>
    <w:rsid w:val="6D97678F"/>
    <w:rsid w:val="6D9B640F"/>
    <w:rsid w:val="6D9F45DC"/>
    <w:rsid w:val="6DBF10E5"/>
    <w:rsid w:val="6DC74389"/>
    <w:rsid w:val="6DCA1948"/>
    <w:rsid w:val="6DCE6C14"/>
    <w:rsid w:val="6DD36C4E"/>
    <w:rsid w:val="6DD769DD"/>
    <w:rsid w:val="6DDD3644"/>
    <w:rsid w:val="6DDF7241"/>
    <w:rsid w:val="6DE05D7D"/>
    <w:rsid w:val="6DE733A1"/>
    <w:rsid w:val="6DE74E21"/>
    <w:rsid w:val="6E132431"/>
    <w:rsid w:val="6E1A4327"/>
    <w:rsid w:val="6E2057DA"/>
    <w:rsid w:val="6E205FA3"/>
    <w:rsid w:val="6E387FDA"/>
    <w:rsid w:val="6E3A2278"/>
    <w:rsid w:val="6E491D5F"/>
    <w:rsid w:val="6E5B2C4D"/>
    <w:rsid w:val="6E5F01D9"/>
    <w:rsid w:val="6E665B3A"/>
    <w:rsid w:val="6E7E5A24"/>
    <w:rsid w:val="6E7E76EB"/>
    <w:rsid w:val="6E83261B"/>
    <w:rsid w:val="6E86110F"/>
    <w:rsid w:val="6E8C2E06"/>
    <w:rsid w:val="6E8D6EEA"/>
    <w:rsid w:val="6E9145D4"/>
    <w:rsid w:val="6E915661"/>
    <w:rsid w:val="6E965A6D"/>
    <w:rsid w:val="6E974890"/>
    <w:rsid w:val="6E9A3775"/>
    <w:rsid w:val="6EA5340D"/>
    <w:rsid w:val="6EAE7986"/>
    <w:rsid w:val="6ED672E7"/>
    <w:rsid w:val="6EDF7983"/>
    <w:rsid w:val="6EF01547"/>
    <w:rsid w:val="6EF70BC7"/>
    <w:rsid w:val="6EF868A0"/>
    <w:rsid w:val="6F0862A5"/>
    <w:rsid w:val="6F0A7602"/>
    <w:rsid w:val="6F0E1641"/>
    <w:rsid w:val="6F1B05B5"/>
    <w:rsid w:val="6F3C68AB"/>
    <w:rsid w:val="6F423639"/>
    <w:rsid w:val="6F4B3B88"/>
    <w:rsid w:val="6F4D5369"/>
    <w:rsid w:val="6F523C55"/>
    <w:rsid w:val="6F525EDC"/>
    <w:rsid w:val="6F560468"/>
    <w:rsid w:val="6F58633F"/>
    <w:rsid w:val="6F5914AA"/>
    <w:rsid w:val="6F597CD4"/>
    <w:rsid w:val="6F5D5FDE"/>
    <w:rsid w:val="6F76105A"/>
    <w:rsid w:val="6F7839AD"/>
    <w:rsid w:val="6F857F81"/>
    <w:rsid w:val="6F9E5125"/>
    <w:rsid w:val="6FA02C0D"/>
    <w:rsid w:val="6FAE1167"/>
    <w:rsid w:val="6FAF6D90"/>
    <w:rsid w:val="6FB11380"/>
    <w:rsid w:val="6FB75C16"/>
    <w:rsid w:val="6FBA68F8"/>
    <w:rsid w:val="6FBF7DA6"/>
    <w:rsid w:val="6FC92EF0"/>
    <w:rsid w:val="6FDB37A0"/>
    <w:rsid w:val="6FDB4E1C"/>
    <w:rsid w:val="6FE528AC"/>
    <w:rsid w:val="6FE8690B"/>
    <w:rsid w:val="6FE92B20"/>
    <w:rsid w:val="6FFE50AD"/>
    <w:rsid w:val="70100110"/>
    <w:rsid w:val="702646C2"/>
    <w:rsid w:val="702A17CE"/>
    <w:rsid w:val="702A4D00"/>
    <w:rsid w:val="7036571F"/>
    <w:rsid w:val="703C71D6"/>
    <w:rsid w:val="70456B3C"/>
    <w:rsid w:val="70483FC4"/>
    <w:rsid w:val="70497457"/>
    <w:rsid w:val="704E5B47"/>
    <w:rsid w:val="70564232"/>
    <w:rsid w:val="705931A1"/>
    <w:rsid w:val="70595347"/>
    <w:rsid w:val="705A515A"/>
    <w:rsid w:val="705A5E6C"/>
    <w:rsid w:val="70666005"/>
    <w:rsid w:val="7068083D"/>
    <w:rsid w:val="706E1617"/>
    <w:rsid w:val="7079773A"/>
    <w:rsid w:val="708305DB"/>
    <w:rsid w:val="709B7025"/>
    <w:rsid w:val="70A810AF"/>
    <w:rsid w:val="70B30CE9"/>
    <w:rsid w:val="70D97647"/>
    <w:rsid w:val="70E76DC5"/>
    <w:rsid w:val="70EE164F"/>
    <w:rsid w:val="70F361E5"/>
    <w:rsid w:val="70FD0DFD"/>
    <w:rsid w:val="710B23DD"/>
    <w:rsid w:val="710D1793"/>
    <w:rsid w:val="71212DDB"/>
    <w:rsid w:val="713401B4"/>
    <w:rsid w:val="713F0E7F"/>
    <w:rsid w:val="71483689"/>
    <w:rsid w:val="714F723A"/>
    <w:rsid w:val="71512E4B"/>
    <w:rsid w:val="716A06DE"/>
    <w:rsid w:val="7174743D"/>
    <w:rsid w:val="717A226E"/>
    <w:rsid w:val="7180275C"/>
    <w:rsid w:val="71817CF1"/>
    <w:rsid w:val="71841885"/>
    <w:rsid w:val="71922135"/>
    <w:rsid w:val="71941C5C"/>
    <w:rsid w:val="719D3CBF"/>
    <w:rsid w:val="71AA49AC"/>
    <w:rsid w:val="71AD4448"/>
    <w:rsid w:val="71AD7406"/>
    <w:rsid w:val="71C44AED"/>
    <w:rsid w:val="71C845B1"/>
    <w:rsid w:val="71D02177"/>
    <w:rsid w:val="71E47C67"/>
    <w:rsid w:val="71E93D5A"/>
    <w:rsid w:val="71F53C8E"/>
    <w:rsid w:val="71FA5876"/>
    <w:rsid w:val="71FF0E62"/>
    <w:rsid w:val="7209098A"/>
    <w:rsid w:val="72143589"/>
    <w:rsid w:val="72243010"/>
    <w:rsid w:val="72255E29"/>
    <w:rsid w:val="722B4905"/>
    <w:rsid w:val="722F4A3A"/>
    <w:rsid w:val="72377563"/>
    <w:rsid w:val="724E15C5"/>
    <w:rsid w:val="725F2F61"/>
    <w:rsid w:val="72606284"/>
    <w:rsid w:val="727367B7"/>
    <w:rsid w:val="72820DF5"/>
    <w:rsid w:val="72871DD3"/>
    <w:rsid w:val="728B77CC"/>
    <w:rsid w:val="728C3065"/>
    <w:rsid w:val="729C7C59"/>
    <w:rsid w:val="72A92155"/>
    <w:rsid w:val="72AA5DDE"/>
    <w:rsid w:val="72B5151D"/>
    <w:rsid w:val="72C22A6A"/>
    <w:rsid w:val="72CE148F"/>
    <w:rsid w:val="73083214"/>
    <w:rsid w:val="73085334"/>
    <w:rsid w:val="731B4A7C"/>
    <w:rsid w:val="732C7E2C"/>
    <w:rsid w:val="73351D9B"/>
    <w:rsid w:val="73473E8C"/>
    <w:rsid w:val="73537369"/>
    <w:rsid w:val="735D61B9"/>
    <w:rsid w:val="735D6FB3"/>
    <w:rsid w:val="738563F2"/>
    <w:rsid w:val="738A2EC0"/>
    <w:rsid w:val="739C2AC1"/>
    <w:rsid w:val="73A3493F"/>
    <w:rsid w:val="73A73117"/>
    <w:rsid w:val="73AD64E8"/>
    <w:rsid w:val="73BB160A"/>
    <w:rsid w:val="73C051CB"/>
    <w:rsid w:val="73C34267"/>
    <w:rsid w:val="73DA4D86"/>
    <w:rsid w:val="73E20860"/>
    <w:rsid w:val="73E23C26"/>
    <w:rsid w:val="73E93DCD"/>
    <w:rsid w:val="73EC084B"/>
    <w:rsid w:val="73EE2200"/>
    <w:rsid w:val="73F60095"/>
    <w:rsid w:val="7407421A"/>
    <w:rsid w:val="741753A2"/>
    <w:rsid w:val="741F0EDA"/>
    <w:rsid w:val="742C2095"/>
    <w:rsid w:val="74327CE1"/>
    <w:rsid w:val="743F176F"/>
    <w:rsid w:val="74411244"/>
    <w:rsid w:val="74434B8B"/>
    <w:rsid w:val="744E786F"/>
    <w:rsid w:val="74500B6B"/>
    <w:rsid w:val="74631D2A"/>
    <w:rsid w:val="746C0AD8"/>
    <w:rsid w:val="7470036B"/>
    <w:rsid w:val="74711A29"/>
    <w:rsid w:val="7474153C"/>
    <w:rsid w:val="7476043F"/>
    <w:rsid w:val="747F0510"/>
    <w:rsid w:val="74824130"/>
    <w:rsid w:val="7495684F"/>
    <w:rsid w:val="74A473B6"/>
    <w:rsid w:val="74B027F2"/>
    <w:rsid w:val="74BB6D30"/>
    <w:rsid w:val="74CF57F7"/>
    <w:rsid w:val="74EE4A26"/>
    <w:rsid w:val="74F141B3"/>
    <w:rsid w:val="74F4782B"/>
    <w:rsid w:val="750865AE"/>
    <w:rsid w:val="75093A44"/>
    <w:rsid w:val="750D302D"/>
    <w:rsid w:val="75146FFC"/>
    <w:rsid w:val="752550C9"/>
    <w:rsid w:val="753019FA"/>
    <w:rsid w:val="754546F0"/>
    <w:rsid w:val="756E5ECB"/>
    <w:rsid w:val="756F536D"/>
    <w:rsid w:val="75713018"/>
    <w:rsid w:val="75717C50"/>
    <w:rsid w:val="75735111"/>
    <w:rsid w:val="75810B45"/>
    <w:rsid w:val="75862CA5"/>
    <w:rsid w:val="75905670"/>
    <w:rsid w:val="75BC32D6"/>
    <w:rsid w:val="75BC4BD4"/>
    <w:rsid w:val="75BD2281"/>
    <w:rsid w:val="75D64B85"/>
    <w:rsid w:val="75E1089C"/>
    <w:rsid w:val="75E455B2"/>
    <w:rsid w:val="75EB0122"/>
    <w:rsid w:val="75F62642"/>
    <w:rsid w:val="75FD1375"/>
    <w:rsid w:val="76003F4B"/>
    <w:rsid w:val="760305A7"/>
    <w:rsid w:val="76051E1C"/>
    <w:rsid w:val="762245F4"/>
    <w:rsid w:val="762651C4"/>
    <w:rsid w:val="76353CA3"/>
    <w:rsid w:val="763D0FF2"/>
    <w:rsid w:val="764F45CB"/>
    <w:rsid w:val="764F7100"/>
    <w:rsid w:val="766154BB"/>
    <w:rsid w:val="766A32FA"/>
    <w:rsid w:val="76703998"/>
    <w:rsid w:val="76765FD5"/>
    <w:rsid w:val="76773300"/>
    <w:rsid w:val="76850072"/>
    <w:rsid w:val="768B79D3"/>
    <w:rsid w:val="769322EB"/>
    <w:rsid w:val="76A21161"/>
    <w:rsid w:val="76D65972"/>
    <w:rsid w:val="76DD2F98"/>
    <w:rsid w:val="76E063E5"/>
    <w:rsid w:val="76E824A1"/>
    <w:rsid w:val="76E95C45"/>
    <w:rsid w:val="76EA3DD3"/>
    <w:rsid w:val="76FD1DF7"/>
    <w:rsid w:val="77064A68"/>
    <w:rsid w:val="77177473"/>
    <w:rsid w:val="771868CC"/>
    <w:rsid w:val="77223C23"/>
    <w:rsid w:val="772F3ECD"/>
    <w:rsid w:val="77420723"/>
    <w:rsid w:val="77444BC6"/>
    <w:rsid w:val="77463E73"/>
    <w:rsid w:val="774C5F0F"/>
    <w:rsid w:val="774C645C"/>
    <w:rsid w:val="776049E3"/>
    <w:rsid w:val="77646F20"/>
    <w:rsid w:val="7770288B"/>
    <w:rsid w:val="777A1CF6"/>
    <w:rsid w:val="77906AEE"/>
    <w:rsid w:val="77933823"/>
    <w:rsid w:val="77A17FA7"/>
    <w:rsid w:val="77A504CC"/>
    <w:rsid w:val="77A5374F"/>
    <w:rsid w:val="77AE14C3"/>
    <w:rsid w:val="77B32669"/>
    <w:rsid w:val="77BF2BD4"/>
    <w:rsid w:val="77C55F52"/>
    <w:rsid w:val="77CB4BC0"/>
    <w:rsid w:val="77DF469C"/>
    <w:rsid w:val="77E107B9"/>
    <w:rsid w:val="77E20305"/>
    <w:rsid w:val="77F55EC0"/>
    <w:rsid w:val="77F576AD"/>
    <w:rsid w:val="77FE283A"/>
    <w:rsid w:val="780A6AD2"/>
    <w:rsid w:val="781C594E"/>
    <w:rsid w:val="782255B0"/>
    <w:rsid w:val="78283CB3"/>
    <w:rsid w:val="782A755E"/>
    <w:rsid w:val="78301FA7"/>
    <w:rsid w:val="7831474D"/>
    <w:rsid w:val="784461AC"/>
    <w:rsid w:val="784464DF"/>
    <w:rsid w:val="78485A36"/>
    <w:rsid w:val="784C1248"/>
    <w:rsid w:val="786D46D5"/>
    <w:rsid w:val="787640C9"/>
    <w:rsid w:val="78802CC4"/>
    <w:rsid w:val="789D0C72"/>
    <w:rsid w:val="78A477B4"/>
    <w:rsid w:val="78A70AC5"/>
    <w:rsid w:val="78AF7917"/>
    <w:rsid w:val="78B029AD"/>
    <w:rsid w:val="78B97E9F"/>
    <w:rsid w:val="78BB5B1C"/>
    <w:rsid w:val="78E20100"/>
    <w:rsid w:val="78E8208D"/>
    <w:rsid w:val="79027A00"/>
    <w:rsid w:val="790606F3"/>
    <w:rsid w:val="79113369"/>
    <w:rsid w:val="792720A9"/>
    <w:rsid w:val="792E7F36"/>
    <w:rsid w:val="79362610"/>
    <w:rsid w:val="79373427"/>
    <w:rsid w:val="79404650"/>
    <w:rsid w:val="794E01E8"/>
    <w:rsid w:val="79574533"/>
    <w:rsid w:val="79693193"/>
    <w:rsid w:val="797532B6"/>
    <w:rsid w:val="79767CB3"/>
    <w:rsid w:val="79783393"/>
    <w:rsid w:val="79794BEB"/>
    <w:rsid w:val="797E5920"/>
    <w:rsid w:val="79800B09"/>
    <w:rsid w:val="79837A1C"/>
    <w:rsid w:val="799038F3"/>
    <w:rsid w:val="79944B95"/>
    <w:rsid w:val="79976BF9"/>
    <w:rsid w:val="79A87E8D"/>
    <w:rsid w:val="79AE058A"/>
    <w:rsid w:val="79B149D4"/>
    <w:rsid w:val="79B51D54"/>
    <w:rsid w:val="79B67861"/>
    <w:rsid w:val="79B84F43"/>
    <w:rsid w:val="79C37D0E"/>
    <w:rsid w:val="79C43B5A"/>
    <w:rsid w:val="79C9650F"/>
    <w:rsid w:val="79D67F42"/>
    <w:rsid w:val="79DA4D0D"/>
    <w:rsid w:val="79DB1720"/>
    <w:rsid w:val="79E01483"/>
    <w:rsid w:val="79E10D06"/>
    <w:rsid w:val="79E90EC1"/>
    <w:rsid w:val="7A021DB8"/>
    <w:rsid w:val="7A033131"/>
    <w:rsid w:val="7A065747"/>
    <w:rsid w:val="7A066163"/>
    <w:rsid w:val="7A156C03"/>
    <w:rsid w:val="7A16011C"/>
    <w:rsid w:val="7A195E96"/>
    <w:rsid w:val="7A1A0DDF"/>
    <w:rsid w:val="7A1C0B5E"/>
    <w:rsid w:val="7A2411BB"/>
    <w:rsid w:val="7A280FFF"/>
    <w:rsid w:val="7A2F1F08"/>
    <w:rsid w:val="7A414017"/>
    <w:rsid w:val="7A4B6187"/>
    <w:rsid w:val="7A4C0910"/>
    <w:rsid w:val="7A4F590C"/>
    <w:rsid w:val="7A564ADF"/>
    <w:rsid w:val="7A5709EF"/>
    <w:rsid w:val="7A584426"/>
    <w:rsid w:val="7A5C0C0C"/>
    <w:rsid w:val="7A6B246A"/>
    <w:rsid w:val="7A784262"/>
    <w:rsid w:val="7A7E607F"/>
    <w:rsid w:val="7A942921"/>
    <w:rsid w:val="7AA11FAB"/>
    <w:rsid w:val="7AA72B86"/>
    <w:rsid w:val="7AAD37AF"/>
    <w:rsid w:val="7AAF0A24"/>
    <w:rsid w:val="7AB64C94"/>
    <w:rsid w:val="7ACC5C2F"/>
    <w:rsid w:val="7AE4463C"/>
    <w:rsid w:val="7AE449C9"/>
    <w:rsid w:val="7AE76A03"/>
    <w:rsid w:val="7B022DCE"/>
    <w:rsid w:val="7B0A4BC9"/>
    <w:rsid w:val="7B137A41"/>
    <w:rsid w:val="7B180060"/>
    <w:rsid w:val="7B39664D"/>
    <w:rsid w:val="7B4702FD"/>
    <w:rsid w:val="7B4E7835"/>
    <w:rsid w:val="7B4F14C9"/>
    <w:rsid w:val="7B5F0483"/>
    <w:rsid w:val="7B61234A"/>
    <w:rsid w:val="7B6B425F"/>
    <w:rsid w:val="7B6B61AA"/>
    <w:rsid w:val="7B6E6537"/>
    <w:rsid w:val="7B7E62F6"/>
    <w:rsid w:val="7B863B2D"/>
    <w:rsid w:val="7B8B5EA0"/>
    <w:rsid w:val="7B9E797E"/>
    <w:rsid w:val="7BAA59FC"/>
    <w:rsid w:val="7BAA6AF0"/>
    <w:rsid w:val="7BAB0A4E"/>
    <w:rsid w:val="7BAD346B"/>
    <w:rsid w:val="7BCE79B0"/>
    <w:rsid w:val="7BD57F4D"/>
    <w:rsid w:val="7BDC5ECF"/>
    <w:rsid w:val="7BE423E7"/>
    <w:rsid w:val="7BE53318"/>
    <w:rsid w:val="7BFC0B98"/>
    <w:rsid w:val="7C0336D4"/>
    <w:rsid w:val="7C0A0E43"/>
    <w:rsid w:val="7C0F2600"/>
    <w:rsid w:val="7C127843"/>
    <w:rsid w:val="7C196510"/>
    <w:rsid w:val="7C2E0FA1"/>
    <w:rsid w:val="7C4906E7"/>
    <w:rsid w:val="7C4918B5"/>
    <w:rsid w:val="7C6176BD"/>
    <w:rsid w:val="7C635AEE"/>
    <w:rsid w:val="7C636249"/>
    <w:rsid w:val="7C693741"/>
    <w:rsid w:val="7C774DB4"/>
    <w:rsid w:val="7C8413FB"/>
    <w:rsid w:val="7C8806ED"/>
    <w:rsid w:val="7C8C5493"/>
    <w:rsid w:val="7C900963"/>
    <w:rsid w:val="7C9217F0"/>
    <w:rsid w:val="7CB14A73"/>
    <w:rsid w:val="7CB34639"/>
    <w:rsid w:val="7CB80CA8"/>
    <w:rsid w:val="7CBB7ACC"/>
    <w:rsid w:val="7CBE7590"/>
    <w:rsid w:val="7CCE1F22"/>
    <w:rsid w:val="7CFA4C34"/>
    <w:rsid w:val="7CFB4872"/>
    <w:rsid w:val="7CFD1780"/>
    <w:rsid w:val="7D026FD3"/>
    <w:rsid w:val="7D08697B"/>
    <w:rsid w:val="7D0929DC"/>
    <w:rsid w:val="7D0F49BC"/>
    <w:rsid w:val="7D1A773A"/>
    <w:rsid w:val="7D420FB2"/>
    <w:rsid w:val="7D515F62"/>
    <w:rsid w:val="7D691ED1"/>
    <w:rsid w:val="7D9A0639"/>
    <w:rsid w:val="7DA03C01"/>
    <w:rsid w:val="7DA11C58"/>
    <w:rsid w:val="7DA65AA2"/>
    <w:rsid w:val="7DAF5816"/>
    <w:rsid w:val="7DB46C6E"/>
    <w:rsid w:val="7DD21AFF"/>
    <w:rsid w:val="7DD67516"/>
    <w:rsid w:val="7DDD40B9"/>
    <w:rsid w:val="7DEB28A7"/>
    <w:rsid w:val="7DF10672"/>
    <w:rsid w:val="7DF70394"/>
    <w:rsid w:val="7DFE5751"/>
    <w:rsid w:val="7E0230E5"/>
    <w:rsid w:val="7E057F81"/>
    <w:rsid w:val="7E066261"/>
    <w:rsid w:val="7E18758B"/>
    <w:rsid w:val="7E1E00AC"/>
    <w:rsid w:val="7E3C1B82"/>
    <w:rsid w:val="7E420FE4"/>
    <w:rsid w:val="7E493623"/>
    <w:rsid w:val="7E4A779A"/>
    <w:rsid w:val="7E5D512D"/>
    <w:rsid w:val="7E712D0F"/>
    <w:rsid w:val="7E746D33"/>
    <w:rsid w:val="7E7B370D"/>
    <w:rsid w:val="7E9937C1"/>
    <w:rsid w:val="7E9A3485"/>
    <w:rsid w:val="7E9C2FAD"/>
    <w:rsid w:val="7EA25E2E"/>
    <w:rsid w:val="7EB27BEF"/>
    <w:rsid w:val="7ECB3D64"/>
    <w:rsid w:val="7ED304A1"/>
    <w:rsid w:val="7EDB7BBE"/>
    <w:rsid w:val="7EDF11C5"/>
    <w:rsid w:val="7EDF1DE5"/>
    <w:rsid w:val="7EE7671A"/>
    <w:rsid w:val="7EF044B3"/>
    <w:rsid w:val="7EFC0D3A"/>
    <w:rsid w:val="7EFD32AB"/>
    <w:rsid w:val="7F037115"/>
    <w:rsid w:val="7F0E0C64"/>
    <w:rsid w:val="7F2A01FB"/>
    <w:rsid w:val="7F2F7F0A"/>
    <w:rsid w:val="7F347A63"/>
    <w:rsid w:val="7F4268D6"/>
    <w:rsid w:val="7F4E7A56"/>
    <w:rsid w:val="7F5943B5"/>
    <w:rsid w:val="7F6677FF"/>
    <w:rsid w:val="7F807065"/>
    <w:rsid w:val="7F850FF6"/>
    <w:rsid w:val="7F9965C6"/>
    <w:rsid w:val="7F9D261C"/>
    <w:rsid w:val="7FAD6BB7"/>
    <w:rsid w:val="7FB262C1"/>
    <w:rsid w:val="7FB50781"/>
    <w:rsid w:val="7FBC17BA"/>
    <w:rsid w:val="7FC74BEE"/>
    <w:rsid w:val="7FCD490C"/>
    <w:rsid w:val="7FD84BC5"/>
    <w:rsid w:val="7FDB741B"/>
    <w:rsid w:val="7FF07699"/>
    <w:rsid w:val="7FFA2175"/>
    <w:rsid w:val="7FFA36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18"/>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420" w:leftChars="200"/>
    </w:pPr>
    <w:rPr>
      <w:rFonts w:hint="eastAsia"/>
    </w:rPr>
  </w:style>
  <w:style w:type="paragraph" w:styleId="6">
    <w:name w:val="Body Text"/>
    <w:basedOn w:val="1"/>
    <w:qFormat/>
    <w:uiPriority w:val="1"/>
    <w:pPr>
      <w:ind w:left="120"/>
    </w:pPr>
    <w:rPr>
      <w:rFonts w:ascii="仿宋_GB2312" w:hAnsi="仿宋_GB2312" w:eastAsia="仿宋_GB2312" w:cs="仿宋_GB2312"/>
      <w:sz w:val="32"/>
      <w:szCs w:val="32"/>
      <w:lang w:val="zh-CN" w:eastAsia="zh-CN" w:bidi="zh-CN"/>
    </w:rPr>
  </w:style>
  <w:style w:type="paragraph" w:styleId="7">
    <w:name w:val="footer"/>
    <w:basedOn w:val="1"/>
    <w:qFormat/>
    <w:uiPriority w:val="0"/>
    <w:pPr>
      <w:tabs>
        <w:tab w:val="center" w:pos="4153"/>
        <w:tab w:val="right" w:pos="8306"/>
      </w:tabs>
      <w:snapToGrid w:val="0"/>
      <w:jc w:val="left"/>
    </w:pPr>
    <w:rPr>
      <w:rFonts w:cs="Times New Roman"/>
      <w:kern w:val="0"/>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List Paragraph1"/>
    <w:basedOn w:val="1"/>
    <w:qFormat/>
    <w:uiPriority w:val="99"/>
    <w:pPr>
      <w:ind w:firstLine="420" w:firstLineChars="200"/>
    </w:pPr>
    <w:rPr>
      <w:rFonts w:ascii="Times New Roman" w:hAnsi="Times New Roman"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600" b="1" i="0" u="none" strike="noStrike" kern="1200" spc="100" baseline="0">
                <a:ln>
                  <a:noFill/>
                </a:ln>
                <a:solidFill>
                  <a:schemeClr val="dk1"/>
                </a:solidFill>
                <a:effectLst/>
                <a:latin typeface="宋体" panose="02010600030101010101" charset="-122"/>
                <a:ea typeface="宋体" panose="02010600030101010101" charset="-122"/>
                <a:cs typeface="宋体" panose="02010600030101010101" charset="-122"/>
                <a:sym typeface="宋体" panose="02010600030101010101" charset="-122"/>
              </a:defRPr>
            </a:pP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202</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3</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年</a:t>
            </a:r>
            <a:r>
              <a:rPr lang="en-US" altLang="zh-CN"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7</a:t>
            </a:r>
            <a:r>
              <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rPr>
              <a:t>月一般公共预算支出分项占比图</a:t>
            </a:r>
            <a:endParaRPr sz="1000">
              <a:ln>
                <a:noFill/>
              </a:ln>
              <a:solidFill>
                <a:schemeClr val="tx1"/>
              </a:solidFill>
              <a:effectLst/>
              <a:uFillTx/>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197793239232723"/>
          <c:y val="0.00752068187515668"/>
        </c:manualLayout>
      </c:layout>
      <c:overlay val="0"/>
      <c:spPr>
        <a:noFill/>
        <a:ln w="25400" cap="flat" cmpd="sng" algn="ctr">
          <a:noFill/>
          <a:prstDash val="solid"/>
        </a:ln>
        <a:effectLst/>
        <a:sp3d>
          <a:extrusionClr>
            <a:srgbClr val="FFFFFF"/>
          </a:extrusionClr>
          <a:contourClr>
            <a:srgbClr val="FFFFFF"/>
          </a:contourClr>
        </a:sp3d>
      </c:spPr>
    </c:title>
    <c:autoTitleDeleted val="0"/>
    <c:plotArea>
      <c:layout>
        <c:manualLayout>
          <c:layoutTarget val="inner"/>
          <c:xMode val="edge"/>
          <c:yMode val="edge"/>
          <c:x val="0.270391775594269"/>
          <c:y val="0.173523638721257"/>
          <c:w val="0.463007407407407"/>
          <c:h val="0.781325"/>
        </c:manualLayout>
      </c:layout>
      <c:pieChart>
        <c:varyColors val="1"/>
        <c:ser>
          <c:idx val="0"/>
          <c:order val="0"/>
          <c:tx>
            <c:strRef>
              <c:f>Sheet1!$B$1</c:f>
              <c:strCache>
                <c:ptCount val="1"/>
                <c:pt idx="0">
                  <c:v>2023年7月一般公共预算支出分项占比图</c:v>
                </c:pt>
              </c:strCache>
            </c:strRef>
          </c:tx>
          <c:spPr/>
          <c:explosion val="1"/>
          <c:dPt>
            <c:idx val="0"/>
            <c:bubble3D val="0"/>
            <c:spPr>
              <a:gradFill rotWithShape="1">
                <a:gsLst>
                  <a:gs pos="0">
                    <a:schemeClr val="accent2">
                      <a:shade val="45000"/>
                      <a:satMod val="103000"/>
                      <a:lumMod val="102000"/>
                      <a:tint val="94000"/>
                    </a:schemeClr>
                  </a:gs>
                  <a:gs pos="50000">
                    <a:schemeClr val="accent2">
                      <a:shade val="45000"/>
                      <a:satMod val="110000"/>
                      <a:lumMod val="100000"/>
                      <a:shade val="100000"/>
                    </a:schemeClr>
                  </a:gs>
                  <a:gs pos="100000">
                    <a:schemeClr val="accent2">
                      <a:shade val="45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bubble3D val="0"/>
            <c:explosion val="0"/>
            <c:spPr>
              <a:gradFill rotWithShape="1">
                <a:gsLst>
                  <a:gs pos="0">
                    <a:schemeClr val="accent2">
                      <a:shade val="61000"/>
                      <a:satMod val="103000"/>
                      <a:lumMod val="102000"/>
                      <a:tint val="94000"/>
                    </a:schemeClr>
                  </a:gs>
                  <a:gs pos="50000">
                    <a:schemeClr val="accent2">
                      <a:shade val="61000"/>
                      <a:satMod val="110000"/>
                      <a:lumMod val="100000"/>
                      <a:shade val="100000"/>
                    </a:schemeClr>
                  </a:gs>
                  <a:gs pos="100000">
                    <a:schemeClr val="accent2">
                      <a:shade val="61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chemeClr val="accent2">
                      <a:shade val="76000"/>
                      <a:satMod val="103000"/>
                      <a:lumMod val="102000"/>
                      <a:tint val="94000"/>
                    </a:schemeClr>
                  </a:gs>
                  <a:gs pos="50000">
                    <a:schemeClr val="accent2">
                      <a:shade val="76000"/>
                      <a:satMod val="110000"/>
                      <a:lumMod val="100000"/>
                      <a:shade val="100000"/>
                    </a:schemeClr>
                  </a:gs>
                  <a:gs pos="100000">
                    <a:schemeClr val="accent2">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bubble3D val="0"/>
            <c:explosion val="0"/>
            <c:spPr>
              <a:gradFill rotWithShape="1">
                <a:gsLst>
                  <a:gs pos="0">
                    <a:schemeClr val="accent2">
                      <a:shade val="92000"/>
                      <a:satMod val="103000"/>
                      <a:lumMod val="102000"/>
                      <a:tint val="94000"/>
                    </a:schemeClr>
                  </a:gs>
                  <a:gs pos="50000">
                    <a:schemeClr val="accent2">
                      <a:shade val="92000"/>
                      <a:satMod val="110000"/>
                      <a:lumMod val="100000"/>
                      <a:shade val="100000"/>
                    </a:schemeClr>
                  </a:gs>
                  <a:gs pos="100000">
                    <a:schemeClr val="accent2">
                      <a:shade val="9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bubble3D val="0"/>
            <c:spPr>
              <a:gradFill rotWithShape="1">
                <a:gsLst>
                  <a:gs pos="0">
                    <a:schemeClr val="accent2">
                      <a:tint val="93000"/>
                      <a:satMod val="103000"/>
                      <a:lumMod val="102000"/>
                      <a:tint val="94000"/>
                    </a:schemeClr>
                  </a:gs>
                  <a:gs pos="50000">
                    <a:schemeClr val="accent2">
                      <a:tint val="93000"/>
                      <a:satMod val="110000"/>
                      <a:lumMod val="100000"/>
                      <a:shade val="100000"/>
                    </a:schemeClr>
                  </a:gs>
                  <a:gs pos="100000">
                    <a:schemeClr val="accent2">
                      <a:tint val="93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5"/>
            <c:bubble3D val="0"/>
            <c:spPr>
              <a:gradFill rotWithShape="1">
                <a:gsLst>
                  <a:gs pos="0">
                    <a:schemeClr val="accent2">
                      <a:tint val="77000"/>
                      <a:satMod val="103000"/>
                      <a:lumMod val="102000"/>
                      <a:tint val="94000"/>
                    </a:schemeClr>
                  </a:gs>
                  <a:gs pos="50000">
                    <a:schemeClr val="accent2">
                      <a:tint val="77000"/>
                      <a:satMod val="110000"/>
                      <a:lumMod val="100000"/>
                      <a:shade val="100000"/>
                    </a:schemeClr>
                  </a:gs>
                  <a:gs pos="100000">
                    <a:schemeClr val="accent2">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6"/>
            <c:bubble3D val="0"/>
            <c:explosion val="1"/>
            <c:spPr>
              <a:gradFill rotWithShape="1">
                <a:gsLst>
                  <a:gs pos="0">
                    <a:schemeClr val="accent2">
                      <a:tint val="62000"/>
                      <a:satMod val="103000"/>
                      <a:lumMod val="102000"/>
                      <a:tint val="94000"/>
                    </a:schemeClr>
                  </a:gs>
                  <a:gs pos="50000">
                    <a:schemeClr val="accent2">
                      <a:tint val="62000"/>
                      <a:satMod val="110000"/>
                      <a:lumMod val="100000"/>
                      <a:shade val="100000"/>
                    </a:schemeClr>
                  </a:gs>
                  <a:gs pos="100000">
                    <a:schemeClr val="accent2">
                      <a:tint val="62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7"/>
            <c:bubble3D val="0"/>
            <c:spPr>
              <a:gradFill rotWithShape="1">
                <a:gsLst>
                  <a:gs pos="0">
                    <a:schemeClr val="accent2">
                      <a:tint val="46000"/>
                      <a:satMod val="103000"/>
                      <a:lumMod val="102000"/>
                      <a:tint val="94000"/>
                    </a:schemeClr>
                  </a:gs>
                  <a:gs pos="50000">
                    <a:schemeClr val="accent2">
                      <a:tint val="46000"/>
                      <a:satMod val="110000"/>
                      <a:lumMod val="100000"/>
                      <a:shade val="100000"/>
                    </a:schemeClr>
                  </a:gs>
                  <a:gs pos="100000">
                    <a:schemeClr val="accent2">
                      <a:tint val="46000"/>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8"/>
            <c:bubble3D val="0"/>
            <c:spPr>
              <a:gradFill rotWithShape="1">
                <a:gsLst>
                  <a:gs pos="0">
                    <a:schemeClr val="accent2">
                      <a:shade val="96316"/>
                      <a:satMod val="103000"/>
                      <a:lumMod val="102000"/>
                      <a:tint val="94000"/>
                    </a:schemeClr>
                  </a:gs>
                  <a:gs pos="50000">
                    <a:schemeClr val="accent2">
                      <a:shade val="96316"/>
                      <a:satMod val="110000"/>
                      <a:lumMod val="100000"/>
                      <a:shade val="100000"/>
                    </a:schemeClr>
                  </a:gs>
                  <a:gs pos="100000">
                    <a:schemeClr val="accent2">
                      <a:shade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9"/>
            <c:bubble3D val="0"/>
            <c:spPr>
              <a:gradFill rotWithShape="1">
                <a:gsLst>
                  <a:gs pos="0">
                    <a:schemeClr val="accent2">
                      <a:tint val="96316"/>
                      <a:satMod val="103000"/>
                      <a:lumMod val="102000"/>
                      <a:tint val="94000"/>
                    </a:schemeClr>
                  </a:gs>
                  <a:gs pos="50000">
                    <a:schemeClr val="accent2">
                      <a:tint val="96316"/>
                      <a:satMod val="110000"/>
                      <a:lumMod val="100000"/>
                      <a:shade val="100000"/>
                    </a:schemeClr>
                  </a:gs>
                  <a:gs pos="100000">
                    <a:schemeClr val="accent2">
                      <a:tint val="96316"/>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0"/>
            <c:bubble3D val="0"/>
            <c:spPr>
              <a:gradFill rotWithShape="1">
                <a:gsLst>
                  <a:gs pos="0">
                    <a:schemeClr val="accent2">
                      <a:tint val="88947"/>
                      <a:satMod val="103000"/>
                      <a:lumMod val="102000"/>
                      <a:tint val="94000"/>
                    </a:schemeClr>
                  </a:gs>
                  <a:gs pos="50000">
                    <a:schemeClr val="accent2">
                      <a:tint val="88947"/>
                      <a:satMod val="110000"/>
                      <a:lumMod val="100000"/>
                      <a:shade val="100000"/>
                    </a:schemeClr>
                  </a:gs>
                  <a:gs pos="100000">
                    <a:schemeClr val="accent2">
                      <a:tint val="8894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1"/>
            <c:bubble3D val="0"/>
            <c:spPr>
              <a:gradFill rotWithShape="1">
                <a:gsLst>
                  <a:gs pos="0">
                    <a:schemeClr val="accent2">
                      <a:tint val="81579"/>
                      <a:satMod val="103000"/>
                      <a:lumMod val="102000"/>
                      <a:tint val="94000"/>
                    </a:schemeClr>
                  </a:gs>
                  <a:gs pos="50000">
                    <a:schemeClr val="accent2">
                      <a:tint val="81579"/>
                      <a:satMod val="110000"/>
                      <a:lumMod val="100000"/>
                      <a:shade val="100000"/>
                    </a:schemeClr>
                  </a:gs>
                  <a:gs pos="100000">
                    <a:schemeClr val="accent2">
                      <a:tint val="81579"/>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2"/>
            <c:bubble3D val="0"/>
            <c:spPr>
              <a:gradFill rotWithShape="1">
                <a:gsLst>
                  <a:gs pos="0">
                    <a:schemeClr val="accent2">
                      <a:tint val="74211"/>
                      <a:satMod val="103000"/>
                      <a:lumMod val="102000"/>
                      <a:tint val="94000"/>
                    </a:schemeClr>
                  </a:gs>
                  <a:gs pos="50000">
                    <a:schemeClr val="accent2">
                      <a:tint val="74211"/>
                      <a:satMod val="110000"/>
                      <a:lumMod val="100000"/>
                      <a:shade val="100000"/>
                    </a:schemeClr>
                  </a:gs>
                  <a:gs pos="100000">
                    <a:schemeClr val="accent2">
                      <a:tint val="7421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3"/>
            <c:bubble3D val="0"/>
            <c:spPr>
              <a:gradFill rotWithShape="1">
                <a:gsLst>
                  <a:gs pos="0">
                    <a:schemeClr val="accent2">
                      <a:tint val="66842"/>
                      <a:satMod val="103000"/>
                      <a:lumMod val="102000"/>
                      <a:tint val="94000"/>
                    </a:schemeClr>
                  </a:gs>
                  <a:gs pos="50000">
                    <a:schemeClr val="accent2">
                      <a:tint val="66842"/>
                      <a:satMod val="110000"/>
                      <a:lumMod val="100000"/>
                      <a:shade val="100000"/>
                    </a:schemeClr>
                  </a:gs>
                  <a:gs pos="100000">
                    <a:schemeClr val="accent2">
                      <a:tint val="6684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4"/>
            <c:bubble3D val="0"/>
            <c:spPr>
              <a:gradFill rotWithShape="1">
                <a:gsLst>
                  <a:gs pos="0">
                    <a:schemeClr val="accent2">
                      <a:tint val="59474"/>
                      <a:satMod val="103000"/>
                      <a:lumMod val="102000"/>
                      <a:tint val="94000"/>
                    </a:schemeClr>
                  </a:gs>
                  <a:gs pos="50000">
                    <a:schemeClr val="accent2">
                      <a:tint val="59474"/>
                      <a:satMod val="110000"/>
                      <a:lumMod val="100000"/>
                      <a:shade val="100000"/>
                    </a:schemeClr>
                  </a:gs>
                  <a:gs pos="100000">
                    <a:schemeClr val="accent2">
                      <a:tint val="5947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5"/>
            <c:bubble3D val="0"/>
            <c:spPr>
              <a:gradFill rotWithShape="1">
                <a:gsLst>
                  <a:gs pos="0">
                    <a:schemeClr val="accent2">
                      <a:tint val="52105"/>
                      <a:satMod val="103000"/>
                      <a:lumMod val="102000"/>
                      <a:tint val="94000"/>
                    </a:schemeClr>
                  </a:gs>
                  <a:gs pos="50000">
                    <a:schemeClr val="accent2">
                      <a:tint val="52105"/>
                      <a:satMod val="110000"/>
                      <a:lumMod val="100000"/>
                      <a:shade val="100000"/>
                    </a:schemeClr>
                  </a:gs>
                  <a:gs pos="100000">
                    <a:schemeClr val="accent2">
                      <a:tint val="5210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6"/>
            <c:bubble3D val="0"/>
            <c:spPr>
              <a:gradFill rotWithShape="1">
                <a:gsLst>
                  <a:gs pos="0">
                    <a:schemeClr val="accent2">
                      <a:tint val="44737"/>
                      <a:satMod val="103000"/>
                      <a:lumMod val="102000"/>
                      <a:tint val="94000"/>
                    </a:schemeClr>
                  </a:gs>
                  <a:gs pos="50000">
                    <a:schemeClr val="accent2">
                      <a:tint val="44737"/>
                      <a:satMod val="110000"/>
                      <a:lumMod val="100000"/>
                      <a:shade val="100000"/>
                    </a:schemeClr>
                  </a:gs>
                  <a:gs pos="100000">
                    <a:schemeClr val="accent2">
                      <a:tint val="44737"/>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7"/>
            <c:bubble3D val="0"/>
            <c:spPr>
              <a:gradFill rotWithShape="1">
                <a:gsLst>
                  <a:gs pos="0">
                    <a:schemeClr val="accent2">
                      <a:tint val="37368"/>
                      <a:satMod val="103000"/>
                      <a:lumMod val="102000"/>
                      <a:tint val="94000"/>
                    </a:schemeClr>
                  </a:gs>
                  <a:gs pos="50000">
                    <a:schemeClr val="accent2">
                      <a:tint val="37368"/>
                      <a:satMod val="110000"/>
                      <a:lumMod val="100000"/>
                      <a:shade val="100000"/>
                    </a:schemeClr>
                  </a:gs>
                  <a:gs pos="100000">
                    <a:schemeClr val="accent2">
                      <a:tint val="37368"/>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layout>
                <c:manualLayout>
                  <c:x val="-0.0479310109746996"/>
                  <c:y val="0.0389878322057973"/>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资源勘探信息等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09257616089914"/>
                      <c:h val="0.074234755362738"/>
                    </c:manualLayout>
                  </c15:layout>
                </c:ext>
              </c:extLst>
            </c:dLbl>
            <c:dLbl>
              <c:idx val="1"/>
              <c:layout>
                <c:manualLayout>
                  <c:x val="-0.146836067799164"/>
                  <c:y val="0"/>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城乡社区</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7227266176683"/>
                      <c:h val="0.0706547338671691"/>
                    </c:manualLayout>
                  </c15:layout>
                </c:ext>
              </c:extLst>
            </c:dLbl>
            <c:dLbl>
              <c:idx val="2"/>
              <c:layout>
                <c:manualLayout>
                  <c:x val="-0.15021745480395"/>
                  <c:y val="-0.0644741248697383"/>
                </c:manualLayout>
              </c:layout>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3"/>
              <c:layout>
                <c:manualLayout>
                  <c:x val="-0.115621939336153"/>
                  <c:y val="0.033053750178740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教育</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21343133016285"/>
                      <c:h val="0.0843558282208589"/>
                    </c:manualLayout>
                  </c15:layout>
                </c:ext>
              </c:extLst>
            </c:dLbl>
            <c:dLbl>
              <c:idx val="4"/>
              <c:layout>
                <c:manualLayout>
                  <c:x val="-0.156199786784759"/>
                  <c:y val="0.122638580258715"/>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一般公共服务</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1382043522121"/>
                      <c:h val="0.0812529439472445"/>
                    </c:manualLayout>
                  </c15:layout>
                </c:ext>
              </c:extLst>
            </c:dLbl>
            <c:dLbl>
              <c:idx val="5"/>
              <c:layout>
                <c:manualLayout>
                  <c:x val="-0.363374435928426"/>
                  <c:y val="0.0461246520549642"/>
                </c:manualLayout>
              </c:layout>
              <c:tx>
                <c:rich>
                  <a:bodyPr rot="0" spcFirstLastPara="0" vertOverflow="ellipsis" vert="horz" wrap="square" lIns="36576" tIns="18288" rIns="36576" bIns="18288" anchor="ctr" anchorCtr="1" forceAA="0"/>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农林水</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ellipsis" vert="horz" wrap="square" lIns="36576" tIns="18288" rIns="36576" bIns="18288" anchor="ctr" anchorCtr="1" forceAA="0"/>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ext>
              </c:extLst>
            </c:dLbl>
            <c:dLbl>
              <c:idx val="6"/>
              <c:layout>
                <c:manualLayout>
                  <c:x val="0.10647150999386"/>
                  <c:y val="-0.0248541890847368"/>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自然资源海洋气象等</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51621271076524"/>
                      <c:h val="0.0635892604804522"/>
                    </c:manualLayout>
                  </c15:layout>
                </c:ext>
              </c:extLst>
            </c:dLbl>
            <c:dLbl>
              <c:idx val="7"/>
              <c:layout>
                <c:manualLayout>
                  <c:x val="0.241168690333682"/>
                  <c:y val="-0.0280421667405679"/>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a:latin typeface="宋体" panose="02010600030101010101" charset="-122"/>
                        <a:ea typeface="宋体" panose="02010600030101010101" charset="-122"/>
                        <a:cs typeface="宋体" panose="02010600030101010101" charset="-122"/>
                        <a:sym typeface="宋体" panose="02010600030101010101" charset="-122"/>
                      </a:rPr>
                      <a:t>节能环保</a:t>
                    </a:r>
                    <a:endParaRPr>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2750261858447"/>
                      <c:h val="0.0598428835489834"/>
                    </c:manualLayout>
                  </c15:layout>
                </c:ext>
              </c:extLst>
            </c:dLbl>
            <c:dLbl>
              <c:idx val="8"/>
              <c:layout>
                <c:manualLayout>
                  <c:x val="0.131365837035409"/>
                  <c:y val="-0.0803415722268245"/>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卫生健康</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4272033517881"/>
                      <c:h val="0.0533733826247689"/>
                    </c:manualLayout>
                  </c15:layout>
                </c:ext>
              </c:extLst>
            </c:dLbl>
            <c:dLbl>
              <c:idx val="9"/>
              <c:layout>
                <c:manualLayout>
                  <c:x val="0.111348075787745"/>
                  <c:y val="-0.0915163411675412"/>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债务付息</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5294029627413"/>
                      <c:h val="0.053373382624769"/>
                    </c:manualLayout>
                  </c15:layout>
                </c:ext>
              </c:extLst>
            </c:dLbl>
            <c:dLbl>
              <c:idx val="10"/>
              <c:layout>
                <c:manualLayout>
                  <c:x val="0.100543701429816"/>
                  <c:y val="-0.076492788574533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交通运输</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35758651286602"/>
                      <c:h val="0.065132336018412"/>
                    </c:manualLayout>
                  </c15:layout>
                </c:ext>
              </c:extLst>
            </c:dLbl>
            <c:dLbl>
              <c:idx val="11"/>
              <c:layout>
                <c:manualLayout>
                  <c:x val="0.0966822802417919"/>
                  <c:y val="-0.0760867680571317"/>
                </c:manualLayout>
              </c:layout>
              <c:tx>
                <c:rich>
                  <a:bodyPr rot="0" spcFirstLastPara="0" vertOverflow="clip" horzOverflow="clip" vert="horz" wrap="square" lIns="36576" tIns="18288" rIns="36576" bIns="18288" anchor="ctr" anchorCtr="1" forceAA="0">
                    <a:spAutoFit/>
                  </a:bodyPr>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公共安全</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3248306672431"/>
                      <c:h val="0.0476940382452193"/>
                    </c:manualLayout>
                  </c15:layout>
                </c:ext>
              </c:extLst>
            </c:dLbl>
            <c:dLbl>
              <c:idx val="12"/>
              <c:layout>
                <c:manualLayout>
                  <c:x val="0.0954994335246372"/>
                  <c:y val="-0.0625973796248372"/>
                </c:manualLayout>
              </c:layout>
              <c:tx>
                <c:rich>
                  <a:bodyPr rot="0" spcFirstLastPara="0" vertOverflow="clip" vert="horz" wrap="square" lIns="36576" tIns="18288" rIns="36576" bIns="18288" anchor="ctr" anchorCtr="1"/>
                  <a:lstStyle/>
                  <a:p>
                    <a:pPr defTabSz="914400">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住房保障</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52183311716386"/>
                      <c:h val="0.0632170978627671"/>
                    </c:manualLayout>
                  </c15:layout>
                </c:ext>
              </c:extLst>
            </c:dLbl>
            <c:dLbl>
              <c:idx val="13"/>
              <c:layout>
                <c:manualLayout>
                  <c:x val="0.0162901309160385"/>
                  <c:y val="-0.028731849337639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文化旅游体育与传媒</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44814490213263"/>
                      <c:h val="0.0653645833333333"/>
                    </c:manualLayout>
                  </c15:layout>
                </c:ext>
              </c:extLst>
            </c:dLbl>
            <c:dLbl>
              <c:idx val="14"/>
              <c:layout>
                <c:manualLayout>
                  <c:x val="0.1387140132506"/>
                  <c:y val="-0.0246505201951566"/>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科学技术</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46562905317769"/>
                      <c:h val="0.0672665916760405"/>
                    </c:manualLayout>
                  </c15:layout>
                </c:ext>
              </c:extLst>
            </c:dLbl>
            <c:dLbl>
              <c:idx val="15"/>
              <c:layout>
                <c:manualLayout>
                  <c:x val="0.0978092483316313"/>
                  <c:y val="-0.023097577005197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灾害防治及应急管理</a:t>
                    </a:r>
                    <a:endParaRPr sz="6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237786424556853"/>
                      <c:h val="0.0736196319018405"/>
                    </c:manualLayout>
                  </c15:layout>
                </c:ext>
              </c:extLst>
            </c:dLbl>
            <c:dLbl>
              <c:idx val="16"/>
              <c:layout>
                <c:manualLayout>
                  <c:x val="0.166728902925891"/>
                  <c:y val="0.0286584184911519"/>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商业服务业等</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81150021616948"/>
                      <c:h val="0.0607424071991001"/>
                    </c:manualLayout>
                  </c15:layout>
                </c:ext>
              </c:extLst>
            </c:dLbl>
            <c:dLbl>
              <c:idx val="17"/>
              <c:layout>
                <c:manualLayout>
                  <c:x val="0.161302002704699"/>
                  <c:y val="0.0872355890944094"/>
                </c:manualLayout>
              </c:layout>
              <c:tx>
                <c:rich>
                  <a:bodyPr rot="0" spcFirstLastPara="0" vertOverflow="clip" vert="horz" wrap="square" lIns="36576" tIns="18288" rIns="36576" bIns="18288" anchor="ctr" anchorCtr="1"/>
                  <a:lstStyle/>
                  <a:p>
                    <a:pPr defTabSz="914400">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r>
                      <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rPr>
                      <a:t>粮油物资储备</a:t>
                    </a:r>
                    <a:endParaRPr sz="700" u="none" strike="noStrike" cap="none" normalizeH="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vert="horz" wrap="square" lIns="36576" tIns="18288" rIns="36576" bIns="18288" anchor="ctr" anchorCtr="1"/>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0"/>
              <c:showBubbleSize val="0"/>
              <c:separator>
</c:separator>
              <c:extLst>
                <c:ext xmlns:c15="http://schemas.microsoft.com/office/drawing/2012/chart" uri="{CE6537A1-D6FC-4f65-9D91-7224C49458BB}">
                  <c15:layout>
                    <c:manualLayout>
                      <c:w val="0.197290675889898"/>
                      <c:h val="0.0616422947131609"/>
                    </c:manualLayout>
                  </c15:layout>
                </c:ext>
              </c:extLst>
            </c:dLbl>
            <c:numFmt formatCode="General" sourceLinked="1"/>
            <c:spPr>
              <a:noFill/>
              <a:ln w="25400" cap="flat" cmpd="sng" algn="ctr">
                <a:noFill/>
                <a:prstDash val="solid"/>
              </a:ln>
              <a:effectLst/>
              <a:sp3d>
                <a:extrusionClr>
                  <a:srgbClr val="FFFFFF"/>
                </a:extrusionClr>
                <a:contourClr>
                  <a:srgbClr val="FFFFFF"/>
                </a:contourClr>
              </a:sp3d>
            </c:spPr>
            <c:txPr>
              <a:bodyPr rot="0" spcFirstLastPara="0" vertOverflow="clip" horzOverflow="clip" vert="horz" wrap="square" lIns="36576" tIns="18288" rIns="36576" bIns="18288" anchor="ctr" anchorCtr="1" forceAA="0">
                <a:spAutoFit/>
              </a:bodyPr>
              <a:lstStyle/>
              <a:p>
                <a:pPr>
                  <a:defRPr lang="zh-CN" sz="700" b="0" i="0" u="none" strike="noStrike" kern="1200" cap="none" spc="0" normalizeH="0" baseline="0">
                    <a:solidFill>
                      <a:schemeClr val="tx1"/>
                    </a:solidFill>
                    <a:uFill>
                      <a:solidFill>
                        <a:schemeClr val="tx1"/>
                      </a:solidFill>
                    </a:u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0"/>
            <c:showCatName val="1"/>
            <c:showSerName val="0"/>
            <c:showPercent val="0"/>
            <c:showBubbleSize val="0"/>
            <c:separator>
</c:separator>
            <c:showLeaderLines val="1"/>
            <c:extLst>
              <c:ext xmlns:c15="http://schemas.microsoft.com/office/drawing/2012/chart" uri="{CE6537A1-D6FC-4f65-9D91-7224C49458BB}">
                <c15:spPr xmlns:c15="http://schemas.microsoft.com/office/drawing/2012/chart">
                  <a:prstGeom prst="roundRect">
                    <a:avLst/>
                  </a:prstGeom>
                  <a:noFill/>
                  <a:ln>
                    <a:noFill/>
                  </a:ln>
                </c15:spPr>
                <c15:layout/>
                <c15:showLeaderLines val="1"/>
                <c15:leaderLines>
                  <c:spPr>
                    <a:ln w="9525">
                      <a:solidFill>
                        <a:sysClr val="windowText" lastClr="000000">
                          <a:alpha val="54000"/>
                        </a:sysClr>
                      </a:solidFill>
                    </a:ln>
                    <a:effectLst/>
                  </c:spPr>
                </c15:leaderLines>
              </c:ext>
            </c:extLst>
          </c:dLbls>
          <c:cat>
            <c:strRef>
              <c:f>Sheet1!$A$2:$A$19</c:f>
              <c:strCache>
                <c:ptCount val="18"/>
                <c:pt idx="0">
                  <c:v>资源勘探信息等</c:v>
                </c:pt>
                <c:pt idx="1">
                  <c:v>城乡社区</c:v>
                </c:pt>
                <c:pt idx="2">
                  <c:v>社会保障和就业</c:v>
                </c:pt>
                <c:pt idx="3">
                  <c:v>教育</c:v>
                </c:pt>
                <c:pt idx="4">
                  <c:v>一般公共服务</c:v>
                </c:pt>
                <c:pt idx="5">
                  <c:v>农林水</c:v>
                </c:pt>
                <c:pt idx="6">
                  <c:v>自然资源海洋气象等</c:v>
                </c:pt>
                <c:pt idx="7">
                  <c:v>节能环保</c:v>
                </c:pt>
                <c:pt idx="8">
                  <c:v>卫生健康</c:v>
                </c:pt>
                <c:pt idx="9">
                  <c:v>债务付息</c:v>
                </c:pt>
                <c:pt idx="10">
                  <c:v>交通运输</c:v>
                </c:pt>
                <c:pt idx="11">
                  <c:v>公共安全</c:v>
                </c:pt>
                <c:pt idx="12">
                  <c:v>住房保障</c:v>
                </c:pt>
                <c:pt idx="13">
                  <c:v>文化旅游体育与传媒</c:v>
                </c:pt>
                <c:pt idx="14">
                  <c:v>科学技术</c:v>
                </c:pt>
                <c:pt idx="15">
                  <c:v>灾害防治及应急管理</c:v>
                </c:pt>
                <c:pt idx="16">
                  <c:v>商业服务业等</c:v>
                </c:pt>
                <c:pt idx="17">
                  <c:v>粮油物资储备</c:v>
                </c:pt>
              </c:strCache>
            </c:strRef>
          </c:cat>
          <c:val>
            <c:numRef>
              <c:f>Sheet1!$B$2:$B$19</c:f>
              <c:numCache>
                <c:formatCode>General</c:formatCode>
                <c:ptCount val="18"/>
                <c:pt idx="0">
                  <c:v>6048</c:v>
                </c:pt>
                <c:pt idx="1">
                  <c:v>61813</c:v>
                </c:pt>
                <c:pt idx="2">
                  <c:v>32015</c:v>
                </c:pt>
                <c:pt idx="3">
                  <c:v>43652</c:v>
                </c:pt>
                <c:pt idx="4">
                  <c:v>29762</c:v>
                </c:pt>
                <c:pt idx="5">
                  <c:v>47993</c:v>
                </c:pt>
                <c:pt idx="6">
                  <c:v>4756</c:v>
                </c:pt>
                <c:pt idx="7">
                  <c:v>21703</c:v>
                </c:pt>
                <c:pt idx="8">
                  <c:v>19373</c:v>
                </c:pt>
                <c:pt idx="9">
                  <c:v>7479</c:v>
                </c:pt>
                <c:pt idx="10">
                  <c:v>12395</c:v>
                </c:pt>
                <c:pt idx="11">
                  <c:v>9638</c:v>
                </c:pt>
                <c:pt idx="12">
                  <c:v>6267</c:v>
                </c:pt>
                <c:pt idx="13">
                  <c:v>6870</c:v>
                </c:pt>
                <c:pt idx="14">
                  <c:v>8852</c:v>
                </c:pt>
                <c:pt idx="15">
                  <c:v>3573</c:v>
                </c:pt>
                <c:pt idx="16">
                  <c:v>2050</c:v>
                </c:pt>
                <c:pt idx="17">
                  <c:v>701</c:v>
                </c:pt>
              </c:numCache>
            </c:numRef>
          </c:val>
        </c:ser>
        <c:dLbls>
          <c:showLegendKey val="0"/>
          <c:showVal val="1"/>
          <c:showCatName val="0"/>
          <c:showSerName val="0"/>
          <c:showPercent val="0"/>
          <c:showBubbleSize val="0"/>
          <c:showLeaderLines val="1"/>
        </c:dLbls>
        <c:firstSliceAng val="139"/>
      </c:pieChart>
      <c:spPr>
        <a:noFill/>
        <a:ln>
          <a:noFill/>
        </a:ln>
        <a:effectLst/>
      </c:spPr>
    </c:plotArea>
    <c:plotVisOnly val="1"/>
    <c:dispBlanksAs val="gap"/>
    <c:showDLblsOverMax val="0"/>
  </c:chart>
  <c:spPr>
    <a:noFill/>
    <a:ln w="3175">
      <a:solidFill>
        <a:sysClr val="windowText" lastClr="000000"/>
      </a:solidFill>
    </a:ln>
    <a:effectLst/>
  </c:spPr>
  <c:txPr>
    <a:bodyPr/>
    <a:lstStyle/>
    <a:p>
      <a:pPr>
        <a:defRPr lang="zh-CN">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1">
    <a:dk1>
      <a:sysClr val="windowText" lastClr="000000"/>
    </a:dk1>
    <a:lt1>
      <a:sysClr val="window" lastClr="FFFFFF"/>
    </a:lt1>
    <a:dk2>
      <a:srgbClr val="9C27B0"/>
    </a:dk2>
    <a:lt2>
      <a:srgbClr val="673AB7"/>
    </a:lt2>
    <a:accent1>
      <a:srgbClr val="2196F3"/>
    </a:accent1>
    <a:accent2>
      <a:srgbClr val="00BCD4"/>
    </a:accent2>
    <a:accent3>
      <a:srgbClr val="4CAF50"/>
    </a:accent3>
    <a:accent4>
      <a:srgbClr val="CDDC39"/>
    </a:accent4>
    <a:accent5>
      <a:srgbClr val="FFC107"/>
    </a:accent5>
    <a:accent6>
      <a:srgbClr val="FF5722"/>
    </a:accent6>
    <a:hlink>
      <a:srgbClr val="9C27B0"/>
    </a:hlink>
    <a:folHlink>
      <a:srgbClr val="673AB7"/>
    </a:folHlink>
  </a:clrScheme>
  <a:fontScheme name="Office 主题​​">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主题​​">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textRotate="1"/>
    <customShpInfo spid="_x0000_s1027"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4037</Words>
  <Characters>6024</Characters>
  <Lines>0</Lines>
  <Paragraphs>0</Paragraphs>
  <TotalTime>80</TotalTime>
  <ScaleCrop>false</ScaleCrop>
  <LinksUpToDate>false</LinksUpToDate>
  <CharactersWithSpaces>6141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2021-03-21T23:16:00Z</dcterms:created>
  <dc:creator>失律的钟</dc:creator>
  <cp:lastModifiedBy>z'k</cp:lastModifiedBy>
  <cp:lastPrinted>2023-08-07T02:27:00Z</cp:lastPrinted>
  <dcterms:modified xsi:type="dcterms:W3CDTF">2023-10-31T00:55:55Z</dcterms:modified>
  <dc:title>失律的钟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B07048C09B4F49E8B2CC971E17A26E4A_13</vt:lpwstr>
  </property>
  <property fmtid="{D5CDD505-2E9C-101B-9397-08002B2CF9AE}" pid="4" name="KSOSaveFontToCloudKey">
    <vt:lpwstr>1221542077_btnclosed</vt:lpwstr>
  </property>
</Properties>
</file>