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9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9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  <w:t>鄂托克旗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月财政收支情况</w:t>
      </w:r>
    </w:p>
    <w:p>
      <w:pPr>
        <w:rPr>
          <w:rFonts w:hint="eastAsia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560" w:lineRule="exact"/>
        <w:ind w:right="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222222"/>
          <w:spacing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一、全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旗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一般公共预算收支情况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560" w:lineRule="exact"/>
        <w:ind w:left="0" w:right="0"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（一）一般公共预算收入情况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2024年3月，全旗一般公共预算收入累计完成80971万元，较上年同期下降49.6%，完成年初预算的17.2%。其中：税收收入73433万元、下降50.9%，非税收入7538万元、下降32.2%，占比分别为90.7%和9.3%。主要税收收入项目情况如下：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1.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增值税21106万元，同比下降20.2%。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2.企业所得税9138万元，同比下降59.6%。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3.个人所得税1473万元，同比下降74%。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4.资源税13992万元，同比下降46.5%。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5.环境保护税2052万元，同比增长51.7%。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6.城市维护建设税4847万元，同比下降20.6%。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7.房产税301万元，同比下降74.5%。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8.印花税2671万元，同比增长5.4%。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9.城镇土地使用税891万元，同比下降71.6%。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10.土地增值税474万元，同比下降4.4%。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11.车船税647万元，同比增长6.8%。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12.耕地占用税15284万元，同比下降70.9%。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13.契税557万元，同比下降25.1%。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560" w:lineRule="exact"/>
        <w:ind w:left="0" w:right="0"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（二）</w:t>
      </w: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一般公共预算支出情况。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kern w:val="21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旗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一般公共预算支出累计完成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99828万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元，同比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下降16.4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%</w:t>
      </w:r>
      <w:r>
        <w:rPr>
          <w:rFonts w:hint="eastAsia" w:ascii="仿宋_GB2312" w:hAnsi="仿宋_GB2312" w:eastAsia="仿宋_GB2312" w:cs="仿宋_GB2312"/>
          <w:spacing w:val="0"/>
          <w:kern w:val="21"/>
          <w:sz w:val="32"/>
          <w:szCs w:val="32"/>
          <w:highlight w:val="none"/>
          <w:u w:val="none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主要支出科目情况如下：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1.教育支出14467万元、增长12.4%。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2.科技支出535万元、下降81%。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3.文化旅游体育与传媒支出1223万元、增长1.6%。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4.社会保障和就业支出16181万元、增长18.4%。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5.卫生健康支出4958万元、下降27.3%。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6.节能环保支出8342万元、下降47.9%。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7.城乡社区支出11739万元、下降50.2%。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8.农林水支出11018万元、增长18.7%。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9.交通运输支出6460万元、增长141.9%。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10.资源勘探信息等支出544万元、下降76.1%。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黑体" w:hAnsi="黑体" w:eastAsia="黑体" w:cs="黑体"/>
          <w:b/>
          <w:bCs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11.自然资源海洋气象等支出845万元、下降67.9%。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560" w:lineRule="exact"/>
        <w:ind w:right="0"/>
        <w:jc w:val="both"/>
        <w:textAlignment w:val="auto"/>
        <w:rPr>
          <w:rFonts w:hint="default" w:ascii="黑体" w:hAnsi="黑体" w:eastAsia="黑体" w:cs="黑体"/>
          <w:b/>
          <w:bCs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</w:pPr>
      <w:r>
        <w:rPr>
          <w:rFonts w:hint="default" w:ascii="黑体" w:hAnsi="黑体" w:eastAsia="黑体" w:cs="黑体"/>
          <w:b/>
          <w:bCs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二、全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旗</w:t>
      </w:r>
      <w:r>
        <w:rPr>
          <w:rFonts w:hint="default" w:ascii="黑体" w:hAnsi="黑体" w:eastAsia="黑体" w:cs="黑体"/>
          <w:b/>
          <w:bCs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政府性基金预算收支情况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560" w:lineRule="exact"/>
        <w:ind w:left="0" w:right="0"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（一）政府性基金预算收入情况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2024年3月，全旗政府性基金预算收入累计完成3608万元、下降33.5%，其中国有土地使用权出让收入3422万元、下降36.7%。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560" w:lineRule="exact"/>
        <w:ind w:left="0" w:right="0"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（二）政府性基金预算支出情况。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2024年3月，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政府性基金预算支出2576万元、增长70%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560" w:lineRule="exact"/>
        <w:ind w:left="0" w:right="0" w:firstLine="810" w:firstLineChars="300"/>
        <w:jc w:val="both"/>
        <w:textAlignment w:val="auto"/>
        <w:rPr>
          <w:rFonts w:hint="eastAsia" w:ascii="Times New Roman" w:hAnsi="Times New Roman" w:cs="Times New Roman"/>
          <w:i w:val="0"/>
          <w:iCs w:val="0"/>
          <w:caps w:val="0"/>
          <w:color w:val="222222"/>
          <w:spacing w:val="0"/>
          <w:sz w:val="27"/>
          <w:szCs w:val="27"/>
          <w:shd w:val="clear" w:fill="FFFFFF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560" w:lineRule="exact"/>
        <w:ind w:left="0" w:right="0" w:firstLine="0"/>
        <w:jc w:val="both"/>
        <w:textAlignment w:val="auto"/>
        <w:rPr>
          <w:rFonts w:hint="eastAsia" w:ascii="Times New Roman" w:hAnsi="Times New Roman" w:cs="Times New Roman"/>
          <w:i w:val="0"/>
          <w:iCs w:val="0"/>
          <w:caps w:val="0"/>
          <w:color w:val="222222"/>
          <w:spacing w:val="0"/>
          <w:sz w:val="27"/>
          <w:szCs w:val="27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5YzExYzIzYjk3OTM2MDliZTc0YmU2OWNiYWEzMTkifQ=="/>
  </w:docVars>
  <w:rsids>
    <w:rsidRoot w:val="73172B02"/>
    <w:rsid w:val="050F08E3"/>
    <w:rsid w:val="0D4A550B"/>
    <w:rsid w:val="105A7962"/>
    <w:rsid w:val="1090632E"/>
    <w:rsid w:val="1225455A"/>
    <w:rsid w:val="134C478E"/>
    <w:rsid w:val="179746EF"/>
    <w:rsid w:val="1B997677"/>
    <w:rsid w:val="1D2D2E57"/>
    <w:rsid w:val="2CB9158B"/>
    <w:rsid w:val="2F562B07"/>
    <w:rsid w:val="399A3BF6"/>
    <w:rsid w:val="39E13EDE"/>
    <w:rsid w:val="3C814BF9"/>
    <w:rsid w:val="3E8E6790"/>
    <w:rsid w:val="42AE7CFE"/>
    <w:rsid w:val="4AAA5F2F"/>
    <w:rsid w:val="4CE958A7"/>
    <w:rsid w:val="58CD516C"/>
    <w:rsid w:val="66037E10"/>
    <w:rsid w:val="6E667151"/>
    <w:rsid w:val="73172B02"/>
    <w:rsid w:val="7927021B"/>
    <w:rsid w:val="7A1207DC"/>
    <w:rsid w:val="7C12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autoRedefine/>
    <w:unhideWhenUsed/>
    <w:qFormat/>
    <w:uiPriority w:val="39"/>
    <w:pPr>
      <w:ind w:left="420" w:leftChars="200"/>
    </w:pPr>
    <w:rPr>
      <w:rFonts w:hint="eastAsia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Normal Indent1"/>
    <w:basedOn w:val="1"/>
    <w:next w:val="1"/>
    <w:autoRedefine/>
    <w:qFormat/>
    <w:uiPriority w:val="0"/>
    <w:pPr>
      <w:spacing w:line="660" w:lineRule="exact"/>
      <w:ind w:firstLine="720" w:firstLineChars="200"/>
    </w:pPr>
    <w:rPr>
      <w:rFonts w:eastAsia="楷体_GB2312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2023-11-29T06:07:00Z</dcterms:created>
  <dc:creator>LENOVO</dc:creator>
  <cp:lastModifiedBy>瓜娃子☺</cp:lastModifiedBy>
  <cp:lastPrinted>2024-04-09T08:13:00Z</cp:lastPrinted>
  <dcterms:modified xsi:type="dcterms:W3CDTF">2024-04-15T02:05:23Z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16B2C3EF912044E689DB7D0810B7E725_13</vt:lpwstr>
  </property>
</Properties>
</file>