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1"/>
          <w:sz w:val="44"/>
          <w:szCs w:val="44"/>
        </w:rPr>
        <w:t>预算绩效工作情况说明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kern w:val="21"/>
          <w:sz w:val="32"/>
          <w:szCs w:val="32"/>
          <w:lang w:eastAsia="zh-CN"/>
        </w:rPr>
        <w:t>我旗</w:t>
      </w:r>
      <w:r>
        <w:rPr>
          <w:rFonts w:hint="eastAsia" w:ascii="仿宋" w:hAnsi="仿宋" w:eastAsia="仿宋" w:cs="仿宋"/>
          <w:color w:val="000000"/>
          <w:spacing w:val="0"/>
          <w:kern w:val="21"/>
          <w:sz w:val="32"/>
          <w:szCs w:val="32"/>
          <w:lang w:val="en-US" w:eastAsia="zh-CN"/>
        </w:rPr>
        <w:t>2019年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kern w:val="21"/>
          <w:sz w:val="32"/>
          <w:szCs w:val="32"/>
        </w:rPr>
        <w:t>积极推进预算绩效管理，财税体制改革不断深化。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21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推进预算管理改革。实施预算绩效管理改革，2019年项目支出全部编制预算绩效目标，大力压减低效无效支出。预决算公开情况除涉密部门外，实现全部公开。依托财政扶贫资金动态监控平台，实现所有扶贫资金从预算指标下达到实际支付动态监控，确保扶贫资金使用安全、及时、高效。依据《内蒙古自治区预算审查监督条例》，积极配合旗人大开展预算联网监督工作，逐步实现对预算全口径全过程监督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21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推进国库集中支付改革。开展预算单位实有资金账户清查工作，减少预算资金沉淀情况发生，提高国库资金使用效率。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21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</w:rPr>
        <w:t>推进“放管服”改革。推进“互联网+政府采购”，实现政府采购业务全流程电子化改革，采用互联网云部署模式建立政府采购云平台，通过搭建政府采购门户网站、采购监管系统、执行交易等 12个子系统实现采购业务无纸化、数字化、智能化和全程留痕。推进会计管理“互联网+政府服务”，实现会计信息管理网上办理。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96C66"/>
    <w:rsid w:val="0EE6681E"/>
    <w:rsid w:val="3C07565A"/>
    <w:rsid w:val="47571C81"/>
    <w:rsid w:val="5D096C66"/>
    <w:rsid w:val="63DD65D1"/>
    <w:rsid w:val="68AE0CCD"/>
    <w:rsid w:val="7C9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zk</dc:creator>
  <cp:lastModifiedBy>zk</cp:lastModifiedBy>
  <dcterms:modified xsi:type="dcterms:W3CDTF">2020-09-02T01:16:07Z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