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23</w:t>
      </w:r>
      <w:bookmarkStart w:id="0" w:name="_GoBack"/>
      <w:bookmarkEnd w:id="0"/>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lang w:eastAsia="zh-CN"/>
        </w:rPr>
        <w:t>鄂托克旗再生水务有限责任公司危废库</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改造项目</w:t>
      </w: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鄂托克旗再生水务有限责任公司：</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鄂尔多斯市嘉鑫环保科技有限责任公司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鄂托克旗再生水务有限责任公司危废库改造项目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本项目位于鄂托克旗乌兰镇区南侧乌兰镇污水处理厂现有厂界内</w:t>
      </w:r>
      <w:r>
        <w:rPr>
          <w:rFonts w:hint="eastAsia" w:ascii="仿宋_GB2312" w:hAnsi="仿宋_GB2312" w:eastAsia="仿宋_GB2312" w:cs="仿宋_GB2312"/>
          <w:color w:val="auto"/>
          <w:sz w:val="32"/>
          <w:szCs w:val="32"/>
          <w:lang w:eastAsia="zh-CN"/>
        </w:rPr>
        <w:t>，中心坐标为北纬 39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4′16.450″，东经107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59′3.021″。主要建设内容包括危险废物暂存库（利用现有库房改建）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座（占地面积9m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）、导流沟、集液池和防渗漏工程等其他公辅工程及环保工程。年暂存废液0.7t、废液桶</w:t>
      </w:r>
      <w:r>
        <w:rPr>
          <w:rFonts w:hint="eastAsia" w:ascii="仿宋_GB2312" w:hAnsi="仿宋_GB2312" w:eastAsia="仿宋_GB2312" w:cs="仿宋_GB2312"/>
          <w:color w:val="auto"/>
          <w:sz w:val="32"/>
          <w:szCs w:val="32"/>
          <w:lang w:val="en-US" w:eastAsia="zh-CN"/>
        </w:rPr>
        <w:t>0.05t。</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危险废物收集和运输均按照《危险废物收集、贮存、运输技术规范》（HJ2025-2012）要求执行。无组织排放的硫酸雾执行《大气污染物综合排放标准》（GB16297-1996）表2新污染源大气排放限值中无组织排放监控浓度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3.厂区地面须按相关要求做好防渗措施，并建立完善的地下水监测制度，确保不会对地下水造成影响。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 运营期产生的实验室及在线监测设备监测废液、废液桶等危险废物须暂存于本项目危废暂存库内，最终交由有资质单位处置。危险废物暂存间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宋体" w:hAnsi="宋体" w:eastAsia="方正小标宋简体" w:cs="宋体"/>
          <w:b w:val="0"/>
          <w:bCs/>
          <w:sz w:val="44"/>
          <w:szCs w:val="44"/>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（此页无正文。）</w:t>
      </w:r>
    </w:p>
    <w:p>
      <w:pPr>
        <w:pStyle w:val="2"/>
        <w:rPr>
          <w:rFonts w:hint="eastAsia" w:ascii="宋体" w:hAnsi="宋体" w:eastAsia="方正小标宋简体" w:cs="宋体"/>
          <w:b w:val="0"/>
          <w:bCs/>
          <w:sz w:val="44"/>
          <w:szCs w:val="44"/>
        </w:rPr>
      </w:pPr>
    </w:p>
    <w:p>
      <w:pPr>
        <w:pStyle w:val="2"/>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21</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6</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21</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6</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24</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ZjZTgxN2MzMjJjNzU3OWVmNWQ3OTVmMWY3NDkifQ=="/>
  </w:docVars>
  <w:rsids>
    <w:rsidRoot w:val="66F24860"/>
    <w:rsid w:val="086B1627"/>
    <w:rsid w:val="35EB5329"/>
    <w:rsid w:val="3AF00B0D"/>
    <w:rsid w:val="47027167"/>
    <w:rsid w:val="66F24860"/>
    <w:rsid w:val="7D4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1180</Characters>
  <Lines>0</Lines>
  <Paragraphs>0</Paragraphs>
  <TotalTime>13</TotalTime>
  <ScaleCrop>false</ScaleCrop>
  <LinksUpToDate>false</LinksUpToDate>
  <CharactersWithSpaces>1297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ᠡᠪᠥᠯᠴᠡᠴᠡᠭ冬梅</cp:lastModifiedBy>
  <cp:lastPrinted>2022-06-23T09:43:00Z</cp:lastPrinted>
  <dcterms:modified xsi:type="dcterms:W3CDTF">2022-06-23T11:16:03Z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75485CC4576F43B189C141982578D095</vt:lpwstr>
  </property>
</Properties>
</file>