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ind w:firstLine="160" w:firstLineChars="50"/>
        <w:rPr>
          <w:rFonts w:hint="eastAsia" w:ascii="仿宋" w:hAnsi="仿宋" w:eastAsia="仿宋"/>
          <w:sz w:val="32"/>
        </w:rPr>
      </w:pPr>
    </w:p>
    <w:p>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59</w:t>
      </w:r>
      <w:r>
        <w:rPr>
          <w:rFonts w:hint="eastAsia" w:ascii="仿宋_GB2312" w:hAnsi="仿宋" w:eastAsia="仿宋_GB2312"/>
          <w:color w:val="auto"/>
          <w:sz w:val="32"/>
        </w:rPr>
        <w:t>号</w:t>
      </w:r>
    </w:p>
    <w:p>
      <w:pPr>
        <w:spacing w:line="640" w:lineRule="exact"/>
        <w:jc w:val="both"/>
        <w:rPr>
          <w:rFonts w:hint="eastAsia" w:ascii="仿宋_GB2312" w:hAnsi="仿宋" w:eastAsia="仿宋_GB2312"/>
          <w:b/>
          <w:sz w:val="44"/>
        </w:rPr>
      </w:pPr>
    </w:p>
    <w:p>
      <w:pPr>
        <w:spacing w:line="560" w:lineRule="exact"/>
        <w:jc w:val="center"/>
        <w:rPr>
          <w:rFonts w:hint="eastAsia" w:ascii="宋体" w:hAnsi="宋体" w:eastAsia="方正小标宋简体" w:cs="宋体"/>
          <w:sz w:val="44"/>
          <w:szCs w:val="44"/>
          <w:lang w:eastAsia="zh-CN"/>
        </w:rPr>
      </w:pPr>
      <w:r>
        <w:rPr>
          <w:rFonts w:hint="eastAsia" w:ascii="宋体" w:hAnsi="宋体" w:eastAsia="方正小标宋简体" w:cs="宋体"/>
          <w:sz w:val="44"/>
          <w:szCs w:val="44"/>
          <w:lang w:eastAsia="zh-CN"/>
        </w:rPr>
        <w:t>鄂尔多斯市生态环境局</w:t>
      </w:r>
      <w:r>
        <w:rPr>
          <w:rFonts w:hint="eastAsia" w:ascii="宋体" w:hAnsi="宋体" w:eastAsia="方正小标宋简体" w:cs="宋体"/>
          <w:sz w:val="44"/>
          <w:szCs w:val="44"/>
        </w:rPr>
        <w:t>鄂托克旗</w:t>
      </w:r>
      <w:r>
        <w:rPr>
          <w:rFonts w:hint="eastAsia" w:ascii="宋体" w:hAnsi="宋体" w:eastAsia="方正小标宋简体" w:cs="宋体"/>
          <w:sz w:val="44"/>
          <w:szCs w:val="44"/>
          <w:lang w:eastAsia="zh-CN"/>
        </w:rPr>
        <w:t>分</w:t>
      </w:r>
      <w:r>
        <w:rPr>
          <w:rFonts w:hint="eastAsia" w:ascii="宋体" w:hAnsi="宋体" w:eastAsia="方正小标宋简体" w:cs="宋体"/>
          <w:sz w:val="44"/>
          <w:szCs w:val="44"/>
        </w:rPr>
        <w:t>局关</w:t>
      </w:r>
      <w:r>
        <w:rPr>
          <w:rFonts w:hint="eastAsia" w:ascii="宋体" w:hAnsi="宋体" w:eastAsia="方正小标宋简体" w:cs="宋体"/>
          <w:sz w:val="44"/>
          <w:szCs w:val="44"/>
          <w:lang w:eastAsia="zh-CN"/>
        </w:rPr>
        <w:t>于</w:t>
      </w:r>
    </w:p>
    <w:p>
      <w:p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鄂托克旗东升沙石有限责任公司年产5 万t/a</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建筑沙项目</w:t>
      </w:r>
      <w:r>
        <w:rPr>
          <w:rFonts w:hint="eastAsia" w:ascii="方正小标宋简体" w:hAnsi="方正小标宋简体" w:eastAsia="方正小标宋简体" w:cs="方正小标宋简体"/>
          <w:color w:val="auto"/>
          <w:sz w:val="44"/>
          <w:szCs w:val="44"/>
        </w:rPr>
        <w:t>环境影响报告表的批复</w:t>
      </w:r>
    </w:p>
    <w:p>
      <w:pPr>
        <w:spacing w:line="56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56" w:lineRule="exact"/>
        <w:ind w:left="0" w:leftChars="0" w:right="0" w:rightChars="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鄂托克旗东升沙石有限责任公司</w:t>
      </w:r>
      <w:r>
        <w:rPr>
          <w:rFonts w:hint="eastAsia" w:ascii="仿宋_GB2312" w:hAnsi="仿宋"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56" w:lineRule="exact"/>
        <w:ind w:left="0" w:leftChars="0" w:right="0" w:rightChars="0" w:firstLine="640"/>
        <w:jc w:val="both"/>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河北正云环保科技有限公司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val="en-US" w:eastAsia="zh-CN"/>
        </w:rPr>
        <w:t>鄂托克旗东升沙石有限责任公司年产5 万t/a建筑沙项目</w:t>
      </w:r>
      <w:r>
        <w:rPr>
          <w:rFonts w:hint="eastAsia" w:ascii="仿宋_GB2312" w:hAnsi="仿宋" w:eastAsia="仿宋_GB2312"/>
          <w:color w:val="auto"/>
          <w:sz w:val="32"/>
          <w:szCs w:val="32"/>
        </w:rPr>
        <w:t>环境影响报告表》（以下简称报告表）收悉，经审核，提出如下批复意见：</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szCs w:val="32"/>
          <w:lang w:eastAsia="zh-CN"/>
        </w:rPr>
      </w:pPr>
      <w:r>
        <w:rPr>
          <w:rFonts w:hint="eastAsia" w:ascii="仿宋_GB2312" w:hAnsi="仿宋" w:eastAsia="仿宋_GB2312"/>
          <w:color w:val="auto"/>
          <w:sz w:val="32"/>
          <w:lang w:val="en-US" w:eastAsia="zh-CN"/>
        </w:rPr>
        <w:t>一</w:t>
      </w:r>
      <w:r>
        <w:rPr>
          <w:rFonts w:hint="eastAsia" w:ascii="仿宋_GB2312" w:hAnsi="仿宋" w:eastAsia="仿宋_GB2312"/>
          <w:color w:val="auto"/>
          <w:sz w:val="32"/>
          <w:lang w:eastAsia="zh-CN"/>
        </w:rPr>
        <w:t>、</w:t>
      </w:r>
      <w:r>
        <w:rPr>
          <w:rFonts w:hint="eastAsia" w:ascii="仿宋_GB2312" w:hAnsi="仿宋" w:eastAsia="仿宋_GB2312"/>
          <w:color w:val="auto"/>
          <w:sz w:val="32"/>
          <w:lang w:val="en-US" w:eastAsia="zh-CN"/>
        </w:rPr>
        <w:t>该</w:t>
      </w:r>
      <w:r>
        <w:rPr>
          <w:rFonts w:hint="eastAsia" w:ascii="仿宋_GB2312" w:hAnsi="仿宋" w:eastAsia="仿宋_GB2312"/>
          <w:color w:val="auto"/>
          <w:sz w:val="32"/>
          <w:lang w:eastAsia="zh-CN"/>
        </w:rPr>
        <w:t>项目的环境影响评价文件未经我局审批即擅自开工建设，违反了《中华人民共和国环境影响评价法》的有关规定，依据《中华人民共和国环境影响评价法》第三十一条之规定，我局对该公司实施了处罚，罚款已缴纳。你公司必须增强守法意识，杜绝违法行为再次发生。</w:t>
      </w:r>
    </w:p>
    <w:p>
      <w:pPr>
        <w:keepNext w:val="0"/>
        <w:keepLines w:val="0"/>
        <w:pageBreakBefore w:val="0"/>
        <w:widowControl w:val="0"/>
        <w:kinsoku/>
        <w:wordWrap/>
        <w:overflowPunct/>
        <w:topLinePunct w:val="0"/>
        <w:autoSpaceDE/>
        <w:autoSpaceDN/>
        <w:bidi w:val="0"/>
        <w:adjustRightInd/>
        <w:snapToGrid/>
        <w:spacing w:line="456"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lang w:eastAsia="zh-CN"/>
        </w:rPr>
        <w:t>二、</w:t>
      </w:r>
      <w:r>
        <w:rPr>
          <w:rFonts w:hint="eastAsia" w:ascii="仿宋_GB2312" w:hAnsi="仿宋_GB2312" w:eastAsia="仿宋_GB2312" w:cs="仿宋_GB2312"/>
          <w:color w:val="auto"/>
          <w:sz w:val="32"/>
          <w:szCs w:val="32"/>
        </w:rPr>
        <w:t>本项目位于</w:t>
      </w:r>
      <w:r>
        <w:rPr>
          <w:rFonts w:hint="eastAsia" w:ascii="仿宋_GB2312" w:hAnsi="仿宋_GB2312" w:eastAsia="仿宋_GB2312" w:cs="仿宋_GB2312"/>
          <w:color w:val="auto"/>
          <w:sz w:val="32"/>
          <w:szCs w:val="32"/>
          <w:lang w:val="en-US" w:eastAsia="zh-CN"/>
        </w:rPr>
        <w:t>内蒙古自治区鄂尔多斯市鄂托克旗乌兰镇德日素嘎查（乌兰镇南约28公里处）</w:t>
      </w:r>
      <w:r>
        <w:rPr>
          <w:rFonts w:hint="eastAsia" w:ascii="仿宋_GB2312" w:hAnsi="仿宋_GB2312" w:eastAsia="仿宋_GB2312" w:cs="仿宋_GB2312"/>
          <w:color w:val="auto"/>
          <w:sz w:val="32"/>
          <w:szCs w:val="32"/>
          <w:lang w:eastAsia="zh-CN"/>
        </w:rPr>
        <w:t>。中心坐标为北纬38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′44.2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″，东经10</w:t>
      </w:r>
      <w:r>
        <w:rPr>
          <w:rFonts w:hint="eastAsia" w:ascii="仿宋_GB2312" w:hAnsi="仿宋_GB2312" w:eastAsia="仿宋_GB2312" w:cs="仿宋_GB2312"/>
          <w:color w:val="auto"/>
          <w:sz w:val="32"/>
          <w:szCs w:val="32"/>
          <w:lang w:val="en-US" w:eastAsia="zh-CN"/>
        </w:rPr>
        <w:t>7°50</w:t>
      </w:r>
      <w:r>
        <w:rPr>
          <w:rFonts w:hint="eastAsia" w:ascii="仿宋_GB2312" w:hAnsi="仿宋_GB2312" w:eastAsia="仿宋_GB2312" w:cs="仿宋_GB2312"/>
          <w:color w:val="auto"/>
          <w:sz w:val="32"/>
          <w:szCs w:val="32"/>
          <w:lang w:eastAsia="zh-CN"/>
        </w:rPr>
        <w:t>′18.62″</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sz w:val="32"/>
          <w:szCs w:val="32"/>
        </w:rPr>
        <w:t>占地面</w:t>
      </w:r>
      <w:r>
        <w:rPr>
          <w:rFonts w:hint="eastAsia" w:ascii="仿宋_GB2312" w:hAnsi="仿宋_GB2312" w:eastAsia="仿宋_GB2312" w:cs="仿宋_GB2312"/>
          <w:sz w:val="32"/>
          <w:szCs w:val="32"/>
          <w:lang w:eastAsia="zh-CN"/>
        </w:rPr>
        <w:t>积</w:t>
      </w:r>
      <w:r>
        <w:rPr>
          <w:rFonts w:hint="eastAsia" w:ascii="仿宋_GB2312" w:hAnsi="仿宋_GB2312" w:eastAsia="仿宋_GB2312" w:cs="仿宋_GB2312"/>
          <w:sz w:val="32"/>
          <w:szCs w:val="32"/>
          <w:lang w:val="en-US" w:eastAsia="zh-CN"/>
        </w:rPr>
        <w:t>466057m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eastAsia="zh-CN"/>
        </w:rPr>
        <w:t>建设规模</w:t>
      </w:r>
      <w:r>
        <w:rPr>
          <w:rFonts w:hint="eastAsia" w:ascii="仿宋_GB2312" w:hAnsi="仿宋_GB2312" w:eastAsia="仿宋_GB2312" w:cs="仿宋_GB2312"/>
          <w:color w:val="auto"/>
          <w:sz w:val="32"/>
          <w:szCs w:val="32"/>
          <w:lang w:val="en-US" w:eastAsia="zh-CN"/>
        </w:rPr>
        <w:t>年产5万吨建筑沙。</w:t>
      </w:r>
      <w:r>
        <w:rPr>
          <w:rFonts w:hint="eastAsia" w:ascii="仿宋_GB2312" w:hAnsi="仿宋_GB2312" w:eastAsia="仿宋_GB2312" w:cs="仿宋_GB2312"/>
          <w:color w:val="auto"/>
          <w:sz w:val="32"/>
          <w:szCs w:val="32"/>
          <w:lang w:eastAsia="zh-CN"/>
        </w:rPr>
        <w:t>主要建设内容包括建筑砂加工区占地面积30080m</w:t>
      </w:r>
      <w:r>
        <w:rPr>
          <w:rFonts w:hint="eastAsia" w:ascii="仿宋_GB2312" w:hAnsi="仿宋_GB2312" w:eastAsia="仿宋_GB2312" w:cs="仿宋_GB2312"/>
          <w:color w:val="auto"/>
          <w:sz w:val="32"/>
          <w:szCs w:val="32"/>
          <w:vertAlign w:val="superscript"/>
          <w:lang w:eastAsia="zh-CN"/>
        </w:rPr>
        <w:t>2</w:t>
      </w:r>
      <w:r>
        <w:rPr>
          <w:rFonts w:hint="eastAsia" w:ascii="仿宋_GB2312" w:hAnsi="仿宋_GB2312" w:eastAsia="仿宋_GB2312" w:cs="仿宋_GB2312"/>
          <w:color w:val="auto"/>
          <w:sz w:val="32"/>
          <w:szCs w:val="32"/>
          <w:lang w:eastAsia="zh-CN"/>
        </w:rPr>
        <w:t>，建筑砂加工区建设生产车间、装机区、水洗循环池等设施。</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其中环保投资</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56" w:lineRule="exact"/>
        <w:ind w:left="0" w:leftChars="0" w:right="0" w:righ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_GB2312" w:eastAsia="仿宋_GB2312" w:cs="仿宋_GB2312"/>
          <w:color w:val="auto"/>
          <w:sz w:val="32"/>
          <w:szCs w:val="32"/>
          <w:lang w:eastAsia="zh-CN"/>
        </w:rPr>
        <w:t>《报告表》认为，</w:t>
      </w:r>
      <w:r>
        <w:rPr>
          <w:rFonts w:hint="eastAsia" w:ascii="仿宋_GB2312" w:hAnsi="仿宋_GB2312" w:eastAsia="仿宋_GB2312" w:cs="仿宋_GB2312"/>
          <w:color w:val="auto"/>
          <w:sz w:val="32"/>
          <w:szCs w:val="32"/>
        </w:rPr>
        <w:t>在全面落实各项生态环境保护和环境污染防治措施的前提下，项目建设</w:t>
      </w:r>
      <w:r>
        <w:rPr>
          <w:rFonts w:hint="eastAsia" w:ascii="仿宋_GB2312" w:hAnsi="仿宋" w:eastAsia="仿宋_GB2312"/>
          <w:color w:val="auto"/>
          <w:sz w:val="32"/>
          <w:szCs w:val="32"/>
        </w:rPr>
        <w:t>对环境的不利影响能够得到一定的缓解和控制。</w:t>
      </w:r>
      <w:r>
        <w:rPr>
          <w:rFonts w:hint="eastAsia" w:ascii="仿宋_GB2312" w:hAnsi="仿宋" w:eastAsia="仿宋_GB2312"/>
          <w:color w:val="auto"/>
          <w:sz w:val="32"/>
          <w:szCs w:val="32"/>
          <w:lang w:eastAsia="zh-CN"/>
        </w:rPr>
        <w:t>因此，</w:t>
      </w:r>
      <w:r>
        <w:rPr>
          <w:rFonts w:hint="eastAsia" w:ascii="仿宋_GB2312" w:hAnsi="仿宋" w:eastAsia="仿宋_GB2312"/>
          <w:color w:val="auto"/>
          <w:sz w:val="32"/>
          <w:szCs w:val="32"/>
        </w:rPr>
        <w:t>我局原则同意你公司按照《报告</w:t>
      </w:r>
      <w:r>
        <w:rPr>
          <w:rFonts w:hint="eastAsia" w:ascii="仿宋_GB2312" w:hAnsi="仿宋" w:eastAsia="仿宋_GB2312"/>
          <w:color w:val="auto"/>
          <w:sz w:val="32"/>
          <w:szCs w:val="32"/>
          <w:lang w:eastAsia="zh-CN"/>
        </w:rPr>
        <w:t>表</w:t>
      </w:r>
      <w:r>
        <w:rPr>
          <w:rFonts w:hint="eastAsia" w:ascii="仿宋_GB2312" w:hAnsi="仿宋" w:eastAsia="仿宋_GB2312"/>
          <w:color w:val="auto"/>
          <w:sz w:val="32"/>
          <w:szCs w:val="32"/>
        </w:rPr>
        <w:t>》中所列的项目性质、规模、地点、</w:t>
      </w:r>
      <w:r>
        <w:rPr>
          <w:rFonts w:hint="eastAsia" w:ascii="仿宋_GB2312" w:hAnsi="仿宋" w:eastAsia="仿宋_GB2312"/>
          <w:color w:val="auto"/>
          <w:sz w:val="32"/>
          <w:szCs w:val="32"/>
          <w:lang w:val="en-US" w:eastAsia="zh-CN"/>
        </w:rPr>
        <w:t>工艺、</w:t>
      </w:r>
      <w:r>
        <w:rPr>
          <w:rFonts w:hint="eastAsia" w:ascii="仿宋_GB2312" w:hAnsi="仿宋" w:eastAsia="仿宋_GB2312"/>
          <w:color w:val="auto"/>
          <w:sz w:val="32"/>
          <w:szCs w:val="32"/>
        </w:rPr>
        <w:t>环境保护措施进行建设。</w:t>
      </w:r>
    </w:p>
    <w:p>
      <w:pPr>
        <w:keepNext w:val="0"/>
        <w:keepLines w:val="0"/>
        <w:pageBreakBefore w:val="0"/>
        <w:widowControl w:val="0"/>
        <w:numPr>
          <w:ilvl w:val="0"/>
          <w:numId w:val="0"/>
        </w:numPr>
        <w:kinsoku/>
        <w:wordWrap/>
        <w:overflowPunct/>
        <w:topLinePunct w:val="0"/>
        <w:autoSpaceDE/>
        <w:autoSpaceDN/>
        <w:bidi w:val="0"/>
        <w:adjustRightInd/>
        <w:snapToGrid/>
        <w:spacing w:line="456" w:lineRule="exact"/>
        <w:ind w:left="0" w:leftChars="0" w:right="0" w:righ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三、</w:t>
      </w:r>
      <w:r>
        <w:rPr>
          <w:rFonts w:hint="eastAsia" w:ascii="仿宋_GB2312" w:hAnsi="仿宋" w:eastAsia="仿宋_GB2312"/>
          <w:color w:val="auto"/>
          <w:sz w:val="32"/>
          <w:szCs w:val="32"/>
        </w:rPr>
        <w:t>建设单位在认真落实报告表中提出的污染防治和生态</w:t>
      </w:r>
      <w:r>
        <w:rPr>
          <w:rFonts w:hint="eastAsia" w:ascii="仿宋_GB2312" w:hAnsi="仿宋" w:eastAsia="仿宋_GB2312"/>
          <w:color w:val="auto"/>
          <w:sz w:val="32"/>
          <w:szCs w:val="32"/>
          <w:lang w:val="en-US" w:eastAsia="zh-CN"/>
        </w:rPr>
        <w:t>保护</w:t>
      </w:r>
      <w:r>
        <w:rPr>
          <w:rFonts w:hint="eastAsia" w:ascii="仿宋_GB2312" w:hAnsi="仿宋" w:eastAsia="仿宋_GB2312"/>
          <w:color w:val="auto"/>
          <w:sz w:val="32"/>
          <w:szCs w:val="32"/>
        </w:rPr>
        <w:t>措施的同时，要做好以下工作：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456"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2"/>
          <w:sz w:val="32"/>
          <w:szCs w:val="32"/>
          <w:lang w:val="en-US" w:eastAsia="zh-CN" w:bidi="ar-SA"/>
        </w:rPr>
        <w:t>加强施工期环境管理。施工单位在土石方开挖及设备安装过程中应严格按照设计要求施工，尽可能缩小施工活动范围，施工场地四周须建立围挡，定期进行洒水和清扫；禁止在敏感建筑物集中区域内进行打桩、搅拌混凝土、鸣笛等活动；施工结束后须尽快对临时占地和周边进行生态植被恢复，防止水土流失；施工期产生的废水和固体废弃物要集中收集统一处置。</w:t>
      </w:r>
    </w:p>
    <w:p>
      <w:pPr>
        <w:keepNext w:val="0"/>
        <w:keepLines w:val="0"/>
        <w:pageBreakBefore w:val="0"/>
        <w:widowControl w:val="0"/>
        <w:kinsoku/>
        <w:wordWrap/>
        <w:overflowPunct/>
        <w:topLinePunct w:val="0"/>
        <w:autoSpaceDE w:val="0"/>
        <w:autoSpaceDN w:val="0"/>
        <w:bidi w:val="0"/>
        <w:adjustRightInd w:val="0"/>
        <w:snapToGrid/>
        <w:spacing w:line="45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 w:eastAsia="仿宋_GB2312"/>
          <w:color w:val="auto"/>
          <w:sz w:val="32"/>
          <w:szCs w:val="32"/>
          <w:shd w:val="clear" w:color="auto" w:fill="auto"/>
          <w:lang w:val="en-US" w:eastAsia="zh-CN"/>
        </w:rPr>
        <w:t>2、</w:t>
      </w:r>
      <w:r>
        <w:rPr>
          <w:rFonts w:hint="eastAsia" w:ascii="仿宋_GB2312" w:hAnsi="仿宋" w:eastAsia="仿宋_GB2312"/>
          <w:color w:val="auto"/>
          <w:sz w:val="32"/>
          <w:szCs w:val="32"/>
          <w:shd w:val="clear" w:color="auto" w:fill="auto"/>
          <w:lang w:eastAsia="zh-CN"/>
        </w:rPr>
        <w:t>落实大气污染防治措施</w:t>
      </w:r>
      <w:r>
        <w:rPr>
          <w:rFonts w:hint="eastAsia" w:ascii="仿宋_GB2312" w:hAnsi="仿宋_GB2312" w:eastAsia="仿宋_GB2312" w:cs="仿宋_GB2312"/>
          <w:color w:val="auto"/>
          <w:sz w:val="32"/>
          <w:szCs w:val="32"/>
          <w:lang w:eastAsia="zh-CN"/>
        </w:rPr>
        <w:t>。项目冬季生活办公区采取电暖气供暖，不得新建以煤等为燃料的锅炉。旋转干燥机颗粒物排放执行《工业炉窑大气污染物排放标准》（GB9078-1996）中表2干燥炉、窑二级标准；SO</w:t>
      </w:r>
      <w:r>
        <w:rPr>
          <w:rFonts w:hint="eastAsia" w:ascii="仿宋_GB2312" w:hAnsi="仿宋_GB2312" w:eastAsia="仿宋_GB2312" w:cs="仿宋_GB2312"/>
          <w:color w:val="auto"/>
          <w:sz w:val="32"/>
          <w:szCs w:val="32"/>
          <w:vertAlign w:val="subscript"/>
          <w:lang w:eastAsia="zh-CN"/>
        </w:rPr>
        <w:t>2</w:t>
      </w:r>
      <w:r>
        <w:rPr>
          <w:rFonts w:hint="eastAsia" w:ascii="仿宋_GB2312" w:hAnsi="仿宋_GB2312" w:eastAsia="仿宋_GB2312" w:cs="仿宋_GB2312"/>
          <w:color w:val="auto"/>
          <w:sz w:val="32"/>
          <w:szCs w:val="32"/>
          <w:lang w:eastAsia="zh-CN"/>
        </w:rPr>
        <w:t>排放执行《工业炉窑大气污染物排放标准》（GB9078-1996）中表4燃煤（油）炉窑二级标准；NO</w:t>
      </w:r>
      <w:r>
        <w:rPr>
          <w:rFonts w:hint="eastAsia" w:ascii="仿宋_GB2312" w:hAnsi="仿宋_GB2312" w:eastAsia="仿宋_GB2312" w:cs="仿宋_GB2312"/>
          <w:color w:val="auto"/>
          <w:sz w:val="32"/>
          <w:szCs w:val="32"/>
          <w:vertAlign w:val="subscript"/>
          <w:lang w:eastAsia="zh-CN"/>
        </w:rPr>
        <w:t>X</w:t>
      </w:r>
      <w:r>
        <w:rPr>
          <w:rFonts w:hint="eastAsia" w:ascii="仿宋_GB2312" w:hAnsi="仿宋_GB2312" w:eastAsia="仿宋_GB2312" w:cs="仿宋_GB2312"/>
          <w:color w:val="auto"/>
          <w:sz w:val="32"/>
          <w:szCs w:val="32"/>
          <w:lang w:eastAsia="zh-CN"/>
        </w:rPr>
        <w:t>排放执行《大气污染物综合排放标准》（GB16297-1996）表2中二级标准。洗砂时产生的极少颗粒物及打包工序产生的有组织颗粒物排放执行《大气污染物综合排放标准》（GB16297-1996）中表2二级标准。无组织颗粒物排放执行《大气污染物综合排放标准》（GB16297-1996）中表2无组织排放监控浓度限值。</w:t>
      </w:r>
    </w:p>
    <w:p>
      <w:pPr>
        <w:keepNext w:val="0"/>
        <w:keepLines w:val="0"/>
        <w:pageBreakBefore w:val="0"/>
        <w:widowControl w:val="0"/>
        <w:kinsoku/>
        <w:wordWrap/>
        <w:overflowPunct/>
        <w:topLinePunct w:val="0"/>
        <w:autoSpaceDE w:val="0"/>
        <w:autoSpaceDN w:val="0"/>
        <w:bidi w:val="0"/>
        <w:adjustRightInd w:val="0"/>
        <w:snapToGrid/>
        <w:spacing w:line="456" w:lineRule="exact"/>
        <w:ind w:left="0" w:leftChars="0" w:right="0" w:rightChars="0" w:firstLine="640" w:firstLineChars="200"/>
        <w:jc w:val="both"/>
        <w:textAlignment w:val="auto"/>
        <w:outlineLvl w:val="9"/>
        <w:rPr>
          <w:rFonts w:hint="eastAsia" w:ascii="仿宋_GB2312" w:hAnsi="仿宋" w:eastAsia="仿宋_GB2312"/>
          <w:bCs/>
          <w:color w:val="auto"/>
          <w:sz w:val="32"/>
          <w:szCs w:val="32"/>
          <w:lang w:val="en-US" w:eastAsia="zh-CN"/>
        </w:rPr>
      </w:pPr>
      <w:r>
        <w:rPr>
          <w:rFonts w:hint="eastAsia" w:ascii="仿宋_GB2312" w:hAnsi="仿宋" w:eastAsia="仿宋_GB2312"/>
          <w:color w:val="auto"/>
          <w:sz w:val="32"/>
          <w:szCs w:val="32"/>
          <w:lang w:val="en-US" w:eastAsia="zh-CN"/>
        </w:rPr>
        <w:t>3、严格落实各项水污染防治措施。生活污水经化粪池处理达到《污水综合排放标准》（GB8978-1996）三级排放标准后定期拉运至附近污水处理站处理。生产洗砂废水循环回用于生产，不得外排。</w:t>
      </w:r>
    </w:p>
    <w:p>
      <w:pPr>
        <w:keepNext w:val="0"/>
        <w:keepLines w:val="0"/>
        <w:pageBreakBefore w:val="0"/>
        <w:widowControl w:val="0"/>
        <w:kinsoku/>
        <w:wordWrap/>
        <w:overflowPunct/>
        <w:topLinePunct w:val="0"/>
        <w:autoSpaceDE w:val="0"/>
        <w:autoSpaceDN w:val="0"/>
        <w:bidi w:val="0"/>
        <w:adjustRightInd w:val="0"/>
        <w:snapToGrid/>
        <w:spacing w:line="456" w:lineRule="exact"/>
        <w:ind w:left="0" w:leftChars="0" w:right="0" w:rightChars="0" w:firstLine="640" w:firstLineChars="200"/>
        <w:jc w:val="both"/>
        <w:textAlignment w:val="auto"/>
        <w:outlineLvl w:val="9"/>
        <w:rPr>
          <w:rFonts w:hint="eastAsia" w:ascii="仿宋_GB2312" w:hAnsi="仿宋" w:eastAsia="仿宋_GB2312" w:cs="Times New Roman"/>
          <w:color w:val="auto"/>
          <w:sz w:val="32"/>
          <w:szCs w:val="32"/>
          <w:lang w:val="en-US" w:eastAsia="zh-CN"/>
        </w:rPr>
      </w:pPr>
      <w:r>
        <w:rPr>
          <w:rFonts w:hint="eastAsia" w:ascii="仿宋_GB2312" w:hAnsi="仿宋" w:eastAsia="仿宋_GB2312"/>
          <w:bCs/>
          <w:color w:val="auto"/>
          <w:sz w:val="32"/>
          <w:szCs w:val="32"/>
          <w:lang w:val="en-US" w:eastAsia="zh-CN"/>
        </w:rPr>
        <w:t>4、</w:t>
      </w:r>
      <w:r>
        <w:rPr>
          <w:rFonts w:hint="eastAsia" w:ascii="仿宋_GB2312" w:hAnsi="仿宋" w:eastAsia="仿宋_GB2312"/>
          <w:color w:val="auto"/>
          <w:sz w:val="32"/>
          <w:szCs w:val="32"/>
          <w:lang w:eastAsia="zh-CN"/>
        </w:rPr>
        <w:t>妥善处置固体废弃物。</w:t>
      </w:r>
      <w:r>
        <w:rPr>
          <w:rFonts w:hint="eastAsia" w:ascii="仿宋_GB2312" w:hAnsi="仿宋" w:eastAsia="仿宋_GB2312" w:cs="Times New Roman"/>
          <w:color w:val="auto"/>
          <w:sz w:val="32"/>
          <w:szCs w:val="32"/>
          <w:lang w:val="en-US" w:eastAsia="zh-CN"/>
        </w:rPr>
        <w:t>生活垃圾收集后交由环卫部门处置；废石子和泥沙暂存于厂区泥沙储棚，定期用于沙坑回填；机械设备保养产生的废润滑油暂存于危废间，委托有资质单位定期处置。</w:t>
      </w:r>
      <w:r>
        <w:rPr>
          <w:rFonts w:hint="eastAsia" w:ascii="仿宋_GB2312" w:hAnsi="仿宋" w:eastAsia="仿宋_GB2312"/>
          <w:sz w:val="32"/>
          <w:lang w:val="en-US" w:eastAsia="zh-CN"/>
        </w:rPr>
        <w:t>建设单位须严格按照《一般工业固体废物贮存和填埋污染控制标准》(GB18599-2020）和《危险废物贮存污染控制标准》（GB18597-2001）（及其修改单）要求处置一般固废和危险废物，不得乱弃。</w:t>
      </w:r>
    </w:p>
    <w:p>
      <w:pPr>
        <w:keepNext w:val="0"/>
        <w:keepLines w:val="0"/>
        <w:pageBreakBefore w:val="0"/>
        <w:widowControl w:val="0"/>
        <w:kinsoku/>
        <w:wordWrap/>
        <w:overflowPunct/>
        <w:topLinePunct w:val="0"/>
        <w:autoSpaceDE w:val="0"/>
        <w:autoSpaceDN w:val="0"/>
        <w:bidi w:val="0"/>
        <w:adjustRightInd w:val="0"/>
        <w:snapToGrid/>
        <w:spacing w:line="45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 w:eastAsia="仿宋_GB2312"/>
          <w:color w:val="auto"/>
          <w:sz w:val="32"/>
          <w:szCs w:val="32"/>
          <w:lang w:val="en-US" w:eastAsia="zh-CN"/>
        </w:rPr>
        <w:t>5、建设单位应选用低噪声设备、合理布局、加减振或消音装置、加强设备维护等措施</w:t>
      </w:r>
      <w:r>
        <w:rPr>
          <w:rFonts w:hint="eastAsia" w:ascii="仿宋_GB2312" w:hAnsi="仿宋" w:eastAsia="仿宋_GB2312"/>
          <w:sz w:val="32"/>
          <w:lang w:eastAsia="zh-CN"/>
        </w:rPr>
        <w:t>确保厂界噪声满足《工业企业厂界环境噪声排放标准》（GB12348-2008）</w:t>
      </w:r>
      <w:r>
        <w:rPr>
          <w:rFonts w:hint="eastAsia" w:ascii="仿宋_GB2312" w:hAnsi="仿宋" w:eastAsia="仿宋_GB2312"/>
          <w:sz w:val="32"/>
          <w:lang w:val="en-US" w:eastAsia="zh-CN"/>
        </w:rPr>
        <w:t>2</w:t>
      </w:r>
      <w:r>
        <w:rPr>
          <w:rFonts w:hint="eastAsia" w:ascii="仿宋_GB2312" w:hAnsi="仿宋" w:eastAsia="仿宋_GB2312"/>
          <w:sz w:val="32"/>
          <w:lang w:eastAsia="zh-CN"/>
        </w:rPr>
        <w:t>类标准要求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456" w:lineRule="exact"/>
        <w:ind w:left="0" w:leftChars="0" w:right="0" w:rightChars="0" w:firstLine="640" w:firstLineChars="200"/>
        <w:jc w:val="both"/>
        <w:textAlignment w:val="auto"/>
        <w:outlineLvl w:val="9"/>
        <w:rPr>
          <w:rFonts w:hint="eastAsia" w:ascii="仿宋_GB2312" w:hAnsi="仿宋"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 w:eastAsia="仿宋_GB2312"/>
          <w:color w:val="auto"/>
          <w:sz w:val="32"/>
          <w:szCs w:val="32"/>
        </w:rPr>
        <w:t>建设单位</w:t>
      </w:r>
      <w:r>
        <w:rPr>
          <w:rFonts w:hint="eastAsia" w:ascii="仿宋_GB2312" w:hAnsi="仿宋" w:eastAsia="仿宋_GB2312"/>
          <w:color w:val="auto"/>
          <w:sz w:val="32"/>
          <w:szCs w:val="32"/>
          <w:lang w:val="en-US" w:eastAsia="zh-CN"/>
        </w:rPr>
        <w:t>须</w:t>
      </w:r>
      <w:r>
        <w:rPr>
          <w:rFonts w:hint="eastAsia" w:ascii="仿宋_GB2312" w:hAnsi="仿宋" w:eastAsia="仿宋_GB2312"/>
          <w:color w:val="auto"/>
          <w:sz w:val="32"/>
          <w:szCs w:val="32"/>
        </w:rPr>
        <w:t>加强风险管理，制定环境风险应急预案，落实环境风险事故防范措施，提高事故风险防范和污染控制能力。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56" w:lineRule="exact"/>
        <w:ind w:left="0" w:leftChars="0" w:right="0" w:righ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 w:eastAsia="仿宋_GB2312" w:cs="Times New Roman"/>
          <w:color w:val="auto"/>
          <w:kern w:val="2"/>
          <w:sz w:val="32"/>
          <w:szCs w:val="22"/>
          <w:lang w:val="en-US" w:eastAsia="zh-CN" w:bidi="ar-SA"/>
        </w:rPr>
        <w:t>四</w:t>
      </w:r>
      <w:r>
        <w:rPr>
          <w:rFonts w:hint="eastAsia" w:ascii="仿宋_GB2312" w:hAnsi="仿宋" w:eastAsia="仿宋_GB2312"/>
          <w:color w:val="auto"/>
          <w:sz w:val="32"/>
          <w:szCs w:val="32"/>
        </w:rPr>
        <w:t>、项</w:t>
      </w:r>
      <w:r>
        <w:rPr>
          <w:rFonts w:hint="eastAsia" w:ascii="仿宋_GB2312" w:hAnsi="仿宋" w:eastAsia="仿宋_GB2312"/>
          <w:color w:val="auto"/>
          <w:sz w:val="32"/>
          <w:szCs w:val="32"/>
          <w:lang w:eastAsia="zh-CN"/>
        </w:rPr>
        <w:t>目建设必须严格执行环境保护“三同时”制度。项目</w:t>
      </w:r>
      <w:r>
        <w:rPr>
          <w:rFonts w:hint="eastAsia" w:ascii="仿宋_GB2312" w:hAnsi="仿宋" w:eastAsia="仿宋_GB2312"/>
          <w:color w:val="auto"/>
          <w:sz w:val="32"/>
          <w:szCs w:val="32"/>
        </w:rPr>
        <w:t>竣工后，按规定程序</w:t>
      </w:r>
      <w:r>
        <w:rPr>
          <w:rFonts w:hint="eastAsia" w:ascii="仿宋_GB2312" w:hAnsi="仿宋" w:eastAsia="仿宋_GB2312"/>
          <w:color w:val="auto"/>
          <w:sz w:val="32"/>
          <w:szCs w:val="32"/>
          <w:lang w:val="en-US" w:eastAsia="zh-CN"/>
        </w:rPr>
        <w:t>实施</w:t>
      </w:r>
      <w:r>
        <w:rPr>
          <w:rFonts w:hint="eastAsia" w:ascii="仿宋_GB2312" w:hAnsi="仿宋" w:eastAsia="仿宋_GB2312"/>
          <w:color w:val="auto"/>
          <w:sz w:val="32"/>
          <w:szCs w:val="32"/>
        </w:rPr>
        <w:t>环境保护竣工验收，验收合格后方可正式投入运行。</w:t>
      </w:r>
    </w:p>
    <w:p>
      <w:pPr>
        <w:pStyle w:val="10"/>
        <w:keepNext w:val="0"/>
        <w:keepLines w:val="0"/>
        <w:pageBreakBefore w:val="0"/>
        <w:widowControl w:val="0"/>
        <w:kinsoku/>
        <w:wordWrap/>
        <w:overflowPunct/>
        <w:topLinePunct w:val="0"/>
        <w:autoSpaceDE/>
        <w:autoSpaceDN/>
        <w:bidi w:val="0"/>
        <w:adjustRightInd/>
        <w:snapToGrid/>
        <w:spacing w:line="430" w:lineRule="exact"/>
        <w:ind w:left="0" w:leftChars="0" w:firstLine="640" w:firstLineChars="200"/>
        <w:textAlignment w:val="auto"/>
        <w:rPr>
          <w:rFonts w:hint="eastAsia" w:ascii="仿宋_GB2312" w:hAnsi="仿宋" w:eastAsia="仿宋_GB2312" w:cs="Times New Roman"/>
          <w:color w:val="auto"/>
          <w:kern w:val="2"/>
          <w:sz w:val="32"/>
          <w:szCs w:val="22"/>
          <w:lang w:val="en-US" w:eastAsia="zh-CN" w:bidi="ar-SA"/>
        </w:rPr>
      </w:pPr>
      <w:r>
        <w:rPr>
          <w:rFonts w:hint="eastAsia" w:ascii="仿宋_GB2312" w:hAnsi="仿宋" w:eastAsia="仿宋_GB2312"/>
          <w:color w:val="auto"/>
          <w:sz w:val="32"/>
          <w:szCs w:val="32"/>
          <w:lang w:eastAsia="zh-CN"/>
        </w:rPr>
        <w:t>五</w:t>
      </w:r>
      <w:r>
        <w:rPr>
          <w:rFonts w:hint="eastAsia" w:ascii="仿宋_GB2312" w:hAnsi="仿宋" w:eastAsia="仿宋_GB2312" w:cs="Times New Roman"/>
          <w:color w:val="auto"/>
          <w:kern w:val="2"/>
          <w:sz w:val="32"/>
          <w:szCs w:val="22"/>
          <w:lang w:val="en-US" w:eastAsia="zh-CN" w:bidi="ar-SA"/>
        </w:rPr>
        <w:t>、由鄂尔多斯市生态环境综合行政执法支队鄂托克旗大队负责该项目的日常监管工作。</w:t>
      </w:r>
    </w:p>
    <w:p>
      <w:pPr>
        <w:keepNext w:val="0"/>
        <w:keepLines w:val="0"/>
        <w:pageBreakBefore w:val="0"/>
        <w:widowControl w:val="0"/>
        <w:kinsoku/>
        <w:wordWrap/>
        <w:overflowPunct/>
        <w:topLinePunct w:val="0"/>
        <w:autoSpaceDE/>
        <w:autoSpaceDN/>
        <w:bidi w:val="0"/>
        <w:adjustRightInd/>
        <w:snapToGrid/>
        <w:spacing w:line="456" w:lineRule="exact"/>
        <w:ind w:left="0" w:leftChars="0" w:right="0" w:rightChars="0" w:firstLine="640" w:firstLineChars="200"/>
        <w:jc w:val="both"/>
        <w:textAlignment w:val="auto"/>
        <w:outlineLvl w:val="9"/>
        <w:rPr>
          <w:rFonts w:hint="eastAsia" w:ascii="宋体" w:hAnsi="宋体" w:eastAsia="方正小标宋简体" w:cs="宋体"/>
          <w:b w:val="0"/>
          <w:bCs/>
          <w:sz w:val="32"/>
          <w:szCs w:val="32"/>
        </w:rPr>
      </w:pPr>
      <w:r>
        <w:rPr>
          <w:rFonts w:hint="eastAsia" w:ascii="仿宋_GB2312" w:hAnsi="仿宋" w:eastAsia="仿宋_GB2312"/>
          <w:color w:val="auto"/>
          <w:sz w:val="32"/>
          <w:szCs w:val="32"/>
          <w:lang w:eastAsia="zh-CN"/>
        </w:rPr>
        <w:t>六</w:t>
      </w:r>
      <w:r>
        <w:rPr>
          <w:rFonts w:hint="eastAsia" w:ascii="仿宋_GB2312" w:hAnsi="仿宋" w:eastAsia="仿宋_GB2312"/>
          <w:color w:val="auto"/>
          <w:sz w:val="32"/>
          <w:szCs w:val="32"/>
        </w:rPr>
        <w:t>、该项目从批准之日起超过5年方决定开工建设，其环评文件应重新审核。如果建设地点、规模、</w:t>
      </w:r>
      <w:r>
        <w:rPr>
          <w:rFonts w:hint="eastAsia" w:ascii="仿宋_GB2312" w:hAnsi="仿宋" w:eastAsia="仿宋_GB2312"/>
          <w:color w:val="auto"/>
          <w:sz w:val="32"/>
          <w:szCs w:val="32"/>
          <w:lang w:eastAsia="zh-CN"/>
        </w:rPr>
        <w:t>工艺、</w:t>
      </w:r>
      <w:r>
        <w:rPr>
          <w:rFonts w:hint="eastAsia" w:ascii="仿宋_GB2312" w:hAnsi="仿宋" w:eastAsia="仿宋_GB2312"/>
          <w:color w:val="auto"/>
          <w:sz w:val="32"/>
          <w:szCs w:val="32"/>
        </w:rPr>
        <w:t>防治污染和防止生态破坏的措施等发生重大变化时，需重新报批环评文件</w:t>
      </w:r>
      <w:r>
        <w:rPr>
          <w:rFonts w:hint="eastAsia" w:ascii="仿宋_GB2312" w:hAnsi="仿宋" w:eastAsia="仿宋_GB2312"/>
          <w:color w:val="auto"/>
          <w:sz w:val="32"/>
          <w:szCs w:val="32"/>
          <w:lang w:eastAsia="zh-CN"/>
        </w:rPr>
        <w:t>。</w:t>
      </w:r>
    </w:p>
    <w:p>
      <w:pPr>
        <w:pStyle w:val="6"/>
        <w:ind w:left="0" w:leftChars="0" w:firstLine="0" w:firstLineChars="0"/>
        <w:rPr>
          <w:rFonts w:hint="eastAsia"/>
        </w:rPr>
      </w:pPr>
    </w:p>
    <w:p>
      <w:pPr>
        <w:rPr>
          <w:rFonts w:hint="eastAsia"/>
        </w:rPr>
      </w:pPr>
    </w:p>
    <w:p>
      <w:pPr>
        <w:rPr>
          <w:rFonts w:hint="eastAsia"/>
        </w:rPr>
      </w:pPr>
    </w:p>
    <w:p>
      <w:pPr>
        <w:keepNext w:val="0"/>
        <w:keepLines w:val="0"/>
        <w:pageBreakBefore w:val="0"/>
        <w:widowControl w:val="0"/>
        <w:kinsoku/>
        <w:wordWrap/>
        <w:overflowPunct/>
        <w:topLinePunct w:val="0"/>
        <w:bidi w:val="0"/>
        <w:snapToGrid/>
        <w:spacing w:line="456"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鄂尔多斯市生态环境局</w:t>
      </w:r>
      <w:r>
        <w:rPr>
          <w:rFonts w:hint="eastAsia" w:ascii="仿宋_GB2312" w:hAnsi="仿宋_GB2312" w:eastAsia="仿宋_GB2312" w:cs="仿宋_GB2312"/>
          <w:sz w:val="32"/>
          <w:szCs w:val="32"/>
        </w:rPr>
        <w:t>鄂托克旗</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bidi w:val="0"/>
        <w:snapToGrid/>
        <w:spacing w:line="456"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12日</w:t>
      </w:r>
    </w:p>
    <w:p>
      <w:pPr>
        <w:keepNext w:val="0"/>
        <w:keepLines w:val="0"/>
        <w:pageBreakBefore w:val="0"/>
        <w:widowControl w:val="0"/>
        <w:kinsoku/>
        <w:wordWrap/>
        <w:overflowPunct/>
        <w:topLinePunct w:val="0"/>
        <w:bidi w:val="0"/>
        <w:snapToGrid/>
        <w:spacing w:line="474" w:lineRule="exact"/>
        <w:textAlignment w:val="auto"/>
        <w:outlineLvl w:val="9"/>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bookmarkStart w:id="0" w:name="_GoBack"/>
      <w:bookmarkEnd w:id="0"/>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474" w:lineRule="exact"/>
        <w:textAlignment w:val="auto"/>
        <w:outlineLvl w:val="9"/>
        <w:rPr>
          <w:rFonts w:hint="eastAsia" w:ascii="仿宋_GB2312" w:hAnsi="仿宋_GB2312" w:eastAsia="仿宋_GB2312" w:cs="仿宋_GB2312"/>
          <w:b/>
          <w:sz w:val="32"/>
          <w:u w:val="single"/>
        </w:rPr>
      </w:pPr>
      <w:r>
        <w:rPr>
          <w:rFonts w:hint="eastAsia" w:ascii="仿宋_GB2312" w:hAnsi="仿宋_GB2312" w:eastAsia="仿宋_GB2312" w:cs="仿宋_GB2312"/>
          <w:b/>
          <w:sz w:val="32"/>
          <w:u w:val="single"/>
        </w:rPr>
        <w:t xml:space="preserve">                                                        </w:t>
      </w:r>
    </w:p>
    <w:p>
      <w:pPr>
        <w:keepNext w:val="0"/>
        <w:keepLines w:val="0"/>
        <w:pageBreakBefore w:val="0"/>
        <w:widowControl w:val="0"/>
        <w:kinsoku/>
        <w:wordWrap/>
        <w:overflowPunct/>
        <w:topLinePunct w:val="0"/>
        <w:bidi w:val="0"/>
        <w:snapToGrid/>
        <w:spacing w:line="474" w:lineRule="exact"/>
        <w:textAlignment w:val="auto"/>
        <w:outlineLvl w:val="9"/>
      </w:pPr>
      <w:r>
        <w:rPr>
          <w:rFonts w:hint="eastAsia" w:ascii="仿宋_GB2312" w:hAnsi="仿宋_GB2312" w:eastAsia="仿宋_GB2312" w:cs="仿宋_GB2312"/>
          <w:sz w:val="32"/>
          <w:u w:val="single"/>
          <w:lang w:eastAsia="zh-CN"/>
        </w:rPr>
        <w:t>鄂尔多斯市生态环境局</w:t>
      </w:r>
      <w:r>
        <w:rPr>
          <w:rFonts w:hint="eastAsia" w:ascii="仿宋_GB2312" w:hAnsi="仿宋_GB2312" w:eastAsia="仿宋_GB2312" w:cs="仿宋_GB2312"/>
          <w:sz w:val="32"/>
          <w:u w:val="single"/>
        </w:rPr>
        <w:t>鄂托克旗</w:t>
      </w:r>
      <w:r>
        <w:rPr>
          <w:rFonts w:hint="eastAsia" w:ascii="仿宋_GB2312" w:hAnsi="仿宋_GB2312" w:eastAsia="仿宋_GB2312" w:cs="仿宋_GB2312"/>
          <w:sz w:val="32"/>
          <w:u w:val="single"/>
          <w:lang w:eastAsia="zh-CN"/>
        </w:rPr>
        <w:t>分</w:t>
      </w:r>
      <w:r>
        <w:rPr>
          <w:rFonts w:hint="eastAsia" w:ascii="仿宋_GB2312" w:hAnsi="仿宋_GB2312" w:eastAsia="仿宋_GB2312" w:cs="仿宋_GB2312"/>
          <w:sz w:val="32"/>
          <w:u w:val="single"/>
        </w:rPr>
        <w:t>局    20</w:t>
      </w:r>
      <w:r>
        <w:rPr>
          <w:rFonts w:hint="eastAsia" w:ascii="仿宋_GB2312" w:hAnsi="仿宋_GB2312" w:eastAsia="仿宋_GB2312" w:cs="仿宋_GB2312"/>
          <w:sz w:val="32"/>
          <w:u w:val="single"/>
          <w:lang w:val="en-US" w:eastAsia="zh-CN"/>
        </w:rPr>
        <w:t>22</w:t>
      </w:r>
      <w:r>
        <w:rPr>
          <w:rFonts w:hint="eastAsia" w:ascii="仿宋_GB2312" w:hAnsi="仿宋_GB2312" w:eastAsia="仿宋_GB2312" w:cs="仿宋_GB2312"/>
          <w:sz w:val="32"/>
          <w:u w:val="single"/>
        </w:rPr>
        <w:t>年</w:t>
      </w:r>
      <w:r>
        <w:rPr>
          <w:rFonts w:hint="eastAsia" w:ascii="仿宋_GB2312" w:hAnsi="仿宋_GB2312" w:eastAsia="仿宋_GB2312" w:cs="仿宋_GB2312"/>
          <w:sz w:val="32"/>
          <w:u w:val="single"/>
          <w:lang w:val="en-US" w:eastAsia="zh-CN"/>
        </w:rPr>
        <w:t>10</w:t>
      </w:r>
      <w:r>
        <w:rPr>
          <w:rFonts w:hint="eastAsia" w:ascii="仿宋_GB2312" w:hAnsi="仿宋_GB2312" w:eastAsia="仿宋_GB2312" w:cs="仿宋_GB2312"/>
          <w:sz w:val="32"/>
          <w:u w:val="single"/>
        </w:rPr>
        <w:t>月</w:t>
      </w:r>
      <w:r>
        <w:rPr>
          <w:rFonts w:hint="eastAsia" w:ascii="仿宋_GB2312" w:hAnsi="仿宋_GB2312" w:eastAsia="仿宋_GB2312" w:cs="仿宋_GB2312"/>
          <w:sz w:val="32"/>
          <w:u w:val="single"/>
          <w:lang w:val="en-US" w:eastAsia="zh-CN"/>
        </w:rPr>
        <w:t>12</w:t>
      </w:r>
      <w:r>
        <w:rPr>
          <w:rFonts w:hint="eastAsia" w:ascii="仿宋_GB2312" w:hAnsi="仿宋_GB2312" w:eastAsia="仿宋_GB2312" w:cs="仿宋_GB2312"/>
          <w:sz w:val="32"/>
          <w:u w:val="single"/>
        </w:rPr>
        <w:t xml:space="preserve">日印发 </w:t>
      </w:r>
    </w:p>
    <w:sectPr>
      <w:pgSz w:w="11906" w:h="16838"/>
      <w:pgMar w:top="113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ODBjZTdlZmZkMGI4ZjI5ZmZiZWJiNGZkNmEwMTMifQ=="/>
  </w:docVars>
  <w:rsids>
    <w:rsidRoot w:val="7FC87F0C"/>
    <w:rsid w:val="0FF94943"/>
    <w:rsid w:val="137E1BE5"/>
    <w:rsid w:val="2FC560EE"/>
    <w:rsid w:val="50225B15"/>
    <w:rsid w:val="5AEC1B38"/>
    <w:rsid w:val="6C76566F"/>
    <w:rsid w:val="791A3E30"/>
    <w:rsid w:val="79DD5BA3"/>
    <w:rsid w:val="7FC8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jc w:val="center"/>
    </w:p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basedOn w:val="1"/>
    <w:qFormat/>
    <w:uiPriority w:val="0"/>
    <w:pPr>
      <w:adjustRightInd w:val="0"/>
    </w:pPr>
    <w:rPr>
      <w:w w:val="90"/>
      <w:sz w:val="28"/>
      <w:szCs w:val="28"/>
    </w:rPr>
  </w:style>
  <w:style w:type="paragraph" w:styleId="5">
    <w:name w:val="Normal Indent"/>
    <w:basedOn w:val="1"/>
    <w:next w:val="6"/>
    <w:qFormat/>
    <w:uiPriority w:val="0"/>
    <w:pPr>
      <w:adjustRightInd w:val="0"/>
      <w:spacing w:line="480" w:lineRule="atLeast"/>
      <w:ind w:firstLine="595"/>
      <w:textAlignment w:val="baseline"/>
    </w:pPr>
    <w:rPr>
      <w:kern w:val="0"/>
      <w:sz w:val="28"/>
    </w:rPr>
  </w:style>
  <w:style w:type="paragraph" w:styleId="6">
    <w:name w:val="Body Text First Indent 2"/>
    <w:basedOn w:val="7"/>
    <w:next w:val="1"/>
    <w:unhideWhenUsed/>
    <w:qFormat/>
    <w:uiPriority w:val="99"/>
    <w:pPr>
      <w:keepNext/>
      <w:spacing w:line="360" w:lineRule="auto"/>
      <w:ind w:left="0" w:leftChars="0" w:firstLine="640" w:firstLineChars="200"/>
    </w:pPr>
    <w:rPr>
      <w:rFonts w:ascii="Times New Roman" w:hAnsi="Times New Roman"/>
      <w:sz w:val="24"/>
    </w:rPr>
  </w:style>
  <w:style w:type="paragraph" w:styleId="7">
    <w:name w:val="Body Text Indent"/>
    <w:basedOn w:val="1"/>
    <w:next w:val="1"/>
    <w:qFormat/>
    <w:uiPriority w:val="0"/>
    <w:pPr>
      <w:widowControl/>
      <w:adjustRightInd w:val="0"/>
      <w:spacing w:line="360" w:lineRule="auto"/>
      <w:ind w:firstLine="482"/>
      <w:jc w:val="left"/>
      <w:textAlignment w:val="baseline"/>
    </w:pPr>
    <w:rPr>
      <w:rFonts w:ascii="Calibri" w:hAnsi="Calibri"/>
      <w:kern w:val="0"/>
      <w:sz w:val="24"/>
      <w:szCs w:val="20"/>
      <w:lang w:eastAsia="en-US" w:bidi="en-US"/>
    </w:rPr>
  </w:style>
  <w:style w:type="paragraph" w:styleId="8">
    <w:name w:val="annotation text"/>
    <w:basedOn w:val="1"/>
    <w:qFormat/>
    <w:uiPriority w:val="99"/>
    <w:pPr>
      <w:jc w:val="left"/>
    </w:pPr>
    <w:rPr>
      <w:kern w:val="0"/>
      <w:sz w:val="24"/>
      <w:szCs w:val="20"/>
    </w:rPr>
  </w:style>
  <w:style w:type="paragraph" w:styleId="9">
    <w:name w:val="Body Text Indent 2"/>
    <w:basedOn w:val="1"/>
    <w:next w:val="1"/>
    <w:qFormat/>
    <w:uiPriority w:val="99"/>
    <w:pPr>
      <w:spacing w:line="480" w:lineRule="auto"/>
      <w:ind w:firstLine="573"/>
      <w:jc w:val="left"/>
    </w:pPr>
    <w:rPr>
      <w:rFonts w:ascii="宋体" w:hAnsi="宋体" w:cs="宋体"/>
      <w:kern w:val="0"/>
      <w:sz w:val="28"/>
    </w:rPr>
  </w:style>
  <w:style w:type="paragraph" w:styleId="10">
    <w:name w:val="toc 2"/>
    <w:basedOn w:val="1"/>
    <w:next w:val="1"/>
    <w:qFormat/>
    <w:uiPriority w:val="39"/>
    <w:pPr>
      <w:tabs>
        <w:tab w:val="right" w:leader="dot" w:pos="8494"/>
      </w:tabs>
      <w:spacing w:line="360" w:lineRule="auto"/>
      <w:ind w:left="420" w:leftChars="100" w:hanging="210" w:hangingChars="100"/>
    </w:pPr>
  </w:style>
  <w:style w:type="character" w:styleId="13">
    <w:name w:val="annotation reference"/>
    <w:semiHidden/>
    <w:qFormat/>
    <w:uiPriority w:val="0"/>
    <w:rPr>
      <w:sz w:val="21"/>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1579</Words>
  <Characters>1731</Characters>
  <Lines>0</Lines>
  <Paragraphs>0</Paragraphs>
  <TotalTime>2</TotalTime>
  <ScaleCrop>false</ScaleCrop>
  <LinksUpToDate>false</LinksUpToDate>
  <CharactersWithSpaces>1854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2022-08-24T14:51:00Z</dcterms:created>
  <dc:creator>ᠡᠪᠥᠯᠴᠡᠴᠡᠭ冬梅</dc:creator>
  <cp:lastModifiedBy>admin</cp:lastModifiedBy>
  <dcterms:modified xsi:type="dcterms:W3CDTF">2022-10-10T03:00:20Z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585380E30E1046CBB310CA9D0F47705C</vt:lpwstr>
  </property>
</Properties>
</file>