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jc w:val="center"/>
        <w:rPr>
          <w:rFonts w:hint="eastAsia" w:ascii="仿宋" w:hAnsi="仿宋" w:eastAsia="仿宋"/>
          <w:b/>
          <w:color w:val="auto"/>
          <w:sz w:val="44"/>
        </w:rPr>
      </w:pPr>
    </w:p>
    <w:p>
      <w:pPr>
        <w:spacing w:line="640" w:lineRule="exact"/>
        <w:rPr>
          <w:rFonts w:hint="eastAsia" w:ascii="仿宋" w:hAnsi="仿宋" w:eastAsia="仿宋"/>
          <w:color w:val="auto"/>
          <w:sz w:val="32"/>
        </w:rPr>
      </w:pPr>
    </w:p>
    <w:p>
      <w:pPr>
        <w:spacing w:line="640" w:lineRule="exact"/>
        <w:ind w:firstLine="160" w:firstLineChars="50"/>
        <w:jc w:val="center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鄂环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鄂评</w:t>
      </w:r>
      <w:r>
        <w:rPr>
          <w:rFonts w:hint="eastAsia" w:ascii="仿宋_GB2312" w:hAnsi="仿宋" w:eastAsia="仿宋_GB2312"/>
          <w:color w:val="auto"/>
          <w:sz w:val="32"/>
        </w:rPr>
        <w:t>字[20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]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84</w:t>
      </w:r>
      <w:r>
        <w:rPr>
          <w:rFonts w:hint="eastAsia" w:ascii="仿宋_GB2312" w:hAnsi="仿宋" w:eastAsia="仿宋_GB2312"/>
          <w:color w:val="auto"/>
          <w:sz w:val="32"/>
        </w:rPr>
        <w:t>号</w:t>
      </w:r>
    </w:p>
    <w:p>
      <w:pPr>
        <w:spacing w:line="640" w:lineRule="exact"/>
        <w:jc w:val="center"/>
        <w:rPr>
          <w:rFonts w:hint="eastAsia" w:ascii="仿宋_GB2312" w:hAnsi="仿宋" w:eastAsia="仿宋_GB2312"/>
          <w:b/>
          <w:color w:val="auto"/>
          <w:sz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鄂尔多斯市生态环境局鄂托克旗分局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乌兰其日嘎村村部至杭锦旗界公路建设项目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环境影响报告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的批复</w:t>
      </w:r>
    </w:p>
    <w:p>
      <w:pPr>
        <w:pStyle w:val="4"/>
        <w:rPr>
          <w:rFonts w:hint="eastAsia" w:eastAsia="方正小标宋简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>鄂托克旗交通运输局：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>你单位报送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鄂尔多斯市浩宇科技有限责任公司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编制</w:t>
      </w:r>
      <w:r>
        <w:rPr>
          <w:rFonts w:hint="eastAsia" w:ascii="仿宋_GB2312" w:hAnsi="仿宋" w:eastAsia="仿宋_GB2312"/>
          <w:color w:val="auto"/>
          <w:sz w:val="32"/>
        </w:rPr>
        <w:t>的《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乌兰其日嘎村村部至杭锦旗界公路建设项目环境影响报告表</w:t>
      </w:r>
      <w:r>
        <w:rPr>
          <w:rFonts w:hint="eastAsia" w:ascii="仿宋_GB2312" w:hAnsi="仿宋" w:eastAsia="仿宋_GB2312"/>
          <w:color w:val="auto"/>
          <w:sz w:val="32"/>
        </w:rPr>
        <w:t>》（以下简称报告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表</w:t>
      </w:r>
      <w:r>
        <w:rPr>
          <w:rFonts w:hint="eastAsia" w:ascii="仿宋_GB2312" w:hAnsi="仿宋" w:eastAsia="仿宋_GB2312"/>
          <w:color w:val="auto"/>
          <w:sz w:val="32"/>
        </w:rPr>
        <w:t>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及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《</w:t>
      </w:r>
      <w:r>
        <w:rPr>
          <w:rFonts w:hint="eastAsia" w:ascii="仿宋_GB2312" w:hAnsi="仿宋" w:eastAsia="仿宋_GB2312"/>
          <w:color w:val="auto"/>
          <w:sz w:val="32"/>
        </w:rPr>
        <w:t>鄂托克旗交通运输局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关于报送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乌兰其日嘎村村部至杭锦旗界公路建设项目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环境影响报告表的</w:t>
      </w:r>
      <w:r>
        <w:rPr>
          <w:rFonts w:hint="eastAsia" w:ascii="仿宋_GB2312" w:hAnsi="华文中宋" w:eastAsia="仿宋_GB2312"/>
          <w:color w:val="auto"/>
          <w:sz w:val="32"/>
          <w:szCs w:val="32"/>
          <w:lang w:val="en-US" w:eastAsia="zh-CN"/>
        </w:rPr>
        <w:t>函</w:t>
      </w:r>
      <w:r>
        <w:rPr>
          <w:rFonts w:hint="eastAsia" w:ascii="仿宋_GB2312" w:hAnsi="华文中宋" w:eastAsia="仿宋_GB2312"/>
          <w:color w:val="auto"/>
          <w:sz w:val="32"/>
          <w:szCs w:val="32"/>
          <w:lang w:eastAsia="zh-CN"/>
        </w:rPr>
        <w:t>》</w:t>
      </w:r>
      <w:r>
        <w:rPr>
          <w:rFonts w:hint="eastAsia" w:ascii="仿宋_GB2312" w:hAnsi="仿宋" w:eastAsia="仿宋_GB2312"/>
          <w:color w:val="auto"/>
          <w:sz w:val="32"/>
        </w:rPr>
        <w:t>收悉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经审核，现批复如下：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lang w:eastAsia="zh-CN"/>
        </w:rPr>
        <w:t>一、本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项目位于托克旗木凯淖尔旗起点位于乌兰其日嘎村村部，顺接现有的水泥地，终点位于鄂鄂托克旗杭锦旗旗界，与杭锦旗境内的现有的沥青路相顺接。道路全长8.8km。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</w:rPr>
        <w:t>按四级公路标准进行设计，设计速度20km/h，路基宽度为6.5m，路面宽度为4.5m，行车道宽3.5m，土路肩宽2×1.5m（其中土路肩硬化2×0.5m）。桥涵与路基同宽，按公路-Ⅱ级标准设计。全程为沥青混凝土路面。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本项目总投资878.6109万元，其中环保投资81.7万元，占总投资的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9.3</w:t>
      </w:r>
      <w:r>
        <w:rPr>
          <w:rFonts w:hint="eastAsia" w:ascii="仿宋_GB2312" w:hAnsi="仿宋" w:eastAsia="仿宋_GB2312"/>
          <w:color w:val="auto"/>
          <w:sz w:val="32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《报告表》认为，在全面落实各项生态保护和污染防治措施的前提下，项目建设对环境的不利影响能够得到一定的缓解和控制。因此，我局原则同意你单位按照《报告表》中所列的建设项目性质、规模、地点、工艺、环境保护措施进</w:t>
      </w:r>
      <w:r>
        <w:rPr>
          <w:rFonts w:hint="eastAsia" w:ascii="仿宋_GB2312" w:hAnsi="仿宋" w:eastAsia="仿宋_GB2312" w:cs="Times New Roman"/>
          <w:color w:val="auto"/>
          <w:sz w:val="32"/>
        </w:rPr>
        <w:t>行建设。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630" w:leftChars="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华文中宋" w:eastAsia="仿宋_GB2312"/>
          <w:sz w:val="32"/>
          <w:szCs w:val="32"/>
          <w:lang w:eastAsia="zh-CN"/>
        </w:rPr>
        <w:t>二、</w:t>
      </w:r>
      <w:r>
        <w:rPr>
          <w:rFonts w:hint="eastAsia" w:ascii="仿宋_GB2312" w:hAnsi="华文中宋" w:eastAsia="仿宋_GB2312"/>
          <w:sz w:val="32"/>
          <w:szCs w:val="32"/>
        </w:rPr>
        <w:t>项目建设和运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行管理</w:t>
      </w:r>
      <w:r>
        <w:rPr>
          <w:rFonts w:hint="eastAsia" w:ascii="仿宋_GB2312" w:hAnsi="华文中宋" w:eastAsia="仿宋_GB2312"/>
          <w:sz w:val="32"/>
          <w:szCs w:val="32"/>
        </w:rPr>
        <w:t>中应重点做好如下工作</w:t>
      </w:r>
      <w:r>
        <w:rPr>
          <w:rFonts w:hint="eastAsia" w:ascii="仿宋_GB2312" w:hAnsi="华文中宋" w:eastAsia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1.加强施工期生态保护和污染防治工作。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严格按照设计要求施工，尽可能缩小施工活动范围，并及时采取场地洒水等措施，减少裸露土地面积和扬尘。施工结束后应及时对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取土场等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临时工程进行整理和植被恢复，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确保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植被覆盖率不低于现状。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2.采取有效措施控制施工期各类污染。粉状物料集中堆放并全部苫盖，堆料场不得露天堆放。施工场地和道路采取洒水措施，渣土车辆要封闭或加盖苫布，防止运输过程中遗撒；</w:t>
      </w:r>
      <w:r>
        <w:rPr>
          <w:rFonts w:hint="eastAsia" w:ascii="仿宋_GB2312" w:hAnsi="华文中宋" w:eastAsia="仿宋_GB2312"/>
          <w:sz w:val="32"/>
          <w:szCs w:val="32"/>
        </w:rPr>
        <w:t>使用预拌商品混凝土，路基石灰土和沥青不得现场拌和，购置现成的商品等。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施工期产生的废水经处理后全部回用，施工营地设集水沉淀池收集沉淀后用于施工场地洒水抑尘，不得外排；严格控制施工时间，敏感点附近禁止夜间施工，</w:t>
      </w:r>
      <w:r>
        <w:rPr>
          <w:rFonts w:hint="eastAsia" w:ascii="仿宋_GB2312" w:hAnsi="华文中宋" w:eastAsia="仿宋_GB2312"/>
          <w:sz w:val="32"/>
          <w:szCs w:val="32"/>
        </w:rPr>
        <w:t>选用低噪声的施工机械和工艺。根据施工具体情况,对沿线敏感点采取设置临时声屏障等防护措施，确保噪声满足《建筑施工场界环境噪声排放标准》(GB12523-2011)排放限值要求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；施工便道的设置也尽量避开村庄等敏感点，途经村庄的车辆要减速慢行；妥善处置施工期产生的固体废弃物，不得随意乱倒。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3.认真落实《报告表》提出的大气污染防治措施。</w:t>
      </w: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加强道路管理及路面养护，路两侧的绿化工作，加强机动车辆管理，设置道路限速标准，减速慢行，对装有易产生扬尘货物的运输车辆应加盖篷布，防止运输中飞扬洒落。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4.强化运营期废水处理与回用。设置路面和路基排水工程。防止水流冲刷路基边坡，并在路基边坡设置边坡急流槽，，各种排水措施紧密衔接。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firstLine="640" w:firstLineChars="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5.应采取妥善控制措施，控制噪声污染。本项目现状相邻区域执行声环境功能区1类区标准，根据《声功能区划分技术规范》(GB/T15190-2014)，道路边界线外50m内区域执行《声环境质量标准》(GB3096-2008)4a类标准限值，道路边界线外50m以外区域执行《声环境质量标准》(GB3096-2008)1类标准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6.强化环境</w:t>
      </w:r>
      <w:r>
        <w:rPr>
          <w:rFonts w:hint="eastAsia" w:ascii="仿宋_GB2312" w:hAnsi="仿宋" w:eastAsia="仿宋_GB2312" w:cs="Times New Roman"/>
          <w:color w:val="auto"/>
          <w:sz w:val="32"/>
          <w:lang w:val="en-US" w:eastAsia="zh-CN"/>
        </w:rPr>
        <w:t>风险防范。制定环境风险应急预案，落实环境风险事故防范措施，提高事故风险防范和污染控制能力。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>三、项目建设必须严格执行环境保护“三同时”制度，认真开展施工期环境监理工作。项目竣工后，按规定程序实施竣工环境保护验收。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firstLine="640" w:firstLineChars="200"/>
        <w:textAlignment w:val="auto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  <w:t>四、由鄂托克旗生态环境综合行政执法大队负责该项目的日常监管工作。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lang w:eastAsia="zh-CN"/>
        </w:rPr>
        <w:t xml:space="preserve">五、该项目自批准之日起超过5年方决定开工建设，其环评文件应重新审核。如果项目建设地点、规模、工艺、防治污染和防止生态破坏的措施等发生重大变化时，重新报批环境影响评价文件。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sz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</w:p>
    <w:p>
      <w:pPr>
        <w:pStyle w:val="6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</w:rPr>
        <w:t>鄂托克旗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</w:rPr>
        <w:t xml:space="preserve">                               20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22</w:t>
      </w:r>
      <w:r>
        <w:rPr>
          <w:rFonts w:hint="eastAsia" w:ascii="仿宋_GB2312" w:hAnsi="仿宋" w:eastAsia="仿宋_GB2312"/>
          <w:color w:val="auto"/>
          <w:sz w:val="32"/>
        </w:rPr>
        <w:t>年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12</w:t>
      </w:r>
      <w:r>
        <w:rPr>
          <w:rFonts w:hint="eastAsia" w:ascii="仿宋_GB2312" w:hAnsi="仿宋" w:eastAsia="仿宋_GB2312"/>
          <w:color w:val="auto"/>
          <w:sz w:val="32"/>
        </w:rPr>
        <w:t>月</w:t>
      </w:r>
      <w:r>
        <w:rPr>
          <w:rFonts w:hint="eastAsia" w:ascii="仿宋_GB2312" w:hAnsi="仿宋" w:eastAsia="仿宋_GB2312"/>
          <w:color w:val="auto"/>
          <w:sz w:val="32"/>
          <w:lang w:val="en-US" w:eastAsia="zh-CN"/>
        </w:rPr>
        <w:t>23日</w:t>
      </w: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jc w:val="both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u w:val="single"/>
        </w:rPr>
        <w:t xml:space="preserve">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3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" w:eastAsia="仿宋_GB2312" w:cs="Times New Roman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鄂尔多斯市生态环境局</w:t>
      </w:r>
      <w:r>
        <w:rPr>
          <w:rFonts w:hint="eastAsia" w:ascii="仿宋_GB2312" w:hAnsi="仿宋" w:eastAsia="仿宋_GB2312"/>
          <w:color w:val="auto"/>
          <w:sz w:val="32"/>
          <w:u w:val="single"/>
        </w:rPr>
        <w:t>鄂托克旗</w:t>
      </w:r>
      <w:r>
        <w:rPr>
          <w:rFonts w:hint="eastAsia" w:ascii="仿宋_GB2312" w:hAnsi="仿宋" w:eastAsia="仿宋_GB2312"/>
          <w:color w:val="auto"/>
          <w:sz w:val="32"/>
          <w:u w:val="single"/>
          <w:lang w:val="en-US" w:eastAsia="zh-CN"/>
        </w:rPr>
        <w:t>分</w:t>
      </w:r>
      <w:r>
        <w:rPr>
          <w:rFonts w:hint="eastAsia" w:ascii="仿宋_GB2312" w:hAnsi="仿宋" w:eastAsia="仿宋_GB2312"/>
          <w:color w:val="auto"/>
          <w:sz w:val="32"/>
          <w:u w:val="single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u w:val="single"/>
        </w:rPr>
        <w:t xml:space="preserve">日印发 </w:t>
      </w:r>
      <w:r>
        <w:rPr>
          <w:rFonts w:hint="eastAsia" w:ascii="仿宋" w:hAnsi="仿宋" w:eastAsia="仿宋"/>
          <w:color w:val="auto"/>
          <w:sz w:val="32"/>
        </w:rPr>
        <w:t xml:space="preserve">                                                                 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GZiZGU4YzA3MjQzZTI3ODk1ZDViMjEzMTEwZTEifQ=="/>
  </w:docVars>
  <w:rsids>
    <w:rsidRoot w:val="63E9169B"/>
    <w:rsid w:val="1E246973"/>
    <w:rsid w:val="63E9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缩进正文缩进2正文缩进 Char Char正文缩进 Char Char Char Char正文缩进 Char ..."/>
    <w:basedOn w:val="3"/>
    <w:qFormat/>
    <w:uiPriority w:val="0"/>
    <w:pPr>
      <w:spacing w:line="360" w:lineRule="auto"/>
      <w:ind w:firstLine="200"/>
    </w:pPr>
    <w:rPr>
      <w:rFonts w:cs="宋体"/>
      <w:sz w:val="24"/>
    </w:rPr>
  </w:style>
  <w:style w:type="paragraph" w:styleId="3">
    <w:name w:val="Normal Indent"/>
    <w:basedOn w:val="1"/>
    <w:next w:val="4"/>
    <w:unhideWhenUsed/>
    <w:qFormat/>
    <w:uiPriority w:val="99"/>
    <w:pPr>
      <w:ind w:firstLine="420" w:firstLineChars="200"/>
    </w:pPr>
  </w:style>
  <w:style w:type="paragraph" w:styleId="4">
    <w:name w:val="Body Text First Indent 2"/>
    <w:basedOn w:val="5"/>
    <w:next w:val="1"/>
    <w:qFormat/>
    <w:uiPriority w:val="0"/>
    <w:pPr>
      <w:spacing w:after="120" w:afterLines="0" w:line="240" w:lineRule="auto"/>
      <w:ind w:left="420" w:leftChars="200" w:firstLine="420" w:firstLineChars="200"/>
    </w:pPr>
    <w:rPr>
      <w:sz w:val="21"/>
    </w:rPr>
  </w:style>
  <w:style w:type="paragraph" w:styleId="5">
    <w:name w:val="Body Text Indent"/>
    <w:basedOn w:val="1"/>
    <w:next w:val="1"/>
    <w:qFormat/>
    <w:uiPriority w:val="0"/>
    <w:pPr>
      <w:spacing w:line="300" w:lineRule="exact"/>
      <w:ind w:firstLine="538"/>
    </w:pPr>
    <w:rPr>
      <w:sz w:val="21"/>
    </w:rPr>
  </w:style>
  <w:style w:type="paragraph" w:styleId="6">
    <w:name w:val="toc 2"/>
    <w:basedOn w:val="1"/>
    <w:next w:val="1"/>
    <w:qFormat/>
    <w:uiPriority w:val="39"/>
    <w:pPr>
      <w:tabs>
        <w:tab w:val="right" w:leader="dot" w:pos="8494"/>
      </w:tabs>
      <w:spacing w:line="360" w:lineRule="auto"/>
      <w:ind w:left="420" w:leftChars="100" w:hanging="210" w:hanging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1457</Words>
  <Characters>1577</Characters>
  <Lines>0</Lines>
  <Paragraphs>0</Paragraphs>
  <TotalTime>4</TotalTime>
  <ScaleCrop>false</ScaleCrop>
  <LinksUpToDate>false</LinksUpToDate>
  <CharactersWithSpaces>1767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2022-12-19T02:30:00Z</dcterms:created>
  <dc:creator>ᠡᠪᠥᠯᠴᠡᠴᠡᠭ冬梅</dc:creator>
  <cp:lastModifiedBy>ᠡᠪᠥᠯᠴᠡᠴᠡᠭ冬梅</cp:lastModifiedBy>
  <dcterms:modified xsi:type="dcterms:W3CDTF">2022-12-19T04:20:02Z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E389800715D34ECC92D84415709202F9</vt:lpwstr>
  </property>
</Properties>
</file>