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ind w:firstLine="160" w:firstLineChars="50"/>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87</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lang w:eastAsia="zh-CN"/>
        </w:rPr>
        <w:t>鄂尔多斯市生态环境局</w:t>
      </w:r>
      <w:r>
        <w:rPr>
          <w:rFonts w:hint="eastAsia" w:ascii="宋体" w:hAnsi="宋体" w:eastAsia="方正小标宋简体" w:cs="宋体"/>
          <w:sz w:val="44"/>
          <w:szCs w:val="44"/>
        </w:rPr>
        <w:t>鄂托克旗</w:t>
      </w:r>
      <w:r>
        <w:rPr>
          <w:rFonts w:hint="eastAsia" w:ascii="宋体" w:hAnsi="宋体" w:eastAsia="方正小标宋简体" w:cs="宋体"/>
          <w:sz w:val="44"/>
          <w:szCs w:val="44"/>
          <w:lang w:eastAsia="zh-CN"/>
        </w:rPr>
        <w:t>分</w:t>
      </w:r>
      <w:r>
        <w:rPr>
          <w:rFonts w:hint="eastAsia" w:ascii="宋体" w:hAnsi="宋体" w:eastAsia="方正小标宋简体" w:cs="宋体"/>
          <w:sz w:val="44"/>
          <w:szCs w:val="44"/>
        </w:rPr>
        <w:t>局关</w:t>
      </w:r>
      <w:r>
        <w:rPr>
          <w:rFonts w:hint="eastAsia" w:ascii="宋体" w:hAnsi="宋体" w:eastAsia="方正小标宋简体" w:cs="宋体"/>
          <w:sz w:val="44"/>
          <w:szCs w:val="44"/>
          <w:lang w:eastAsia="zh-CN"/>
        </w:rPr>
        <w:t>于</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鄂尔多斯市卓仑工程建设有限公司搅拌站建设项目</w:t>
      </w:r>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鄂尔多斯市卓仑工程建设有限公司</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内蒙古希隆环保科技有限公司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鄂尔多斯市卓仑工程建设有限公司搅拌站建设项目</w:t>
      </w:r>
      <w:r>
        <w:rPr>
          <w:rFonts w:hint="eastAsia" w:ascii="仿宋_GB2312" w:hAnsi="仿宋" w:eastAsia="仿宋_GB2312"/>
          <w:color w:val="auto"/>
          <w:sz w:val="32"/>
          <w:szCs w:val="32"/>
        </w:rPr>
        <w:t>环境影响报告表》（以下简称报告表）收悉，经审核，提出如下批复意见：</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lang w:val="en-US" w:eastAsia="zh-CN"/>
        </w:rPr>
        <w:t>一</w:t>
      </w:r>
      <w:r>
        <w:rPr>
          <w:rFonts w:hint="eastAsia" w:ascii="仿宋_GB2312" w:hAnsi="仿宋" w:eastAsia="仿宋_GB2312"/>
          <w:color w:val="auto"/>
          <w:sz w:val="32"/>
          <w:lang w:eastAsia="zh-CN"/>
        </w:rPr>
        <w:t>、</w:t>
      </w:r>
      <w:r>
        <w:rPr>
          <w:rFonts w:hint="eastAsia" w:ascii="仿宋_GB2312" w:hAnsi="仿宋" w:eastAsia="仿宋_GB2312"/>
          <w:color w:val="auto"/>
          <w:sz w:val="32"/>
          <w:lang w:val="en-US" w:eastAsia="zh-CN"/>
        </w:rPr>
        <w:t>该</w:t>
      </w:r>
      <w:r>
        <w:rPr>
          <w:rFonts w:hint="eastAsia" w:ascii="仿宋_GB2312" w:hAnsi="仿宋" w:eastAsia="仿宋_GB2312"/>
          <w:color w:val="auto"/>
          <w:sz w:val="32"/>
          <w:lang w:eastAsia="zh-CN"/>
        </w:rPr>
        <w:t>项目的环境影响评价文件未经我局审批即擅自开工建设，违反了《中华人民共和国环境影响评价法》的有关规定，依据《中华人民共和国环境影响评价法》第三十一条之规定，我局对该公司实施了处罚，罚款已缴纳。你公司必须增强守法意识，杜绝违法行为再次发生。</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lang w:eastAsia="zh-CN"/>
        </w:rPr>
        <w:t>二、</w:t>
      </w:r>
      <w:r>
        <w:rPr>
          <w:rFonts w:hint="eastAsia" w:ascii="仿宋_GB2312" w:hAnsi="仿宋_GB2312" w:eastAsia="仿宋_GB2312" w:cs="仿宋_GB2312"/>
          <w:color w:val="auto"/>
          <w:sz w:val="32"/>
          <w:szCs w:val="32"/>
        </w:rPr>
        <w:t>本项目位于</w:t>
      </w:r>
      <w:r>
        <w:rPr>
          <w:rFonts w:hint="eastAsia" w:ascii="仿宋_GB2312" w:hAnsi="仿宋_GB2312" w:eastAsia="仿宋_GB2312" w:cs="仿宋_GB2312"/>
          <w:color w:val="auto"/>
          <w:sz w:val="32"/>
          <w:szCs w:val="32"/>
          <w:lang w:val="en-US" w:eastAsia="zh-CN"/>
        </w:rPr>
        <w:t>鄂托克旗乌兰镇鄂托克旗勇泰热电有限责任公司南侧</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心坐标为北纬</w:t>
      </w:r>
      <w:r>
        <w:rPr>
          <w:rFonts w:hint="default"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12.157</w:t>
      </w:r>
      <w:r>
        <w:rPr>
          <w:rFonts w:hint="eastAsia" w:ascii="仿宋_GB2312" w:hAnsi="仿宋_GB2312" w:eastAsia="仿宋_GB2312" w:cs="仿宋_GB2312"/>
          <w:color w:val="auto"/>
          <w:sz w:val="32"/>
          <w:szCs w:val="32"/>
          <w:lang w:val="en-US" w:eastAsia="zh-CN"/>
        </w:rPr>
        <w:t>″，东经108°0′</w:t>
      </w:r>
      <w:r>
        <w:rPr>
          <w:rFonts w:hint="default" w:ascii="仿宋_GB2312" w:hAnsi="仿宋_GB2312" w:eastAsia="仿宋_GB2312" w:cs="仿宋_GB2312"/>
          <w:color w:val="auto"/>
          <w:sz w:val="32"/>
          <w:szCs w:val="32"/>
          <w:lang w:val="en-US" w:eastAsia="zh-CN"/>
        </w:rPr>
        <w:t>0.249</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CN"/>
        </w:rPr>
        <w:t>建设规模</w:t>
      </w:r>
      <w:bookmarkStart w:id="0" w:name="_GoBack"/>
      <w:bookmarkEnd w:id="0"/>
      <w:r>
        <w:rPr>
          <w:rFonts w:hint="eastAsia" w:ascii="仿宋_GB2312" w:hAnsi="仿宋_GB2312" w:eastAsia="仿宋_GB2312" w:cs="仿宋_GB2312"/>
          <w:color w:val="auto"/>
          <w:sz w:val="32"/>
          <w:szCs w:val="32"/>
          <w:lang w:val="en-US" w:eastAsia="zh-CN"/>
        </w:rPr>
        <w:t>年产2万吨沥青混凝土和7万m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商砼混凝土。</w:t>
      </w:r>
      <w:r>
        <w:rPr>
          <w:rFonts w:hint="eastAsia" w:ascii="仿宋_GB2312" w:hAnsi="仿宋_GB2312" w:eastAsia="仿宋_GB2312" w:cs="仿宋_GB2312"/>
          <w:color w:val="auto"/>
          <w:sz w:val="32"/>
          <w:szCs w:val="32"/>
          <w:lang w:eastAsia="zh-CN"/>
        </w:rPr>
        <w:t>主要建设内容包括沥青搅拌站及商砼混凝土搅拌站各</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lang w:eastAsia="zh-CN"/>
        </w:rPr>
        <w:t>，并配套建设储运设施、辅助工程、公用工程、环保设施。</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其中环保投资</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lang w:eastAsia="zh-CN"/>
        </w:rPr>
        <w:t>《报告表》认为，</w:t>
      </w:r>
      <w:r>
        <w:rPr>
          <w:rFonts w:hint="eastAsia" w:ascii="仿宋_GB2312" w:hAnsi="仿宋_GB2312" w:eastAsia="仿宋_GB2312" w:cs="仿宋_GB2312"/>
          <w:color w:val="auto"/>
          <w:sz w:val="32"/>
          <w:szCs w:val="32"/>
        </w:rPr>
        <w:t>在全面落实各项生态环境保护和环境污染防治措施的前提下，项目建设</w:t>
      </w:r>
      <w:r>
        <w:rPr>
          <w:rFonts w:hint="eastAsia" w:ascii="仿宋_GB2312" w:hAnsi="仿宋" w:eastAsia="仿宋_GB2312"/>
          <w:color w:val="auto"/>
          <w:sz w:val="32"/>
          <w:szCs w:val="32"/>
        </w:rPr>
        <w:t>对环境的不利影响能够得到一定的缓解和控制。</w:t>
      </w:r>
      <w:r>
        <w:rPr>
          <w:rFonts w:hint="eastAsia" w:ascii="仿宋_GB2312" w:hAnsi="仿宋" w:eastAsia="仿宋_GB2312"/>
          <w:color w:val="auto"/>
          <w:sz w:val="32"/>
          <w:szCs w:val="32"/>
          <w:lang w:eastAsia="zh-CN"/>
        </w:rPr>
        <w:t>因此，</w:t>
      </w:r>
      <w:r>
        <w:rPr>
          <w:rFonts w:hint="eastAsia" w:ascii="仿宋_GB2312" w:hAnsi="仿宋" w:eastAsia="仿宋_GB2312"/>
          <w:color w:val="auto"/>
          <w:sz w:val="32"/>
          <w:szCs w:val="32"/>
        </w:rPr>
        <w:t>我局原则同意你公司按照《报告</w:t>
      </w:r>
      <w:r>
        <w:rPr>
          <w:rFonts w:hint="eastAsia" w:ascii="仿宋_GB2312" w:hAnsi="仿宋" w:eastAsia="仿宋_GB2312"/>
          <w:color w:val="auto"/>
          <w:sz w:val="32"/>
          <w:szCs w:val="32"/>
          <w:lang w:eastAsia="zh-CN"/>
        </w:rPr>
        <w:t>表</w:t>
      </w:r>
      <w:r>
        <w:rPr>
          <w:rFonts w:hint="eastAsia" w:ascii="仿宋_GB2312" w:hAnsi="仿宋" w:eastAsia="仿宋_GB2312"/>
          <w:color w:val="auto"/>
          <w:sz w:val="32"/>
          <w:szCs w:val="32"/>
        </w:rPr>
        <w:t>》中所列的项目性质、规模、地点、</w:t>
      </w:r>
      <w:r>
        <w:rPr>
          <w:rFonts w:hint="eastAsia" w:ascii="仿宋_GB2312" w:hAnsi="仿宋" w:eastAsia="仿宋_GB2312"/>
          <w:color w:val="auto"/>
          <w:sz w:val="32"/>
          <w:szCs w:val="32"/>
          <w:lang w:val="en-US" w:eastAsia="zh-CN"/>
        </w:rPr>
        <w:t>工艺、</w:t>
      </w:r>
      <w:r>
        <w:rPr>
          <w:rFonts w:hint="eastAsia" w:ascii="仿宋_GB2312" w:hAnsi="仿宋" w:eastAsia="仿宋_GB2312"/>
          <w:color w:val="auto"/>
          <w:sz w:val="32"/>
          <w:szCs w:val="32"/>
        </w:rPr>
        <w:t>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rPr>
        <w:t>建设单位在认真落实报告表中提出的污染防治和生态</w:t>
      </w:r>
      <w:r>
        <w:rPr>
          <w:rFonts w:hint="eastAsia" w:ascii="仿宋_GB2312" w:hAnsi="仿宋" w:eastAsia="仿宋_GB2312"/>
          <w:color w:val="auto"/>
          <w:sz w:val="32"/>
          <w:szCs w:val="32"/>
          <w:lang w:val="en-US" w:eastAsia="zh-CN"/>
        </w:rPr>
        <w:t>保护</w:t>
      </w:r>
      <w:r>
        <w:rPr>
          <w:rFonts w:hint="eastAsia" w:ascii="仿宋_GB2312" w:hAnsi="仿宋" w:eastAsia="仿宋_GB2312"/>
          <w:color w:val="auto"/>
          <w:sz w:val="32"/>
          <w:szCs w:val="32"/>
        </w:rPr>
        <w:t>措施的同时，要做好以下工作：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加强施工期环境管理。施工单位在土石方开挖及设备安装过程中应严格按照设计要求施工，尽可能缩小施工活动范围，施工场地四周须建立围挡，定期进行洒水和清扫；禁止夜间施工，禁止在厂区集中区域内同时使用大量设备、搅拌混凝土、鸣笛等活动；施工结束后须尽快对临时占地和周边进行生态植被恢复，防止水土流失；施工期产生的废水和固体废弃物要集中收集统一处置。</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shd w:val="clear" w:color="auto" w:fill="auto"/>
          <w:lang w:val="en-US" w:eastAsia="zh-CN"/>
        </w:rPr>
      </w:pPr>
      <w:r>
        <w:rPr>
          <w:rFonts w:hint="eastAsia" w:ascii="仿宋_GB2312" w:hAnsi="仿宋" w:eastAsia="仿宋_GB2312"/>
          <w:color w:val="auto"/>
          <w:sz w:val="32"/>
          <w:szCs w:val="32"/>
          <w:shd w:val="clear" w:color="auto" w:fill="auto"/>
          <w:lang w:val="en-US" w:eastAsia="zh-CN"/>
        </w:rPr>
        <w:t>2、</w:t>
      </w:r>
      <w:r>
        <w:rPr>
          <w:rFonts w:hint="eastAsia" w:ascii="仿宋_GB2312" w:hAnsi="仿宋" w:eastAsia="仿宋_GB2312"/>
          <w:color w:val="auto"/>
          <w:sz w:val="32"/>
          <w:szCs w:val="32"/>
          <w:shd w:val="clear" w:color="auto" w:fill="auto"/>
          <w:lang w:eastAsia="zh-CN"/>
        </w:rPr>
        <w:t>落实大气污染防治措施</w:t>
      </w:r>
      <w:r>
        <w:rPr>
          <w:rFonts w:hint="eastAsia" w:ascii="仿宋_GB2312" w:hAnsi="仿宋_GB2312" w:eastAsia="仿宋_GB2312" w:cs="仿宋_GB2312"/>
          <w:color w:val="auto"/>
          <w:sz w:val="32"/>
          <w:szCs w:val="32"/>
          <w:lang w:eastAsia="zh-CN"/>
        </w:rPr>
        <w:t>。项目冬季生活办公区采取电暖气供暖，不得新建以煤等为燃料的锅炉。沥青混凝土及商砼混凝土工段须设置在全封闭加喷淋的厂房内，原料装卸、皮带输送、存储过程中产生的粉尘执行</w:t>
      </w:r>
      <w:r>
        <w:rPr>
          <w:rFonts w:hint="default" w:ascii="仿宋_GB2312" w:hAnsi="仿宋_GB2312" w:eastAsia="仿宋_GB2312" w:cs="仿宋_GB2312"/>
          <w:color w:val="auto"/>
          <w:sz w:val="32"/>
          <w:szCs w:val="32"/>
          <w:lang w:eastAsia="zh-CN"/>
        </w:rPr>
        <w:t>《大气污染物综合排放标准》（GB16297-1996）</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2 新污染源大气污染物排放限值；</w:t>
      </w:r>
      <w:r>
        <w:rPr>
          <w:rFonts w:hint="default" w:ascii="仿宋_GB2312" w:hAnsi="仿宋_GB2312" w:eastAsia="仿宋_GB2312" w:cs="仿宋_GB2312"/>
          <w:color w:val="auto"/>
          <w:sz w:val="32"/>
          <w:szCs w:val="32"/>
          <w:lang w:eastAsia="zh-CN"/>
        </w:rPr>
        <w:t>搅拌及放料口</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沥青加温罐呼吸阀</w:t>
      </w:r>
      <w:r>
        <w:rPr>
          <w:rFonts w:hint="eastAsia" w:ascii="仿宋_GB2312" w:hAnsi="仿宋_GB2312" w:eastAsia="仿宋_GB2312" w:cs="仿宋_GB2312"/>
          <w:color w:val="auto"/>
          <w:sz w:val="32"/>
          <w:szCs w:val="32"/>
          <w:lang w:eastAsia="zh-CN"/>
        </w:rPr>
        <w:t>排放口产生的沥青烟和苯并芘采用通过密闭管道收集，与成品放料口产生的沥青烟共享一套活性炭吸附装置处理后，排放执行</w:t>
      </w:r>
      <w:r>
        <w:rPr>
          <w:rFonts w:hint="default" w:ascii="仿宋_GB2312" w:hAnsi="仿宋_GB2312" w:eastAsia="仿宋_GB2312" w:cs="仿宋_GB2312"/>
          <w:color w:val="auto"/>
          <w:sz w:val="32"/>
          <w:szCs w:val="32"/>
          <w:lang w:eastAsia="zh-CN"/>
        </w:rPr>
        <w:t>《大气污染物综合排放标准》（GB16297-1996）表2中二级标准</w:t>
      </w:r>
      <w:r>
        <w:rPr>
          <w:rFonts w:hint="eastAsia" w:ascii="Times New Roman" w:hAnsi="Times New Roman" w:eastAsia="宋体" w:cs="Times New Roman"/>
          <w:color w:val="auto"/>
          <w:kern w:val="0"/>
          <w:sz w:val="21"/>
          <w:szCs w:val="21"/>
          <w:lang w:eastAsia="zh-CN"/>
        </w:rPr>
        <w:t>。</w:t>
      </w:r>
      <w:r>
        <w:rPr>
          <w:rFonts w:hint="eastAsia" w:ascii="仿宋_GB2312" w:hAnsi="仿宋_GB2312" w:eastAsia="仿宋_GB2312" w:cs="仿宋_GB2312"/>
          <w:color w:val="auto"/>
          <w:sz w:val="32"/>
          <w:szCs w:val="32"/>
          <w:lang w:eastAsia="zh-CN"/>
        </w:rPr>
        <w:t>烘干炉废气与砂石料提升、筛分过程产生的粉尘</w:t>
      </w:r>
      <w:r>
        <w:rPr>
          <w:rFonts w:hint="eastAsia" w:ascii="仿宋_GB2312" w:hAnsi="仿宋" w:eastAsia="仿宋_GB2312"/>
          <w:color w:val="auto"/>
          <w:sz w:val="32"/>
          <w:szCs w:val="32"/>
          <w:shd w:val="clear" w:color="auto" w:fill="auto"/>
          <w:lang w:eastAsia="zh-CN"/>
        </w:rPr>
        <w:t>及</w:t>
      </w:r>
      <w:r>
        <w:rPr>
          <w:rFonts w:hint="eastAsia" w:ascii="仿宋_GB2312" w:hAnsi="仿宋" w:eastAsia="仿宋_GB2312"/>
          <w:color w:val="auto"/>
          <w:sz w:val="32"/>
          <w:szCs w:val="32"/>
          <w:shd w:val="clear" w:color="auto" w:fill="auto"/>
          <w:lang w:val="en-US" w:eastAsia="zh-CN"/>
        </w:rPr>
        <w:t>商砼混凝土水泥</w:t>
      </w:r>
      <w:r>
        <w:rPr>
          <w:rFonts w:hint="eastAsia" w:ascii="仿宋_GB2312" w:hAnsi="仿宋" w:eastAsia="仿宋_GB2312"/>
          <w:color w:val="auto"/>
          <w:sz w:val="32"/>
          <w:szCs w:val="32"/>
          <w:shd w:val="clear" w:color="auto" w:fill="auto"/>
          <w:lang w:eastAsia="zh-CN"/>
        </w:rPr>
        <w:t>原料</w:t>
      </w:r>
      <w:r>
        <w:rPr>
          <w:rFonts w:hint="eastAsia" w:ascii="仿宋_GB2312" w:hAnsi="仿宋" w:eastAsia="仿宋_GB2312"/>
          <w:color w:val="auto"/>
          <w:sz w:val="32"/>
          <w:szCs w:val="32"/>
          <w:shd w:val="clear" w:color="auto" w:fill="auto"/>
          <w:lang w:val="en-US" w:eastAsia="zh-CN"/>
        </w:rPr>
        <w:t>进、出料</w:t>
      </w:r>
      <w:r>
        <w:rPr>
          <w:rFonts w:hint="eastAsia" w:ascii="仿宋_GB2312" w:hAnsi="仿宋" w:eastAsia="仿宋_GB2312"/>
          <w:color w:val="auto"/>
          <w:sz w:val="32"/>
          <w:szCs w:val="32"/>
          <w:shd w:val="clear" w:color="auto" w:fill="auto"/>
          <w:lang w:eastAsia="zh-CN"/>
        </w:rPr>
        <w:t>工序</w:t>
      </w:r>
      <w:r>
        <w:rPr>
          <w:rFonts w:hint="eastAsia" w:ascii="仿宋_GB2312" w:hAnsi="仿宋" w:eastAsia="仿宋_GB2312"/>
          <w:color w:val="auto"/>
          <w:sz w:val="32"/>
          <w:szCs w:val="32"/>
          <w:shd w:val="clear" w:color="auto" w:fill="auto"/>
          <w:lang w:val="en-US" w:eastAsia="zh-CN"/>
        </w:rPr>
        <w:t>产生</w:t>
      </w:r>
      <w:r>
        <w:rPr>
          <w:rFonts w:hint="eastAsia" w:ascii="仿宋_GB2312" w:hAnsi="仿宋" w:eastAsia="仿宋_GB2312"/>
          <w:color w:val="auto"/>
          <w:sz w:val="32"/>
          <w:szCs w:val="32"/>
          <w:shd w:val="clear" w:color="auto" w:fill="auto"/>
          <w:lang w:eastAsia="zh-CN"/>
        </w:rPr>
        <w:t>的粉尘废气采取布袋除尘器</w:t>
      </w:r>
      <w:r>
        <w:rPr>
          <w:rFonts w:hint="eastAsia" w:ascii="仿宋_GB2312" w:hAnsi="仿宋" w:eastAsia="仿宋_GB2312"/>
          <w:color w:val="auto"/>
          <w:sz w:val="32"/>
          <w:szCs w:val="32"/>
          <w:shd w:val="clear" w:color="auto" w:fill="auto"/>
          <w:lang w:val="en-US" w:eastAsia="zh-CN"/>
        </w:rPr>
        <w:t>C1+水膜脱硫除尘器C2+16m高排气筒（</w:t>
      </w:r>
      <w:r>
        <w:rPr>
          <w:rFonts w:hint="eastAsia" w:ascii="仿宋_GB2312" w:hAnsi="仿宋" w:eastAsia="仿宋_GB2312"/>
          <w:color w:val="auto"/>
          <w:sz w:val="32"/>
          <w:szCs w:val="32"/>
          <w:shd w:val="clear" w:color="auto" w:fill="auto"/>
          <w:lang w:eastAsia="zh-CN"/>
        </w:rPr>
        <w:t>烘干废气与砂石料、烘干、提升、筛分过程产生的粉尘共享一套除尘设施除尘措施，废气中的颗粒物和二氧化硫</w:t>
      </w:r>
      <w:r>
        <w:rPr>
          <w:rFonts w:hint="eastAsia" w:ascii="仿宋_GB2312" w:hAnsi="仿宋" w:eastAsia="仿宋_GB2312"/>
          <w:color w:val="auto"/>
          <w:sz w:val="32"/>
          <w:szCs w:val="32"/>
          <w:shd w:val="clear" w:color="auto" w:fill="auto"/>
          <w:lang w:val="en-US" w:eastAsia="zh-CN"/>
        </w:rPr>
        <w:t>排放执行</w:t>
      </w:r>
      <w:r>
        <w:rPr>
          <w:rFonts w:hint="eastAsia" w:ascii="仿宋_GB2312" w:hAnsi="仿宋" w:eastAsia="仿宋_GB2312"/>
          <w:color w:val="auto"/>
          <w:sz w:val="32"/>
          <w:szCs w:val="32"/>
          <w:shd w:val="clear" w:color="auto" w:fill="auto"/>
          <w:lang w:eastAsia="zh-CN"/>
        </w:rPr>
        <w:t>《工业炉窑大气污染物排放标准》（GB9078-1996）中表2二级排放标准限值要求，氮氧化物排放</w:t>
      </w:r>
      <w:r>
        <w:rPr>
          <w:rFonts w:hint="eastAsia" w:ascii="仿宋_GB2312" w:hAnsi="仿宋" w:eastAsia="仿宋_GB2312"/>
          <w:color w:val="auto"/>
          <w:sz w:val="32"/>
          <w:szCs w:val="32"/>
          <w:shd w:val="clear" w:color="auto" w:fill="auto"/>
          <w:lang w:val="en-US" w:eastAsia="zh-CN"/>
        </w:rPr>
        <w:t>执行</w:t>
      </w:r>
      <w:r>
        <w:rPr>
          <w:rFonts w:hint="eastAsia" w:ascii="仿宋_GB2312" w:hAnsi="仿宋" w:eastAsia="仿宋_GB2312"/>
          <w:color w:val="auto"/>
          <w:sz w:val="32"/>
          <w:szCs w:val="32"/>
          <w:shd w:val="clear" w:color="auto" w:fill="auto"/>
          <w:lang w:eastAsia="zh-CN"/>
        </w:rPr>
        <w:t>《大气污染物综合排放标准》（GB16297-1996）中表2二级排放标准限值要求；导热油锅炉排放口产生的废气排放</w:t>
      </w:r>
      <w:r>
        <w:rPr>
          <w:rFonts w:hint="eastAsia" w:ascii="仿宋_GB2312" w:hAnsi="仿宋" w:eastAsia="仿宋_GB2312"/>
          <w:color w:val="auto"/>
          <w:sz w:val="32"/>
          <w:szCs w:val="32"/>
          <w:shd w:val="clear" w:color="auto" w:fill="auto"/>
          <w:lang w:val="en-US" w:eastAsia="zh-CN"/>
        </w:rPr>
        <w:t>执行</w:t>
      </w:r>
      <w:r>
        <w:rPr>
          <w:rFonts w:hint="eastAsia" w:ascii="仿宋_GB2312" w:hAnsi="仿宋" w:eastAsia="仿宋_GB2312"/>
          <w:color w:val="auto"/>
          <w:sz w:val="32"/>
          <w:szCs w:val="32"/>
          <w:shd w:val="clear" w:color="auto" w:fill="auto"/>
          <w:lang w:eastAsia="zh-CN"/>
        </w:rPr>
        <w:t>《锅炉大气污染物排放标准》（GB13271-2014）中燃油锅炉排放标准限值要求；</w:t>
      </w:r>
      <w:r>
        <w:rPr>
          <w:rFonts w:hint="eastAsia" w:ascii="仿宋_GB2312" w:hAnsi="仿宋" w:eastAsia="仿宋_GB2312"/>
          <w:color w:val="auto"/>
          <w:sz w:val="32"/>
          <w:szCs w:val="32"/>
          <w:shd w:val="clear" w:color="auto" w:fill="auto"/>
          <w:lang w:val="en-US" w:eastAsia="zh-CN"/>
        </w:rPr>
        <w:t>商砼混凝土水泥</w:t>
      </w:r>
      <w:r>
        <w:rPr>
          <w:rFonts w:hint="eastAsia" w:ascii="仿宋_GB2312" w:hAnsi="仿宋" w:eastAsia="仿宋_GB2312"/>
          <w:color w:val="auto"/>
          <w:sz w:val="32"/>
          <w:szCs w:val="32"/>
          <w:shd w:val="clear" w:color="auto" w:fill="auto"/>
          <w:lang w:eastAsia="zh-CN"/>
        </w:rPr>
        <w:t>原料</w:t>
      </w:r>
      <w:r>
        <w:rPr>
          <w:rFonts w:hint="eastAsia" w:ascii="仿宋_GB2312" w:hAnsi="仿宋" w:eastAsia="仿宋_GB2312"/>
          <w:color w:val="auto"/>
          <w:sz w:val="32"/>
          <w:szCs w:val="32"/>
          <w:shd w:val="clear" w:color="auto" w:fill="auto"/>
          <w:lang w:val="en-US" w:eastAsia="zh-CN"/>
        </w:rPr>
        <w:t>进、</w:t>
      </w:r>
      <w:r>
        <w:rPr>
          <w:rFonts w:hint="eastAsia" w:ascii="仿宋_GB2312" w:hAnsi="仿宋" w:eastAsia="仿宋_GB2312"/>
          <w:color w:val="auto"/>
          <w:sz w:val="32"/>
          <w:szCs w:val="32"/>
          <w:shd w:val="clear" w:color="auto" w:fill="auto"/>
          <w:lang w:eastAsia="zh-CN"/>
        </w:rPr>
        <w:t>排放</w:t>
      </w:r>
      <w:r>
        <w:rPr>
          <w:rFonts w:hint="eastAsia" w:ascii="仿宋_GB2312" w:hAnsi="仿宋" w:eastAsia="仿宋_GB2312"/>
          <w:color w:val="auto"/>
          <w:sz w:val="32"/>
          <w:szCs w:val="32"/>
          <w:shd w:val="clear" w:color="auto" w:fill="auto"/>
          <w:lang w:val="en-US" w:eastAsia="zh-CN"/>
        </w:rPr>
        <w:t>执行</w:t>
      </w:r>
      <w:r>
        <w:rPr>
          <w:rFonts w:hint="eastAsia" w:ascii="仿宋_GB2312" w:hAnsi="仿宋" w:eastAsia="仿宋_GB2312"/>
          <w:color w:val="auto"/>
          <w:sz w:val="32"/>
          <w:szCs w:val="32"/>
          <w:shd w:val="clear" w:color="auto" w:fill="auto"/>
          <w:lang w:eastAsia="zh-CN"/>
        </w:rPr>
        <w:t>《《水泥工业大气污染物排放标准》（GB4915-2013）限值要求。</w:t>
      </w:r>
      <w:r>
        <w:rPr>
          <w:rFonts w:hint="eastAsia" w:ascii="仿宋_GB2312" w:hAnsi="仿宋" w:eastAsia="仿宋_GB2312"/>
          <w:color w:val="auto"/>
          <w:sz w:val="32"/>
          <w:szCs w:val="32"/>
          <w:shd w:val="clear" w:color="auto" w:fill="auto"/>
          <w:lang w:val="en-US" w:eastAsia="zh-CN"/>
        </w:rPr>
        <w:t>柴油罐呼吸阀经由全封闭管道引至导热油炉燃烧非甲烷总烃不得排放。</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bCs/>
          <w:color w:val="auto"/>
          <w:sz w:val="32"/>
          <w:szCs w:val="32"/>
          <w:lang w:val="en-US" w:eastAsia="zh-CN"/>
        </w:rPr>
      </w:pPr>
      <w:r>
        <w:rPr>
          <w:rFonts w:hint="eastAsia" w:ascii="仿宋_GB2312" w:hAnsi="仿宋" w:eastAsia="仿宋_GB2312"/>
          <w:color w:val="auto"/>
          <w:sz w:val="32"/>
          <w:szCs w:val="32"/>
          <w:lang w:val="en-US" w:eastAsia="zh-CN"/>
        </w:rPr>
        <w:t>3、严格落实各项水污染防治、土壤及地下水污染防治措施。生活污水生活污水经化粪池收集后拉运至乌兰镇污水处理；采取当发生泄漏时应及时控制油水的扩散范围，保护周围环境；同时明确泄漏可能导致的后果，泄漏危急周围环境的可能性，隔离泄漏区，周围设警告标志；加强管理，建立并严格执行安全生产责任制度，科学监控设备运行，消除故障隐患；制定定期巡查制度，发现异常及时处理和报告；建立应急回应机构，配备快捷的交通通讯工具，以便对泄漏事故及时作出反应和处理等措施。</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cs="Times New Roman"/>
          <w:color w:val="auto"/>
          <w:sz w:val="32"/>
          <w:szCs w:val="32"/>
          <w:lang w:val="en-US" w:eastAsia="zh-CN"/>
        </w:rPr>
      </w:pPr>
      <w:r>
        <w:rPr>
          <w:rFonts w:hint="eastAsia" w:ascii="仿宋_GB2312" w:hAnsi="仿宋" w:eastAsia="仿宋_GB2312"/>
          <w:bCs/>
          <w:color w:val="auto"/>
          <w:sz w:val="32"/>
          <w:szCs w:val="32"/>
          <w:lang w:val="en-US" w:eastAsia="zh-CN"/>
        </w:rPr>
        <w:t>4、</w:t>
      </w:r>
      <w:r>
        <w:rPr>
          <w:rFonts w:hint="eastAsia" w:ascii="仿宋_GB2312" w:hAnsi="仿宋" w:eastAsia="仿宋_GB2312"/>
          <w:color w:val="auto"/>
          <w:sz w:val="32"/>
          <w:szCs w:val="32"/>
          <w:lang w:eastAsia="zh-CN"/>
        </w:rPr>
        <w:t>妥善处置固体废弃物。</w:t>
      </w:r>
      <w:r>
        <w:rPr>
          <w:rFonts w:hint="eastAsia" w:ascii="仿宋_GB2312" w:hAnsi="仿宋" w:eastAsia="仿宋_GB2312" w:cs="Times New Roman"/>
          <w:color w:val="auto"/>
          <w:sz w:val="32"/>
          <w:szCs w:val="32"/>
          <w:lang w:val="en-US" w:eastAsia="zh-CN"/>
        </w:rPr>
        <w:t>生活垃圾、废石料、除尘装置收集的粉尘集中收集后，交由环卫部门处置；</w:t>
      </w:r>
      <w:r>
        <w:rPr>
          <w:rFonts w:hint="default" w:ascii="仿宋_GB2312" w:hAnsi="仿宋" w:eastAsia="仿宋_GB2312" w:cs="Times New Roman"/>
          <w:color w:val="auto"/>
          <w:sz w:val="32"/>
          <w:szCs w:val="32"/>
          <w:lang w:val="en-US" w:eastAsia="zh-CN"/>
        </w:rPr>
        <w:t>含油废棉纱、废机油、废导热油及废油桶</w:t>
      </w:r>
      <w:r>
        <w:rPr>
          <w:rFonts w:hint="eastAsia" w:ascii="仿宋_GB2312" w:hAnsi="仿宋" w:eastAsia="仿宋_GB2312" w:cs="Times New Roman"/>
          <w:color w:val="auto"/>
          <w:sz w:val="32"/>
          <w:szCs w:val="32"/>
          <w:lang w:val="en-US" w:eastAsia="zh-CN"/>
        </w:rPr>
        <w:t>等</w:t>
      </w:r>
      <w:r>
        <w:rPr>
          <w:rFonts w:hint="default" w:ascii="仿宋_GB2312" w:hAnsi="仿宋" w:eastAsia="仿宋_GB2312" w:cs="Times New Roman"/>
          <w:color w:val="auto"/>
          <w:sz w:val="32"/>
          <w:szCs w:val="32"/>
          <w:lang w:val="en-US" w:eastAsia="zh-CN"/>
        </w:rPr>
        <w:t>经收集于专用容器后暂存于危废暂存间，委托有资质的单位进行处理</w:t>
      </w:r>
      <w:r>
        <w:rPr>
          <w:rFonts w:hint="eastAsia" w:ascii="仿宋_GB2312" w:hAnsi="仿宋" w:eastAsia="仿宋_GB2312" w:cs="Times New Roman"/>
          <w:color w:val="auto"/>
          <w:sz w:val="32"/>
          <w:szCs w:val="32"/>
          <w:lang w:val="en-US" w:eastAsia="zh-CN"/>
        </w:rPr>
        <w:t>。</w:t>
      </w:r>
      <w:r>
        <w:rPr>
          <w:rFonts w:hint="eastAsia" w:ascii="仿宋_GB2312" w:hAnsi="仿宋" w:eastAsia="仿宋_GB2312"/>
          <w:sz w:val="32"/>
          <w:lang w:val="en-US" w:eastAsia="zh-CN"/>
        </w:rPr>
        <w:t>建设单位须严格按照《一般工业固体废物贮存和填埋污染控制标准》(GB18599-2020）和《危险废物贮存污染控制标准》（GB18597-2001）（及其修改单）要求处置一般固废和危险废物，不得乱弃。</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 w:eastAsia="仿宋_GB2312"/>
          <w:color w:val="auto"/>
          <w:sz w:val="32"/>
          <w:szCs w:val="32"/>
          <w:lang w:val="en-US" w:eastAsia="zh-CN"/>
        </w:rPr>
        <w:t>5、建设单位应选用低噪声设备、合理布局、加减振或消音装置、加强设备维护等措施</w:t>
      </w:r>
      <w:r>
        <w:rPr>
          <w:rFonts w:hint="eastAsia" w:ascii="仿宋_GB2312" w:hAnsi="仿宋" w:eastAsia="仿宋_GB2312"/>
          <w:sz w:val="32"/>
          <w:lang w:eastAsia="zh-CN"/>
        </w:rPr>
        <w:t>确保厂界噪声满足《工业企业厂界环境噪声排放标准》（GB12348-2008）</w:t>
      </w:r>
      <w:r>
        <w:rPr>
          <w:rFonts w:hint="eastAsia" w:ascii="仿宋_GB2312" w:hAnsi="仿宋" w:eastAsia="仿宋_GB2312"/>
          <w:sz w:val="32"/>
          <w:lang w:val="en-US" w:eastAsia="zh-CN"/>
        </w:rPr>
        <w:t>2</w:t>
      </w:r>
      <w:r>
        <w:rPr>
          <w:rFonts w:hint="eastAsia" w:ascii="仿宋_GB2312" w:hAnsi="仿宋" w:eastAsia="仿宋_GB2312"/>
          <w:sz w:val="32"/>
          <w:lang w:eastAsia="zh-CN"/>
        </w:rPr>
        <w:t>类标准要求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74" w:lineRule="exact"/>
        <w:ind w:left="0" w:leftChars="0" w:right="0" w:rightChars="0" w:firstLine="640" w:firstLineChars="200"/>
        <w:jc w:val="both"/>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sz w:val="32"/>
          <w:szCs w:val="32"/>
          <w:lang w:val="en-US" w:eastAsia="zh-CN"/>
        </w:rPr>
        <w:t>6、按照《报告表》要求做好厂区的硬化和绿化工作。</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 w:eastAsia="仿宋_GB2312"/>
          <w:color w:val="auto"/>
          <w:sz w:val="32"/>
          <w:szCs w:val="32"/>
        </w:rPr>
        <w:t>建设单位</w:t>
      </w:r>
      <w:r>
        <w:rPr>
          <w:rFonts w:hint="eastAsia" w:ascii="仿宋_GB2312" w:hAnsi="仿宋" w:eastAsia="仿宋_GB2312"/>
          <w:color w:val="auto"/>
          <w:sz w:val="32"/>
          <w:szCs w:val="32"/>
          <w:lang w:val="en-US" w:eastAsia="zh-CN"/>
        </w:rPr>
        <w:t>须</w:t>
      </w:r>
      <w:r>
        <w:rPr>
          <w:rFonts w:hint="eastAsia" w:ascii="仿宋_GB2312" w:hAnsi="仿宋" w:eastAsia="仿宋_GB2312"/>
          <w:color w:val="auto"/>
          <w:sz w:val="32"/>
          <w:szCs w:val="32"/>
        </w:rPr>
        <w:t>加强风险管理，制定环境风险应急预案，落实环境风险事故防范措施，提高事故风险防范和污染控制能力。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s="Times New Roman"/>
          <w:color w:val="auto"/>
          <w:kern w:val="2"/>
          <w:sz w:val="32"/>
          <w:szCs w:val="22"/>
          <w:lang w:val="en-US" w:eastAsia="zh-CN" w:bidi="ar-SA"/>
        </w:rPr>
        <w:t>四</w:t>
      </w:r>
      <w:r>
        <w:rPr>
          <w:rFonts w:hint="eastAsia" w:ascii="仿宋_GB2312" w:hAnsi="仿宋" w:eastAsia="仿宋_GB2312"/>
          <w:color w:val="auto"/>
          <w:sz w:val="32"/>
          <w:szCs w:val="32"/>
        </w:rPr>
        <w:t>、项</w:t>
      </w:r>
      <w:r>
        <w:rPr>
          <w:rFonts w:hint="eastAsia" w:ascii="仿宋_GB2312" w:hAnsi="仿宋" w:eastAsia="仿宋_GB2312"/>
          <w:color w:val="auto"/>
          <w:sz w:val="32"/>
          <w:szCs w:val="32"/>
          <w:lang w:eastAsia="zh-CN"/>
        </w:rPr>
        <w:t>目建设必须严格执行环境保护“三同时”制度。项目</w:t>
      </w:r>
      <w:r>
        <w:rPr>
          <w:rFonts w:hint="eastAsia" w:ascii="仿宋_GB2312" w:hAnsi="仿宋" w:eastAsia="仿宋_GB2312"/>
          <w:color w:val="auto"/>
          <w:sz w:val="32"/>
          <w:szCs w:val="32"/>
        </w:rPr>
        <w:t>竣工后，按规定程序</w:t>
      </w:r>
      <w:r>
        <w:rPr>
          <w:rFonts w:hint="eastAsia" w:ascii="仿宋_GB2312" w:hAnsi="仿宋" w:eastAsia="仿宋_GB2312"/>
          <w:color w:val="auto"/>
          <w:sz w:val="32"/>
          <w:szCs w:val="32"/>
          <w:lang w:val="en-US" w:eastAsia="zh-CN"/>
        </w:rPr>
        <w:t>实施</w:t>
      </w:r>
      <w:r>
        <w:rPr>
          <w:rFonts w:hint="eastAsia" w:ascii="仿宋_GB2312" w:hAnsi="仿宋" w:eastAsia="仿宋_GB2312"/>
          <w:color w:val="auto"/>
          <w:sz w:val="32"/>
          <w:szCs w:val="32"/>
        </w:rPr>
        <w:t>环境保护竣工验收，验收合格后方可正式投入运行。</w:t>
      </w:r>
    </w:p>
    <w:p>
      <w:pPr>
        <w:pStyle w:val="5"/>
        <w:keepNext w:val="0"/>
        <w:keepLines w:val="0"/>
        <w:pageBreakBefore w:val="0"/>
        <w:widowControl w:val="0"/>
        <w:kinsoku/>
        <w:wordWrap/>
        <w:overflowPunct/>
        <w:topLinePunct w:val="0"/>
        <w:autoSpaceDE/>
        <w:autoSpaceDN/>
        <w:bidi w:val="0"/>
        <w:adjustRightInd/>
        <w:snapToGrid/>
        <w:spacing w:line="430" w:lineRule="exact"/>
        <w:ind w:left="0" w:leftChars="0" w:firstLine="640" w:firstLineChars="200"/>
        <w:textAlignment w:val="auto"/>
        <w:rPr>
          <w:rFonts w:hint="eastAsia" w:ascii="仿宋_GB2312" w:hAnsi="仿宋" w:eastAsia="仿宋_GB2312" w:cs="Times New Roman"/>
          <w:color w:val="auto"/>
          <w:kern w:val="2"/>
          <w:sz w:val="32"/>
          <w:szCs w:val="22"/>
          <w:lang w:val="en-US" w:eastAsia="zh-CN" w:bidi="ar-SA"/>
        </w:rPr>
      </w:pPr>
      <w:r>
        <w:rPr>
          <w:rFonts w:hint="eastAsia" w:ascii="仿宋_GB2312" w:hAnsi="仿宋" w:eastAsia="仿宋_GB2312"/>
          <w:color w:val="auto"/>
          <w:sz w:val="32"/>
          <w:szCs w:val="32"/>
          <w:lang w:eastAsia="zh-CN"/>
        </w:rPr>
        <w:t>五</w:t>
      </w:r>
      <w:r>
        <w:rPr>
          <w:rFonts w:hint="eastAsia" w:ascii="仿宋_GB2312" w:hAnsi="仿宋" w:eastAsia="仿宋_GB2312" w:cs="Times New Roman"/>
          <w:color w:val="auto"/>
          <w:kern w:val="2"/>
          <w:sz w:val="32"/>
          <w:szCs w:val="22"/>
          <w:lang w:val="en-US" w:eastAsia="zh-CN" w:bidi="ar-SA"/>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宋体" w:hAnsi="宋体" w:eastAsia="方正小标宋简体" w:cs="宋体"/>
          <w:b w:val="0"/>
          <w:bCs/>
          <w:sz w:val="32"/>
          <w:szCs w:val="32"/>
        </w:rPr>
      </w:pP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、该项目从批准之日起超过5年方决定开工建设，其环评文件应重新审核。如果建设地点、规模、</w:t>
      </w:r>
      <w:r>
        <w:rPr>
          <w:rFonts w:hint="eastAsia" w:ascii="仿宋_GB2312" w:hAnsi="仿宋" w:eastAsia="仿宋_GB2312"/>
          <w:color w:val="auto"/>
          <w:sz w:val="32"/>
          <w:szCs w:val="32"/>
          <w:lang w:eastAsia="zh-CN"/>
        </w:rPr>
        <w:t>工艺、</w:t>
      </w:r>
      <w:r>
        <w:rPr>
          <w:rFonts w:hint="eastAsia" w:ascii="仿宋_GB2312" w:hAnsi="仿宋" w:eastAsia="仿宋_GB2312"/>
          <w:color w:val="auto"/>
          <w:sz w:val="32"/>
          <w:szCs w:val="32"/>
        </w:rPr>
        <w:t>防治污染和防止生态破坏的措施等发生重大变化时，需重新报批环评文件</w:t>
      </w:r>
      <w:r>
        <w:rPr>
          <w:rFonts w:hint="eastAsia" w:ascii="仿宋_GB2312" w:hAnsi="仿宋" w:eastAsia="仿宋_GB2312"/>
          <w:color w:val="auto"/>
          <w:sz w:val="32"/>
          <w:szCs w:val="32"/>
          <w:lang w:eastAsia="zh-CN"/>
        </w:rPr>
        <w:t>。</w:t>
      </w:r>
    </w:p>
    <w:p>
      <w:pPr>
        <w:pStyle w:val="3"/>
        <w:ind w:left="0" w:leftChars="0" w:firstLine="0" w:firstLineChars="0"/>
        <w:rPr>
          <w:rFonts w:hint="eastAsia"/>
        </w:rPr>
      </w:pPr>
    </w:p>
    <w:p>
      <w:pPr>
        <w:rPr>
          <w:rFonts w:hint="eastAsia"/>
        </w:rPr>
      </w:pPr>
    </w:p>
    <w:p>
      <w:pPr>
        <w:rPr>
          <w:rFonts w:hint="eastAsia"/>
        </w:rPr>
      </w:pPr>
    </w:p>
    <w:p>
      <w:pPr>
        <w:keepNext w:val="0"/>
        <w:keepLines w:val="0"/>
        <w:pageBreakBefore w:val="0"/>
        <w:widowControl w:val="0"/>
        <w:kinsoku/>
        <w:wordWrap/>
        <w:overflowPunct/>
        <w:topLinePunct w:val="0"/>
        <w:bidi w:val="0"/>
        <w:snapToGrid/>
        <w:spacing w:line="456"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鄂尔多斯市生态环境局</w:t>
      </w:r>
      <w:r>
        <w:rPr>
          <w:rFonts w:hint="eastAsia" w:ascii="仿宋_GB2312" w:hAnsi="仿宋_GB2312" w:eastAsia="仿宋_GB2312" w:cs="仿宋_GB2312"/>
          <w:sz w:val="32"/>
          <w:szCs w:val="32"/>
        </w:rPr>
        <w:t>鄂托克旗</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bidi w:val="0"/>
        <w:snapToGrid/>
        <w:spacing w:line="456"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27日</w:t>
      </w:r>
    </w:p>
    <w:p>
      <w:pPr>
        <w:keepNext w:val="0"/>
        <w:keepLines w:val="0"/>
        <w:pageBreakBefore w:val="0"/>
        <w:widowControl w:val="0"/>
        <w:kinsoku/>
        <w:wordWrap/>
        <w:overflowPunct/>
        <w:topLinePunct w:val="0"/>
        <w:bidi w:val="0"/>
        <w:snapToGrid/>
        <w:spacing w:line="474" w:lineRule="exact"/>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rPr>
      </w:pPr>
    </w:p>
    <w:p>
      <w:pPr>
        <w:keepNext w:val="0"/>
        <w:keepLines w:val="0"/>
        <w:pageBreakBefore w:val="0"/>
        <w:widowControl w:val="0"/>
        <w:kinsoku/>
        <w:wordWrap/>
        <w:overflowPunct/>
        <w:topLinePunct w:val="0"/>
        <w:bidi w:val="0"/>
        <w:snapToGrid/>
        <w:spacing w:line="474" w:lineRule="exact"/>
        <w:textAlignment w:val="auto"/>
        <w:outlineLvl w:val="9"/>
        <w:rPr>
          <w:rFonts w:hint="eastAsia" w:ascii="仿宋_GB2312" w:hAnsi="仿宋_GB2312" w:eastAsia="仿宋_GB2312" w:cs="仿宋_GB2312"/>
          <w:b/>
          <w:sz w:val="32"/>
          <w:u w:val="single"/>
        </w:rPr>
      </w:pPr>
      <w:r>
        <w:rPr>
          <w:rFonts w:hint="eastAsia" w:ascii="仿宋_GB2312" w:hAnsi="仿宋_GB2312" w:eastAsia="仿宋_GB2312" w:cs="仿宋_GB2312"/>
          <w:b/>
          <w:sz w:val="32"/>
          <w:u w:val="single"/>
        </w:rPr>
        <w:t xml:space="preserve">                                                        </w:t>
      </w:r>
    </w:p>
    <w:p>
      <w:pPr>
        <w:keepNext w:val="0"/>
        <w:keepLines w:val="0"/>
        <w:pageBreakBefore w:val="0"/>
        <w:widowControl w:val="0"/>
        <w:kinsoku/>
        <w:wordWrap/>
        <w:overflowPunct/>
        <w:topLinePunct w:val="0"/>
        <w:bidi w:val="0"/>
        <w:snapToGrid/>
        <w:spacing w:line="474" w:lineRule="exact"/>
        <w:textAlignment w:val="auto"/>
        <w:outlineLvl w:val="9"/>
      </w:pPr>
      <w:r>
        <w:rPr>
          <w:rFonts w:hint="eastAsia" w:ascii="仿宋_GB2312" w:hAnsi="仿宋_GB2312" w:eastAsia="仿宋_GB2312" w:cs="仿宋_GB2312"/>
          <w:sz w:val="32"/>
          <w:u w:val="single"/>
          <w:lang w:eastAsia="zh-CN"/>
        </w:rPr>
        <w:t>鄂尔多斯市生态环境局</w:t>
      </w:r>
      <w:r>
        <w:rPr>
          <w:rFonts w:hint="eastAsia" w:ascii="仿宋_GB2312" w:hAnsi="仿宋_GB2312" w:eastAsia="仿宋_GB2312" w:cs="仿宋_GB2312"/>
          <w:sz w:val="32"/>
          <w:u w:val="single"/>
        </w:rPr>
        <w:t>鄂托克旗</w:t>
      </w:r>
      <w:r>
        <w:rPr>
          <w:rFonts w:hint="eastAsia" w:ascii="仿宋_GB2312" w:hAnsi="仿宋_GB2312" w:eastAsia="仿宋_GB2312" w:cs="仿宋_GB2312"/>
          <w:sz w:val="32"/>
          <w:u w:val="single"/>
          <w:lang w:eastAsia="zh-CN"/>
        </w:rPr>
        <w:t>分</w:t>
      </w:r>
      <w:r>
        <w:rPr>
          <w:rFonts w:hint="eastAsia" w:ascii="仿宋_GB2312" w:hAnsi="仿宋_GB2312" w:eastAsia="仿宋_GB2312" w:cs="仿宋_GB2312"/>
          <w:sz w:val="32"/>
          <w:u w:val="single"/>
        </w:rPr>
        <w:t>局     20</w:t>
      </w:r>
      <w:r>
        <w:rPr>
          <w:rFonts w:hint="eastAsia" w:ascii="仿宋_GB2312" w:hAnsi="仿宋_GB2312" w:eastAsia="仿宋_GB2312" w:cs="仿宋_GB2312"/>
          <w:sz w:val="32"/>
          <w:u w:val="single"/>
          <w:lang w:val="en-US" w:eastAsia="zh-CN"/>
        </w:rPr>
        <w:t>22</w:t>
      </w:r>
      <w:r>
        <w:rPr>
          <w:rFonts w:hint="eastAsia" w:ascii="仿宋_GB2312" w:hAnsi="仿宋_GB2312" w:eastAsia="仿宋_GB2312" w:cs="仿宋_GB2312"/>
          <w:sz w:val="32"/>
          <w:u w:val="single"/>
        </w:rPr>
        <w:t>年</w:t>
      </w:r>
      <w:r>
        <w:rPr>
          <w:rFonts w:hint="eastAsia" w:ascii="仿宋_GB2312" w:hAnsi="仿宋_GB2312" w:eastAsia="仿宋_GB2312" w:cs="仿宋_GB2312"/>
          <w:sz w:val="32"/>
          <w:u w:val="single"/>
          <w:lang w:val="en-US" w:eastAsia="zh-CN"/>
        </w:rPr>
        <w:t>12</w:t>
      </w:r>
      <w:r>
        <w:rPr>
          <w:rFonts w:hint="eastAsia" w:ascii="仿宋_GB2312" w:hAnsi="仿宋_GB2312" w:eastAsia="仿宋_GB2312" w:cs="仿宋_GB2312"/>
          <w:sz w:val="32"/>
          <w:u w:val="single"/>
        </w:rPr>
        <w:t>月</w:t>
      </w:r>
      <w:r>
        <w:rPr>
          <w:rFonts w:hint="eastAsia" w:ascii="仿宋_GB2312" w:hAnsi="仿宋_GB2312" w:eastAsia="仿宋_GB2312" w:cs="仿宋_GB2312"/>
          <w:sz w:val="32"/>
          <w:u w:val="single"/>
          <w:lang w:val="en-US" w:eastAsia="zh-CN"/>
        </w:rPr>
        <w:t>27</w:t>
      </w:r>
      <w:r>
        <w:rPr>
          <w:rFonts w:hint="eastAsia" w:ascii="仿宋_GB2312" w:hAnsi="仿宋_GB2312" w:eastAsia="仿宋_GB2312" w:cs="仿宋_GB2312"/>
          <w:sz w:val="32"/>
          <w:u w:val="single"/>
        </w:rPr>
        <w:t xml:space="preserve">日印发 </w:t>
      </w:r>
    </w:p>
    <w:p/>
    <w:sectPr>
      <w:pgSz w:w="11906" w:h="16838"/>
      <w:pgMar w:top="113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61DD4A22"/>
    <w:rsid w:val="61DD4A22"/>
    <w:rsid w:val="7C70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480" w:lineRule="atLeast"/>
      <w:ind w:firstLine="595"/>
      <w:textAlignment w:val="baseline"/>
    </w:pPr>
    <w:rPr>
      <w:kern w:val="0"/>
      <w:sz w:val="28"/>
    </w:rPr>
  </w:style>
  <w:style w:type="paragraph" w:styleId="3">
    <w:name w:val="Body Text First Indent 2"/>
    <w:basedOn w:val="4"/>
    <w:next w:val="1"/>
    <w:unhideWhenUsed/>
    <w:qFormat/>
    <w:uiPriority w:val="99"/>
    <w:pPr>
      <w:keepNext/>
      <w:spacing w:line="360" w:lineRule="auto"/>
      <w:ind w:left="0" w:leftChars="0" w:firstLine="640" w:firstLineChars="200"/>
    </w:pPr>
    <w:rPr>
      <w:rFonts w:ascii="Times New Roman" w:hAnsi="Times New Roman"/>
      <w:sz w:val="24"/>
    </w:rPr>
  </w:style>
  <w:style w:type="paragraph" w:styleId="4">
    <w:name w:val="Body Text Indent"/>
    <w:basedOn w:val="1"/>
    <w:next w:val="1"/>
    <w:qFormat/>
    <w:uiPriority w:val="0"/>
    <w:pPr>
      <w:widowControl/>
      <w:adjustRightInd w:val="0"/>
      <w:spacing w:line="360" w:lineRule="auto"/>
      <w:ind w:firstLine="482"/>
      <w:jc w:val="left"/>
      <w:textAlignment w:val="baseline"/>
    </w:pPr>
    <w:rPr>
      <w:rFonts w:ascii="Calibri" w:hAnsi="Calibri"/>
      <w:kern w:val="0"/>
      <w:sz w:val="24"/>
      <w:szCs w:val="20"/>
      <w:lang w:eastAsia="en-US" w:bidi="en-US"/>
    </w:rPr>
  </w:style>
  <w:style w:type="paragraph" w:styleId="5">
    <w:name w:val="toc 2"/>
    <w:basedOn w:val="1"/>
    <w:next w:val="1"/>
    <w:qFormat/>
    <w:uiPriority w:val="39"/>
    <w:pPr>
      <w:tabs>
        <w:tab w:val="right" w:leader="dot" w:pos="8494"/>
      </w:tabs>
      <w:spacing w:line="360" w:lineRule="auto"/>
      <w:ind w:left="420" w:leftChars="100" w:hanging="210" w:hanging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2022-12-19T02:41:00Z</dcterms:created>
  <dc:creator>ᠡᠪᠥᠯᠴᠡᠴᠡᠭ冬梅</dc:creator>
  <cp:lastModifiedBy>aying</cp:lastModifiedBy>
  <dcterms:modified xsi:type="dcterms:W3CDTF">2024-04-07T01:57:51Z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2546BC8358D94F14A33414BCF8827B93</vt:lpwstr>
  </property>
</Properties>
</file>