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>
      <w:pPr>
        <w:spacing w:line="640" w:lineRule="exact"/>
        <w:rPr>
          <w:rFonts w:hint="eastAsia" w:ascii="仿宋" w:hAnsi="仿宋" w:eastAsia="仿宋"/>
          <w:b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sz w:val="44"/>
        </w:rPr>
      </w:pPr>
    </w:p>
    <w:p>
      <w:pPr>
        <w:spacing w:line="640" w:lineRule="exact"/>
        <w:rPr>
          <w:rFonts w:hint="eastAsia" w:ascii="仿宋" w:hAnsi="仿宋" w:eastAsia="仿宋"/>
          <w:sz w:val="32"/>
        </w:rPr>
      </w:pPr>
    </w:p>
    <w:p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鄂环</w:t>
      </w:r>
      <w:r>
        <w:rPr>
          <w:rFonts w:hint="eastAsia" w:ascii="仿宋_GB2312" w:hAnsi="仿宋" w:eastAsia="仿宋_GB2312"/>
          <w:sz w:val="32"/>
          <w:lang w:eastAsia="zh-CN"/>
        </w:rPr>
        <w:t>鄂评</w:t>
      </w:r>
      <w:r>
        <w:rPr>
          <w:rFonts w:hint="eastAsia" w:ascii="仿宋_GB2312" w:hAnsi="仿宋" w:eastAsia="仿宋_GB2312"/>
          <w:sz w:val="32"/>
        </w:rPr>
        <w:t>字[20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auto"/>
          <w:sz w:val="32"/>
        </w:rPr>
        <w:t>]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>
      <w:pPr>
        <w:spacing w:line="640" w:lineRule="exact"/>
        <w:jc w:val="both"/>
        <w:rPr>
          <w:rFonts w:hint="eastAsia" w:ascii="仿宋_GB2312" w:hAnsi="仿宋" w:eastAsia="仿宋_GB2312"/>
          <w:b/>
          <w:sz w:val="44"/>
        </w:rPr>
      </w:pPr>
    </w:p>
    <w:p>
      <w:pPr>
        <w:spacing w:line="560" w:lineRule="exact"/>
        <w:jc w:val="center"/>
        <w:rPr>
          <w:rFonts w:hint="eastAsia" w:ascii="宋体" w:hAnsi="宋体" w:eastAsia="方正小标宋简体" w:cs="宋体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鄂尔多斯市生态环境局鄂托克旗分局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宋体" w:hAnsi="宋体" w:eastAsia="方正小标宋简体" w:cs="宋体"/>
          <w:sz w:val="44"/>
          <w:szCs w:val="44"/>
        </w:rPr>
        <w:t>关</w:t>
      </w:r>
      <w:r>
        <w:rPr>
          <w:rFonts w:hint="eastAsia" w:ascii="宋体" w:hAnsi="宋体" w:eastAsia="方正小标宋简体" w:cs="宋体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2023年苏11区块第一批产能建设项目（配套天然气管线）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中国石油集团长城钻探工程有限公司苏里格气田分公司：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鄂尔多斯市则渊技术咨询有限责任公司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仿宋" w:eastAsia="仿宋_GB2312"/>
          <w:color w:val="auto"/>
          <w:sz w:val="32"/>
        </w:rPr>
        <w:t>的《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2023年苏11区块第一批产能建设项目（配套天然气管线）</w:t>
      </w:r>
      <w:r>
        <w:rPr>
          <w:rFonts w:hint="eastAsia" w:ascii="仿宋_GB2312" w:hAnsi="仿宋" w:eastAsia="仿宋_GB2312"/>
          <w:color w:val="auto"/>
          <w:sz w:val="32"/>
        </w:rPr>
        <w:t>环境影响报告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书</w:t>
      </w:r>
      <w:r>
        <w:rPr>
          <w:rFonts w:hint="eastAsia" w:ascii="仿宋_GB2312" w:hAnsi="仿宋" w:eastAsia="仿宋_GB2312"/>
          <w:color w:val="auto"/>
          <w:sz w:val="32"/>
        </w:rPr>
        <w:t>》（以下简称报告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书</w:t>
      </w:r>
      <w:r>
        <w:rPr>
          <w:rFonts w:hint="eastAsia" w:ascii="仿宋_GB2312" w:hAnsi="仿宋" w:eastAsia="仿宋_GB2312"/>
          <w:color w:val="auto"/>
          <w:sz w:val="32"/>
        </w:rPr>
        <w:t>）收悉，经审核，提出如下批复意见：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该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项目的环境影响评价文件未经我局审批即擅自开工建设，违反了《中华人民共和国环境影响评价法》的有关规定，依据《中华人民共和国环境影响评价法》第三十一条之规定，我局对该公司实施了处罚，罚款已缴纳。你公司必须增强守法意识，杜绝违法行为再次发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本项目位于本项目建设地点位于鄂尔多斯市鄂托克旗境内。本项目共建设3条天然气输气管线，管线全长2.686km。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1#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苏11-31-76至苏11-32-75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管线长度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734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苏11-51-72碰苏11-52-75至苏11-52-67管线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606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苏11-50-20至苏11-7CH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管线长度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1346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58.26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其中环保投资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《报告表》认为，在全面落实各项生态环境保护和环境污染防治措施的前提下，项目建设对环境的不利影响能够得到一定的缓解和控制。因此，我局原则同意你公司按照《报告表》中所列的项目性质、规模、地点、工艺、环境保护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三、建设单位在认真落实报告表中提出的污染防治和生态保措施的同时，要做好以下工作：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.加强施工期环境管理。采取洒水、覆盖等有效措施控制施工扬尘污染。对管线沿线敏感点采取设置临时声屏障等防护措施，确保施工噪声满足《建筑施工场界环境噪声排放标准》(GB12523-2011)排放限值要求；在环境敏感点附近，中午（12：00-14:00）、夜间（22：00至次日6：00）禁止从事高噪声施工作业和物料运输，防止出现噪声扰民现象，确有需要夜间施工作业的，须报请我局批准，并对外公示。施工废料集中收集后外售综合利用；生活垃圾集中收集后，送当地环卫部门统一处理。生活污水集中收集后，送至苏米图污水处理厂统一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.严格落实生态保护措施。按照设计要求划定施工活动范围，控制工程占地和施工作业带宽度，不得随处设置取弃土场、施工营地、临时便道等临时工程。管线施工过程中采取“表土剥离、分层开挖、分层堆放、原序回填”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3.施工结束后须及时对临时占地进行植被恢复。建设单位应制定详细的生态植被恢复措施与计划，并安排足够的生态恢复专用资金，保证生态恢复措施落实到位。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4.优化管线路径方案，避免次生环境问题。管线设计须符合《输气管道工程设计规范》和《原油和天然气工程设计防火规范》要求，确保不会对沿线环境敏感目标产生不利影响。严格执行管材选用、焊接工艺、焊后质量检验及管道安装等方面的技术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5.严格按照《中华人民共和国石油天然气管道保护法》及行业相应管理规范和安全技术规程等要求，合理规划管道用地性质和建设，防止规划问题次生环境污染和纠纷，禁止在管线沿线安全防护距离内新建居民点、学校、医院等敏感建筑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6.加强环境风险防范，落实环境风险应急措施。进一步优化管道工程设计和施工方案，全线采用PE防腐，采用增设紧急截断阀、阴极电流保护等提高本质安全的防护措施。建立维护保养、定期检测和巡线检查制度，在人口密集区域提高巡线频率，增设线路警示牌。建立应急管理机构和管理体系，制定完善的环境风险应急预案，落实环境风险事故防范措施，提高事故风险防范和污染控制能力，定期开展应急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7.</w:t>
      </w:r>
      <w:bookmarkStart w:id="0" w:name="_GoBack"/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建立与项目环境保护工作相适应的环境管理团队，完善企业各项环境管理制度，加强环境管理。在项目施工和运营过程中，主动发布企业环境保护信息，并自觉接受社会监督。建立畅通的公众参与渠道，加强宣传与沟通工作，及时解决公众反映的环境问题，满足公众合理的环境保护诉求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四</w:t>
      </w:r>
      <w:r>
        <w:rPr>
          <w:rFonts w:hint="eastAsia" w:ascii="仿宋_GB2312" w:hAnsi="仿宋" w:eastAsia="仿宋_GB2312"/>
          <w:color w:val="auto"/>
          <w:sz w:val="32"/>
        </w:rPr>
        <w:t>、项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目建设必须严格执行环境保护“三同时”制度。项目</w:t>
      </w:r>
      <w:r>
        <w:rPr>
          <w:rFonts w:hint="eastAsia" w:ascii="仿宋_GB2312" w:hAnsi="仿宋" w:eastAsia="仿宋_GB2312"/>
          <w:color w:val="auto"/>
          <w:sz w:val="32"/>
        </w:rPr>
        <w:t>竣工后，按规定程序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实施</w:t>
      </w:r>
      <w:r>
        <w:rPr>
          <w:rFonts w:hint="eastAsia" w:ascii="仿宋_GB2312" w:hAnsi="仿宋" w:eastAsia="仿宋_GB2312"/>
          <w:color w:val="auto"/>
          <w:sz w:val="32"/>
        </w:rPr>
        <w:t>环境保护竣工验收，验收合格后方可正式投入运行。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五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、</w:t>
      </w:r>
      <w:r>
        <w:rPr>
          <w:rFonts w:hint="eastAsia" w:ascii="仿宋_GB2312" w:hAnsi="仿宋" w:eastAsia="仿宋_GB2312"/>
          <w:sz w:val="32"/>
          <w:lang w:val="en-US" w:eastAsia="zh-CN"/>
        </w:rPr>
        <w:t>由鄂托克旗生态环境综合行政执法大队负责该项目的日常监管工作。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6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宋体" w:hAnsi="宋体" w:eastAsia="方正小标宋简体" w:cs="宋体"/>
          <w:b w:val="0"/>
          <w:bCs/>
          <w:sz w:val="44"/>
          <w:szCs w:val="44"/>
        </w:rPr>
      </w:pP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六</w:t>
      </w:r>
      <w:r>
        <w:rPr>
          <w:rFonts w:hint="eastAsia" w:ascii="仿宋_GB2312" w:hAnsi="仿宋" w:eastAsia="仿宋_GB2312"/>
          <w:color w:val="auto"/>
          <w:sz w:val="32"/>
        </w:rPr>
        <w:t>、该项目从批准之日起超过5年方决定开工建设，其环评文件应重新审核。如果建设地点、规模、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工艺、</w:t>
      </w:r>
      <w:r>
        <w:rPr>
          <w:rFonts w:hint="eastAsia" w:ascii="仿宋_GB2312" w:hAnsi="仿宋" w:eastAsia="仿宋_GB2312"/>
          <w:color w:val="auto"/>
          <w:sz w:val="32"/>
        </w:rPr>
        <w:t>防治污染和防止生态破坏的措施等发生重大变化时，需重新报批环评文件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36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方正小标宋简体" w:cs="宋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36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方正小标宋简体" w:cs="宋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36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方正小标宋简体" w:cs="宋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</w:rPr>
        <w:t>鄂托克旗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                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23</w:t>
      </w:r>
      <w:r>
        <w:rPr>
          <w:rFonts w:hint="eastAsia" w:ascii="仿宋_GB2312" w:hAnsi="仿宋" w:eastAsia="仿宋_GB2312"/>
          <w:color w:val="auto"/>
          <w:sz w:val="32"/>
        </w:rPr>
        <w:t>年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auto"/>
          <w:sz w:val="32"/>
        </w:rPr>
        <w:t>月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30</w:t>
      </w:r>
      <w:r>
        <w:rPr>
          <w:rFonts w:hint="eastAsia" w:ascii="仿宋_GB2312" w:hAnsi="仿宋" w:eastAsia="仿宋_GB2312"/>
          <w:color w:val="auto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</w:p>
    <w:p>
      <w:pPr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textAlignment w:val="auto"/>
        <w:outlineLvl w:val="9"/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鄂尔多斯市生态环境局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鄂托克旗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eastAsia="zh-CN"/>
        </w:rPr>
        <w:t>分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日印发 </w:t>
      </w:r>
      <w:r>
        <w:rPr>
          <w:rFonts w:hint="eastAsia" w:ascii="仿宋" w:hAnsi="仿宋" w:eastAsia="仿宋"/>
          <w:color w:val="auto"/>
          <w:sz w:val="32"/>
        </w:rPr>
        <w:t xml:space="preserve">  </w:t>
      </w:r>
    </w:p>
    <w:sectPr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353FD8"/>
    <w:multiLevelType w:val="singleLevel"/>
    <w:tmpl w:val="33353F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GZiZGU4YzA3MjQzZTI3ODk1ZDViMjEzMTEwZTEifQ=="/>
  </w:docVars>
  <w:rsids>
    <w:rsidRoot w:val="13092B16"/>
    <w:rsid w:val="02A975D2"/>
    <w:rsid w:val="13092B16"/>
    <w:rsid w:val="14AC2DD1"/>
    <w:rsid w:val="22FF02E8"/>
    <w:rsid w:val="37760F36"/>
    <w:rsid w:val="4F1F7313"/>
    <w:rsid w:val="535D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kern w:val="2"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480" w:lineRule="atLeast"/>
      <w:ind w:firstLine="595"/>
      <w:textAlignment w:val="baseline"/>
    </w:pPr>
    <w:rPr>
      <w:kern w:val="0"/>
      <w:sz w:val="28"/>
    </w:rPr>
  </w:style>
  <w:style w:type="paragraph" w:styleId="3">
    <w:name w:val="Body Text First Indent 2"/>
    <w:basedOn w:val="1"/>
    <w:next w:val="4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styleId="4">
    <w:name w:val="Body Text First Indent"/>
    <w:basedOn w:val="5"/>
    <w:next w:val="1"/>
    <w:qFormat/>
    <w:uiPriority w:val="0"/>
    <w:pPr>
      <w:ind w:firstLine="420" w:firstLineChars="100"/>
    </w:pPr>
    <w:rPr>
      <w:color w:val="000000"/>
      <w:sz w:val="24"/>
    </w:rPr>
  </w:style>
  <w:style w:type="paragraph" w:styleId="5">
    <w:name w:val="Body Text"/>
    <w:basedOn w:val="1"/>
    <w:next w:val="6"/>
    <w:qFormat/>
    <w:uiPriority w:val="1"/>
    <w:pPr>
      <w:spacing w:after="120" w:afterLines="0"/>
    </w:pPr>
    <w:rPr>
      <w:kern w:val="0"/>
      <w:sz w:val="20"/>
      <w:szCs w:val="24"/>
    </w:rPr>
  </w:style>
  <w:style w:type="paragraph" w:customStyle="1" w:styleId="6">
    <w:name w:val="Date1"/>
    <w:basedOn w:val="1"/>
    <w:next w:val="1"/>
    <w:uiPriority w:val="0"/>
    <w:pPr>
      <w:adjustRightInd w:val="0"/>
      <w:textAlignment w:val="baseline"/>
    </w:pPr>
    <w:rPr>
      <w:rFonts w:ascii="Times New Roman" w:hAnsi="Times New Roman" w:eastAsia="宋体" w:cs="Times New Roman"/>
      <w:szCs w:val="20"/>
    </w:rPr>
  </w:style>
  <w:style w:type="paragraph" w:styleId="8">
    <w:name w:val="Body Text Indent"/>
    <w:basedOn w:val="1"/>
    <w:next w:val="9"/>
    <w:qFormat/>
    <w:uiPriority w:val="0"/>
    <w:pPr>
      <w:spacing w:line="300" w:lineRule="exact"/>
      <w:ind w:firstLine="538"/>
    </w:pPr>
    <w:rPr>
      <w:sz w:val="21"/>
    </w:rPr>
  </w:style>
  <w:style w:type="paragraph" w:customStyle="1" w:styleId="9">
    <w:name w:val="样式 正文文本缩进 + 行距: 1.5 倍行距"/>
    <w:basedOn w:val="1"/>
    <w:qFormat/>
    <w:uiPriority w:val="0"/>
    <w:pPr>
      <w:spacing w:after="120" w:line="360" w:lineRule="auto"/>
      <w:ind w:left="32" w:leftChars="32" w:firstLine="200" w:firstLineChars="200"/>
    </w:pPr>
    <w:rPr>
      <w:rFonts w:cs="宋体"/>
    </w:rPr>
  </w:style>
  <w:style w:type="paragraph" w:customStyle="1" w:styleId="12">
    <w:name w:val="样式 正文缩进正文缩进2正文缩进 Char Char正文缩进 Char Char Char Char正文缩进 Char ..."/>
    <w:basedOn w:val="2"/>
    <w:qFormat/>
    <w:uiPriority w:val="0"/>
    <w:pPr>
      <w:spacing w:line="360" w:lineRule="auto"/>
      <w:ind w:firstLine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1422</Words>
  <Characters>1512</Characters>
  <Lines>0</Lines>
  <Paragraphs>0</Paragraphs>
  <TotalTime>6</TotalTime>
  <ScaleCrop>false</ScaleCrop>
  <LinksUpToDate>false</LinksUpToDate>
  <CharactersWithSpaces>1625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2021-05-27T03:28:00Z</dcterms:created>
  <dc:creator>WPS_1178734742</dc:creator>
  <cp:lastModifiedBy>ᠡᠪᠥᠯᠴᠡᠴᠡᠭ冬梅</cp:lastModifiedBy>
  <cp:lastPrinted>2021-08-24T07:53:00Z</cp:lastPrinted>
  <dcterms:modified xsi:type="dcterms:W3CDTF">2023-01-16T09:37:43Z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A72C8B09F6C04DE689552B35B6CDF6B8</vt:lpwstr>
  </property>
</Properties>
</file>