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字〔2023〕</w:t>
      </w:r>
      <w:r>
        <w:rPr>
          <w:rFonts w:hint="eastAsia" w:ascii="仿宋_GB2312" w:hAnsi="仿宋" w:eastAsia="仿宋_GB2312"/>
          <w:color w:val="auto"/>
          <w:sz w:val="32"/>
          <w:lang w:val="en-US" w:eastAsia="zh-CN"/>
        </w:rPr>
        <w:t>35</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pageBreakBefore w:val="0"/>
        <w:kinsoku/>
        <w:wordWrap/>
        <w:overflowPunct/>
        <w:topLinePunct w:val="0"/>
        <w:autoSpaceDE/>
        <w:autoSpaceDN/>
        <w:bidi w:val="0"/>
        <w:adjustRightInd/>
        <w:snapToGrid/>
        <w:spacing w:line="440" w:lineRule="exact"/>
        <w:ind w:firstLine="440" w:firstLineChars="100"/>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rPr>
        <w:t>鄂尔多斯市生态环境局鄂托克旗分局关</w:t>
      </w:r>
      <w:r>
        <w:rPr>
          <w:rFonts w:hint="eastAsia" w:ascii="宋体" w:hAnsi="宋体" w:eastAsia="方正小标宋简体" w:cs="宋体"/>
          <w:sz w:val="44"/>
          <w:szCs w:val="44"/>
          <w:lang w:eastAsia="zh-CN"/>
        </w:rPr>
        <w:t>于</w:t>
      </w:r>
    </w:p>
    <w:p>
      <w:pPr>
        <w:pageBreakBefore w:val="0"/>
        <w:kinsoku/>
        <w:wordWrap/>
        <w:overflowPunct/>
        <w:topLinePunct w:val="0"/>
        <w:autoSpaceDE/>
        <w:autoSpaceDN/>
        <w:bidi w:val="0"/>
        <w:adjustRightInd/>
        <w:snapToGrid/>
        <w:spacing w:line="440" w:lineRule="exact"/>
        <w:ind w:firstLine="440" w:firstLineChars="100"/>
        <w:jc w:val="center"/>
        <w:rPr>
          <w:rFonts w:hint="eastAsia" w:ascii="宋体" w:hAnsi="宋体" w:eastAsia="方正小标宋简体" w:cs="宋体"/>
          <w:sz w:val="44"/>
          <w:szCs w:val="44"/>
          <w:lang w:val="en-US" w:eastAsia="zh-CN"/>
        </w:rPr>
      </w:pPr>
      <w:r>
        <w:rPr>
          <w:rFonts w:hint="eastAsia" w:ascii="宋体" w:hAnsi="宋体" w:eastAsia="方正小标宋简体" w:cs="宋体"/>
          <w:sz w:val="44"/>
          <w:szCs w:val="44"/>
          <w:lang w:val="en-US" w:eastAsia="zh-CN"/>
        </w:rPr>
        <w:t>内蒙古鄂尔多斯煤炭有限责任公司</w:t>
      </w:r>
    </w:p>
    <w:p>
      <w:pPr>
        <w:pageBreakBefore w:val="0"/>
        <w:kinsoku/>
        <w:wordWrap/>
        <w:overflowPunct/>
        <w:topLinePunct w:val="0"/>
        <w:autoSpaceDE/>
        <w:autoSpaceDN/>
        <w:bidi w:val="0"/>
        <w:adjustRightInd/>
        <w:snapToGrid/>
        <w:spacing w:line="440" w:lineRule="exact"/>
        <w:ind w:firstLine="440" w:firstLineChars="100"/>
        <w:jc w:val="center"/>
        <w:rPr>
          <w:rFonts w:hint="eastAsia" w:ascii="宋体" w:hAnsi="宋体" w:eastAsia="方正小标宋简体" w:cs="宋体"/>
          <w:sz w:val="44"/>
          <w:szCs w:val="44"/>
          <w:lang w:val="en-US" w:eastAsia="zh-CN"/>
        </w:rPr>
      </w:pPr>
      <w:r>
        <w:rPr>
          <w:rFonts w:hint="eastAsia" w:ascii="宋体" w:hAnsi="宋体" w:eastAsia="方正小标宋简体" w:cs="宋体"/>
          <w:sz w:val="44"/>
          <w:szCs w:val="44"/>
          <w:lang w:val="en-US" w:eastAsia="zh-CN"/>
        </w:rPr>
        <w:t>中税煤矿清洁能源低碳改造工程</w:t>
      </w:r>
    </w:p>
    <w:p>
      <w:pPr>
        <w:pageBreakBefore w:val="0"/>
        <w:kinsoku/>
        <w:wordWrap/>
        <w:overflowPunct/>
        <w:topLinePunct w:val="0"/>
        <w:autoSpaceDE/>
        <w:autoSpaceDN/>
        <w:bidi w:val="0"/>
        <w:adjustRightInd/>
        <w:snapToGrid/>
        <w:spacing w:line="440" w:lineRule="exact"/>
        <w:ind w:firstLine="440" w:firstLineChars="10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环境影响报告表</w:t>
      </w:r>
      <w:r>
        <w:rPr>
          <w:rFonts w:hint="eastAsia" w:ascii="方正小标宋简体" w:hAnsi="方正小标宋简体" w:eastAsia="方正小标宋简体" w:cs="方正小标宋简体"/>
          <w:color w:val="auto"/>
          <w:sz w:val="44"/>
          <w:szCs w:val="44"/>
        </w:rPr>
        <w:t>的批复</w:t>
      </w:r>
    </w:p>
    <w:p>
      <w:pPr>
        <w:pStyle w:val="2"/>
        <w:pageBreakBefore w:val="0"/>
        <w:numPr>
          <w:ilvl w:val="2"/>
          <w:numId w:val="0"/>
        </w:numPr>
        <w:kinsoku/>
        <w:wordWrap/>
        <w:overflowPunct/>
        <w:topLinePunct w:val="0"/>
        <w:autoSpaceDE/>
        <w:autoSpaceDN/>
        <w:bidi w:val="0"/>
        <w:adjustRightInd/>
        <w:snapToGrid/>
        <w:spacing w:line="440" w:lineRule="exact"/>
        <w:ind w:leftChars="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 w:eastAsia="仿宋_GB2312"/>
          <w:color w:val="auto"/>
          <w:sz w:val="32"/>
        </w:rPr>
      </w:pPr>
      <w:r>
        <w:rPr>
          <w:rFonts w:hint="eastAsia" w:ascii="仿宋_GB2312" w:hAnsi="仿宋" w:eastAsia="仿宋_GB2312" w:cs="Times New Roman"/>
          <w:color w:val="auto"/>
          <w:kern w:val="2"/>
          <w:sz w:val="32"/>
          <w:szCs w:val="22"/>
          <w:lang w:val="en-US" w:eastAsia="zh-CN" w:bidi="ar-SA"/>
        </w:rPr>
        <w:t>内蒙古鄂尔多斯煤炭有限责任公司煤矿</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内蒙古新仕界项目管理有限公司</w:t>
      </w:r>
      <w:r>
        <w:rPr>
          <w:rFonts w:hint="eastAsia" w:ascii="仿宋_GB2312" w:hAnsi="仿宋" w:eastAsia="仿宋_GB2312"/>
          <w:color w:val="auto"/>
          <w:sz w:val="32"/>
        </w:rPr>
        <w:t>编</w:t>
      </w:r>
      <w:r>
        <w:rPr>
          <w:rFonts w:hint="eastAsia" w:ascii="仿宋_GB2312" w:hAnsi="仿宋_GB2312" w:eastAsia="仿宋_GB2312" w:cs="仿宋_GB2312"/>
          <w:color w:val="auto"/>
          <w:sz w:val="32"/>
          <w:szCs w:val="32"/>
        </w:rPr>
        <w:t>制的《</w:t>
      </w:r>
      <w:r>
        <w:rPr>
          <w:rFonts w:hint="eastAsia" w:ascii="仿宋_GB2312" w:hAnsi="仿宋" w:eastAsia="仿宋_GB2312" w:cs="Times New Roman"/>
          <w:color w:val="auto"/>
          <w:sz w:val="32"/>
          <w:lang w:val="en-US" w:eastAsia="zh-CN"/>
        </w:rPr>
        <w:t>内蒙古鄂尔多斯煤炭有限责任公司中税煤矿清洁能源低碳改造工程建设项目环境影响报告表</w:t>
      </w:r>
      <w:r>
        <w:rPr>
          <w:rFonts w:hint="eastAsia" w:ascii="仿宋_GB2312" w:hAnsi="仿宋" w:eastAsia="仿宋_GB2312"/>
          <w:color w:val="auto"/>
          <w:sz w:val="32"/>
        </w:rPr>
        <w:t>》（以下简称报告表）</w:t>
      </w:r>
      <w:r>
        <w:rPr>
          <w:rFonts w:hint="eastAsia" w:ascii="仿宋_GB2312" w:hAnsi="仿宋" w:eastAsia="仿宋_GB2312"/>
          <w:color w:val="auto"/>
          <w:sz w:val="32"/>
          <w:lang w:eastAsia="zh-CN"/>
        </w:rPr>
        <w:t>已</w:t>
      </w:r>
      <w:r>
        <w:rPr>
          <w:rFonts w:hint="eastAsia" w:ascii="仿宋_GB2312" w:hAnsi="仿宋" w:eastAsia="仿宋_GB2312"/>
          <w:color w:val="auto"/>
          <w:sz w:val="32"/>
        </w:rPr>
        <w:t>收悉，经审核，提出如下批复意见：</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left"/>
        <w:textAlignment w:val="auto"/>
        <w:outlineLvl w:val="9"/>
        <w:rPr>
          <w:rFonts w:hint="default" w:ascii="仿宋_GB2312" w:hAnsi="仿宋" w:eastAsia="仿宋_GB2312" w:cs="Times New Roman"/>
          <w:color w:val="auto"/>
          <w:sz w:val="32"/>
          <w:lang w:val="en-US"/>
        </w:rPr>
      </w:pPr>
      <w:r>
        <w:rPr>
          <w:rFonts w:hint="eastAsia" w:ascii="仿宋_GB2312" w:hAnsi="仿宋" w:eastAsia="仿宋_GB2312" w:cs="Times New Roman"/>
          <w:color w:val="auto"/>
          <w:sz w:val="32"/>
          <w:lang w:eastAsia="zh-CN"/>
        </w:rPr>
        <w:t>一、</w:t>
      </w:r>
      <w:r>
        <w:rPr>
          <w:rFonts w:hint="eastAsia" w:ascii="仿宋_GB2312" w:hAnsi="仿宋" w:eastAsia="仿宋_GB2312" w:cs="Times New Roman"/>
          <w:color w:val="auto"/>
          <w:sz w:val="32"/>
        </w:rPr>
        <w:t>本项目位于</w:t>
      </w:r>
      <w:r>
        <w:rPr>
          <w:rFonts w:hint="eastAsia" w:ascii="仿宋_GB2312" w:hAnsi="仿宋" w:eastAsia="仿宋_GB2312" w:cs="Times New Roman"/>
          <w:color w:val="auto"/>
          <w:sz w:val="32"/>
          <w:lang w:val="en-US" w:eastAsia="zh-CN"/>
        </w:rPr>
        <w:t>内蒙古鄂尔多斯煤炭有限责任公司中税煤矿工业场地。本项目拆除</w:t>
      </w:r>
      <w:r>
        <w:rPr>
          <w:rFonts w:hint="default" w:ascii="仿宋_GB2312" w:hAnsi="仿宋" w:eastAsia="仿宋_GB2312" w:cs="Times New Roman"/>
          <w:color w:val="auto"/>
          <w:sz w:val="32"/>
          <w:lang w:val="en-US" w:eastAsia="zh-CN"/>
        </w:rPr>
        <w:t>锅炉房内原有</w:t>
      </w:r>
      <w:r>
        <w:rPr>
          <w:rFonts w:hint="eastAsia" w:ascii="仿宋_GB2312" w:hAnsi="仿宋" w:eastAsia="仿宋_GB2312" w:cs="Times New Roman"/>
          <w:color w:val="auto"/>
          <w:sz w:val="32"/>
          <w:lang w:val="en-US" w:eastAsia="zh-CN"/>
        </w:rPr>
        <w:t>4</w:t>
      </w:r>
      <w:r>
        <w:rPr>
          <w:rFonts w:hint="default" w:ascii="仿宋_GB2312" w:hAnsi="仿宋" w:eastAsia="仿宋_GB2312" w:cs="Times New Roman"/>
          <w:color w:val="auto"/>
          <w:sz w:val="32"/>
          <w:lang w:val="en-US" w:eastAsia="zh-CN"/>
        </w:rPr>
        <w:t>台</w:t>
      </w:r>
      <w:r>
        <w:rPr>
          <w:rFonts w:hint="eastAsia" w:ascii="仿宋_GB2312" w:hAnsi="仿宋" w:eastAsia="仿宋_GB2312" w:cs="Times New Roman"/>
          <w:color w:val="auto"/>
          <w:sz w:val="32"/>
          <w:lang w:val="en-US" w:eastAsia="zh-CN"/>
        </w:rPr>
        <w:t>燃煤锅炉，分别为2台4吨/h、1台6吨/h、1台2吨/h，新建2台10t/h（一备一用）燃气蒸汽锅炉。</w:t>
      </w:r>
      <w:bookmarkStart w:id="0" w:name="_GoBack"/>
      <w:bookmarkEnd w:id="0"/>
      <w:r>
        <w:rPr>
          <w:rFonts w:hint="eastAsia" w:ascii="仿宋_GB2312" w:hAnsi="仿宋" w:eastAsia="仿宋_GB2312" w:cs="Times New Roman"/>
          <w:color w:val="auto"/>
          <w:sz w:val="32"/>
          <w:lang w:val="en-US" w:eastAsia="zh-CN"/>
        </w:rPr>
        <w:t>项目总投资</w:t>
      </w:r>
      <w:r>
        <w:rPr>
          <w:rFonts w:hint="default" w:ascii="仿宋_GB2312" w:hAnsi="仿宋" w:eastAsia="仿宋_GB2312" w:cs="Times New Roman"/>
          <w:color w:val="auto"/>
          <w:sz w:val="32"/>
          <w:lang w:val="en-US" w:eastAsia="zh-CN"/>
        </w:rPr>
        <w:t>703.18</w:t>
      </w:r>
      <w:r>
        <w:rPr>
          <w:rFonts w:hint="eastAsia" w:ascii="仿宋_GB2312" w:hAnsi="仿宋" w:eastAsia="仿宋_GB2312" w:cs="Times New Roman"/>
          <w:color w:val="auto"/>
          <w:sz w:val="32"/>
          <w:lang w:val="en-US" w:eastAsia="zh-CN"/>
        </w:rPr>
        <w:t>万元，其中环保投资</w:t>
      </w:r>
      <w:r>
        <w:rPr>
          <w:rFonts w:hint="default" w:ascii="仿宋_GB2312" w:hAnsi="仿宋" w:eastAsia="仿宋_GB2312" w:cs="Times New Roman"/>
          <w:color w:val="auto"/>
          <w:sz w:val="32"/>
          <w:lang w:val="en-US" w:eastAsia="zh-CN"/>
        </w:rPr>
        <w:t>55</w:t>
      </w:r>
      <w:r>
        <w:rPr>
          <w:rFonts w:hint="eastAsia" w:ascii="仿宋_GB2312" w:hAnsi="仿宋" w:eastAsia="仿宋_GB2312" w:cs="Times New Roman"/>
          <w:color w:val="auto"/>
          <w:sz w:val="32"/>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1.</w:t>
      </w:r>
      <w:r>
        <w:rPr>
          <w:rFonts w:hint="eastAsia" w:ascii="仿宋_GB2312" w:hAnsi="仿宋_GB2312" w:eastAsia="仿宋_GB2312" w:cs="仿宋_GB2312"/>
          <w:kern w:val="2"/>
          <w:sz w:val="32"/>
          <w:szCs w:val="32"/>
          <w:lang w:val="en-US" w:eastAsia="zh-CN" w:bidi="ar-SA"/>
        </w:rPr>
        <w:t>加强施工期环境管理。土石方开挖及设备安装过程中应严格按照设计要求施工，尽可能缩小施工活动范围，定期进行洒水和清扫；施工期产生的废水和固体废弃物要集中收集统一处置</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2.认真落实大气污染防治措施。</w:t>
      </w:r>
      <w:r>
        <w:rPr>
          <w:rFonts w:hint="eastAsia" w:ascii="仿宋_GB2312" w:hAnsi="仿宋" w:eastAsia="仿宋_GB2312" w:cs="Times New Roman"/>
          <w:color w:val="auto"/>
          <w:sz w:val="32"/>
          <w:lang w:val="en-US" w:eastAsia="zh-CN"/>
        </w:rPr>
        <w:t>锅炉</w:t>
      </w:r>
      <w:r>
        <w:rPr>
          <w:rFonts w:hint="eastAsia" w:ascii="仿宋_GB2312" w:hAnsi="仿宋" w:eastAsia="仿宋_GB2312"/>
          <w:color w:val="auto"/>
          <w:sz w:val="32"/>
          <w:lang w:val="en-US" w:eastAsia="zh-CN"/>
        </w:rPr>
        <w:t>应配备</w:t>
      </w:r>
      <w:r>
        <w:rPr>
          <w:rFonts w:hint="eastAsia" w:ascii="仿宋_GB2312" w:hAnsi="仿宋" w:eastAsia="仿宋_GB2312" w:cs="Times New Roman"/>
          <w:color w:val="auto"/>
          <w:sz w:val="32"/>
          <w:lang w:val="en-US" w:eastAsia="zh-CN"/>
        </w:rPr>
        <w:t>低氮燃烧器，废气中各类污染物排放浓度满足《锅炉大气污染物排放标准》（GB13271-2014）</w:t>
      </w:r>
      <w:r>
        <w:rPr>
          <w:rFonts w:hint="eastAsia" w:ascii="仿宋_GB2312" w:hAnsi="仿宋" w:eastAsia="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color w:val="auto"/>
          <w:sz w:val="32"/>
          <w:lang w:val="en-US" w:eastAsia="zh-CN"/>
        </w:rPr>
        <w:t>3.强化废水处理与回用，实行雨污分流。生产废水经煤矿污水处理设施处理后送至内蒙古西清环保有限公司处理，不得外排。厂区内地面须硬化，避免废水下渗对区域地下水产生影响。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s="Times New Roman"/>
          <w:color w:val="auto"/>
          <w:sz w:val="32"/>
          <w:lang w:val="en-US" w:eastAsia="zh-CN"/>
        </w:rPr>
        <w:t>4.强化噪声污染防治措施。选用低噪设备、基础减振、安装消声器等降噪措施，确保厂界噪声符合《工业企业厂界环境噪声排放标准》（GB12348-2008）中的2类标准限值要求。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 w:eastAsia="仿宋_GB2312" w:cs="Times New Roman"/>
          <w:color w:val="auto"/>
          <w:kern w:val="2"/>
          <w:sz w:val="32"/>
          <w:lang w:val="en-US" w:eastAsia="zh-CN" w:bidi="ar-SA"/>
        </w:rPr>
      </w:pPr>
      <w:r>
        <w:rPr>
          <w:rFonts w:hint="eastAsia" w:ascii="仿宋_GB2312" w:hAnsi="仿宋" w:eastAsia="仿宋_GB2312" w:cs="Times New Roman"/>
          <w:color w:val="auto"/>
          <w:kern w:val="2"/>
          <w:sz w:val="32"/>
          <w:lang w:val="en-US" w:eastAsia="zh-CN" w:bidi="ar-SA"/>
        </w:rPr>
        <w:t>5.妥善处置各类固体废物。建设单位须严格按照《一般工业固体废物贮存和填埋污染控制标准》（GB18599-2020）要求对一般固废进行处置，各类固废均不得乱弃。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_GB2312" w:hAnsi="仿宋" w:eastAsia="仿宋_GB2312"/>
          <w:color w:val="auto"/>
          <w:sz w:val="32"/>
          <w:lang w:val="en-US" w:eastAsia="zh-CN"/>
        </w:rPr>
      </w:pPr>
      <w:r>
        <w:rPr>
          <w:rFonts w:hint="eastAsia" w:ascii="仿宋_GB2312" w:hAnsi="仿宋" w:eastAsia="仿宋_GB2312" w:cs="Times New Roman"/>
          <w:color w:val="auto"/>
          <w:kern w:val="2"/>
          <w:sz w:val="32"/>
          <w:lang w:val="en-US" w:eastAsia="zh-CN" w:bidi="ar-SA"/>
        </w:rPr>
        <w:t>6.建设单位须强化环境风险防范。制定环境风险应急预案，落实环境风险事故防范措施，提高事故风险防范和污染控</w:t>
      </w:r>
      <w:r>
        <w:rPr>
          <w:rFonts w:hint="eastAsia" w:ascii="仿宋_GB2312" w:hAnsi="仿宋" w:eastAsia="仿宋_GB2312"/>
          <w:color w:val="auto"/>
          <w:sz w:val="32"/>
          <w:lang w:val="en-US" w:eastAsia="zh-CN"/>
        </w:rPr>
        <w:t>制能力。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80" w:firstLineChars="90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10</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9</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23</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10</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9</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0EC99"/>
    <w:multiLevelType w:val="multilevel"/>
    <w:tmpl w:val="8A30EC99"/>
    <w:lvl w:ilvl="0" w:tentative="0">
      <w:start w:val="1"/>
      <w:numFmt w:val="decimal"/>
      <w:suff w:val="space"/>
      <w:lvlText w:val="  %1"/>
      <w:lvlJc w:val="center"/>
      <w:pPr>
        <w:tabs>
          <w:tab w:val="left" w:pos="0"/>
        </w:tabs>
        <w:ind w:left="0" w:firstLine="0"/>
      </w:pPr>
      <w:rPr>
        <w:rFonts w:hint="default" w:ascii="Times New Roman" w:hAnsi="Times New Roman" w:eastAsia="宋体" w:cs="宋体"/>
        <w:b/>
        <w:bCs/>
        <w:sz w:val="32"/>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pStyle w:val="2"/>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suff w:val="nothing"/>
      <w:lvlText w:val="表%1.%2-%5  "/>
      <w:lvlJc w:val="left"/>
      <w:pPr>
        <w:tabs>
          <w:tab w:val="left" w:pos="5812"/>
        </w:tabs>
        <w:ind w:left="6820"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66F24860"/>
    <w:rsid w:val="0106663B"/>
    <w:rsid w:val="086B1627"/>
    <w:rsid w:val="0B7776DF"/>
    <w:rsid w:val="0EE93CA0"/>
    <w:rsid w:val="11A831DD"/>
    <w:rsid w:val="137869BD"/>
    <w:rsid w:val="13A10980"/>
    <w:rsid w:val="164A3126"/>
    <w:rsid w:val="1A117CC1"/>
    <w:rsid w:val="26E67650"/>
    <w:rsid w:val="30AA22B4"/>
    <w:rsid w:val="35EB5329"/>
    <w:rsid w:val="394E2BFF"/>
    <w:rsid w:val="3AF00B0D"/>
    <w:rsid w:val="3B5E1CAC"/>
    <w:rsid w:val="443860FA"/>
    <w:rsid w:val="47027167"/>
    <w:rsid w:val="4C2406D2"/>
    <w:rsid w:val="4C9B5863"/>
    <w:rsid w:val="4DD94895"/>
    <w:rsid w:val="4E077A90"/>
    <w:rsid w:val="4E247B4F"/>
    <w:rsid w:val="593F79FC"/>
    <w:rsid w:val="601E2FB5"/>
    <w:rsid w:val="66F24860"/>
    <w:rsid w:val="68B666C0"/>
    <w:rsid w:val="6B2B69E9"/>
    <w:rsid w:val="6C420843"/>
    <w:rsid w:val="72DD00D4"/>
    <w:rsid w:val="74715C97"/>
    <w:rsid w:val="778A38E9"/>
    <w:rsid w:val="77F02658"/>
    <w:rsid w:val="77F66453"/>
    <w:rsid w:val="7BFF10BB"/>
    <w:rsid w:val="7D410D1E"/>
    <w:rsid w:val="7DDB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numPr>
        <w:ilvl w:val="2"/>
        <w:numId w:val="1"/>
      </w:numPr>
      <w:tabs>
        <w:tab w:val="left" w:pos="420"/>
        <w:tab w:val="clear" w:pos="0"/>
      </w:tabs>
      <w:spacing w:beforeLines="0" w:beforeAutospacing="0" w:afterLines="0" w:afterAutospacing="0" w:line="360" w:lineRule="auto"/>
      <w:ind w:left="720" w:hanging="720" w:firstLineChars="0"/>
      <w:outlineLvl w:val="2"/>
    </w:pPr>
    <w:rPr>
      <w:rFonts w:ascii="Times New Roman" w:hAnsi="Times New Roman" w:eastAsia="黑体"/>
      <w:b/>
      <w:bCs/>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djustRightInd w:val="0"/>
      <w:spacing w:line="480" w:lineRule="atLeast"/>
      <w:ind w:firstLine="595"/>
      <w:textAlignment w:val="baseline"/>
    </w:pPr>
    <w:rPr>
      <w:kern w:val="0"/>
      <w:sz w:val="28"/>
    </w:rPr>
  </w:style>
  <w:style w:type="paragraph" w:styleId="5">
    <w:name w:val="Body Text First Indent 2"/>
    <w:basedOn w:val="6"/>
    <w:next w:val="1"/>
    <w:qFormat/>
    <w:uiPriority w:val="0"/>
    <w:pPr>
      <w:spacing w:after="120" w:afterLines="0" w:line="240" w:lineRule="auto"/>
      <w:ind w:left="420" w:leftChars="200" w:firstLine="420" w:firstLineChars="200"/>
    </w:pPr>
    <w:rPr>
      <w:sz w:val="21"/>
    </w:rPr>
  </w:style>
  <w:style w:type="paragraph" w:styleId="6">
    <w:name w:val="Body Text Indent"/>
    <w:basedOn w:val="1"/>
    <w:next w:val="1"/>
    <w:qFormat/>
    <w:uiPriority w:val="0"/>
    <w:pPr>
      <w:spacing w:line="300" w:lineRule="exact"/>
      <w:ind w:firstLine="538"/>
    </w:pPr>
    <w:rPr>
      <w:sz w:val="21"/>
    </w:rPr>
  </w:style>
  <w:style w:type="paragraph" w:styleId="7">
    <w:name w:val="annotation text"/>
    <w:basedOn w:val="1"/>
    <w:qFormat/>
    <w:uiPriority w:val="0"/>
    <w:pPr>
      <w:jc w:val="left"/>
    </w:pPr>
  </w:style>
  <w:style w:type="paragraph" w:styleId="8">
    <w:name w:val="Body Text"/>
    <w:basedOn w:val="1"/>
    <w:qFormat/>
    <w:uiPriority w:val="0"/>
    <w:pPr>
      <w:spacing w:after="120" w:afterLines="0" w:afterAutospacing="0"/>
    </w:pPr>
  </w:style>
  <w:style w:type="paragraph" w:styleId="9">
    <w:name w:val="Plain Text"/>
    <w:basedOn w:val="1"/>
    <w:qFormat/>
    <w:uiPriority w:val="0"/>
    <w:rPr>
      <w:rFonts w:ascii="宋体" w:hAnsi="Courier New"/>
      <w:kern w:val="0"/>
    </w:rPr>
  </w:style>
  <w:style w:type="paragraph" w:customStyle="1" w:styleId="12">
    <w:name w:val="样式 正文缩进正文缩进2正文缩进 Char Char正文缩进 Char Char Char Char正文缩进 Char ..."/>
    <w:basedOn w:val="4"/>
    <w:qFormat/>
    <w:uiPriority w:val="0"/>
    <w:pPr>
      <w:spacing w:line="360" w:lineRule="auto"/>
      <w:ind w:firstLine="200"/>
    </w:pPr>
    <w:rPr>
      <w:rFonts w:cs="宋体"/>
      <w:sz w:val="24"/>
    </w:rPr>
  </w:style>
  <w:style w:type="paragraph" w:customStyle="1" w:styleId="13">
    <w:name w:val="[1]正文"/>
    <w:basedOn w:val="1"/>
    <w:qFormat/>
    <w:uiPriority w:val="0"/>
    <w:pPr>
      <w:autoSpaceDE w:val="0"/>
      <w:autoSpaceDN w:val="0"/>
      <w:spacing w:line="360" w:lineRule="auto"/>
      <w:ind w:firstLine="200" w:firstLineChars="200"/>
    </w:pPr>
    <w:rPr>
      <w:color w:val="000000"/>
      <w:kern w:val="0"/>
      <w:sz w:val="24"/>
      <w:lang w:val="zh-CN"/>
    </w:rPr>
  </w:style>
  <w:style w:type="character" w:customStyle="1" w:styleId="14">
    <w:name w:val="fontstyle01"/>
    <w:basedOn w:val="11"/>
    <w:qFormat/>
    <w:uiPriority w:val="0"/>
    <w:rPr>
      <w:rFonts w:ascii="宋体" w:hAnsi="宋体" w:eastAsia="宋体" w:cs="宋体"/>
      <w:color w:val="000000"/>
      <w:sz w:val="52"/>
      <w:szCs w:val="52"/>
    </w:rPr>
  </w:style>
  <w:style w:type="paragraph" w:customStyle="1" w:styleId="15">
    <w:name w:val="益东正文1"/>
    <w:basedOn w:val="16"/>
    <w:semiHidden/>
    <w:qFormat/>
    <w:uiPriority w:val="0"/>
    <w:rPr>
      <w:rFonts w:hAnsi="宋体"/>
    </w:rPr>
  </w:style>
  <w:style w:type="paragraph" w:customStyle="1" w:styleId="16">
    <w:name w:val="2012.5.27"/>
    <w:basedOn w:val="9"/>
    <w:qFormat/>
    <w:uiPriority w:val="0"/>
    <w:pPr>
      <w:adjustRightInd w:val="0"/>
      <w:snapToGrid w:val="0"/>
      <w:spacing w:line="336" w:lineRule="auto"/>
      <w:ind w:firstLine="200" w:firstLineChars="200"/>
    </w:pPr>
    <w:rPr>
      <w:rFonts w:hAnsi="Times New Roman"/>
      <w:sz w:val="28"/>
      <w:szCs w:val="28"/>
    </w:rPr>
  </w:style>
  <w:style w:type="paragraph" w:customStyle="1" w:styleId="17">
    <w:name w:val="正文·"/>
    <w:basedOn w:val="1"/>
    <w:qFormat/>
    <w:uiPriority w:val="0"/>
    <w:pPr>
      <w:spacing w:line="440" w:lineRule="exact"/>
      <w:ind w:firstLine="200" w:firstLineChars="200"/>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1012</Words>
  <Characters>1053</Characters>
  <Lines>0</Lines>
  <Paragraphs>0</Paragraphs>
  <TotalTime>9</TotalTime>
  <ScaleCrop>false</ScaleCrop>
  <LinksUpToDate>false</LinksUpToDate>
  <CharactersWithSpaces>1152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ᠡᠪᠥᠯᠴᠡᠴᠡᠭ冬梅</dc:creator>
  <cp:lastModifiedBy>ᠡᠪᠥᠯᠴᠡᠴᠡᠭ冬梅</cp:lastModifiedBy>
  <cp:lastPrinted>2022-06-23T09:43:00Z</cp:lastPrinted>
  <dcterms:modified xsi:type="dcterms:W3CDTF">2023-10-09T06:58:40Z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B4D12E104E0F4AA8B9BB3FC212C84991_13</vt:lpwstr>
  </property>
</Properties>
</file>