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 w:hAnsi="仿宋" w:eastAsia="仿宋"/>
          <w:b/>
          <w:sz w:val="44"/>
        </w:rPr>
      </w:pPr>
    </w:p>
    <w:p>
      <w:pPr>
        <w:spacing w:line="640" w:lineRule="exact"/>
        <w:rPr>
          <w:rFonts w:ascii="仿宋" w:hAnsi="仿宋" w:eastAsia="仿宋"/>
          <w:b/>
          <w:sz w:val="44"/>
        </w:rPr>
      </w:pPr>
    </w:p>
    <w:p>
      <w:pPr>
        <w:spacing w:line="640" w:lineRule="exact"/>
        <w:rPr>
          <w:rFonts w:ascii="仿宋" w:hAnsi="仿宋" w:eastAsia="仿宋"/>
          <w:b/>
          <w:sz w:val="44"/>
        </w:rPr>
      </w:pPr>
    </w:p>
    <w:p>
      <w:pPr>
        <w:spacing w:line="640" w:lineRule="exact"/>
        <w:rPr>
          <w:rFonts w:ascii="仿宋" w:hAnsi="仿宋" w:eastAsia="仿宋"/>
          <w:b/>
          <w:sz w:val="44"/>
        </w:rPr>
      </w:pPr>
    </w:p>
    <w:p>
      <w:pPr>
        <w:spacing w:line="640" w:lineRule="exact"/>
        <w:rPr>
          <w:rFonts w:ascii="仿宋" w:hAnsi="仿宋" w:eastAsia="仿宋"/>
          <w:b/>
          <w:sz w:val="44"/>
        </w:rPr>
      </w:pPr>
    </w:p>
    <w:p>
      <w:pPr>
        <w:spacing w:line="640" w:lineRule="exact"/>
        <w:rPr>
          <w:rFonts w:ascii="仿宋" w:hAnsi="仿宋" w:eastAsia="仿宋"/>
          <w:b/>
          <w:sz w:val="44"/>
        </w:rPr>
      </w:pPr>
    </w:p>
    <w:p>
      <w:pPr>
        <w:pStyle w:val="3"/>
      </w:pPr>
    </w:p>
    <w:p>
      <w:pPr>
        <w:spacing w:line="640" w:lineRule="exact"/>
        <w:rPr>
          <w:rFonts w:ascii="仿宋" w:hAnsi="仿宋" w:eastAsia="仿宋"/>
          <w:sz w:val="32"/>
        </w:rPr>
      </w:pPr>
    </w:p>
    <w:p>
      <w:pPr>
        <w:spacing w:line="640" w:lineRule="exact"/>
        <w:ind w:firstLine="160" w:firstLineChars="50"/>
        <w:jc w:val="center"/>
        <w:rPr>
          <w:rFonts w:ascii="仿宋_GB2312" w:hAnsi="仿宋" w:eastAsia="仿宋_GB2312"/>
          <w:sz w:val="32"/>
        </w:rPr>
      </w:pPr>
      <w:r>
        <w:rPr>
          <w:rFonts w:hint="eastAsia" w:ascii="仿宋_GB2312" w:hAnsi="仿宋" w:eastAsia="仿宋_GB2312"/>
          <w:sz w:val="32"/>
        </w:rPr>
        <w:t>鄂环鄂评字[2023]</w:t>
      </w:r>
      <w:r>
        <w:rPr>
          <w:rFonts w:ascii="仿宋_GB2312" w:hAnsi="仿宋" w:eastAsia="仿宋_GB2312"/>
          <w:sz w:val="32"/>
        </w:rPr>
        <w:t>4</w:t>
      </w:r>
      <w:r>
        <w:rPr>
          <w:rFonts w:hint="eastAsia" w:ascii="仿宋_GB2312" w:hAnsi="仿宋" w:eastAsia="仿宋_GB2312"/>
          <w:sz w:val="32"/>
          <w:lang w:val="en-US" w:eastAsia="zh-CN"/>
        </w:rPr>
        <w:t>7</w:t>
      </w:r>
      <w:r>
        <w:rPr>
          <w:rFonts w:hint="eastAsia" w:ascii="仿宋_GB2312" w:hAnsi="仿宋" w:eastAsia="仿宋_GB2312"/>
          <w:sz w:val="32"/>
        </w:rPr>
        <w:t>号</w:t>
      </w:r>
    </w:p>
    <w:p>
      <w:pPr>
        <w:spacing w:line="640" w:lineRule="exact"/>
        <w:jc w:val="center"/>
        <w:rPr>
          <w:rFonts w:ascii="仿宋_GB2312" w:hAnsi="仿宋" w:eastAsia="仿宋_GB2312"/>
          <w:b/>
          <w:sz w:val="44"/>
        </w:rPr>
      </w:pPr>
    </w:p>
    <w:p>
      <w:pPr>
        <w:spacing w:line="560" w:lineRule="exact"/>
        <w:jc w:val="center"/>
        <w:rPr>
          <w:rFonts w:ascii="宋体" w:hAnsi="宋体" w:eastAsia="方正小标宋简体" w:cs="宋体"/>
          <w:sz w:val="44"/>
          <w:szCs w:val="44"/>
        </w:rPr>
      </w:pPr>
      <w:r>
        <w:rPr>
          <w:rFonts w:hint="eastAsia" w:ascii="宋体" w:hAnsi="宋体" w:eastAsia="方正小标宋简体" w:cs="宋体"/>
          <w:sz w:val="44"/>
          <w:szCs w:val="44"/>
        </w:rPr>
        <w:t>鄂尔多斯市生态环境局鄂托克旗分局关于</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鄂尔多斯市灏嵘环保有限责任公司机制砂选</w:t>
      </w:r>
    </w:p>
    <w:p>
      <w:pPr>
        <w:spacing w:line="560" w:lineRule="exact"/>
        <w:jc w:val="center"/>
        <w:rPr>
          <w:rFonts w:ascii="宋体" w:hAnsi="宋体" w:eastAsia="方正小标宋简体" w:cs="宋体"/>
          <w:sz w:val="44"/>
          <w:szCs w:val="44"/>
        </w:rPr>
      </w:pPr>
      <w:r>
        <w:rPr>
          <w:rFonts w:hint="eastAsia" w:ascii="方正小标宋简体" w:hAnsi="方正小标宋简体" w:eastAsia="方正小标宋简体" w:cs="方正小标宋简体"/>
          <w:sz w:val="44"/>
          <w:szCs w:val="44"/>
        </w:rPr>
        <w:t>项目环境影响报告表的批复</w:t>
      </w:r>
    </w:p>
    <w:p>
      <w:pPr>
        <w:spacing w:line="560" w:lineRule="exact"/>
        <w:rPr>
          <w:rFonts w:ascii="方正小标宋简体" w:hAnsi="方正小标宋简体" w:eastAsia="方正小标宋简体" w:cs="方正小标宋简体"/>
          <w:sz w:val="44"/>
          <w:szCs w:val="44"/>
        </w:rPr>
      </w:pPr>
    </w:p>
    <w:p>
      <w:pPr>
        <w:spacing w:line="436" w:lineRule="exact"/>
        <w:rPr>
          <w:rFonts w:ascii="仿宋_GB2312" w:hAnsi="仿宋" w:eastAsia="仿宋_GB2312"/>
          <w:sz w:val="32"/>
        </w:rPr>
      </w:pPr>
      <w:r>
        <w:rPr>
          <w:rFonts w:hint="eastAsia" w:ascii="仿宋_GB2312" w:hAnsi="仿宋" w:eastAsia="仿宋_GB2312"/>
          <w:sz w:val="32"/>
        </w:rPr>
        <w:t>鄂尔多斯市灏嵘环保有限责任公司：</w:t>
      </w:r>
    </w:p>
    <w:p>
      <w:pPr>
        <w:spacing w:line="436" w:lineRule="exact"/>
        <w:ind w:firstLine="640"/>
        <w:rPr>
          <w:rFonts w:ascii="仿宋_GB2312" w:hAnsi="仿宋" w:eastAsia="仿宋_GB2312"/>
          <w:sz w:val="32"/>
        </w:rPr>
      </w:pPr>
      <w:r>
        <w:rPr>
          <w:rFonts w:hint="eastAsia" w:ascii="仿宋_GB2312" w:hAnsi="仿宋" w:eastAsia="仿宋_GB2312"/>
          <w:sz w:val="32"/>
        </w:rPr>
        <w:t>你单位报送</w:t>
      </w:r>
      <w:r>
        <w:rPr>
          <w:rFonts w:hint="eastAsia" w:ascii="仿宋_GB2312" w:hAnsi="仿宋_GB2312" w:eastAsia="仿宋_GB2312" w:cs="仿宋_GB2312"/>
          <w:sz w:val="32"/>
          <w:szCs w:val="32"/>
        </w:rPr>
        <w:t>的由内蒙古金绿环保服务有限公司编制</w:t>
      </w:r>
      <w:r>
        <w:rPr>
          <w:rFonts w:hint="eastAsia" w:ascii="仿宋_GB2312" w:hAnsi="仿宋" w:eastAsia="仿宋_GB2312"/>
          <w:sz w:val="32"/>
        </w:rPr>
        <w:t>的《鄂尔多斯市灏嵘环保有限责任公司机制砂选项目环境影响报告表》（以下简称报告表）收悉，经审核，提出如下批复意见：</w:t>
      </w:r>
    </w:p>
    <w:p>
      <w:pPr>
        <w:spacing w:line="436" w:lineRule="exact"/>
        <w:ind w:firstLine="640" w:firstLineChars="200"/>
        <w:rPr>
          <w:rFonts w:ascii="仿宋_GB2312" w:hAnsi="仿宋_GB2312" w:eastAsia="仿宋_GB2312" w:cs="仿宋_GB2312"/>
          <w:sz w:val="32"/>
          <w:szCs w:val="32"/>
        </w:rPr>
      </w:pPr>
      <w:r>
        <w:rPr>
          <w:rFonts w:hint="eastAsia" w:ascii="仿宋_GB2312" w:hAnsi="仿宋" w:eastAsia="仿宋_GB2312"/>
          <w:sz w:val="32"/>
        </w:rPr>
        <w:t>一</w:t>
      </w:r>
      <w:r>
        <w:rPr>
          <w:rFonts w:hint="eastAsia" w:ascii="仿宋_GB2312" w:hAnsi="仿宋_GB2312" w:eastAsia="仿宋_GB2312" w:cs="仿宋_GB2312"/>
          <w:sz w:val="32"/>
          <w:szCs w:val="32"/>
        </w:rPr>
        <w:t>、本项目位于鄂托克旗棋盘井镇黑龙贵鄂托克旗红雨建材有限责任公司院内。项目总规模为年产30万吨建筑砂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分两期建设，</w:t>
      </w:r>
      <w:r>
        <w:rPr>
          <w:rFonts w:hint="eastAsia" w:ascii="仿宋_GB2312" w:hAnsi="仿宋_GB2312" w:eastAsia="仿宋_GB2312" w:cs="仿宋_GB2312"/>
          <w:sz w:val="32"/>
          <w:szCs w:val="32"/>
          <w:lang w:val="en-US" w:eastAsia="zh-CN"/>
        </w:rPr>
        <w:t>本次建设一期工程，新建一条建筑砂洗选线，生产规模为10万吨/年，</w:t>
      </w:r>
      <w:r>
        <w:rPr>
          <w:rFonts w:hint="eastAsia" w:ascii="仿宋_GB2312" w:hAnsi="仿宋_GB2312" w:eastAsia="仿宋_GB2312" w:cs="仿宋_GB2312"/>
          <w:sz w:val="32"/>
          <w:szCs w:val="32"/>
        </w:rPr>
        <w:t>不含破碎、加工等生产工序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建设内容由主体工程、公用工程、储运工程及环保工程等组成</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00万元，其中环保投资105.6万元。</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报告表》认为，在全面落实各项生态环境保护和环境污染防治措施的前提下，项目建设对环境的不利影响能够得到一定的缓解和控制。因此，我局原则同意你单位按照《报告表》中所列的项目性质、规模、地点、环境保护措施进行建设。</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二、建设单位在认真落实报告表中提出的污染防治和生态保护措施的同时，要做好以下工作：</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1、</w:t>
      </w:r>
      <w:r>
        <w:rPr>
          <w:rFonts w:hint="eastAsia" w:ascii="仿宋_GB2312" w:hAnsi="仿宋_GB2312" w:eastAsia="仿宋_GB2312" w:cs="仿宋_GB2312"/>
          <w:sz w:val="32"/>
          <w:szCs w:val="32"/>
        </w:rPr>
        <w:t>加强施工期环境管理。施工单位在土石方开挖及设备安装过程中应严格按照设计要求施工，尽可能缩小施工活动范围，施工场地四周须建立围挡，定期进行洒水和清扫；禁止在敏感建筑物集中区域内进行打桩、搅拌混凝土、鸣笛等活动；施工结束后须尽快对临时占地和周边进行生态植被恢复，防止水土流失；施工期产生的废水和固体废弃物要集中收集统一处置</w:t>
      </w:r>
      <w:r>
        <w:rPr>
          <w:rFonts w:hint="eastAsia" w:ascii="仿宋_GB2312" w:hAnsi="仿宋" w:eastAsia="仿宋_GB2312"/>
          <w:sz w:val="32"/>
        </w:rPr>
        <w:t>。</w:t>
      </w:r>
    </w:p>
    <w:p>
      <w:pPr>
        <w:spacing w:line="436" w:lineRule="exact"/>
        <w:ind w:firstLine="640" w:firstLineChars="200"/>
        <w:rPr>
          <w:rFonts w:ascii="仿宋_GB2312" w:hAnsi="仿宋" w:eastAsia="仿宋_GB2312"/>
          <w:color w:val="FF0000"/>
          <w:sz w:val="32"/>
          <w:highlight w:val="yellow"/>
        </w:rPr>
      </w:pPr>
      <w:r>
        <w:rPr>
          <w:rFonts w:hint="eastAsia" w:ascii="仿宋_GB2312" w:hAnsi="仿宋" w:eastAsia="仿宋_GB2312"/>
          <w:sz w:val="32"/>
        </w:rPr>
        <w:t>2、认真落实大气污染防治措施。</w:t>
      </w:r>
      <w:r>
        <w:rPr>
          <w:rFonts w:hint="eastAsia" w:ascii="仿宋_GB2312" w:hAnsi="仿宋" w:eastAsia="仿宋_GB2312"/>
          <w:sz w:val="32"/>
          <w:lang w:val="en-US" w:eastAsia="zh-CN"/>
        </w:rPr>
        <w:t>冬季</w:t>
      </w:r>
      <w:r>
        <w:rPr>
          <w:rFonts w:hint="eastAsia" w:ascii="仿宋_GB2312" w:hAnsi="仿宋" w:eastAsia="仿宋_GB2312"/>
          <w:sz w:val="32"/>
          <w:lang w:val="en-GB"/>
        </w:rPr>
        <w:t>采用电暖气供暖</w:t>
      </w:r>
      <w:r>
        <w:rPr>
          <w:rFonts w:hint="eastAsia" w:ascii="仿宋_GB2312" w:hAnsi="仿宋" w:eastAsia="仿宋_GB2312"/>
          <w:sz w:val="32"/>
        </w:rPr>
        <w:t>，办公区不得新建燃煤、燃油锅炉。原料、生产和产品车间须设置全封闭结构，</w:t>
      </w:r>
      <w:r>
        <w:rPr>
          <w:rFonts w:hint="eastAsia" w:ascii="仿宋_GB2312" w:hAnsi="仿宋" w:eastAsia="仿宋_GB2312"/>
          <w:sz w:val="32"/>
          <w:lang w:val="en-US" w:eastAsia="zh-CN"/>
        </w:rPr>
        <w:t>设置全封闭输送廊道，物料输送由全封闭式输送带输送</w:t>
      </w:r>
      <w:r>
        <w:rPr>
          <w:rFonts w:hint="eastAsia" w:ascii="仿宋_GB2312" w:hAnsi="仿宋" w:eastAsia="仿宋_GB2312"/>
          <w:sz w:val="32"/>
        </w:rPr>
        <w:t>；</w:t>
      </w:r>
      <w:r>
        <w:rPr>
          <w:rFonts w:hint="eastAsia" w:ascii="仿宋_GB2312" w:hAnsi="仿宋" w:eastAsia="仿宋_GB2312"/>
          <w:sz w:val="32"/>
          <w:lang w:val="en-US" w:eastAsia="zh-CN"/>
        </w:rPr>
        <w:t>运营期</w:t>
      </w:r>
      <w:r>
        <w:rPr>
          <w:rFonts w:hint="eastAsia" w:ascii="仿宋_GB2312" w:hAnsi="仿宋" w:eastAsia="仿宋_GB2312"/>
          <w:sz w:val="32"/>
        </w:rPr>
        <w:t>产生的粉尘设置喷淋洒水抑尘，确保粉尘排放执行《大气污染物综合排放标准》(GB16279-1996)中无组织排放监控浓度限值。加强运营期管理，厂区及运输道路硬化，定时洒水抑尘，同时加强对运输车辆的管理，减少扬尘污染。</w:t>
      </w:r>
    </w:p>
    <w:p>
      <w:pPr>
        <w:spacing w:line="436" w:lineRule="exact"/>
        <w:ind w:firstLine="640" w:firstLineChars="200"/>
        <w:rPr>
          <w:rFonts w:hint="default" w:ascii="仿宋_GB2312" w:hAnsi="仿宋" w:eastAsia="仿宋_GB2312"/>
          <w:sz w:val="32"/>
          <w:lang w:val="en-US" w:eastAsia="zh-CN"/>
        </w:rPr>
      </w:pPr>
      <w:r>
        <w:rPr>
          <w:rFonts w:hint="eastAsia" w:ascii="仿宋_GB2312" w:hAnsi="仿宋" w:eastAsia="仿宋_GB2312"/>
          <w:sz w:val="32"/>
        </w:rPr>
        <w:t>3、</w:t>
      </w:r>
      <w:r>
        <w:rPr>
          <w:rFonts w:hint="eastAsia" w:ascii="仿宋_GB2312" w:hAnsi="仿宋" w:eastAsia="仿宋_GB2312"/>
          <w:sz w:val="32"/>
          <w:szCs w:val="32"/>
        </w:rPr>
        <w:t>强化废水处理与回用。运营期生产用水不得取用地下水，并做好台账管理。</w:t>
      </w:r>
      <w:r>
        <w:rPr>
          <w:rFonts w:hint="eastAsia" w:ascii="仿宋_GB2312" w:hAnsi="仿宋" w:eastAsia="仿宋_GB2312"/>
          <w:sz w:val="32"/>
        </w:rPr>
        <w:t>洗砂水经</w:t>
      </w:r>
      <w:r>
        <w:rPr>
          <w:rFonts w:hint="eastAsia" w:ascii="仿宋_GB2312" w:hAnsi="仿宋" w:eastAsia="仿宋_GB2312"/>
          <w:sz w:val="32"/>
          <w:lang w:val="en-US" w:eastAsia="zh-CN"/>
        </w:rPr>
        <w:t>絮凝</w:t>
      </w:r>
      <w:r>
        <w:rPr>
          <w:rFonts w:hint="eastAsia" w:ascii="仿宋_GB2312" w:hAnsi="仿宋" w:eastAsia="仿宋_GB2312"/>
          <w:sz w:val="32"/>
        </w:rPr>
        <w:t>沉淀处理后回用于洗砂工序，不外排。生活污水由化粪池收集后由罐车拉运至棋盘井镇</w:t>
      </w:r>
      <w:r>
        <w:rPr>
          <w:rFonts w:hint="eastAsia" w:ascii="仿宋_GB2312" w:hAnsi="仿宋" w:eastAsia="仿宋_GB2312"/>
          <w:sz w:val="32"/>
          <w:lang w:val="en-US" w:eastAsia="zh-CN"/>
        </w:rPr>
        <w:t>生活</w:t>
      </w:r>
      <w:r>
        <w:rPr>
          <w:rFonts w:hint="eastAsia" w:ascii="仿宋_GB2312" w:hAnsi="仿宋" w:eastAsia="仿宋_GB2312"/>
          <w:sz w:val="32"/>
        </w:rPr>
        <w:t>污水处理厂</w:t>
      </w:r>
      <w:r>
        <w:rPr>
          <w:rFonts w:hint="eastAsia" w:ascii="仿宋_GB2312" w:hAnsi="仿宋" w:eastAsia="仿宋_GB2312"/>
          <w:sz w:val="32"/>
          <w:lang w:eastAsia="zh-CN"/>
        </w:rPr>
        <w:t>，</w:t>
      </w:r>
      <w:r>
        <w:rPr>
          <w:rFonts w:hint="eastAsia" w:ascii="仿宋_GB2312" w:hAnsi="仿宋" w:eastAsia="仿宋_GB2312"/>
          <w:sz w:val="32"/>
          <w:lang w:val="en-US" w:eastAsia="zh-CN"/>
        </w:rPr>
        <w:t>不得外排。</w:t>
      </w:r>
      <w:bookmarkStart w:id="0" w:name="_GoBack"/>
      <w:bookmarkEnd w:id="0"/>
    </w:p>
    <w:p>
      <w:pPr>
        <w:spacing w:line="436" w:lineRule="exact"/>
        <w:ind w:firstLine="640" w:firstLineChars="200"/>
        <w:rPr>
          <w:rFonts w:ascii="仿宋_GB2312" w:hAnsi="仿宋" w:eastAsia="仿宋_GB2312"/>
          <w:sz w:val="32"/>
        </w:rPr>
      </w:pPr>
      <w:r>
        <w:rPr>
          <w:rFonts w:hint="eastAsia" w:ascii="仿宋_GB2312" w:hAnsi="仿宋" w:eastAsia="仿宋_GB2312"/>
          <w:sz w:val="32"/>
        </w:rPr>
        <w:t>4、妥善处置各类固体废物。</w:t>
      </w:r>
      <w:r>
        <w:rPr>
          <w:rFonts w:hint="eastAsia" w:ascii="仿宋_GB2312" w:hAnsi="仿宋" w:eastAsia="仿宋_GB2312"/>
          <w:sz w:val="32"/>
          <w:lang w:val="en-US" w:eastAsia="zh-CN"/>
        </w:rPr>
        <w:t>生活垃圾</w:t>
      </w:r>
      <w:r>
        <w:rPr>
          <w:rFonts w:hint="eastAsia" w:ascii="仿宋_GB2312" w:hAnsi="仿宋" w:eastAsia="仿宋_GB2312"/>
          <w:sz w:val="32"/>
        </w:rPr>
        <w:t>设置垃圾箱集中收集后，统一交由环卫部门处理</w:t>
      </w:r>
      <w:r>
        <w:rPr>
          <w:rFonts w:hint="eastAsia" w:ascii="仿宋_GB2312" w:hAnsi="仿宋" w:eastAsia="仿宋_GB2312"/>
          <w:sz w:val="32"/>
          <w:lang w:eastAsia="zh-CN"/>
        </w:rPr>
        <w:t>；</w:t>
      </w:r>
      <w:r>
        <w:rPr>
          <w:rFonts w:hint="eastAsia" w:ascii="仿宋_GB2312" w:hAnsi="仿宋" w:eastAsia="仿宋_GB2312"/>
          <w:sz w:val="32"/>
          <w:lang w:val="en-US" w:eastAsia="zh-CN"/>
        </w:rPr>
        <w:t>压滤</w:t>
      </w:r>
      <w:r>
        <w:rPr>
          <w:rFonts w:hint="eastAsia" w:ascii="仿宋_GB2312" w:hAnsi="仿宋" w:eastAsia="仿宋_GB2312"/>
          <w:sz w:val="32"/>
        </w:rPr>
        <w:t>泥饼暂存在一般固废暂存间</w:t>
      </w:r>
      <w:r>
        <w:rPr>
          <w:rFonts w:hint="eastAsia" w:ascii="仿宋_GB2312" w:hAnsi="仿宋" w:eastAsia="仿宋_GB2312"/>
          <w:sz w:val="32"/>
          <w:lang w:val="en-US" w:eastAsia="zh-CN"/>
        </w:rPr>
        <w:t>后综合外售</w:t>
      </w:r>
      <w:r>
        <w:rPr>
          <w:rFonts w:hint="eastAsia" w:ascii="仿宋_GB2312" w:hAnsi="仿宋" w:eastAsia="仿宋_GB2312"/>
          <w:sz w:val="32"/>
        </w:rPr>
        <w:t>；危险废物暂存至危废库</w:t>
      </w:r>
      <w:r>
        <w:rPr>
          <w:rFonts w:hint="eastAsia" w:ascii="仿宋_GB2312" w:hAnsi="仿宋" w:eastAsia="仿宋_GB2312"/>
          <w:sz w:val="32"/>
          <w:lang w:val="en-US" w:eastAsia="zh-CN"/>
        </w:rPr>
        <w:t>内</w:t>
      </w:r>
      <w:r>
        <w:rPr>
          <w:rFonts w:hint="eastAsia" w:ascii="仿宋_GB2312" w:hAnsi="仿宋" w:eastAsia="仿宋_GB2312"/>
          <w:sz w:val="32"/>
        </w:rPr>
        <w:t>，定期交由有资质单位进行处置。建设单位须严格按照《一般工业固体废物贮存和填埋污染控制标准》(GB18599-2020)和《危险废物贮存污染控制标准》（GB18597-2023）要求对一般固废和危险废物进行处置，不得外排。</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5、应采取妥善控制措施，确保厂界噪声满足《工业企业厂界环境噪声排放标准》（GB12348-2008）2类标准要求。</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6、按照报告表的要求做好厂区硬化、绿化工作。</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7、建设单位须强化环境风险防范。制定环境风险应急预案，落实环境风险事故防范措施，提高事故风险防范和污染控制能力。</w:t>
      </w:r>
    </w:p>
    <w:p>
      <w:pPr>
        <w:spacing w:line="436" w:lineRule="exact"/>
        <w:ind w:firstLine="640" w:firstLineChars="200"/>
        <w:rPr>
          <w:rFonts w:ascii="仿宋_GB2312" w:hAnsi="仿宋" w:eastAsia="仿宋_GB2312"/>
          <w:sz w:val="32"/>
        </w:rPr>
      </w:pPr>
      <w:r>
        <w:rPr>
          <w:rFonts w:hint="eastAsia" w:ascii="仿宋_GB2312" w:hAnsi="仿宋" w:eastAsia="仿宋_GB2312"/>
          <w:sz w:val="32"/>
        </w:rPr>
        <w:t>三、项目建成后，按规定程序实施环境保护竣工验收，验收合格后方可正式投入运行。</w:t>
      </w:r>
    </w:p>
    <w:p>
      <w:pPr>
        <w:spacing w:line="436" w:lineRule="exact"/>
        <w:ind w:firstLine="640" w:firstLineChars="200"/>
        <w:rPr>
          <w:rFonts w:ascii="仿宋_GB2312" w:hAnsi="仿宋_GB2312" w:eastAsia="仿宋_GB2312" w:cs="仿宋_GB2312"/>
          <w:sz w:val="32"/>
        </w:rPr>
      </w:pPr>
      <w:r>
        <w:rPr>
          <w:rFonts w:hint="eastAsia" w:ascii="仿宋_GB2312" w:hAnsi="仿宋" w:eastAsia="仿宋_GB2312"/>
          <w:sz w:val="32"/>
        </w:rPr>
        <w:t>四、由鄂尔多斯市生态环境综合行政执法支队鄂托克旗大队负责该项目的日常监管工作</w:t>
      </w:r>
      <w:r>
        <w:rPr>
          <w:rFonts w:hint="eastAsia" w:ascii="仿宋_GB2312" w:hAnsi="仿宋_GB2312" w:eastAsia="仿宋_GB2312" w:cs="仿宋_GB2312"/>
          <w:sz w:val="32"/>
        </w:rPr>
        <w:t>。</w:t>
      </w:r>
    </w:p>
    <w:p>
      <w:pPr>
        <w:spacing w:line="436" w:lineRule="exact"/>
        <w:ind w:firstLine="640" w:firstLineChars="200"/>
        <w:rPr>
          <w:rFonts w:ascii="宋体" w:hAnsi="宋体" w:eastAsia="方正小标宋简体" w:cs="宋体"/>
          <w:bCs/>
          <w:sz w:val="44"/>
          <w:szCs w:val="44"/>
        </w:rPr>
      </w:pPr>
      <w:r>
        <w:rPr>
          <w:rFonts w:hint="eastAsia" w:ascii="仿宋_GB2312" w:hAnsi="仿宋" w:eastAsia="仿宋_GB2312"/>
          <w:sz w:val="32"/>
        </w:rPr>
        <w:t>五、该项目如果建设地点、规模、工艺、防治污染和防止生态破坏的措施等发生重大变化时，需重新报批环评文件。</w:t>
      </w:r>
    </w:p>
    <w:p>
      <w:pPr>
        <w:spacing w:line="436" w:lineRule="exact"/>
        <w:rPr>
          <w:rFonts w:ascii="宋体" w:hAnsi="宋体" w:eastAsia="方正小标宋简体" w:cs="宋体"/>
          <w:bCs/>
          <w:sz w:val="44"/>
          <w:szCs w:val="44"/>
        </w:rPr>
      </w:pPr>
    </w:p>
    <w:p>
      <w:pPr>
        <w:spacing w:line="436" w:lineRule="exact"/>
        <w:rPr>
          <w:rFonts w:ascii="宋体" w:hAnsi="宋体" w:eastAsia="方正小标宋简体" w:cs="宋体"/>
          <w:bCs/>
          <w:sz w:val="44"/>
          <w:szCs w:val="44"/>
        </w:rPr>
      </w:pPr>
    </w:p>
    <w:p>
      <w:pPr>
        <w:pStyle w:val="2"/>
        <w:rPr>
          <w:rFonts w:ascii="宋体" w:hAnsi="宋体" w:eastAsia="方正小标宋简体"/>
          <w:bCs/>
          <w:sz w:val="44"/>
          <w:szCs w:val="44"/>
        </w:rPr>
      </w:pPr>
    </w:p>
    <w:p>
      <w:pPr>
        <w:pStyle w:val="2"/>
        <w:rPr>
          <w:rFonts w:ascii="宋体" w:hAnsi="宋体" w:eastAsia="方正小标宋简体"/>
          <w:bCs/>
          <w:sz w:val="44"/>
          <w:szCs w:val="44"/>
        </w:rPr>
      </w:pPr>
    </w:p>
    <w:p>
      <w:pPr>
        <w:pStyle w:val="2"/>
        <w:rPr>
          <w:rFonts w:ascii="宋体" w:hAnsi="宋体" w:eastAsia="方正小标宋简体"/>
          <w:bCs/>
          <w:sz w:val="44"/>
          <w:szCs w:val="44"/>
        </w:rPr>
      </w:pPr>
    </w:p>
    <w:p>
      <w:pPr>
        <w:pStyle w:val="2"/>
        <w:rPr>
          <w:rFonts w:hint="eastAsia" w:ascii="宋体" w:hAnsi="宋体" w:eastAsia="方正小标宋简体"/>
          <w:bCs/>
          <w:sz w:val="44"/>
          <w:szCs w:val="44"/>
        </w:rPr>
      </w:pPr>
    </w:p>
    <w:p>
      <w:pPr>
        <w:spacing w:line="436" w:lineRule="exact"/>
        <w:rPr>
          <w:rFonts w:ascii="宋体" w:hAnsi="宋体" w:eastAsia="方正小标宋简体" w:cs="宋体"/>
          <w:bCs/>
          <w:sz w:val="44"/>
          <w:szCs w:val="44"/>
        </w:rPr>
      </w:pPr>
    </w:p>
    <w:p>
      <w:pPr>
        <w:pStyle w:val="2"/>
        <w:ind w:firstLine="0"/>
        <w:rPr>
          <w:rFonts w:ascii="宋体" w:hAnsi="宋体" w:eastAsia="方正小标宋简体"/>
          <w:bCs/>
          <w:sz w:val="44"/>
          <w:szCs w:val="44"/>
        </w:rPr>
      </w:pPr>
    </w:p>
    <w:p>
      <w:pPr>
        <w:spacing w:line="430" w:lineRule="exact"/>
        <w:ind w:firstLine="640" w:firstLineChars="200"/>
        <w:rPr>
          <w:rFonts w:ascii="仿宋_GB2312" w:hAnsi="仿宋" w:eastAsia="仿宋_GB2312"/>
          <w:sz w:val="32"/>
        </w:rPr>
      </w:pPr>
      <w:r>
        <w:rPr>
          <w:rFonts w:hint="eastAsia" w:ascii="仿宋_GB2312" w:hAnsi="仿宋_GB2312" w:eastAsia="仿宋_GB2312" w:cs="仿宋_GB2312"/>
          <w:sz w:val="32"/>
          <w:szCs w:val="32"/>
        </w:rPr>
        <w:t xml:space="preserve">                    </w:t>
      </w:r>
      <w:r>
        <w:rPr>
          <w:rFonts w:hint="eastAsia" w:ascii="仿宋_GB2312" w:hAnsi="仿宋" w:eastAsia="仿宋_GB2312"/>
          <w:sz w:val="32"/>
        </w:rPr>
        <w:t>鄂尔多斯市生态环境局鄂托克旗分局</w:t>
      </w:r>
    </w:p>
    <w:p>
      <w:pPr>
        <w:spacing w:line="430" w:lineRule="exact"/>
        <w:rPr>
          <w:rFonts w:ascii="仿宋_GB2312" w:hAnsi="仿宋" w:eastAsia="仿宋_GB2312"/>
          <w:sz w:val="32"/>
        </w:rPr>
      </w:pPr>
      <w:r>
        <w:rPr>
          <w:rFonts w:hint="eastAsia" w:ascii="仿宋_GB2312" w:hAnsi="仿宋" w:eastAsia="仿宋_GB2312"/>
          <w:sz w:val="32"/>
        </w:rPr>
        <w:t xml:space="preserve">                               2023年</w:t>
      </w:r>
      <w:r>
        <w:rPr>
          <w:rFonts w:ascii="仿宋_GB2312" w:hAnsi="仿宋" w:eastAsia="仿宋_GB2312"/>
          <w:sz w:val="32"/>
        </w:rPr>
        <w:t>12</w:t>
      </w:r>
      <w:r>
        <w:rPr>
          <w:rFonts w:hint="eastAsia" w:ascii="仿宋_GB2312" w:hAnsi="仿宋" w:eastAsia="仿宋_GB2312"/>
          <w:sz w:val="32"/>
        </w:rPr>
        <w:t>月</w:t>
      </w:r>
      <w:r>
        <w:rPr>
          <w:rFonts w:ascii="仿宋_GB2312" w:hAnsi="仿宋" w:eastAsia="仿宋_GB2312"/>
          <w:sz w:val="32"/>
        </w:rPr>
        <w:t>12</w:t>
      </w:r>
      <w:r>
        <w:rPr>
          <w:rFonts w:hint="eastAsia" w:ascii="仿宋_GB2312" w:hAnsi="仿宋" w:eastAsia="仿宋_GB2312"/>
          <w:sz w:val="32"/>
        </w:rPr>
        <w:t>日</w:t>
      </w:r>
    </w:p>
    <w:p>
      <w:pPr>
        <w:tabs>
          <w:tab w:val="left" w:pos="8190"/>
        </w:tabs>
        <w:spacing w:line="430" w:lineRule="exact"/>
        <w:rPr>
          <w:rFonts w:ascii="仿宋_GB2312" w:hAnsi="仿宋" w:eastAsia="仿宋_GB2312"/>
          <w:sz w:val="32"/>
        </w:rPr>
      </w:pPr>
    </w:p>
    <w:p/>
    <w:p>
      <w:pPr>
        <w:pStyle w:val="3"/>
      </w:pPr>
    </w:p>
    <w:p>
      <w:pPr>
        <w:pStyle w:val="4"/>
      </w:pPr>
    </w:p>
    <w:p/>
    <w:p>
      <w:pPr>
        <w:pStyle w:val="2"/>
      </w:pPr>
    </w:p>
    <w:p>
      <w:pPr>
        <w:pStyle w:val="2"/>
      </w:pPr>
    </w:p>
    <w:p>
      <w:pPr>
        <w:pStyle w:val="2"/>
        <w:ind w:firstLine="0"/>
      </w:pPr>
    </w:p>
    <w:p>
      <w:pPr>
        <w:pStyle w:val="2"/>
        <w:ind w:firstLine="0"/>
      </w:pPr>
    </w:p>
    <w:p>
      <w:pPr>
        <w:pStyle w:val="4"/>
      </w:pPr>
    </w:p>
    <w:p/>
    <w:p>
      <w:pPr>
        <w:spacing w:line="430" w:lineRule="exact"/>
      </w:pPr>
      <w:r>
        <w:rPr>
          <w:rFonts w:hint="eastAsia" w:ascii="仿宋_GB2312" w:hAnsi="仿宋_GB2312" w:eastAsia="仿宋_GB2312" w:cs="仿宋_GB2312"/>
          <w:b/>
          <w:sz w:val="32"/>
          <w:u w:val="single"/>
        </w:rPr>
        <w:t xml:space="preserve">                                                        </w:t>
      </w:r>
      <w:r>
        <w:rPr>
          <w:rFonts w:hint="eastAsia" w:ascii="仿宋_GB2312" w:hAnsi="仿宋_GB2312" w:eastAsia="仿宋_GB2312" w:cs="仿宋_GB2312"/>
          <w:sz w:val="32"/>
          <w:u w:val="single"/>
        </w:rPr>
        <w:t>鄂尔多斯市生态环境局鄂托克旗分局   2023年</w:t>
      </w:r>
      <w:r>
        <w:rPr>
          <w:rFonts w:ascii="仿宋_GB2312" w:hAnsi="仿宋_GB2312" w:eastAsia="仿宋_GB2312" w:cs="仿宋_GB2312"/>
          <w:sz w:val="32"/>
          <w:u w:val="single"/>
        </w:rPr>
        <w:t>12</w:t>
      </w:r>
      <w:r>
        <w:rPr>
          <w:rFonts w:hint="eastAsia" w:ascii="仿宋_GB2312" w:hAnsi="仿宋_GB2312" w:eastAsia="仿宋_GB2312" w:cs="仿宋_GB2312"/>
          <w:sz w:val="32"/>
          <w:u w:val="single"/>
        </w:rPr>
        <w:t>月1</w:t>
      </w:r>
      <w:r>
        <w:rPr>
          <w:rFonts w:ascii="仿宋_GB2312" w:hAnsi="仿宋_GB2312" w:eastAsia="仿宋_GB2312" w:cs="仿宋_GB2312"/>
          <w:sz w:val="32"/>
          <w:u w:val="single"/>
        </w:rPr>
        <w:t>2</w:t>
      </w:r>
      <w:r>
        <w:rPr>
          <w:rFonts w:hint="eastAsia" w:ascii="仿宋_GB2312" w:hAnsi="仿宋_GB2312" w:eastAsia="仿宋_GB2312" w:cs="仿宋_GB2312"/>
          <w:sz w:val="32"/>
          <w:u w:val="single"/>
        </w:rPr>
        <w:t xml:space="preserve">日印发 </w:t>
      </w:r>
      <w:r>
        <w:rPr>
          <w:rFonts w:hint="eastAsia" w:ascii="仿宋" w:hAnsi="仿宋" w:eastAsia="仿宋"/>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wNWM1OGEyNjc3OTk1Y2Y5ZmU2OTY1Y2U3NWJmYTIifQ=="/>
  </w:docVars>
  <w:rsids>
    <w:rsidRoot w:val="1B251731"/>
    <w:rsid w:val="00494FFE"/>
    <w:rsid w:val="00635BA6"/>
    <w:rsid w:val="007D295C"/>
    <w:rsid w:val="008B1665"/>
    <w:rsid w:val="00AD7B29"/>
    <w:rsid w:val="00B25C5C"/>
    <w:rsid w:val="00CC405F"/>
    <w:rsid w:val="00E82676"/>
    <w:rsid w:val="0662057C"/>
    <w:rsid w:val="067D2A36"/>
    <w:rsid w:val="0B0962BE"/>
    <w:rsid w:val="1022744E"/>
    <w:rsid w:val="1B251731"/>
    <w:rsid w:val="1B705904"/>
    <w:rsid w:val="1EF225AB"/>
    <w:rsid w:val="1FC5739E"/>
    <w:rsid w:val="2167670B"/>
    <w:rsid w:val="25C6070A"/>
    <w:rsid w:val="2AE00AEA"/>
    <w:rsid w:val="2F132D34"/>
    <w:rsid w:val="332130EA"/>
    <w:rsid w:val="339B728A"/>
    <w:rsid w:val="37C1726A"/>
    <w:rsid w:val="3A986928"/>
    <w:rsid w:val="3F171A37"/>
    <w:rsid w:val="412C6EF7"/>
    <w:rsid w:val="43985FB5"/>
    <w:rsid w:val="455E5556"/>
    <w:rsid w:val="473F6506"/>
    <w:rsid w:val="49DB4248"/>
    <w:rsid w:val="4A2B23C2"/>
    <w:rsid w:val="55FA5590"/>
    <w:rsid w:val="66471104"/>
    <w:rsid w:val="66D67546"/>
    <w:rsid w:val="694D25CC"/>
    <w:rsid w:val="6B0A3FAC"/>
    <w:rsid w:val="6B6D1A20"/>
    <w:rsid w:val="6F4473B7"/>
    <w:rsid w:val="73407C59"/>
    <w:rsid w:val="76695353"/>
    <w:rsid w:val="7DD06166"/>
    <w:rsid w:val="7E10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styleId="3">
    <w:name w:val="Normal Indent"/>
    <w:basedOn w:val="1"/>
    <w:next w:val="4"/>
    <w:qFormat/>
    <w:uiPriority w:val="0"/>
    <w:pPr>
      <w:adjustRightInd w:val="0"/>
      <w:spacing w:line="480" w:lineRule="atLeast"/>
      <w:ind w:firstLine="595"/>
      <w:textAlignment w:val="baseline"/>
    </w:pPr>
    <w:rPr>
      <w:kern w:val="0"/>
      <w:sz w:val="28"/>
    </w:rPr>
  </w:style>
  <w:style w:type="paragraph" w:styleId="4">
    <w:name w:val="Body Text First Indent 2"/>
    <w:basedOn w:val="5"/>
    <w:next w:val="1"/>
    <w:qFormat/>
    <w:uiPriority w:val="0"/>
    <w:pPr>
      <w:spacing w:after="120" w:line="240" w:lineRule="auto"/>
      <w:ind w:left="420" w:leftChars="200" w:firstLine="420" w:firstLineChars="200"/>
    </w:pPr>
  </w:style>
  <w:style w:type="paragraph" w:styleId="5">
    <w:name w:val="Body Text Indent"/>
    <w:basedOn w:val="1"/>
    <w:next w:val="1"/>
    <w:qFormat/>
    <w:uiPriority w:val="0"/>
    <w:pPr>
      <w:spacing w:line="300" w:lineRule="exact"/>
      <w:ind w:firstLine="538"/>
    </w:pPr>
  </w:style>
  <w:style w:type="paragraph" w:styleId="6">
    <w:name w:val="footer"/>
    <w:basedOn w:val="1"/>
    <w:link w:val="12"/>
    <w:uiPriority w:val="0"/>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10">
    <w:name w:val="fontstyle01"/>
    <w:basedOn w:val="9"/>
    <w:qFormat/>
    <w:uiPriority w:val="0"/>
    <w:rPr>
      <w:rFonts w:ascii="宋体" w:hAnsi="宋体" w:eastAsia="宋体" w:cs="宋体"/>
      <w:color w:val="000000"/>
      <w:sz w:val="52"/>
      <w:szCs w:val="52"/>
    </w:rPr>
  </w:style>
  <w:style w:type="character" w:customStyle="1" w:styleId="11">
    <w:name w:val="页眉 字符"/>
    <w:basedOn w:val="9"/>
    <w:link w:val="7"/>
    <w:uiPriority w:val="0"/>
    <w:rPr>
      <w:rFonts w:ascii="Times New Roman" w:hAnsi="Times New Roman" w:eastAsia="宋体" w:cs="Times New Roman"/>
      <w:kern w:val="2"/>
      <w:sz w:val="18"/>
      <w:szCs w:val="18"/>
    </w:rPr>
  </w:style>
  <w:style w:type="character" w:customStyle="1" w:styleId="12">
    <w:name w:val="页脚 字符"/>
    <w:basedOn w:val="9"/>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1291</Words>
  <Characters>240</Characters>
  <Lines>2</Lines>
  <Paragraphs>3</Paragraphs>
  <TotalTime>1</TotalTime>
  <ScaleCrop>false</ScaleCrop>
  <LinksUpToDate>false</LinksUpToDate>
  <CharactersWithSpaces>1528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2023-12-11T02:47:00Z</dcterms:created>
  <dc:creator>WPS_1178734742</dc:creator>
  <cp:lastModifiedBy>YANGYU</cp:lastModifiedBy>
  <cp:lastPrinted>2023-05-10T01:24:00Z</cp:lastPrinted>
  <dcterms:modified xsi:type="dcterms:W3CDTF">2023-12-12T06:53:09Z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6BC5CC0470DD485CBF715FDD61BFC0B3_13</vt:lpwstr>
  </property>
</Properties>
</file>