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1F325BE">
      <w:pPr>
        <w:rPr>
          <w:sz w:val="36"/>
          <w:szCs w:val="36"/>
        </w:rPr>
      </w:pPr>
    </w:p>
    <w:p w14:paraId="768AE487">
      <w:pPr>
        <w:rPr>
          <w:sz w:val="36"/>
          <w:szCs w:val="36"/>
        </w:rPr>
      </w:pPr>
    </w:p>
    <w:p w14:paraId="50626BC8">
      <w:pPr>
        <w:rPr>
          <w:sz w:val="36"/>
          <w:szCs w:val="36"/>
        </w:rPr>
      </w:pPr>
    </w:p>
    <w:p w14:paraId="21559BBE">
      <w:pPr>
        <w:rPr>
          <w:sz w:val="36"/>
          <w:szCs w:val="36"/>
        </w:rPr>
      </w:pPr>
    </w:p>
    <w:p w14:paraId="48DB84D3">
      <w:pPr>
        <w:rPr>
          <w:sz w:val="36"/>
          <w:szCs w:val="36"/>
        </w:rPr>
      </w:pPr>
    </w:p>
    <w:p w14:paraId="05BB89C4">
      <w:pPr>
        <w:adjustRightInd w:val="0"/>
        <w:snapToGrid w:val="0"/>
        <w:jc w:val="center"/>
        <w:outlineLvl w:val="0"/>
        <w:rPr>
          <w:bCs/>
          <w:sz w:val="72"/>
          <w:szCs w:val="72"/>
        </w:rPr>
      </w:pPr>
      <w:r>
        <w:rPr>
          <w:bCs/>
          <w:sz w:val="72"/>
          <w:szCs w:val="72"/>
        </w:rPr>
        <w:t>建设项目环境影响报告表</w:t>
      </w:r>
    </w:p>
    <w:p w14:paraId="04FD1B9F">
      <w:pPr>
        <w:adjustRightInd w:val="0"/>
        <w:snapToGrid w:val="0"/>
        <w:spacing w:before="192" w:beforeLines="80"/>
        <w:jc w:val="center"/>
        <w:rPr>
          <w:bCs/>
          <w:sz w:val="48"/>
          <w:szCs w:val="48"/>
        </w:rPr>
      </w:pPr>
      <w:r>
        <w:rPr>
          <w:bCs/>
          <w:sz w:val="48"/>
          <w:szCs w:val="48"/>
        </w:rPr>
        <w:t>（污染影响类）</w:t>
      </w:r>
    </w:p>
    <w:p w14:paraId="441837C2">
      <w:pPr>
        <w:adjustRightInd w:val="0"/>
        <w:snapToGrid w:val="0"/>
        <w:spacing w:line="288" w:lineRule="auto"/>
        <w:jc w:val="center"/>
        <w:outlineLvl w:val="0"/>
        <w:rPr>
          <w:kern w:val="44"/>
          <w:sz w:val="44"/>
          <w:szCs w:val="44"/>
        </w:rPr>
      </w:pPr>
    </w:p>
    <w:p w14:paraId="173DE48E">
      <w:pPr>
        <w:jc w:val="center"/>
        <w:rPr>
          <w:sz w:val="52"/>
          <w:szCs w:val="52"/>
        </w:rPr>
      </w:pPr>
    </w:p>
    <w:p w14:paraId="448DD621">
      <w:pPr>
        <w:ind w:firstLine="1040"/>
        <w:rPr>
          <w:sz w:val="44"/>
          <w:szCs w:val="44"/>
        </w:rPr>
      </w:pPr>
    </w:p>
    <w:p w14:paraId="1431782E">
      <w:pPr>
        <w:ind w:firstLine="1040"/>
        <w:rPr>
          <w:sz w:val="44"/>
          <w:szCs w:val="44"/>
        </w:rPr>
      </w:pPr>
    </w:p>
    <w:p w14:paraId="56EF64B8">
      <w:pPr>
        <w:ind w:firstLine="1040"/>
        <w:rPr>
          <w:sz w:val="44"/>
          <w:szCs w:val="44"/>
        </w:rPr>
      </w:pPr>
    </w:p>
    <w:p w14:paraId="17BB50E7">
      <w:pPr>
        <w:ind w:firstLine="1040"/>
        <w:rPr>
          <w:sz w:val="44"/>
          <w:szCs w:val="44"/>
        </w:rPr>
      </w:pPr>
    </w:p>
    <w:p w14:paraId="6181DABB">
      <w:pPr>
        <w:adjustRightInd w:val="0"/>
        <w:snapToGrid w:val="0"/>
        <w:spacing w:line="288" w:lineRule="auto"/>
        <w:ind w:firstLine="1040"/>
        <w:rPr>
          <w:sz w:val="36"/>
          <w:szCs w:val="36"/>
          <w:u w:val="single"/>
        </w:rPr>
      </w:pPr>
      <w:r>
        <w:rPr>
          <w:sz w:val="36"/>
          <w:szCs w:val="36"/>
        </w:rPr>
        <w:t xml:space="preserve">项目名称： </w:t>
      </w:r>
      <w:r>
        <w:rPr>
          <w:sz w:val="36"/>
          <w:szCs w:val="36"/>
          <w:u w:val="single"/>
        </w:rPr>
        <w:t>内蒙古恒泽鑫建筑材料销售有限公司</w:t>
      </w:r>
    </w:p>
    <w:p w14:paraId="6DDD14EA">
      <w:pPr>
        <w:adjustRightInd w:val="0"/>
        <w:snapToGrid w:val="0"/>
        <w:spacing w:line="288" w:lineRule="auto"/>
        <w:ind w:firstLine="3218" w:firstLineChars="894"/>
        <w:rPr>
          <w:sz w:val="36"/>
          <w:szCs w:val="36"/>
          <w:u w:val="single"/>
        </w:rPr>
      </w:pPr>
      <w:r>
        <w:rPr>
          <w:sz w:val="36"/>
          <w:szCs w:val="36"/>
          <w:u w:val="single"/>
        </w:rPr>
        <w:t>40万</w:t>
      </w:r>
      <w:r>
        <w:rPr>
          <w:color w:val="FF0000"/>
          <w:sz w:val="36"/>
          <w:szCs w:val="36"/>
          <w:u w:val="single"/>
        </w:rPr>
        <w:t>立方</w:t>
      </w:r>
      <w:r>
        <w:rPr>
          <w:rFonts w:hint="eastAsia"/>
          <w:color w:val="FF0000"/>
          <w:sz w:val="36"/>
          <w:szCs w:val="36"/>
          <w:u w:val="single"/>
          <w:lang w:val="en-US" w:eastAsia="zh-CN"/>
        </w:rPr>
        <w:t>米</w:t>
      </w:r>
      <w:r>
        <w:rPr>
          <w:sz w:val="36"/>
          <w:szCs w:val="36"/>
          <w:u w:val="single"/>
        </w:rPr>
        <w:t>/年预拌混凝土项目</w:t>
      </w:r>
    </w:p>
    <w:p w14:paraId="41BD4745">
      <w:pPr>
        <w:adjustRightInd w:val="0"/>
        <w:snapToGrid w:val="0"/>
        <w:spacing w:line="288" w:lineRule="auto"/>
        <w:ind w:firstLine="1040"/>
        <w:rPr>
          <w:sz w:val="36"/>
          <w:szCs w:val="36"/>
          <w:u w:val="single"/>
        </w:rPr>
      </w:pPr>
      <w:r>
        <w:rPr>
          <w:sz w:val="36"/>
          <w:szCs w:val="36"/>
        </w:rPr>
        <w:t>建设单位（盖章）：</w:t>
      </w:r>
      <w:r>
        <w:rPr>
          <w:sz w:val="36"/>
          <w:szCs w:val="36"/>
          <w:u w:val="single"/>
        </w:rPr>
        <w:t>内蒙古恒泽鑫建筑材料销售有</w:t>
      </w:r>
    </w:p>
    <w:p w14:paraId="77EC3A3A">
      <w:pPr>
        <w:adjustRightInd w:val="0"/>
        <w:snapToGrid w:val="0"/>
        <w:spacing w:line="288" w:lineRule="auto"/>
        <w:ind w:firstLine="4294" w:firstLineChars="1193"/>
        <w:rPr>
          <w:sz w:val="36"/>
          <w:szCs w:val="36"/>
          <w:u w:val="single"/>
        </w:rPr>
      </w:pPr>
      <w:r>
        <w:rPr>
          <w:sz w:val="36"/>
          <w:szCs w:val="36"/>
          <w:u w:val="single"/>
        </w:rPr>
        <w:t>限公司</w:t>
      </w:r>
    </w:p>
    <w:p w14:paraId="459F31E1">
      <w:pPr>
        <w:adjustRightInd w:val="0"/>
        <w:snapToGrid w:val="0"/>
        <w:spacing w:line="288" w:lineRule="auto"/>
        <w:ind w:firstLine="1040"/>
        <w:rPr>
          <w:sz w:val="36"/>
          <w:szCs w:val="36"/>
          <w:u w:val="single"/>
        </w:rPr>
      </w:pPr>
      <w:r>
        <w:rPr>
          <w:sz w:val="36"/>
          <w:szCs w:val="36"/>
        </w:rPr>
        <w:t>编制日期：</w:t>
      </w:r>
      <w:r>
        <w:rPr>
          <w:sz w:val="36"/>
          <w:szCs w:val="36"/>
          <w:u w:val="single"/>
        </w:rPr>
        <w:t xml:space="preserve">           2024年</w:t>
      </w:r>
      <w:r>
        <w:rPr>
          <w:rFonts w:hint="eastAsia"/>
          <w:sz w:val="36"/>
          <w:szCs w:val="36"/>
          <w:u w:val="single"/>
          <w:lang w:val="en-US" w:eastAsia="zh-CN"/>
        </w:rPr>
        <w:t>5</w:t>
      </w:r>
      <w:r>
        <w:rPr>
          <w:sz w:val="36"/>
          <w:szCs w:val="36"/>
          <w:u w:val="single"/>
        </w:rPr>
        <w:t xml:space="preserve">月                        </w:t>
      </w:r>
    </w:p>
    <w:p w14:paraId="396E8D4D">
      <w:pPr>
        <w:adjustRightInd w:val="0"/>
        <w:snapToGrid w:val="0"/>
        <w:spacing w:line="288" w:lineRule="auto"/>
        <w:ind w:firstLine="1040"/>
        <w:rPr>
          <w:sz w:val="36"/>
          <w:szCs w:val="36"/>
          <w:u w:val="single"/>
        </w:rPr>
      </w:pPr>
      <w:bookmarkStart w:id="0" w:name="_Hlk57884087"/>
    </w:p>
    <w:p w14:paraId="0FAF6280">
      <w:pPr>
        <w:adjustRightInd w:val="0"/>
        <w:snapToGrid w:val="0"/>
        <w:spacing w:line="288" w:lineRule="auto"/>
        <w:ind w:firstLine="1040"/>
        <w:rPr>
          <w:sz w:val="36"/>
          <w:szCs w:val="36"/>
        </w:rPr>
      </w:pPr>
    </w:p>
    <w:p w14:paraId="210F66A6">
      <w:pPr>
        <w:adjustRightInd w:val="0"/>
        <w:snapToGrid w:val="0"/>
        <w:spacing w:line="288" w:lineRule="auto"/>
        <w:ind w:firstLine="1040"/>
        <w:rPr>
          <w:sz w:val="36"/>
          <w:szCs w:val="36"/>
        </w:rPr>
      </w:pPr>
    </w:p>
    <w:p w14:paraId="7917948D">
      <w:pPr>
        <w:adjustRightInd w:val="0"/>
        <w:snapToGrid w:val="0"/>
        <w:spacing w:line="288" w:lineRule="auto"/>
        <w:ind w:firstLine="1040"/>
        <w:rPr>
          <w:sz w:val="36"/>
          <w:szCs w:val="36"/>
        </w:rPr>
      </w:pPr>
    </w:p>
    <w:bookmarkEnd w:id="0"/>
    <w:p w14:paraId="23C263F1">
      <w:pPr>
        <w:adjustRightInd w:val="0"/>
        <w:snapToGrid w:val="0"/>
        <w:spacing w:line="288" w:lineRule="auto"/>
        <w:jc w:val="center"/>
        <w:rPr>
          <w:sz w:val="36"/>
          <w:szCs w:val="36"/>
        </w:rPr>
      </w:pPr>
      <w:r>
        <w:rPr>
          <w:sz w:val="36"/>
          <w:szCs w:val="36"/>
        </w:rPr>
        <w:t>中华人民共和国生态环境部制</w:t>
      </w:r>
    </w:p>
    <w:p w14:paraId="106D2F5A">
      <w:pPr>
        <w:adjustRightInd w:val="0"/>
        <w:snapToGrid w:val="0"/>
        <w:spacing w:line="288" w:lineRule="auto"/>
        <w:ind w:firstLine="1040"/>
        <w:rPr>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6EAD18B4">
      <w:pPr>
        <w:pStyle w:val="10"/>
        <w:jc w:val="center"/>
        <w:outlineLvl w:val="0"/>
        <w:rPr>
          <w:rFonts w:ascii="Times New Roman" w:hAnsi="Times New Roman"/>
          <w:snapToGrid w:val="0"/>
          <w:sz w:val="30"/>
          <w:szCs w:val="30"/>
        </w:rPr>
      </w:pPr>
      <w:r>
        <w:rPr>
          <w:rFonts w:ascii="Times New Roman" w:hAnsi="Times New Roman"/>
          <w:snapToGrid w:val="0"/>
          <w:sz w:val="30"/>
          <w:szCs w:val="30"/>
        </w:rPr>
        <w:t>一、建设项目基本情况</w:t>
      </w:r>
    </w:p>
    <w:tbl>
      <w:tblPr>
        <w:tblStyle w:val="1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382"/>
        <w:gridCol w:w="1637"/>
        <w:gridCol w:w="2212"/>
        <w:gridCol w:w="2639"/>
      </w:tblGrid>
      <w:tr w14:paraId="6A61D0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14:paraId="153E8870">
            <w:pPr>
              <w:adjustRightInd w:val="0"/>
              <w:snapToGrid w:val="0"/>
              <w:jc w:val="center"/>
              <w:rPr>
                <w:szCs w:val="21"/>
              </w:rPr>
            </w:pPr>
            <w:r>
              <w:rPr>
                <w:szCs w:val="21"/>
              </w:rPr>
              <w:t>建设项目名称</w:t>
            </w:r>
          </w:p>
        </w:tc>
        <w:tc>
          <w:tcPr>
            <w:tcW w:w="6488" w:type="dxa"/>
            <w:gridSpan w:val="3"/>
            <w:noWrap w:val="0"/>
            <w:vAlign w:val="center"/>
          </w:tcPr>
          <w:p w14:paraId="175087A6">
            <w:pPr>
              <w:adjustRightInd w:val="0"/>
              <w:snapToGrid w:val="0"/>
              <w:jc w:val="center"/>
              <w:rPr>
                <w:szCs w:val="21"/>
              </w:rPr>
            </w:pPr>
            <w:r>
              <w:rPr>
                <w:szCs w:val="21"/>
              </w:rPr>
              <w:t>内蒙古恒泽鑫建筑材料销售有限公司40万立方米/年预拌混凝土项目</w:t>
            </w:r>
          </w:p>
        </w:tc>
      </w:tr>
      <w:tr w14:paraId="616CD8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14:paraId="168E2960">
            <w:pPr>
              <w:adjustRightInd w:val="0"/>
              <w:snapToGrid w:val="0"/>
              <w:jc w:val="center"/>
              <w:rPr>
                <w:szCs w:val="21"/>
              </w:rPr>
            </w:pPr>
            <w:r>
              <w:rPr>
                <w:szCs w:val="21"/>
              </w:rPr>
              <w:t>项目代码</w:t>
            </w:r>
          </w:p>
        </w:tc>
        <w:tc>
          <w:tcPr>
            <w:tcW w:w="6488" w:type="dxa"/>
            <w:gridSpan w:val="3"/>
            <w:noWrap w:val="0"/>
            <w:vAlign w:val="center"/>
          </w:tcPr>
          <w:p w14:paraId="6A68651B">
            <w:pPr>
              <w:adjustRightInd w:val="0"/>
              <w:snapToGrid w:val="0"/>
              <w:jc w:val="center"/>
              <w:rPr>
                <w:szCs w:val="21"/>
              </w:rPr>
            </w:pPr>
            <w:r>
              <w:rPr>
                <w:szCs w:val="21"/>
              </w:rPr>
              <w:t>无</w:t>
            </w:r>
          </w:p>
        </w:tc>
      </w:tr>
      <w:tr w14:paraId="2A9BF2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14:paraId="3C23C030">
            <w:pPr>
              <w:adjustRightInd w:val="0"/>
              <w:snapToGrid w:val="0"/>
              <w:jc w:val="center"/>
              <w:rPr>
                <w:szCs w:val="21"/>
              </w:rPr>
            </w:pPr>
            <w:r>
              <w:rPr>
                <w:szCs w:val="21"/>
              </w:rPr>
              <w:t>建设单位联系人</w:t>
            </w:r>
          </w:p>
        </w:tc>
        <w:tc>
          <w:tcPr>
            <w:tcW w:w="1637" w:type="dxa"/>
            <w:noWrap w:val="0"/>
            <w:vAlign w:val="center"/>
          </w:tcPr>
          <w:p w14:paraId="65345E47">
            <w:pPr>
              <w:adjustRightInd w:val="0"/>
              <w:snapToGrid w:val="0"/>
              <w:jc w:val="center"/>
              <w:rPr>
                <w:szCs w:val="21"/>
              </w:rPr>
            </w:pPr>
            <w:r>
              <w:rPr>
                <w:szCs w:val="21"/>
              </w:rPr>
              <w:t>高文刚</w:t>
            </w:r>
          </w:p>
        </w:tc>
        <w:tc>
          <w:tcPr>
            <w:tcW w:w="2212" w:type="dxa"/>
            <w:noWrap w:val="0"/>
            <w:vAlign w:val="center"/>
          </w:tcPr>
          <w:p w14:paraId="353D1DF9">
            <w:pPr>
              <w:adjustRightInd w:val="0"/>
              <w:snapToGrid w:val="0"/>
              <w:jc w:val="center"/>
              <w:rPr>
                <w:szCs w:val="21"/>
              </w:rPr>
            </w:pPr>
            <w:r>
              <w:rPr>
                <w:szCs w:val="21"/>
              </w:rPr>
              <w:t>联系方式</w:t>
            </w:r>
          </w:p>
        </w:tc>
        <w:tc>
          <w:tcPr>
            <w:tcW w:w="2639" w:type="dxa"/>
            <w:noWrap w:val="0"/>
            <w:vAlign w:val="center"/>
          </w:tcPr>
          <w:p w14:paraId="0A006BF7">
            <w:pPr>
              <w:adjustRightInd w:val="0"/>
              <w:snapToGrid w:val="0"/>
              <w:jc w:val="center"/>
              <w:rPr>
                <w:szCs w:val="21"/>
              </w:rPr>
            </w:pPr>
            <w:r>
              <w:rPr>
                <w:szCs w:val="21"/>
              </w:rPr>
              <w:t>15335539315</w:t>
            </w:r>
          </w:p>
        </w:tc>
      </w:tr>
      <w:tr w14:paraId="2677D1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14:paraId="359CF881">
            <w:pPr>
              <w:adjustRightInd w:val="0"/>
              <w:snapToGrid w:val="0"/>
              <w:jc w:val="center"/>
              <w:rPr>
                <w:szCs w:val="21"/>
              </w:rPr>
            </w:pPr>
            <w:r>
              <w:rPr>
                <w:szCs w:val="21"/>
              </w:rPr>
              <w:t>建设地点</w:t>
            </w:r>
          </w:p>
        </w:tc>
        <w:tc>
          <w:tcPr>
            <w:tcW w:w="6488" w:type="dxa"/>
            <w:gridSpan w:val="3"/>
            <w:noWrap w:val="0"/>
            <w:vAlign w:val="center"/>
          </w:tcPr>
          <w:p w14:paraId="43CD1358">
            <w:pPr>
              <w:adjustRightInd w:val="0"/>
              <w:snapToGrid w:val="0"/>
              <w:jc w:val="center"/>
              <w:rPr>
                <w:szCs w:val="21"/>
              </w:rPr>
            </w:pPr>
            <w:r>
              <w:rPr>
                <w:szCs w:val="21"/>
              </w:rPr>
              <w:t>内蒙古自治区鄂尔多斯市鄂托克旗蒙西镇（蒙西高新技术工业园区）</w:t>
            </w:r>
          </w:p>
        </w:tc>
      </w:tr>
      <w:tr w14:paraId="6C44D8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14:paraId="3C9D06E0">
            <w:pPr>
              <w:adjustRightInd w:val="0"/>
              <w:snapToGrid w:val="0"/>
              <w:jc w:val="center"/>
              <w:rPr>
                <w:szCs w:val="21"/>
              </w:rPr>
            </w:pPr>
            <w:r>
              <w:rPr>
                <w:szCs w:val="21"/>
              </w:rPr>
              <w:t>地理坐标</w:t>
            </w:r>
          </w:p>
        </w:tc>
        <w:tc>
          <w:tcPr>
            <w:tcW w:w="6488" w:type="dxa"/>
            <w:gridSpan w:val="3"/>
            <w:noWrap w:val="0"/>
            <w:vAlign w:val="center"/>
          </w:tcPr>
          <w:p w14:paraId="27C411DA">
            <w:pPr>
              <w:jc w:val="center"/>
              <w:rPr>
                <w:szCs w:val="21"/>
              </w:rPr>
            </w:pPr>
            <w:r>
              <w:rPr>
                <w:szCs w:val="21"/>
              </w:rPr>
              <w:t>（</w:t>
            </w:r>
            <w:r>
              <w:rPr>
                <w:szCs w:val="21"/>
                <w:u w:val="single"/>
              </w:rPr>
              <w:t>106</w:t>
            </w:r>
            <w:r>
              <w:rPr>
                <w:szCs w:val="21"/>
              </w:rPr>
              <w:t>度</w:t>
            </w:r>
            <w:r>
              <w:rPr>
                <w:szCs w:val="21"/>
                <w:u w:val="single"/>
              </w:rPr>
              <w:t>47</w:t>
            </w:r>
            <w:r>
              <w:rPr>
                <w:szCs w:val="21"/>
              </w:rPr>
              <w:t>分</w:t>
            </w:r>
            <w:r>
              <w:rPr>
                <w:szCs w:val="21"/>
                <w:u w:val="single"/>
              </w:rPr>
              <w:t>20.226</w:t>
            </w:r>
            <w:r>
              <w:rPr>
                <w:szCs w:val="21"/>
              </w:rPr>
              <w:t>秒，</w:t>
            </w:r>
            <w:r>
              <w:rPr>
                <w:szCs w:val="21"/>
                <w:u w:val="single"/>
              </w:rPr>
              <w:t>39</w:t>
            </w:r>
            <w:r>
              <w:rPr>
                <w:szCs w:val="21"/>
              </w:rPr>
              <w:t>度</w:t>
            </w:r>
            <w:r>
              <w:rPr>
                <w:szCs w:val="21"/>
                <w:u w:val="single"/>
              </w:rPr>
              <w:t>49</w:t>
            </w:r>
            <w:r>
              <w:rPr>
                <w:szCs w:val="21"/>
              </w:rPr>
              <w:t>分</w:t>
            </w:r>
            <w:r>
              <w:rPr>
                <w:szCs w:val="21"/>
                <w:u w:val="single"/>
              </w:rPr>
              <w:t>35.500</w:t>
            </w:r>
            <w:r>
              <w:rPr>
                <w:szCs w:val="21"/>
              </w:rPr>
              <w:t>秒）</w:t>
            </w:r>
          </w:p>
        </w:tc>
      </w:tr>
      <w:tr w14:paraId="6D6AC4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382" w:type="dxa"/>
            <w:noWrap w:val="0"/>
            <w:tcMar>
              <w:top w:w="16" w:type="dxa"/>
              <w:left w:w="16" w:type="dxa"/>
              <w:right w:w="16" w:type="dxa"/>
            </w:tcMar>
            <w:vAlign w:val="center"/>
          </w:tcPr>
          <w:p w14:paraId="4C28102C">
            <w:pPr>
              <w:adjustRightInd w:val="0"/>
              <w:snapToGrid w:val="0"/>
              <w:jc w:val="center"/>
              <w:rPr>
                <w:szCs w:val="21"/>
              </w:rPr>
            </w:pPr>
            <w:r>
              <w:rPr>
                <w:szCs w:val="21"/>
              </w:rPr>
              <w:t>国民经济</w:t>
            </w:r>
          </w:p>
          <w:p w14:paraId="33001968">
            <w:pPr>
              <w:adjustRightInd w:val="0"/>
              <w:snapToGrid w:val="0"/>
              <w:jc w:val="center"/>
              <w:rPr>
                <w:szCs w:val="21"/>
              </w:rPr>
            </w:pPr>
            <w:r>
              <w:rPr>
                <w:szCs w:val="21"/>
              </w:rPr>
              <w:t>行业类别</w:t>
            </w:r>
          </w:p>
        </w:tc>
        <w:tc>
          <w:tcPr>
            <w:tcW w:w="1637" w:type="dxa"/>
            <w:noWrap w:val="0"/>
            <w:vAlign w:val="center"/>
          </w:tcPr>
          <w:p w14:paraId="03346BBE">
            <w:pPr>
              <w:adjustRightInd w:val="0"/>
              <w:snapToGrid w:val="0"/>
              <w:jc w:val="center"/>
              <w:rPr>
                <w:szCs w:val="21"/>
              </w:rPr>
            </w:pPr>
            <w:r>
              <w:t>C3029其他水泥类似制品制造</w:t>
            </w:r>
          </w:p>
        </w:tc>
        <w:tc>
          <w:tcPr>
            <w:tcW w:w="2212" w:type="dxa"/>
            <w:noWrap w:val="0"/>
            <w:vAlign w:val="center"/>
          </w:tcPr>
          <w:p w14:paraId="0870587F">
            <w:pPr>
              <w:adjustRightInd w:val="0"/>
              <w:snapToGrid w:val="0"/>
              <w:jc w:val="center"/>
              <w:rPr>
                <w:szCs w:val="21"/>
              </w:rPr>
            </w:pPr>
            <w:bookmarkStart w:id="1" w:name="_Hlk49843745"/>
            <w:r>
              <w:rPr>
                <w:szCs w:val="21"/>
              </w:rPr>
              <w:t>建设项目</w:t>
            </w:r>
          </w:p>
          <w:p w14:paraId="369EE2DF">
            <w:pPr>
              <w:adjustRightInd w:val="0"/>
              <w:snapToGrid w:val="0"/>
              <w:jc w:val="center"/>
              <w:rPr>
                <w:szCs w:val="21"/>
              </w:rPr>
            </w:pPr>
            <w:r>
              <w:rPr>
                <w:szCs w:val="21"/>
              </w:rPr>
              <w:t>行业类别</w:t>
            </w:r>
            <w:bookmarkEnd w:id="1"/>
          </w:p>
        </w:tc>
        <w:tc>
          <w:tcPr>
            <w:tcW w:w="2639" w:type="dxa"/>
            <w:noWrap w:val="0"/>
            <w:vAlign w:val="center"/>
          </w:tcPr>
          <w:p w14:paraId="46B0CB71">
            <w:pPr>
              <w:adjustRightInd w:val="0"/>
              <w:snapToGrid w:val="0"/>
              <w:rPr>
                <w:szCs w:val="21"/>
              </w:rPr>
            </w:pPr>
            <w:r>
              <w:t>二十七、非金属矿物制品业——55 石膏、水泥制品及类似制品制造 302——水泥制品制造</w:t>
            </w:r>
          </w:p>
        </w:tc>
      </w:tr>
      <w:tr w14:paraId="6B647D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382" w:type="dxa"/>
            <w:noWrap w:val="0"/>
            <w:tcMar>
              <w:top w:w="16" w:type="dxa"/>
              <w:left w:w="16" w:type="dxa"/>
              <w:right w:w="16" w:type="dxa"/>
            </w:tcMar>
            <w:vAlign w:val="center"/>
          </w:tcPr>
          <w:p w14:paraId="1ED542CA">
            <w:pPr>
              <w:adjustRightInd w:val="0"/>
              <w:snapToGrid w:val="0"/>
              <w:jc w:val="center"/>
              <w:rPr>
                <w:szCs w:val="21"/>
              </w:rPr>
            </w:pPr>
            <w:r>
              <w:rPr>
                <w:szCs w:val="21"/>
              </w:rPr>
              <w:t>建设性质</w:t>
            </w:r>
          </w:p>
        </w:tc>
        <w:tc>
          <w:tcPr>
            <w:tcW w:w="1637" w:type="dxa"/>
            <w:noWrap w:val="0"/>
            <w:vAlign w:val="center"/>
          </w:tcPr>
          <w:p w14:paraId="24EB35F4">
            <w:pPr>
              <w:jc w:val="left"/>
              <w:rPr>
                <w:szCs w:val="21"/>
              </w:rPr>
            </w:pPr>
            <w:r>
              <w:rPr>
                <w:szCs w:val="21"/>
              </w:rPr>
              <w:t>☑新建（迁建）</w:t>
            </w:r>
          </w:p>
          <w:p w14:paraId="29BFC505">
            <w:pPr>
              <w:jc w:val="left"/>
              <w:rPr>
                <w:szCs w:val="21"/>
              </w:rPr>
            </w:pPr>
            <w:r>
              <w:rPr>
                <w:szCs w:val="21"/>
              </w:rPr>
              <w:t>□改建</w:t>
            </w:r>
          </w:p>
          <w:p w14:paraId="1DB2CCF2">
            <w:pPr>
              <w:jc w:val="left"/>
              <w:rPr>
                <w:szCs w:val="21"/>
              </w:rPr>
            </w:pPr>
            <w:r>
              <w:rPr>
                <w:szCs w:val="21"/>
              </w:rPr>
              <w:t>□扩建</w:t>
            </w:r>
          </w:p>
          <w:p w14:paraId="761F3C71">
            <w:pPr>
              <w:jc w:val="left"/>
              <w:rPr>
                <w:szCs w:val="21"/>
              </w:rPr>
            </w:pPr>
            <w:r>
              <w:rPr>
                <w:szCs w:val="21"/>
              </w:rPr>
              <w:t>□技术改造</w:t>
            </w:r>
          </w:p>
        </w:tc>
        <w:tc>
          <w:tcPr>
            <w:tcW w:w="2212" w:type="dxa"/>
            <w:noWrap w:val="0"/>
            <w:vAlign w:val="center"/>
          </w:tcPr>
          <w:p w14:paraId="1C0A9C04">
            <w:pPr>
              <w:adjustRightInd w:val="0"/>
              <w:snapToGrid w:val="0"/>
              <w:jc w:val="center"/>
              <w:rPr>
                <w:szCs w:val="21"/>
              </w:rPr>
            </w:pPr>
            <w:r>
              <w:rPr>
                <w:szCs w:val="21"/>
              </w:rPr>
              <w:t>建设项目</w:t>
            </w:r>
          </w:p>
          <w:p w14:paraId="31EF329E">
            <w:pPr>
              <w:adjustRightInd w:val="0"/>
              <w:snapToGrid w:val="0"/>
              <w:jc w:val="center"/>
              <w:rPr>
                <w:szCs w:val="21"/>
              </w:rPr>
            </w:pPr>
            <w:r>
              <w:rPr>
                <w:szCs w:val="21"/>
              </w:rPr>
              <w:t>申报情形</w:t>
            </w:r>
          </w:p>
        </w:tc>
        <w:tc>
          <w:tcPr>
            <w:tcW w:w="2639" w:type="dxa"/>
            <w:noWrap w:val="0"/>
            <w:vAlign w:val="center"/>
          </w:tcPr>
          <w:p w14:paraId="20FD4F7F">
            <w:pPr>
              <w:jc w:val="left"/>
              <w:rPr>
                <w:szCs w:val="21"/>
              </w:rPr>
            </w:pPr>
            <w:r>
              <w:rPr>
                <w:szCs w:val="21"/>
              </w:rPr>
              <w:sym w:font="Wingdings 2" w:char="0052"/>
            </w:r>
            <w:r>
              <w:rPr>
                <w:szCs w:val="21"/>
              </w:rPr>
              <w:t xml:space="preserve">首次申报项目             </w:t>
            </w:r>
          </w:p>
          <w:p w14:paraId="3B05B197">
            <w:pPr>
              <w:jc w:val="left"/>
              <w:rPr>
                <w:szCs w:val="21"/>
              </w:rPr>
            </w:pPr>
            <w:r>
              <w:rPr>
                <w:szCs w:val="21"/>
              </w:rPr>
              <w:t>□不予批准后再次申报项目</w:t>
            </w:r>
          </w:p>
          <w:p w14:paraId="369AFAC9">
            <w:pPr>
              <w:jc w:val="left"/>
              <w:rPr>
                <w:szCs w:val="21"/>
              </w:rPr>
            </w:pPr>
            <w:r>
              <w:rPr>
                <w:szCs w:val="21"/>
              </w:rPr>
              <w:sym w:font="Wingdings 2" w:char="00A3"/>
            </w:r>
            <w:r>
              <w:rPr>
                <w:szCs w:val="21"/>
              </w:rPr>
              <w:t xml:space="preserve">超五年重新审核项目     </w:t>
            </w:r>
          </w:p>
          <w:p w14:paraId="6614BCBA">
            <w:pPr>
              <w:jc w:val="left"/>
              <w:rPr>
                <w:szCs w:val="21"/>
              </w:rPr>
            </w:pPr>
            <w:r>
              <w:rPr>
                <w:szCs w:val="21"/>
              </w:rPr>
              <w:t>□重大变动重新报批项目</w:t>
            </w:r>
          </w:p>
        </w:tc>
      </w:tr>
      <w:tr w14:paraId="073A44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382" w:type="dxa"/>
            <w:noWrap w:val="0"/>
            <w:tcMar>
              <w:top w:w="16" w:type="dxa"/>
              <w:left w:w="16" w:type="dxa"/>
              <w:right w:w="16" w:type="dxa"/>
            </w:tcMar>
            <w:vAlign w:val="center"/>
          </w:tcPr>
          <w:p w14:paraId="24E52F47">
            <w:pPr>
              <w:adjustRightInd w:val="0"/>
              <w:snapToGrid w:val="0"/>
              <w:jc w:val="center"/>
              <w:rPr>
                <w:szCs w:val="21"/>
              </w:rPr>
            </w:pPr>
            <w:r>
              <w:rPr>
                <w:szCs w:val="21"/>
              </w:rPr>
              <w:t>项目审批（核准/</w:t>
            </w:r>
          </w:p>
          <w:p w14:paraId="3FD8DBD7">
            <w:pPr>
              <w:adjustRightInd w:val="0"/>
              <w:snapToGrid w:val="0"/>
              <w:jc w:val="center"/>
              <w:rPr>
                <w:szCs w:val="21"/>
              </w:rPr>
            </w:pPr>
            <w:r>
              <w:rPr>
                <w:szCs w:val="21"/>
              </w:rPr>
              <w:t>备案）部门（选填）</w:t>
            </w:r>
          </w:p>
        </w:tc>
        <w:tc>
          <w:tcPr>
            <w:tcW w:w="1637" w:type="dxa"/>
            <w:noWrap w:val="0"/>
            <w:vAlign w:val="center"/>
          </w:tcPr>
          <w:p w14:paraId="4121118B">
            <w:pPr>
              <w:adjustRightInd w:val="0"/>
              <w:snapToGrid w:val="0"/>
              <w:jc w:val="center"/>
              <w:rPr>
                <w:szCs w:val="21"/>
              </w:rPr>
            </w:pPr>
            <w:r>
              <w:rPr>
                <w:szCs w:val="21"/>
              </w:rPr>
              <w:t>内蒙古鄂尔多斯鄂托克旗经济开发区发展和招商局</w:t>
            </w:r>
          </w:p>
        </w:tc>
        <w:tc>
          <w:tcPr>
            <w:tcW w:w="2212" w:type="dxa"/>
            <w:noWrap w:val="0"/>
            <w:vAlign w:val="center"/>
          </w:tcPr>
          <w:p w14:paraId="148EFA13">
            <w:pPr>
              <w:adjustRightInd w:val="0"/>
              <w:snapToGrid w:val="0"/>
              <w:jc w:val="center"/>
              <w:rPr>
                <w:szCs w:val="21"/>
              </w:rPr>
            </w:pPr>
            <w:r>
              <w:rPr>
                <w:szCs w:val="21"/>
              </w:rPr>
              <w:t>项目审批（核准/</w:t>
            </w:r>
          </w:p>
          <w:p w14:paraId="28F817AE">
            <w:pPr>
              <w:adjustRightInd w:val="0"/>
              <w:snapToGrid w:val="0"/>
              <w:jc w:val="center"/>
              <w:rPr>
                <w:szCs w:val="21"/>
              </w:rPr>
            </w:pPr>
            <w:r>
              <w:rPr>
                <w:szCs w:val="21"/>
              </w:rPr>
              <w:t>备案）文号（选填）</w:t>
            </w:r>
          </w:p>
        </w:tc>
        <w:tc>
          <w:tcPr>
            <w:tcW w:w="2639" w:type="dxa"/>
            <w:noWrap w:val="0"/>
            <w:vAlign w:val="center"/>
          </w:tcPr>
          <w:p w14:paraId="24C899AA">
            <w:pPr>
              <w:adjustRightInd w:val="0"/>
              <w:snapToGrid w:val="0"/>
              <w:jc w:val="center"/>
              <w:rPr>
                <w:szCs w:val="21"/>
              </w:rPr>
            </w:pPr>
            <w:r>
              <w:rPr>
                <w:szCs w:val="21"/>
              </w:rPr>
              <w:t>鄂管发展发</w:t>
            </w:r>
            <w:r>
              <w:rPr>
                <w:szCs w:val="20"/>
              </w:rPr>
              <w:t>〔2024〕</w:t>
            </w:r>
            <w:r>
              <w:rPr>
                <w:szCs w:val="21"/>
              </w:rPr>
              <w:t>39号</w:t>
            </w:r>
          </w:p>
        </w:tc>
      </w:tr>
      <w:tr w14:paraId="3D840A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14:paraId="04D3C92E">
            <w:pPr>
              <w:adjustRightInd w:val="0"/>
              <w:snapToGrid w:val="0"/>
              <w:jc w:val="center"/>
              <w:rPr>
                <w:szCs w:val="21"/>
              </w:rPr>
            </w:pPr>
            <w:r>
              <w:rPr>
                <w:szCs w:val="21"/>
              </w:rPr>
              <w:t>总投资（万元）</w:t>
            </w:r>
          </w:p>
        </w:tc>
        <w:tc>
          <w:tcPr>
            <w:tcW w:w="1637" w:type="dxa"/>
            <w:noWrap w:val="0"/>
            <w:vAlign w:val="center"/>
          </w:tcPr>
          <w:p w14:paraId="51FE4F2B">
            <w:pPr>
              <w:adjustRightInd w:val="0"/>
              <w:snapToGrid w:val="0"/>
              <w:jc w:val="center"/>
              <w:rPr>
                <w:szCs w:val="21"/>
              </w:rPr>
            </w:pPr>
            <w:r>
              <w:rPr>
                <w:szCs w:val="21"/>
              </w:rPr>
              <w:t>3371.9</w:t>
            </w:r>
          </w:p>
        </w:tc>
        <w:tc>
          <w:tcPr>
            <w:tcW w:w="2212" w:type="dxa"/>
            <w:noWrap w:val="0"/>
            <w:tcMar>
              <w:top w:w="16" w:type="dxa"/>
              <w:left w:w="16" w:type="dxa"/>
              <w:right w:w="16" w:type="dxa"/>
            </w:tcMar>
            <w:vAlign w:val="center"/>
          </w:tcPr>
          <w:p w14:paraId="295F82FF">
            <w:pPr>
              <w:adjustRightInd w:val="0"/>
              <w:snapToGrid w:val="0"/>
              <w:jc w:val="center"/>
              <w:rPr>
                <w:szCs w:val="21"/>
              </w:rPr>
            </w:pPr>
            <w:r>
              <w:rPr>
                <w:szCs w:val="21"/>
              </w:rPr>
              <w:t>环保投资（万元）</w:t>
            </w:r>
          </w:p>
        </w:tc>
        <w:tc>
          <w:tcPr>
            <w:tcW w:w="2639" w:type="dxa"/>
            <w:noWrap w:val="0"/>
            <w:vAlign w:val="center"/>
          </w:tcPr>
          <w:p w14:paraId="131C2D47">
            <w:pPr>
              <w:adjustRightInd w:val="0"/>
              <w:snapToGrid w:val="0"/>
              <w:jc w:val="center"/>
              <w:rPr>
                <w:szCs w:val="21"/>
              </w:rPr>
            </w:pPr>
            <w:r>
              <w:rPr>
                <w:szCs w:val="21"/>
              </w:rPr>
              <w:t>496.5</w:t>
            </w:r>
          </w:p>
        </w:tc>
      </w:tr>
      <w:tr w14:paraId="2F578B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14:paraId="37D8F87A">
            <w:pPr>
              <w:adjustRightInd w:val="0"/>
              <w:snapToGrid w:val="0"/>
              <w:jc w:val="center"/>
              <w:rPr>
                <w:szCs w:val="21"/>
              </w:rPr>
            </w:pPr>
            <w:r>
              <w:rPr>
                <w:szCs w:val="21"/>
              </w:rPr>
              <w:t>环保投资占比（%）</w:t>
            </w:r>
          </w:p>
        </w:tc>
        <w:tc>
          <w:tcPr>
            <w:tcW w:w="1637" w:type="dxa"/>
            <w:noWrap w:val="0"/>
            <w:vAlign w:val="center"/>
          </w:tcPr>
          <w:p w14:paraId="009B44AB">
            <w:pPr>
              <w:adjustRightInd w:val="0"/>
              <w:snapToGrid w:val="0"/>
              <w:jc w:val="center"/>
              <w:rPr>
                <w:szCs w:val="21"/>
              </w:rPr>
            </w:pPr>
            <w:r>
              <w:rPr>
                <w:szCs w:val="21"/>
              </w:rPr>
              <w:t>14.72</w:t>
            </w:r>
          </w:p>
        </w:tc>
        <w:tc>
          <w:tcPr>
            <w:tcW w:w="2212" w:type="dxa"/>
            <w:noWrap w:val="0"/>
            <w:tcMar>
              <w:top w:w="16" w:type="dxa"/>
              <w:left w:w="16" w:type="dxa"/>
              <w:right w:w="16" w:type="dxa"/>
            </w:tcMar>
            <w:vAlign w:val="center"/>
          </w:tcPr>
          <w:p w14:paraId="133E97EF">
            <w:pPr>
              <w:adjustRightInd w:val="0"/>
              <w:snapToGrid w:val="0"/>
              <w:jc w:val="center"/>
              <w:rPr>
                <w:szCs w:val="21"/>
              </w:rPr>
            </w:pPr>
            <w:r>
              <w:rPr>
                <w:szCs w:val="21"/>
              </w:rPr>
              <w:t>施工工期</w:t>
            </w:r>
          </w:p>
        </w:tc>
        <w:tc>
          <w:tcPr>
            <w:tcW w:w="2639" w:type="dxa"/>
            <w:noWrap w:val="0"/>
            <w:vAlign w:val="center"/>
          </w:tcPr>
          <w:p w14:paraId="55A25077">
            <w:pPr>
              <w:adjustRightInd w:val="0"/>
              <w:snapToGrid w:val="0"/>
              <w:jc w:val="center"/>
              <w:rPr>
                <w:szCs w:val="21"/>
              </w:rPr>
            </w:pPr>
            <w:r>
              <w:rPr>
                <w:szCs w:val="21"/>
              </w:rPr>
              <w:t>10个月</w:t>
            </w:r>
          </w:p>
        </w:tc>
      </w:tr>
      <w:tr w14:paraId="35544D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14:paraId="6E62E636">
            <w:pPr>
              <w:adjustRightInd w:val="0"/>
              <w:snapToGrid w:val="0"/>
              <w:jc w:val="center"/>
              <w:rPr>
                <w:szCs w:val="21"/>
              </w:rPr>
            </w:pPr>
            <w:r>
              <w:rPr>
                <w:szCs w:val="21"/>
              </w:rPr>
              <w:t>是否开工建设</w:t>
            </w:r>
          </w:p>
        </w:tc>
        <w:tc>
          <w:tcPr>
            <w:tcW w:w="1637" w:type="dxa"/>
            <w:noWrap w:val="0"/>
            <w:vAlign w:val="center"/>
          </w:tcPr>
          <w:p w14:paraId="2F80F802">
            <w:pPr>
              <w:adjustRightInd w:val="0"/>
              <w:snapToGrid w:val="0"/>
              <w:rPr>
                <w:szCs w:val="21"/>
              </w:rPr>
            </w:pPr>
            <w:r>
              <w:rPr>
                <w:szCs w:val="21"/>
              </w:rPr>
              <w:sym w:font="Wingdings 2" w:char="0052"/>
            </w:r>
            <w:r>
              <w:rPr>
                <w:szCs w:val="21"/>
              </w:rPr>
              <w:t>否</w:t>
            </w:r>
          </w:p>
          <w:p w14:paraId="6670B154">
            <w:pPr>
              <w:adjustRightInd w:val="0"/>
              <w:snapToGrid w:val="0"/>
              <w:rPr>
                <w:szCs w:val="21"/>
              </w:rPr>
            </w:pPr>
            <w:r>
              <w:rPr>
                <w:szCs w:val="21"/>
              </w:rPr>
              <w:sym w:font="Wingdings 2" w:char="00A3"/>
            </w:r>
            <w:r>
              <w:rPr>
                <w:szCs w:val="21"/>
              </w:rPr>
              <w:t>是：</w:t>
            </w:r>
            <w:r>
              <w:rPr>
                <w:szCs w:val="21"/>
                <w:u w:val="single"/>
              </w:rPr>
              <w:t xml:space="preserve">             </w:t>
            </w:r>
          </w:p>
        </w:tc>
        <w:tc>
          <w:tcPr>
            <w:tcW w:w="2212" w:type="dxa"/>
            <w:noWrap w:val="0"/>
            <w:tcMar>
              <w:top w:w="16" w:type="dxa"/>
              <w:left w:w="16" w:type="dxa"/>
              <w:right w:w="16" w:type="dxa"/>
            </w:tcMar>
            <w:vAlign w:val="center"/>
          </w:tcPr>
          <w:p w14:paraId="4153B1E9">
            <w:pPr>
              <w:adjustRightInd w:val="0"/>
              <w:snapToGrid w:val="0"/>
              <w:jc w:val="center"/>
              <w:rPr>
                <w:szCs w:val="21"/>
              </w:rPr>
            </w:pPr>
            <w:r>
              <w:rPr>
                <w:spacing w:val="-6"/>
                <w:szCs w:val="21"/>
              </w:rPr>
              <w:t>用地面积（m</w:t>
            </w:r>
            <w:r>
              <w:rPr>
                <w:spacing w:val="-6"/>
                <w:szCs w:val="21"/>
                <w:vertAlign w:val="superscript"/>
              </w:rPr>
              <w:t>2</w:t>
            </w:r>
            <w:r>
              <w:rPr>
                <w:spacing w:val="-6"/>
                <w:szCs w:val="21"/>
              </w:rPr>
              <w:t>）</w:t>
            </w:r>
          </w:p>
        </w:tc>
        <w:tc>
          <w:tcPr>
            <w:tcW w:w="2639" w:type="dxa"/>
            <w:noWrap w:val="0"/>
            <w:vAlign w:val="center"/>
          </w:tcPr>
          <w:p w14:paraId="03678401">
            <w:pPr>
              <w:adjustRightInd w:val="0"/>
              <w:snapToGrid w:val="0"/>
              <w:jc w:val="center"/>
              <w:rPr>
                <w:szCs w:val="21"/>
              </w:rPr>
            </w:pPr>
            <w:r>
              <w:rPr>
                <w:szCs w:val="21"/>
              </w:rPr>
              <w:t>25527.62</w:t>
            </w:r>
          </w:p>
        </w:tc>
      </w:tr>
      <w:tr w14:paraId="1B7DC1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noWrap w:val="0"/>
            <w:vAlign w:val="center"/>
          </w:tcPr>
          <w:p w14:paraId="39717AEA">
            <w:pPr>
              <w:autoSpaceDE w:val="0"/>
              <w:autoSpaceDN w:val="0"/>
              <w:adjustRightInd w:val="0"/>
              <w:snapToGrid w:val="0"/>
              <w:jc w:val="center"/>
              <w:rPr>
                <w:kern w:val="0"/>
                <w:szCs w:val="21"/>
              </w:rPr>
            </w:pPr>
            <w:r>
              <w:rPr>
                <w:kern w:val="0"/>
                <w:szCs w:val="21"/>
              </w:rPr>
              <w:t>专项评价设置情况</w:t>
            </w:r>
          </w:p>
        </w:tc>
        <w:tc>
          <w:tcPr>
            <w:tcW w:w="6488" w:type="dxa"/>
            <w:gridSpan w:val="3"/>
            <w:noWrap w:val="0"/>
            <w:vAlign w:val="center"/>
          </w:tcPr>
          <w:p w14:paraId="6C06BAA6">
            <w:pPr>
              <w:autoSpaceDE w:val="0"/>
              <w:autoSpaceDN w:val="0"/>
              <w:adjustRightInd w:val="0"/>
              <w:snapToGrid w:val="0"/>
              <w:jc w:val="center"/>
              <w:rPr>
                <w:kern w:val="0"/>
                <w:szCs w:val="21"/>
              </w:rPr>
            </w:pPr>
            <w:r>
              <w:rPr>
                <w:kern w:val="0"/>
                <w:szCs w:val="21"/>
              </w:rPr>
              <w:t>无</w:t>
            </w:r>
          </w:p>
        </w:tc>
      </w:tr>
      <w:tr w14:paraId="5831D6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noWrap w:val="0"/>
            <w:vAlign w:val="center"/>
          </w:tcPr>
          <w:p w14:paraId="0E57D418">
            <w:pPr>
              <w:autoSpaceDE w:val="0"/>
              <w:autoSpaceDN w:val="0"/>
              <w:adjustRightInd w:val="0"/>
              <w:snapToGrid w:val="0"/>
              <w:jc w:val="center"/>
              <w:rPr>
                <w:kern w:val="0"/>
                <w:szCs w:val="21"/>
              </w:rPr>
            </w:pPr>
            <w:r>
              <w:rPr>
                <w:szCs w:val="21"/>
              </w:rPr>
              <w:t>规划情况</w:t>
            </w:r>
          </w:p>
        </w:tc>
        <w:tc>
          <w:tcPr>
            <w:tcW w:w="6488" w:type="dxa"/>
            <w:gridSpan w:val="3"/>
            <w:noWrap w:val="0"/>
            <w:vAlign w:val="center"/>
          </w:tcPr>
          <w:p w14:paraId="18A7AE37">
            <w:pPr>
              <w:autoSpaceDE w:val="0"/>
              <w:autoSpaceDN w:val="0"/>
              <w:adjustRightInd w:val="0"/>
              <w:snapToGrid w:val="0"/>
              <w:spacing w:line="360" w:lineRule="auto"/>
              <w:rPr>
                <w:sz w:val="24"/>
              </w:rPr>
            </w:pPr>
            <w:r>
              <w:rPr>
                <w:b/>
                <w:bCs/>
                <w:sz w:val="24"/>
              </w:rPr>
              <w:t>规划名称：</w:t>
            </w:r>
            <w:r>
              <w:rPr>
                <w:sz w:val="24"/>
              </w:rPr>
              <w:t>《鄂尔多斯蒙西镇（蒙西高新技术工业园区）城市总体规划（2010</w:t>
            </w:r>
            <w:r>
              <w:rPr>
                <w:rFonts w:hint="eastAsia"/>
                <w:sz w:val="24"/>
                <w:lang w:eastAsia="zh-CN"/>
              </w:rPr>
              <w:t>—</w:t>
            </w:r>
            <w:r>
              <w:rPr>
                <w:sz w:val="24"/>
              </w:rPr>
              <w:t>2030年）》；</w:t>
            </w:r>
          </w:p>
          <w:p w14:paraId="46CABE30">
            <w:pPr>
              <w:autoSpaceDE w:val="0"/>
              <w:autoSpaceDN w:val="0"/>
              <w:adjustRightInd w:val="0"/>
              <w:snapToGrid w:val="0"/>
              <w:spacing w:line="360" w:lineRule="auto"/>
              <w:rPr>
                <w:sz w:val="24"/>
              </w:rPr>
            </w:pPr>
            <w:r>
              <w:rPr>
                <w:b/>
                <w:bCs/>
                <w:sz w:val="24"/>
              </w:rPr>
              <w:t>审批机关：</w:t>
            </w:r>
            <w:r>
              <w:rPr>
                <w:sz w:val="24"/>
              </w:rPr>
              <w:t>鄂尔多斯市人民政府；</w:t>
            </w:r>
          </w:p>
          <w:p w14:paraId="08B898EF">
            <w:pPr>
              <w:autoSpaceDE w:val="0"/>
              <w:autoSpaceDN w:val="0"/>
              <w:adjustRightInd w:val="0"/>
              <w:snapToGrid w:val="0"/>
              <w:spacing w:line="360" w:lineRule="auto"/>
              <w:rPr>
                <w:kern w:val="0"/>
                <w:szCs w:val="21"/>
              </w:rPr>
            </w:pPr>
            <w:r>
              <w:rPr>
                <w:b/>
                <w:bCs/>
                <w:sz w:val="24"/>
              </w:rPr>
              <w:t>审批文件名称：</w:t>
            </w:r>
            <w:r>
              <w:rPr>
                <w:sz w:val="24"/>
              </w:rPr>
              <w:t>《关于鄂尔多斯蒙西镇（蒙西高新技术工业园区）城市总体规划的批复》（鄂府函〔2012〕222号）。</w:t>
            </w:r>
          </w:p>
        </w:tc>
      </w:tr>
      <w:tr w14:paraId="18F3E0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noWrap w:val="0"/>
            <w:vAlign w:val="center"/>
          </w:tcPr>
          <w:p w14:paraId="260C9D4C">
            <w:pPr>
              <w:adjustRightInd w:val="0"/>
              <w:snapToGrid w:val="0"/>
              <w:jc w:val="center"/>
              <w:rPr>
                <w:szCs w:val="21"/>
              </w:rPr>
            </w:pPr>
            <w:r>
              <w:rPr>
                <w:szCs w:val="21"/>
              </w:rPr>
              <w:t>规划环境影响</w:t>
            </w:r>
          </w:p>
          <w:p w14:paraId="355AB195">
            <w:pPr>
              <w:adjustRightInd w:val="0"/>
              <w:snapToGrid w:val="0"/>
              <w:jc w:val="center"/>
              <w:rPr>
                <w:kern w:val="0"/>
                <w:szCs w:val="21"/>
              </w:rPr>
            </w:pPr>
            <w:r>
              <w:rPr>
                <w:szCs w:val="21"/>
              </w:rPr>
              <w:t>评价情况</w:t>
            </w:r>
          </w:p>
        </w:tc>
        <w:tc>
          <w:tcPr>
            <w:tcW w:w="6488" w:type="dxa"/>
            <w:gridSpan w:val="3"/>
            <w:noWrap w:val="0"/>
            <w:vAlign w:val="center"/>
          </w:tcPr>
          <w:p w14:paraId="1D025829">
            <w:pPr>
              <w:autoSpaceDE w:val="0"/>
              <w:autoSpaceDN w:val="0"/>
              <w:adjustRightInd w:val="0"/>
              <w:snapToGrid w:val="0"/>
              <w:spacing w:line="360" w:lineRule="auto"/>
              <w:rPr>
                <w:kern w:val="0"/>
                <w:szCs w:val="21"/>
              </w:rPr>
            </w:pPr>
            <w:r>
              <w:rPr>
                <w:sz w:val="24"/>
              </w:rPr>
              <w:t>《蒙西高新技术工业园区总体规划环境影响报告书》由北京师范大学和北京万澈环境科学与工程技术有限责任公司于2013年1月编制完成，原内蒙古自治区环境保护厅于2013年1月以《内蒙古自治区环境保护厅关于蒙西高新技术工业园区总体规划环境影响报告书审查的意见》内环审〔2013〕10号对规划环评报告书提出了审查意见。</w:t>
            </w:r>
          </w:p>
        </w:tc>
      </w:tr>
      <w:tr w14:paraId="404B28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noWrap w:val="0"/>
            <w:vAlign w:val="center"/>
          </w:tcPr>
          <w:p w14:paraId="6BF83EFD">
            <w:pPr>
              <w:autoSpaceDE w:val="0"/>
              <w:autoSpaceDN w:val="0"/>
              <w:adjustRightInd w:val="0"/>
              <w:snapToGrid w:val="0"/>
              <w:jc w:val="center"/>
              <w:rPr>
                <w:kern w:val="0"/>
                <w:szCs w:val="21"/>
              </w:rPr>
            </w:pPr>
            <w:r>
              <w:rPr>
                <w:kern w:val="0"/>
                <w:szCs w:val="21"/>
              </w:rPr>
              <w:t>规划及规划环境</w:t>
            </w:r>
          </w:p>
          <w:p w14:paraId="2E40C651">
            <w:pPr>
              <w:autoSpaceDE w:val="0"/>
              <w:autoSpaceDN w:val="0"/>
              <w:adjustRightInd w:val="0"/>
              <w:snapToGrid w:val="0"/>
              <w:jc w:val="center"/>
              <w:rPr>
                <w:kern w:val="0"/>
                <w:szCs w:val="21"/>
              </w:rPr>
            </w:pPr>
            <w:r>
              <w:rPr>
                <w:kern w:val="0"/>
                <w:szCs w:val="21"/>
              </w:rPr>
              <w:t>影响评价符合性分析</w:t>
            </w:r>
          </w:p>
        </w:tc>
        <w:tc>
          <w:tcPr>
            <w:tcW w:w="6488" w:type="dxa"/>
            <w:gridSpan w:val="3"/>
            <w:noWrap w:val="0"/>
            <w:vAlign w:val="center"/>
          </w:tcPr>
          <w:p w14:paraId="31537FD8">
            <w:pPr>
              <w:autoSpaceDE w:val="0"/>
              <w:autoSpaceDN w:val="0"/>
              <w:adjustRightInd w:val="0"/>
              <w:snapToGrid w:val="0"/>
              <w:spacing w:line="360" w:lineRule="auto"/>
              <w:jc w:val="left"/>
              <w:rPr>
                <w:b/>
                <w:bCs/>
                <w:sz w:val="24"/>
              </w:rPr>
            </w:pPr>
            <w:r>
              <w:rPr>
                <w:b/>
                <w:bCs/>
                <w:sz w:val="24"/>
              </w:rPr>
              <w:t>1.规划符合性分析</w:t>
            </w:r>
          </w:p>
          <w:p w14:paraId="39C079E7">
            <w:pPr>
              <w:widowControl/>
              <w:spacing w:line="480" w:lineRule="exact"/>
              <w:ind w:firstLine="480" w:firstLineChars="200"/>
              <w:textAlignment w:val="center"/>
              <w:rPr>
                <w:sz w:val="24"/>
              </w:rPr>
            </w:pPr>
            <w:r>
              <w:rPr>
                <w:sz w:val="24"/>
              </w:rPr>
              <w:t>根据《鄂尔多斯市蒙西镇（蒙西高新技术工业园区）总体规划（2010-2030）》蒙西工业园区产业区功能区划密切结合整个蒙西镇南北狭长以及主导风向为东南、西北风的特点，近期仍保留南部以蒙西水泥、神华焦化为主体的煤化工及建材产业区，将蒙西公园北侧作为新材料、新型环保材料产业区预留到远期发展。近期、中期将双欣路两侧及北部产业区作为PVC、PVA产业重点发展片区，在北部作为新材料产业园区。根据蒙西工业园的产业功能特点，将各产业分为五类产业功能分区：煤化工及建材产业功能区；PVC、PVA产业功能区；能源电力产业功能区；PVC下游产业功能区；新材料、环保产业功能区、物流配送仓储区。</w:t>
            </w:r>
          </w:p>
          <w:p w14:paraId="033D4859">
            <w:pPr>
              <w:autoSpaceDE w:val="0"/>
              <w:autoSpaceDN w:val="0"/>
              <w:adjustRightInd w:val="0"/>
              <w:snapToGrid w:val="0"/>
              <w:spacing w:line="360" w:lineRule="auto"/>
              <w:ind w:firstLine="480" w:firstLineChars="200"/>
              <w:jc w:val="left"/>
              <w:rPr>
                <w:sz w:val="24"/>
              </w:rPr>
            </w:pPr>
            <w:r>
              <w:rPr>
                <w:sz w:val="24"/>
              </w:rPr>
              <w:t>本项目为预拌混凝土搅拌站建设项目，可有效利用能源电力产业功能区产生的粉煤灰等固废且主要原料为周边</w:t>
            </w:r>
            <w:r>
              <w:rPr>
                <w:rFonts w:hint="eastAsia"/>
                <w:sz w:val="24"/>
                <w:lang w:eastAsia="zh-CN"/>
              </w:rPr>
              <w:t>企业</w:t>
            </w:r>
            <w:r>
              <w:rPr>
                <w:sz w:val="24"/>
              </w:rPr>
              <w:t>产生的废石、水泥、砂子等，属于周边项目固废的配套处理项目，符合园区整体规划要求。</w:t>
            </w:r>
          </w:p>
          <w:p w14:paraId="5E0E2804">
            <w:pPr>
              <w:autoSpaceDE w:val="0"/>
              <w:autoSpaceDN w:val="0"/>
              <w:adjustRightInd w:val="0"/>
              <w:snapToGrid w:val="0"/>
              <w:spacing w:line="360" w:lineRule="auto"/>
              <w:jc w:val="left"/>
              <w:rPr>
                <w:b/>
                <w:bCs/>
                <w:sz w:val="24"/>
              </w:rPr>
            </w:pPr>
            <w:r>
              <w:rPr>
                <w:b/>
                <w:bCs/>
                <w:sz w:val="24"/>
              </w:rPr>
              <w:t>2.规划环境影响评价符合性分析</w:t>
            </w:r>
          </w:p>
          <w:p w14:paraId="782A001D">
            <w:pPr>
              <w:autoSpaceDE w:val="0"/>
              <w:autoSpaceDN w:val="0"/>
              <w:adjustRightInd w:val="0"/>
              <w:snapToGrid w:val="0"/>
              <w:spacing w:line="360" w:lineRule="auto"/>
              <w:ind w:firstLine="480" w:firstLineChars="200"/>
              <w:jc w:val="left"/>
              <w:rPr>
                <w:sz w:val="24"/>
              </w:rPr>
            </w:pPr>
            <w:r>
              <w:rPr>
                <w:sz w:val="24"/>
              </w:rPr>
              <w:t>本次评价依据《内蒙古自治区环境保护厅关于蒙西高新技术工业园区总体规划环境影响报告书的审查意见》（内环审〔2013〕10号）的要求对项目与规划环评审查意见的符合性进行分析，具体见表1-1。</w:t>
            </w:r>
          </w:p>
          <w:p w14:paraId="5BE2B374">
            <w:pPr>
              <w:autoSpaceDE w:val="0"/>
              <w:autoSpaceDN w:val="0"/>
              <w:adjustRightInd w:val="0"/>
              <w:snapToGrid w:val="0"/>
              <w:spacing w:line="360" w:lineRule="auto"/>
              <w:jc w:val="center"/>
              <w:rPr>
                <w:b/>
                <w:bCs/>
                <w:sz w:val="24"/>
              </w:rPr>
            </w:pPr>
            <w:r>
              <w:rPr>
                <w:b/>
                <w:bCs/>
                <w:sz w:val="24"/>
              </w:rPr>
              <w:t>表1-1   项目与规划环评审查意见的符合性分析</w:t>
            </w:r>
          </w:p>
          <w:tbl>
            <w:tblPr>
              <w:tblStyle w:val="1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0"/>
              <w:gridCol w:w="3021"/>
              <w:gridCol w:w="1993"/>
              <w:gridCol w:w="798"/>
            </w:tblGrid>
            <w:tr w14:paraId="0A5E4E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366" w:type="pct"/>
                  <w:noWrap w:val="0"/>
                  <w:vAlign w:val="center"/>
                </w:tcPr>
                <w:p w14:paraId="2A687647">
                  <w:pPr>
                    <w:pStyle w:val="2"/>
                    <w:ind w:firstLine="0"/>
                    <w:jc w:val="center"/>
                    <w:rPr>
                      <w:b/>
                      <w:sz w:val="21"/>
                      <w:szCs w:val="21"/>
                    </w:rPr>
                  </w:pPr>
                  <w:r>
                    <w:rPr>
                      <w:b/>
                      <w:sz w:val="21"/>
                      <w:szCs w:val="21"/>
                    </w:rPr>
                    <w:t>序号</w:t>
                  </w:r>
                </w:p>
              </w:tc>
              <w:tc>
                <w:tcPr>
                  <w:tcW w:w="2407" w:type="pct"/>
                  <w:noWrap w:val="0"/>
                  <w:vAlign w:val="center"/>
                </w:tcPr>
                <w:p w14:paraId="3B4BC268">
                  <w:pPr>
                    <w:jc w:val="center"/>
                    <w:rPr>
                      <w:b/>
                      <w:szCs w:val="21"/>
                    </w:rPr>
                  </w:pPr>
                  <w:r>
                    <w:rPr>
                      <w:b/>
                      <w:szCs w:val="21"/>
                    </w:rPr>
                    <w:t>规划环评审查意见</w:t>
                  </w:r>
                </w:p>
              </w:tc>
              <w:tc>
                <w:tcPr>
                  <w:tcW w:w="1588" w:type="pct"/>
                  <w:noWrap w:val="0"/>
                  <w:vAlign w:val="center"/>
                </w:tcPr>
                <w:p w14:paraId="3473B74B">
                  <w:pPr>
                    <w:jc w:val="center"/>
                    <w:rPr>
                      <w:b/>
                      <w:bCs/>
                      <w:szCs w:val="21"/>
                    </w:rPr>
                  </w:pPr>
                  <w:r>
                    <w:rPr>
                      <w:b/>
                      <w:bCs/>
                      <w:szCs w:val="21"/>
                    </w:rPr>
                    <w:t>项目建设情况</w:t>
                  </w:r>
                </w:p>
              </w:tc>
              <w:tc>
                <w:tcPr>
                  <w:tcW w:w="636" w:type="pct"/>
                  <w:noWrap w:val="0"/>
                  <w:vAlign w:val="center"/>
                </w:tcPr>
                <w:p w14:paraId="5A6FB563">
                  <w:pPr>
                    <w:jc w:val="center"/>
                    <w:rPr>
                      <w:b/>
                      <w:bCs/>
                      <w:szCs w:val="21"/>
                    </w:rPr>
                  </w:pPr>
                  <w:r>
                    <w:rPr>
                      <w:b/>
                      <w:bCs/>
                      <w:szCs w:val="21"/>
                    </w:rPr>
                    <w:t>符合性</w:t>
                  </w:r>
                </w:p>
              </w:tc>
            </w:tr>
            <w:tr w14:paraId="647287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 w:type="pct"/>
                  <w:noWrap w:val="0"/>
                  <w:vAlign w:val="center"/>
                </w:tcPr>
                <w:p w14:paraId="7B677DD0">
                  <w:pPr>
                    <w:jc w:val="center"/>
                    <w:rPr>
                      <w:bCs/>
                      <w:szCs w:val="21"/>
                    </w:rPr>
                  </w:pPr>
                  <w:r>
                    <w:rPr>
                      <w:bCs/>
                      <w:szCs w:val="21"/>
                    </w:rPr>
                    <w:t>1</w:t>
                  </w:r>
                </w:p>
              </w:tc>
              <w:tc>
                <w:tcPr>
                  <w:tcW w:w="2407" w:type="pct"/>
                  <w:noWrap w:val="0"/>
                  <w:vAlign w:val="center"/>
                </w:tcPr>
                <w:p w14:paraId="332F8F74">
                  <w:pPr>
                    <w:rPr>
                      <w:bCs/>
                      <w:szCs w:val="21"/>
                    </w:rPr>
                  </w:pPr>
                  <w:r>
                    <w:rPr>
                      <w:bCs/>
                      <w:szCs w:val="21"/>
                    </w:rPr>
                    <w:t>应充分考虑园区所在地地理环境敏感性及现状环境质量状况，严格控制焦化、钢铁、水泥、PVC产业的发展规模，积极引入下游深加工产业，打造园区循环经济产业链，实现废弃物资源的最大化利用。</w:t>
                  </w:r>
                </w:p>
              </w:tc>
              <w:tc>
                <w:tcPr>
                  <w:tcW w:w="1588" w:type="pct"/>
                  <w:noWrap w:val="0"/>
                  <w:vAlign w:val="center"/>
                </w:tcPr>
                <w:p w14:paraId="0D88AD5F">
                  <w:pPr>
                    <w:rPr>
                      <w:bCs/>
                      <w:szCs w:val="21"/>
                    </w:rPr>
                  </w:pPr>
                  <w:r>
                    <w:rPr>
                      <w:bCs/>
                      <w:szCs w:val="21"/>
                    </w:rPr>
                    <w:t>项目为预拌混凝土生产项目，可有效利用粉煤灰等固废进行生产新的产品，实现废弃物资源的最大化利用；不属于焦化、钢铁、水泥、PVC产业。</w:t>
                  </w:r>
                </w:p>
              </w:tc>
              <w:tc>
                <w:tcPr>
                  <w:tcW w:w="636" w:type="pct"/>
                  <w:noWrap w:val="0"/>
                  <w:vAlign w:val="center"/>
                </w:tcPr>
                <w:p w14:paraId="20DF4E80">
                  <w:pPr>
                    <w:jc w:val="center"/>
                    <w:rPr>
                      <w:bCs/>
                      <w:szCs w:val="21"/>
                    </w:rPr>
                  </w:pPr>
                  <w:r>
                    <w:rPr>
                      <w:bCs/>
                      <w:szCs w:val="21"/>
                    </w:rPr>
                    <w:t>符合</w:t>
                  </w:r>
                </w:p>
              </w:tc>
            </w:tr>
            <w:tr w14:paraId="19DD40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 w:type="pct"/>
                  <w:noWrap w:val="0"/>
                  <w:vAlign w:val="center"/>
                </w:tcPr>
                <w:p w14:paraId="22430018">
                  <w:pPr>
                    <w:jc w:val="center"/>
                    <w:rPr>
                      <w:bCs/>
                      <w:szCs w:val="21"/>
                    </w:rPr>
                  </w:pPr>
                  <w:r>
                    <w:rPr>
                      <w:bCs/>
                      <w:szCs w:val="21"/>
                    </w:rPr>
                    <w:t>2</w:t>
                  </w:r>
                </w:p>
              </w:tc>
              <w:tc>
                <w:tcPr>
                  <w:tcW w:w="2407" w:type="pct"/>
                  <w:noWrap w:val="0"/>
                  <w:vAlign w:val="center"/>
                </w:tcPr>
                <w:p w14:paraId="68C94BFF">
                  <w:pPr>
                    <w:rPr>
                      <w:bCs/>
                      <w:szCs w:val="21"/>
                    </w:rPr>
                  </w:pPr>
                  <w:r>
                    <w:rPr>
                      <w:bCs/>
                      <w:szCs w:val="21"/>
                    </w:rPr>
                    <w:t>优化园区空间布局，统筹与千里山工业园区的布局关系，两园区环境保护基础设施应考虑合作共建。园区发展路以西禁止布局PVC产业，主要发展物流等服务性产业。碱柜镇区、蒙西镇要控制发展，按照《内蒙古乌海及周边地区产业转型发展规划》要求，现有城镇居民逐步搬迁至环湖地区，做好工业园区与城区的空间隔离。</w:t>
                  </w:r>
                </w:p>
              </w:tc>
              <w:tc>
                <w:tcPr>
                  <w:tcW w:w="1588" w:type="pct"/>
                  <w:noWrap w:val="0"/>
                  <w:vAlign w:val="center"/>
                </w:tcPr>
                <w:p w14:paraId="2F47100F">
                  <w:pPr>
                    <w:rPr>
                      <w:bCs/>
                      <w:szCs w:val="21"/>
                    </w:rPr>
                  </w:pPr>
                  <w:r>
                    <w:rPr>
                      <w:bCs/>
                      <w:szCs w:val="21"/>
                    </w:rPr>
                    <w:t>项目为预拌混凝土生产项目，不属于PVC产业。</w:t>
                  </w:r>
                </w:p>
              </w:tc>
              <w:tc>
                <w:tcPr>
                  <w:tcW w:w="636" w:type="pct"/>
                  <w:noWrap w:val="0"/>
                  <w:vAlign w:val="center"/>
                </w:tcPr>
                <w:p w14:paraId="2D2FE2EF">
                  <w:pPr>
                    <w:jc w:val="center"/>
                    <w:rPr>
                      <w:bCs/>
                      <w:szCs w:val="21"/>
                    </w:rPr>
                  </w:pPr>
                  <w:r>
                    <w:rPr>
                      <w:bCs/>
                      <w:szCs w:val="21"/>
                    </w:rPr>
                    <w:t>符合</w:t>
                  </w:r>
                </w:p>
              </w:tc>
            </w:tr>
            <w:tr w14:paraId="2D7E87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 w:type="pct"/>
                  <w:noWrap w:val="0"/>
                  <w:vAlign w:val="center"/>
                </w:tcPr>
                <w:p w14:paraId="1D7D19E5">
                  <w:pPr>
                    <w:jc w:val="center"/>
                    <w:rPr>
                      <w:bCs/>
                      <w:szCs w:val="21"/>
                    </w:rPr>
                  </w:pPr>
                  <w:r>
                    <w:rPr>
                      <w:bCs/>
                      <w:szCs w:val="21"/>
                    </w:rPr>
                    <w:t>3</w:t>
                  </w:r>
                </w:p>
              </w:tc>
              <w:tc>
                <w:tcPr>
                  <w:tcW w:w="2407" w:type="pct"/>
                  <w:noWrap w:val="0"/>
                  <w:vAlign w:val="center"/>
                </w:tcPr>
                <w:p w14:paraId="6D00F5FA">
                  <w:pPr>
                    <w:rPr>
                      <w:bCs/>
                      <w:szCs w:val="21"/>
                    </w:rPr>
                  </w:pPr>
                  <w:r>
                    <w:rPr>
                      <w:bCs/>
                      <w:szCs w:val="21"/>
                    </w:rPr>
                    <w:t>明确污染物排放总量控制要求。园区污染物排放总量二氧化硫控制在2.49万吨/年以下，氮氧化物控制在1.99万吨/年以下。园区应严格依托热电站集中供热。千里山-蒙西工业集中区应统筹大气污染物排放的增量。</w:t>
                  </w:r>
                </w:p>
              </w:tc>
              <w:tc>
                <w:tcPr>
                  <w:tcW w:w="1588" w:type="pct"/>
                  <w:noWrap w:val="0"/>
                  <w:vAlign w:val="center"/>
                </w:tcPr>
                <w:p w14:paraId="15CBC1F5">
                  <w:pPr>
                    <w:rPr>
                      <w:szCs w:val="21"/>
                    </w:rPr>
                  </w:pPr>
                  <w:r>
                    <w:rPr>
                      <w:szCs w:val="21"/>
                    </w:rPr>
                    <w:t>本项目生产不排放</w:t>
                  </w:r>
                  <w:r>
                    <w:rPr>
                      <w:bCs/>
                      <w:szCs w:val="21"/>
                    </w:rPr>
                    <w:t>二氧化硫、氮氧化物等，供热来自园区集中供热。</w:t>
                  </w:r>
                </w:p>
              </w:tc>
              <w:tc>
                <w:tcPr>
                  <w:tcW w:w="636" w:type="pct"/>
                  <w:noWrap w:val="0"/>
                  <w:vAlign w:val="center"/>
                </w:tcPr>
                <w:p w14:paraId="13FDE882">
                  <w:pPr>
                    <w:jc w:val="center"/>
                    <w:rPr>
                      <w:bCs/>
                      <w:szCs w:val="21"/>
                    </w:rPr>
                  </w:pPr>
                  <w:r>
                    <w:rPr>
                      <w:bCs/>
                      <w:szCs w:val="21"/>
                    </w:rPr>
                    <w:t>符合</w:t>
                  </w:r>
                </w:p>
              </w:tc>
            </w:tr>
            <w:tr w14:paraId="3400E1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 w:type="pct"/>
                  <w:noWrap w:val="0"/>
                  <w:vAlign w:val="center"/>
                </w:tcPr>
                <w:p w14:paraId="3F0489D8">
                  <w:pPr>
                    <w:jc w:val="center"/>
                    <w:rPr>
                      <w:bCs/>
                      <w:szCs w:val="21"/>
                    </w:rPr>
                  </w:pPr>
                  <w:r>
                    <w:rPr>
                      <w:bCs/>
                      <w:szCs w:val="21"/>
                    </w:rPr>
                    <w:t>4</w:t>
                  </w:r>
                </w:p>
              </w:tc>
              <w:tc>
                <w:tcPr>
                  <w:tcW w:w="2407" w:type="pct"/>
                  <w:noWrap w:val="0"/>
                  <w:vAlign w:val="center"/>
                </w:tcPr>
                <w:p w14:paraId="5066DDFC">
                  <w:pPr>
                    <w:rPr>
                      <w:bCs/>
                      <w:szCs w:val="21"/>
                    </w:rPr>
                  </w:pPr>
                  <w:r>
                    <w:rPr>
                      <w:bCs/>
                      <w:szCs w:val="21"/>
                    </w:rPr>
                    <w:t>按照“以水定产”原则，统筹生产、生活用水。根据自治区水利厅关于蒙西工业园区公司工程水资源论证的初审意见（内水资〔2011〕72号），园区已建成的年取水5000万m</w:t>
                  </w:r>
                  <w:r>
                    <w:rPr>
                      <w:bCs/>
                      <w:szCs w:val="21"/>
                      <w:vertAlign w:val="superscript"/>
                    </w:rPr>
                    <w:t>3</w:t>
                  </w:r>
                  <w:r>
                    <w:rPr>
                      <w:bCs/>
                      <w:szCs w:val="21"/>
                    </w:rPr>
                    <w:t>的黄河供水工程，应尽快替代现有自备水源井，实现集中供水，取缔用于工业生产的自备水源井，加强地下水资源保护。</w:t>
                  </w:r>
                </w:p>
              </w:tc>
              <w:tc>
                <w:tcPr>
                  <w:tcW w:w="1588" w:type="pct"/>
                  <w:noWrap w:val="0"/>
                  <w:vAlign w:val="center"/>
                </w:tcPr>
                <w:p w14:paraId="18B4EB13">
                  <w:pPr>
                    <w:adjustRightInd w:val="0"/>
                    <w:snapToGrid w:val="0"/>
                    <w:rPr>
                      <w:szCs w:val="21"/>
                    </w:rPr>
                  </w:pPr>
                  <w:r>
                    <w:rPr>
                      <w:szCs w:val="21"/>
                    </w:rPr>
                    <w:t>供水来自鄂尔多斯市水投鄂旗水务有限公司供给，不使用地下水。</w:t>
                  </w:r>
                </w:p>
              </w:tc>
              <w:tc>
                <w:tcPr>
                  <w:tcW w:w="636" w:type="pct"/>
                  <w:noWrap w:val="0"/>
                  <w:vAlign w:val="center"/>
                </w:tcPr>
                <w:p w14:paraId="0B0EF98F">
                  <w:pPr>
                    <w:jc w:val="center"/>
                    <w:rPr>
                      <w:bCs/>
                      <w:szCs w:val="21"/>
                    </w:rPr>
                  </w:pPr>
                  <w:r>
                    <w:rPr>
                      <w:bCs/>
                      <w:szCs w:val="21"/>
                    </w:rPr>
                    <w:t>符合</w:t>
                  </w:r>
                </w:p>
              </w:tc>
            </w:tr>
            <w:tr w14:paraId="1A92C0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 w:type="pct"/>
                  <w:noWrap w:val="0"/>
                  <w:vAlign w:val="center"/>
                </w:tcPr>
                <w:p w14:paraId="2BF75671">
                  <w:pPr>
                    <w:jc w:val="center"/>
                    <w:rPr>
                      <w:bCs/>
                      <w:szCs w:val="21"/>
                    </w:rPr>
                  </w:pPr>
                  <w:r>
                    <w:rPr>
                      <w:bCs/>
                      <w:szCs w:val="21"/>
                    </w:rPr>
                    <w:t>5</w:t>
                  </w:r>
                </w:p>
              </w:tc>
              <w:tc>
                <w:tcPr>
                  <w:tcW w:w="2407" w:type="pct"/>
                  <w:noWrap w:val="0"/>
                  <w:vAlign w:val="center"/>
                </w:tcPr>
                <w:p w14:paraId="017258FD">
                  <w:pPr>
                    <w:rPr>
                      <w:bCs/>
                      <w:szCs w:val="21"/>
                    </w:rPr>
                  </w:pPr>
                  <w:r>
                    <w:rPr>
                      <w:bCs/>
                      <w:szCs w:val="21"/>
                    </w:rPr>
                    <w:t>合理安排项目区气源和热源工程。园区规划2×300MW君正热电站建成后，应逐步替代现有分散锅炉，严格执行集中供热，同时做好钢铁、水泥等产业的余热余压利用。</w:t>
                  </w:r>
                </w:p>
              </w:tc>
              <w:tc>
                <w:tcPr>
                  <w:tcW w:w="1588" w:type="pct"/>
                  <w:noWrap w:val="0"/>
                  <w:vAlign w:val="center"/>
                </w:tcPr>
                <w:p w14:paraId="0C2E6E96">
                  <w:pPr>
                    <w:rPr>
                      <w:szCs w:val="21"/>
                    </w:rPr>
                  </w:pPr>
                  <w:r>
                    <w:rPr>
                      <w:szCs w:val="21"/>
                    </w:rPr>
                    <w:t>本项目供热来自</w:t>
                  </w:r>
                  <w:r>
                    <w:rPr>
                      <w:bCs/>
                      <w:szCs w:val="21"/>
                    </w:rPr>
                    <w:t>园区集中供热。</w:t>
                  </w:r>
                </w:p>
              </w:tc>
              <w:tc>
                <w:tcPr>
                  <w:tcW w:w="636" w:type="pct"/>
                  <w:noWrap w:val="0"/>
                  <w:vAlign w:val="center"/>
                </w:tcPr>
                <w:p w14:paraId="02612F05">
                  <w:pPr>
                    <w:jc w:val="center"/>
                    <w:rPr>
                      <w:bCs/>
                      <w:szCs w:val="21"/>
                    </w:rPr>
                  </w:pPr>
                  <w:r>
                    <w:rPr>
                      <w:bCs/>
                      <w:szCs w:val="21"/>
                    </w:rPr>
                    <w:t>符合</w:t>
                  </w:r>
                </w:p>
              </w:tc>
            </w:tr>
            <w:tr w14:paraId="6702AA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 w:type="pct"/>
                  <w:noWrap w:val="0"/>
                  <w:vAlign w:val="center"/>
                </w:tcPr>
                <w:p w14:paraId="2E4A5502">
                  <w:pPr>
                    <w:jc w:val="center"/>
                    <w:rPr>
                      <w:bCs/>
                      <w:szCs w:val="21"/>
                    </w:rPr>
                  </w:pPr>
                  <w:r>
                    <w:rPr>
                      <w:bCs/>
                      <w:szCs w:val="21"/>
                    </w:rPr>
                    <w:t>6</w:t>
                  </w:r>
                </w:p>
              </w:tc>
              <w:tc>
                <w:tcPr>
                  <w:tcW w:w="2407" w:type="pct"/>
                  <w:noWrap w:val="0"/>
                  <w:vAlign w:val="center"/>
                </w:tcPr>
                <w:p w14:paraId="330841C1">
                  <w:pPr>
                    <w:rPr>
                      <w:bCs/>
                      <w:szCs w:val="21"/>
                    </w:rPr>
                  </w:pPr>
                  <w:r>
                    <w:rPr>
                      <w:bCs/>
                      <w:szCs w:val="21"/>
                    </w:rPr>
                    <w:t>积极落实污水处理设施建设。南区现有生活污水处理厂应进行扩容改造，2014年扩建至2.0万m</w:t>
                  </w:r>
                  <w:r>
                    <w:rPr>
                      <w:bCs/>
                      <w:szCs w:val="21"/>
                      <w:vertAlign w:val="superscript"/>
                    </w:rPr>
                    <w:t>3</w:t>
                  </w:r>
                  <w:r>
                    <w:rPr>
                      <w:bCs/>
                      <w:szCs w:val="21"/>
                    </w:rPr>
                    <w:t>/d。中区位于双欣路和西外环交叉口的污水处理厂，2013年应建成2.0万m</w:t>
                  </w:r>
                  <w:r>
                    <w:rPr>
                      <w:bCs/>
                      <w:szCs w:val="21"/>
                      <w:vertAlign w:val="superscript"/>
                    </w:rPr>
                    <w:t>3</w:t>
                  </w:r>
                  <w:r>
                    <w:rPr>
                      <w:bCs/>
                      <w:szCs w:val="21"/>
                    </w:rPr>
                    <w:t>/d处理规模，满足周边企业的污水处理需求，同时配套建设深度处理设施，中水全部回用。高浓盐水优先用于园区渣场、粉料堆场喷淋抑尘用水和选矿厂用水，剩余部分排至蒸发晾晒池。</w:t>
                  </w:r>
                </w:p>
              </w:tc>
              <w:tc>
                <w:tcPr>
                  <w:tcW w:w="1588" w:type="pct"/>
                  <w:noWrap w:val="0"/>
                  <w:vAlign w:val="center"/>
                </w:tcPr>
                <w:p w14:paraId="6D838E49">
                  <w:pPr>
                    <w:rPr>
                      <w:bCs/>
                      <w:szCs w:val="21"/>
                    </w:rPr>
                  </w:pPr>
                  <w:r>
                    <w:rPr>
                      <w:bCs/>
                      <w:szCs w:val="21"/>
                    </w:rPr>
                    <w:t>本项目生产废水通过沉淀池收集沉淀，再循环使用，不排放，生活用水通过园区生活污水管网排至污水处理厂处理。</w:t>
                  </w:r>
                </w:p>
              </w:tc>
              <w:tc>
                <w:tcPr>
                  <w:tcW w:w="636" w:type="pct"/>
                  <w:noWrap w:val="0"/>
                  <w:vAlign w:val="center"/>
                </w:tcPr>
                <w:p w14:paraId="3C0561C5">
                  <w:pPr>
                    <w:jc w:val="center"/>
                    <w:rPr>
                      <w:bCs/>
                      <w:szCs w:val="21"/>
                    </w:rPr>
                  </w:pPr>
                  <w:r>
                    <w:rPr>
                      <w:bCs/>
                      <w:szCs w:val="21"/>
                    </w:rPr>
                    <w:t>符合</w:t>
                  </w:r>
                </w:p>
              </w:tc>
            </w:tr>
            <w:tr w14:paraId="4267C3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 w:type="pct"/>
                  <w:noWrap w:val="0"/>
                  <w:vAlign w:val="center"/>
                </w:tcPr>
                <w:p w14:paraId="47ABE5C4">
                  <w:pPr>
                    <w:jc w:val="center"/>
                    <w:rPr>
                      <w:bCs/>
                      <w:szCs w:val="21"/>
                    </w:rPr>
                  </w:pPr>
                  <w:r>
                    <w:rPr>
                      <w:bCs/>
                      <w:szCs w:val="21"/>
                    </w:rPr>
                    <w:t>7</w:t>
                  </w:r>
                </w:p>
              </w:tc>
              <w:tc>
                <w:tcPr>
                  <w:tcW w:w="2407" w:type="pct"/>
                  <w:noWrap w:val="0"/>
                  <w:vAlign w:val="center"/>
                </w:tcPr>
                <w:p w14:paraId="29F93D32">
                  <w:pPr>
                    <w:rPr>
                      <w:bCs/>
                      <w:szCs w:val="21"/>
                    </w:rPr>
                  </w:pPr>
                  <w:r>
                    <w:rPr>
                      <w:bCs/>
                      <w:szCs w:val="21"/>
                    </w:rPr>
                    <w:t>认真实施固废处理设施。加快位于园区东10km处的渣场建设，应严格按照《一般工业固体废弃物贮存、处置场污染控制标准》（GB18599-2001）建设并分类处置。</w:t>
                  </w:r>
                </w:p>
              </w:tc>
              <w:tc>
                <w:tcPr>
                  <w:tcW w:w="1588" w:type="pct"/>
                  <w:noWrap w:val="0"/>
                  <w:vAlign w:val="center"/>
                </w:tcPr>
                <w:p w14:paraId="71CBD85F">
                  <w:pPr>
                    <w:rPr>
                      <w:bCs/>
                      <w:szCs w:val="21"/>
                    </w:rPr>
                  </w:pPr>
                  <w:r>
                    <w:rPr>
                      <w:szCs w:val="21"/>
                    </w:rPr>
                    <w:t>本项目固废主要为除尘灰及设备检修产生的废矿物油和废矿物油桶，除尘灰可回用于本项目生产，废矿物油经厂区危废库收集后交由有资质单位处理。</w:t>
                  </w:r>
                </w:p>
              </w:tc>
              <w:tc>
                <w:tcPr>
                  <w:tcW w:w="636" w:type="pct"/>
                  <w:noWrap w:val="0"/>
                  <w:vAlign w:val="center"/>
                </w:tcPr>
                <w:p w14:paraId="7DF808DB">
                  <w:pPr>
                    <w:jc w:val="center"/>
                    <w:rPr>
                      <w:bCs/>
                      <w:szCs w:val="21"/>
                    </w:rPr>
                  </w:pPr>
                  <w:r>
                    <w:rPr>
                      <w:bCs/>
                      <w:szCs w:val="21"/>
                    </w:rPr>
                    <w:t>符合</w:t>
                  </w:r>
                </w:p>
              </w:tc>
            </w:tr>
            <w:tr w14:paraId="13F08A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 w:type="pct"/>
                  <w:noWrap w:val="0"/>
                  <w:vAlign w:val="center"/>
                </w:tcPr>
                <w:p w14:paraId="4AF341E1">
                  <w:pPr>
                    <w:jc w:val="center"/>
                    <w:rPr>
                      <w:bCs/>
                      <w:szCs w:val="21"/>
                    </w:rPr>
                  </w:pPr>
                  <w:r>
                    <w:rPr>
                      <w:bCs/>
                      <w:szCs w:val="21"/>
                    </w:rPr>
                    <w:t>8</w:t>
                  </w:r>
                </w:p>
              </w:tc>
              <w:tc>
                <w:tcPr>
                  <w:tcW w:w="2407" w:type="pct"/>
                  <w:noWrap w:val="0"/>
                  <w:vAlign w:val="center"/>
                </w:tcPr>
                <w:p w14:paraId="2B1FA16E">
                  <w:pPr>
                    <w:rPr>
                      <w:bCs/>
                      <w:szCs w:val="21"/>
                    </w:rPr>
                  </w:pPr>
                  <w:r>
                    <w:rPr>
                      <w:bCs/>
                      <w:szCs w:val="21"/>
                    </w:rPr>
                    <w:t>项目区引入项目应达到清洁生产二级标准和国内行业清洁生产先进水平以上，符合行业准入条件。禁止不符合园区产业定位及清洁生产水平要求的项目，以及落后生产技术、工艺、设备进入</w:t>
                  </w:r>
                </w:p>
              </w:tc>
              <w:tc>
                <w:tcPr>
                  <w:tcW w:w="1588" w:type="pct"/>
                  <w:noWrap w:val="0"/>
                  <w:vAlign w:val="center"/>
                </w:tcPr>
                <w:p w14:paraId="6B0E1CD5">
                  <w:pPr>
                    <w:rPr>
                      <w:bCs/>
                      <w:szCs w:val="21"/>
                    </w:rPr>
                  </w:pPr>
                  <w:r>
                    <w:rPr>
                      <w:bCs/>
                      <w:szCs w:val="21"/>
                    </w:rPr>
                    <w:t>项目废气通过全封闭厂房、布袋除尘器等</w:t>
                  </w:r>
                  <w:r>
                    <w:rPr>
                      <w:bCs/>
                      <w:color w:val="auto"/>
                      <w:szCs w:val="21"/>
                    </w:rPr>
                    <w:t>措施，噪声通过基础减</w:t>
                  </w:r>
                  <w:r>
                    <w:rPr>
                      <w:rFonts w:hint="eastAsia"/>
                      <w:bCs/>
                      <w:color w:val="auto"/>
                      <w:szCs w:val="21"/>
                      <w:lang w:val="en-US" w:eastAsia="zh-CN"/>
                    </w:rPr>
                    <w:t>振</w:t>
                  </w:r>
                  <w:r>
                    <w:rPr>
                      <w:bCs/>
                      <w:color w:val="auto"/>
                      <w:szCs w:val="21"/>
                    </w:rPr>
                    <w:t>、厂房隔声等措施，</w:t>
                  </w:r>
                  <w:r>
                    <w:rPr>
                      <w:bCs/>
                      <w:szCs w:val="21"/>
                    </w:rPr>
                    <w:t>固废通过分类收集，交由有资质单位处理等措施后各类污染物可达标排放</w:t>
                  </w:r>
                </w:p>
              </w:tc>
              <w:tc>
                <w:tcPr>
                  <w:tcW w:w="636" w:type="pct"/>
                  <w:noWrap w:val="0"/>
                  <w:vAlign w:val="center"/>
                </w:tcPr>
                <w:p w14:paraId="03876E44">
                  <w:pPr>
                    <w:jc w:val="center"/>
                    <w:rPr>
                      <w:bCs/>
                      <w:szCs w:val="21"/>
                    </w:rPr>
                  </w:pPr>
                  <w:r>
                    <w:rPr>
                      <w:bCs/>
                      <w:szCs w:val="21"/>
                    </w:rPr>
                    <w:t>符合</w:t>
                  </w:r>
                </w:p>
              </w:tc>
            </w:tr>
            <w:tr w14:paraId="366C7D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 w:type="pct"/>
                  <w:noWrap w:val="0"/>
                  <w:vAlign w:val="center"/>
                </w:tcPr>
                <w:p w14:paraId="294D4B43">
                  <w:pPr>
                    <w:jc w:val="center"/>
                    <w:rPr>
                      <w:bCs/>
                      <w:szCs w:val="21"/>
                    </w:rPr>
                  </w:pPr>
                  <w:r>
                    <w:rPr>
                      <w:bCs/>
                      <w:szCs w:val="21"/>
                    </w:rPr>
                    <w:t>9</w:t>
                  </w:r>
                </w:p>
              </w:tc>
              <w:tc>
                <w:tcPr>
                  <w:tcW w:w="2407" w:type="pct"/>
                  <w:noWrap w:val="0"/>
                  <w:vAlign w:val="center"/>
                </w:tcPr>
                <w:p w14:paraId="5FFF4C6E">
                  <w:pPr>
                    <w:rPr>
                      <w:bCs/>
                      <w:szCs w:val="21"/>
                    </w:rPr>
                  </w:pPr>
                  <w:r>
                    <w:rPr>
                      <w:bCs/>
                      <w:szCs w:val="21"/>
                    </w:rPr>
                    <w:t>园区应制定切实可行的环境风险应急预案，定期对园区及周边大气、土壤和地下水进行监测。园区紧邻黄河，厂区可能渗漏区域应采取严格的防渗措施，同时减少事故池，在任何情况下，严禁废水进入黄河</w:t>
                  </w:r>
                </w:p>
              </w:tc>
              <w:tc>
                <w:tcPr>
                  <w:tcW w:w="1588" w:type="pct"/>
                  <w:noWrap w:val="0"/>
                  <w:vAlign w:val="center"/>
                </w:tcPr>
                <w:p w14:paraId="15FFBF1C">
                  <w:pPr>
                    <w:rPr>
                      <w:bCs/>
                      <w:szCs w:val="21"/>
                    </w:rPr>
                  </w:pPr>
                  <w:r>
                    <w:rPr>
                      <w:bCs/>
                      <w:szCs w:val="21"/>
                    </w:rPr>
                    <w:t>厂区危废库按重点防渗进行防渗并设置废液收集池，项目生产废水通过沉淀池收集并沉淀后循环利用，不外排，沉淀池进行一般防渗，在任何情况下，严禁废水进入黄河。</w:t>
                  </w:r>
                </w:p>
              </w:tc>
              <w:tc>
                <w:tcPr>
                  <w:tcW w:w="636" w:type="pct"/>
                  <w:noWrap w:val="0"/>
                  <w:vAlign w:val="center"/>
                </w:tcPr>
                <w:p w14:paraId="603F3BDF">
                  <w:pPr>
                    <w:jc w:val="center"/>
                    <w:rPr>
                      <w:bCs/>
                      <w:szCs w:val="21"/>
                    </w:rPr>
                  </w:pPr>
                  <w:r>
                    <w:rPr>
                      <w:bCs/>
                      <w:szCs w:val="21"/>
                    </w:rPr>
                    <w:t>符合</w:t>
                  </w:r>
                </w:p>
              </w:tc>
            </w:tr>
            <w:tr w14:paraId="1C9E76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 w:type="pct"/>
                  <w:noWrap w:val="0"/>
                  <w:vAlign w:val="center"/>
                </w:tcPr>
                <w:p w14:paraId="3E553720">
                  <w:pPr>
                    <w:jc w:val="center"/>
                    <w:rPr>
                      <w:bCs/>
                      <w:szCs w:val="21"/>
                    </w:rPr>
                  </w:pPr>
                  <w:r>
                    <w:rPr>
                      <w:bCs/>
                      <w:szCs w:val="21"/>
                    </w:rPr>
                    <w:t>10</w:t>
                  </w:r>
                </w:p>
              </w:tc>
              <w:tc>
                <w:tcPr>
                  <w:tcW w:w="2407" w:type="pct"/>
                  <w:noWrap w:val="0"/>
                  <w:vAlign w:val="center"/>
                </w:tcPr>
                <w:p w14:paraId="1A4B54CC">
                  <w:pPr>
                    <w:rPr>
                      <w:bCs/>
                      <w:szCs w:val="21"/>
                    </w:rPr>
                  </w:pPr>
                  <w:r>
                    <w:rPr>
                      <w:bCs/>
                      <w:szCs w:val="21"/>
                    </w:rPr>
                    <w:t>认真落实园区环保基础设施完成时限，加快集中水源、集中热源、污水处理设施、临时渣场和蒸发晾晒池的建设进度。</w:t>
                  </w:r>
                </w:p>
              </w:tc>
              <w:tc>
                <w:tcPr>
                  <w:tcW w:w="1588" w:type="pct"/>
                  <w:noWrap w:val="0"/>
                  <w:vAlign w:val="center"/>
                </w:tcPr>
                <w:p w14:paraId="73001572">
                  <w:pPr>
                    <w:jc w:val="center"/>
                    <w:rPr>
                      <w:bCs/>
                      <w:szCs w:val="21"/>
                    </w:rPr>
                  </w:pPr>
                  <w:r>
                    <w:rPr>
                      <w:bCs/>
                      <w:szCs w:val="21"/>
                    </w:rPr>
                    <w:t>-</w:t>
                  </w:r>
                </w:p>
              </w:tc>
              <w:tc>
                <w:tcPr>
                  <w:tcW w:w="636" w:type="pct"/>
                  <w:noWrap w:val="0"/>
                  <w:vAlign w:val="center"/>
                </w:tcPr>
                <w:p w14:paraId="57287409">
                  <w:pPr>
                    <w:jc w:val="center"/>
                    <w:rPr>
                      <w:bCs/>
                      <w:szCs w:val="21"/>
                    </w:rPr>
                  </w:pPr>
                  <w:r>
                    <w:rPr>
                      <w:bCs/>
                      <w:szCs w:val="21"/>
                    </w:rPr>
                    <w:t>-</w:t>
                  </w:r>
                </w:p>
              </w:tc>
            </w:tr>
            <w:tr w14:paraId="0F844E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6" w:type="pct"/>
                  <w:noWrap w:val="0"/>
                  <w:vAlign w:val="center"/>
                </w:tcPr>
                <w:p w14:paraId="74A1B2F9">
                  <w:pPr>
                    <w:jc w:val="center"/>
                    <w:rPr>
                      <w:bCs/>
                      <w:szCs w:val="21"/>
                    </w:rPr>
                  </w:pPr>
                  <w:r>
                    <w:rPr>
                      <w:bCs/>
                      <w:szCs w:val="21"/>
                    </w:rPr>
                    <w:t>11</w:t>
                  </w:r>
                </w:p>
              </w:tc>
              <w:tc>
                <w:tcPr>
                  <w:tcW w:w="2407" w:type="pct"/>
                  <w:noWrap w:val="0"/>
                  <w:vAlign w:val="center"/>
                </w:tcPr>
                <w:p w14:paraId="06CC4292">
                  <w:pPr>
                    <w:rPr>
                      <w:bCs/>
                      <w:szCs w:val="21"/>
                    </w:rPr>
                  </w:pPr>
                  <w:r>
                    <w:rPr>
                      <w:bCs/>
                      <w:szCs w:val="21"/>
                    </w:rPr>
                    <w:t>园区应加强环境检测能力建设，做好环境保护日常管理，落实区域大气联防联控</w:t>
                  </w:r>
                  <w:r>
                    <w:rPr>
                      <w:rFonts w:hint="eastAsia"/>
                      <w:bCs/>
                      <w:szCs w:val="21"/>
                      <w:lang w:eastAsia="zh-CN"/>
                    </w:rPr>
                    <w:t>机制</w:t>
                  </w:r>
                  <w:r>
                    <w:rPr>
                      <w:bCs/>
                      <w:szCs w:val="21"/>
                    </w:rPr>
                    <w:t>。重点企业排污口应设置在线监测系统并与</w:t>
                  </w:r>
                  <w:r>
                    <w:rPr>
                      <w:rFonts w:hint="eastAsia"/>
                      <w:bCs/>
                      <w:szCs w:val="21"/>
                      <w:lang w:val="en-US" w:eastAsia="zh-CN"/>
                    </w:rPr>
                    <w:t>生态环境</w:t>
                  </w:r>
                  <w:bookmarkStart w:id="6" w:name="_GoBack"/>
                  <w:bookmarkEnd w:id="6"/>
                  <w:r>
                    <w:rPr>
                      <w:bCs/>
                      <w:szCs w:val="21"/>
                    </w:rPr>
                    <w:t>部门联网，及时了解企业排污和环境治理的变化，以便于及时调整规划和相关的环保对策措施</w:t>
                  </w:r>
                </w:p>
              </w:tc>
              <w:tc>
                <w:tcPr>
                  <w:tcW w:w="1588" w:type="pct"/>
                  <w:noWrap w:val="0"/>
                  <w:vAlign w:val="center"/>
                </w:tcPr>
                <w:p w14:paraId="4F66FCB4">
                  <w:pPr>
                    <w:rPr>
                      <w:bCs/>
                      <w:szCs w:val="21"/>
                    </w:rPr>
                  </w:pPr>
                  <w:r>
                    <w:rPr>
                      <w:szCs w:val="21"/>
                    </w:rPr>
                    <w:t>本次环评中已制定了详细的跟踪监测计划。</w:t>
                  </w:r>
                </w:p>
              </w:tc>
              <w:tc>
                <w:tcPr>
                  <w:tcW w:w="636" w:type="pct"/>
                  <w:noWrap w:val="0"/>
                  <w:vAlign w:val="center"/>
                </w:tcPr>
                <w:p w14:paraId="20287139">
                  <w:pPr>
                    <w:jc w:val="center"/>
                    <w:rPr>
                      <w:bCs/>
                      <w:szCs w:val="21"/>
                    </w:rPr>
                  </w:pPr>
                  <w:r>
                    <w:rPr>
                      <w:bCs/>
                      <w:szCs w:val="21"/>
                    </w:rPr>
                    <w:t>符合</w:t>
                  </w:r>
                </w:p>
              </w:tc>
            </w:tr>
          </w:tbl>
          <w:p w14:paraId="79A8CC87">
            <w:pPr>
              <w:pStyle w:val="5"/>
              <w:ind w:left="0" w:leftChars="0" w:firstLine="0" w:firstLineChars="0"/>
              <w:rPr>
                <w:lang w:val="en-US" w:eastAsia="zh-CN"/>
              </w:rPr>
            </w:pPr>
          </w:p>
        </w:tc>
      </w:tr>
      <w:tr w14:paraId="4088A4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noWrap w:val="0"/>
            <w:vAlign w:val="center"/>
          </w:tcPr>
          <w:p w14:paraId="398F2A2B">
            <w:pPr>
              <w:autoSpaceDE w:val="0"/>
              <w:autoSpaceDN w:val="0"/>
              <w:adjustRightInd w:val="0"/>
              <w:snapToGrid w:val="0"/>
              <w:jc w:val="center"/>
              <w:rPr>
                <w:kern w:val="0"/>
                <w:szCs w:val="21"/>
              </w:rPr>
            </w:pPr>
            <w:r>
              <w:rPr>
                <w:kern w:val="0"/>
                <w:szCs w:val="21"/>
              </w:rPr>
              <w:t>其他符合性分析</w:t>
            </w:r>
          </w:p>
        </w:tc>
        <w:tc>
          <w:tcPr>
            <w:tcW w:w="6488" w:type="dxa"/>
            <w:gridSpan w:val="3"/>
            <w:noWrap w:val="0"/>
            <w:vAlign w:val="center"/>
          </w:tcPr>
          <w:p w14:paraId="4A80809D">
            <w:pPr>
              <w:autoSpaceDE w:val="0"/>
              <w:autoSpaceDN w:val="0"/>
              <w:adjustRightInd w:val="0"/>
              <w:snapToGrid w:val="0"/>
              <w:spacing w:line="360" w:lineRule="auto"/>
              <w:jc w:val="left"/>
              <w:rPr>
                <w:b/>
                <w:bCs/>
                <w:sz w:val="24"/>
              </w:rPr>
            </w:pPr>
            <w:r>
              <w:rPr>
                <w:b/>
                <w:bCs/>
                <w:sz w:val="24"/>
              </w:rPr>
              <w:t>1.与产业政策的符合性分析</w:t>
            </w:r>
          </w:p>
          <w:p w14:paraId="7610EDB4">
            <w:pPr>
              <w:autoSpaceDE w:val="0"/>
              <w:autoSpaceDN w:val="0"/>
              <w:adjustRightInd w:val="0"/>
              <w:snapToGrid w:val="0"/>
              <w:spacing w:line="360" w:lineRule="auto"/>
              <w:ind w:firstLine="480" w:firstLineChars="200"/>
              <w:jc w:val="left"/>
              <w:rPr>
                <w:sz w:val="24"/>
              </w:rPr>
            </w:pPr>
            <w:r>
              <w:rPr>
                <w:sz w:val="24"/>
              </w:rPr>
              <w:t>本项目为预拌混凝土生产项目，依据国家发展和改革委员会令第7号《产业结构调整指导目录（2024年本）》，项目不属于鼓励类、限制类和淘汰类，项目已在内蒙古鄂尔多斯鄂托克旗经济开发区发展和招商局立项，因此，项目建设符合国家产业政策。</w:t>
            </w:r>
          </w:p>
          <w:p w14:paraId="2EB431D4">
            <w:pPr>
              <w:autoSpaceDE w:val="0"/>
              <w:autoSpaceDN w:val="0"/>
              <w:adjustRightInd w:val="0"/>
              <w:snapToGrid w:val="0"/>
              <w:spacing w:line="360" w:lineRule="auto"/>
              <w:jc w:val="left"/>
              <w:rPr>
                <w:b/>
                <w:bCs/>
                <w:sz w:val="24"/>
              </w:rPr>
            </w:pPr>
            <w:r>
              <w:rPr>
                <w:b/>
                <w:bCs/>
                <w:sz w:val="24"/>
              </w:rPr>
              <w:t>2.与《内蒙古自治区主体功能区规划》的符合性分析</w:t>
            </w:r>
          </w:p>
          <w:p w14:paraId="5630AA0C">
            <w:pPr>
              <w:autoSpaceDE w:val="0"/>
              <w:autoSpaceDN w:val="0"/>
              <w:adjustRightInd w:val="0"/>
              <w:snapToGrid w:val="0"/>
              <w:spacing w:line="360" w:lineRule="auto"/>
              <w:ind w:firstLine="480" w:firstLineChars="200"/>
              <w:jc w:val="left"/>
              <w:rPr>
                <w:sz w:val="24"/>
              </w:rPr>
            </w:pPr>
            <w:r>
              <w:rPr>
                <w:sz w:val="24"/>
              </w:rPr>
              <w:t>根据《内蒙古自治区主体功能区规划》将全区国土空间划分为以下主体功能区：按开发方式，划分为重点开发区域、限制开发区域和禁止开发区域；按开发内容，划分为城市化地区、农产品主产区和重点生态功能区；按层次，划分为国家级和自治区级两个层面。</w:t>
            </w:r>
          </w:p>
          <w:p w14:paraId="7D10F8F9">
            <w:pPr>
              <w:autoSpaceDE w:val="0"/>
              <w:autoSpaceDN w:val="0"/>
              <w:adjustRightInd w:val="0"/>
              <w:snapToGrid w:val="0"/>
              <w:spacing w:line="360" w:lineRule="auto"/>
              <w:ind w:firstLine="480" w:firstLineChars="200"/>
              <w:jc w:val="left"/>
              <w:rPr>
                <w:sz w:val="24"/>
              </w:rPr>
            </w:pPr>
            <w:r>
              <w:rPr>
                <w:sz w:val="24"/>
              </w:rPr>
              <w:t xml:space="preserve">国家级重点开发区域是指呼包鄂地区，包括呼和浩特市新城区、回民区、玉泉区、赛罕区、托克托县、和林格尔县、土默特左旗，包头市东河区、昆都仑区、青山区、九原区、石拐区、白云鄂博矿区，鄂尔多斯市东胜区、伊金霍洛旗、准格尔旗，鄂托克旗、鄂托克前旗、乌审旗、达拉特旗、杭锦旗21个旗县市区。 </w:t>
            </w:r>
          </w:p>
          <w:p w14:paraId="071EA7D9">
            <w:pPr>
              <w:autoSpaceDE w:val="0"/>
              <w:autoSpaceDN w:val="0"/>
              <w:adjustRightInd w:val="0"/>
              <w:snapToGrid w:val="0"/>
              <w:spacing w:line="360" w:lineRule="auto"/>
              <w:ind w:firstLine="480" w:firstLineChars="200"/>
              <w:jc w:val="left"/>
              <w:rPr>
                <w:sz w:val="24"/>
              </w:rPr>
            </w:pPr>
            <w:r>
              <w:rPr>
                <w:sz w:val="24"/>
              </w:rPr>
              <w:t>本项目位于鄂尔多斯市鄂托克旗蒙西镇，属于国家级重点开发区域。因此，本项目符合《内蒙古自治区主体功能区规划》要求。</w:t>
            </w:r>
          </w:p>
          <w:p w14:paraId="62E8C487">
            <w:pPr>
              <w:autoSpaceDE w:val="0"/>
              <w:autoSpaceDN w:val="0"/>
              <w:adjustRightInd w:val="0"/>
              <w:snapToGrid w:val="0"/>
              <w:spacing w:line="360" w:lineRule="auto"/>
              <w:jc w:val="left"/>
              <w:rPr>
                <w:b/>
                <w:bCs/>
                <w:sz w:val="24"/>
              </w:rPr>
            </w:pPr>
            <w:r>
              <w:rPr>
                <w:b/>
                <w:bCs/>
                <w:sz w:val="24"/>
              </w:rPr>
              <w:t>3.“三线一单”符合性分析</w:t>
            </w:r>
          </w:p>
          <w:p w14:paraId="26D07CDB">
            <w:pPr>
              <w:autoSpaceDE w:val="0"/>
              <w:autoSpaceDN w:val="0"/>
              <w:adjustRightInd w:val="0"/>
              <w:snapToGrid w:val="0"/>
              <w:spacing w:line="360" w:lineRule="auto"/>
              <w:ind w:firstLine="480" w:firstLineChars="200"/>
              <w:jc w:val="left"/>
              <w:rPr>
                <w:sz w:val="24"/>
              </w:rPr>
            </w:pPr>
            <w:r>
              <w:rPr>
                <w:sz w:val="24"/>
              </w:rPr>
              <w:t>根据鄂尔多斯市人民政府于2021年9月17日发布的《鄂尔多斯市人民政府关于“三线一单”生态环境分区管控的实施意见》（鄂府发〔2021〕218号），基于生态保护红线、环境质量底线、资源利用上线，充分吸纳整合已有相关规划、功能区划、行动计划、战略环评等要求，从空间布局约束、污染物排放管控、环境风险防控和资源利用效率等方面明确生态环境准入要求。环境管控单元包括：优先保护单元、重点管控单元、一般管控单元三类，实施分类管控。2021年10月27日，鄂尔多斯市生态环境局发布了《鄂尔多斯市生态环境准入清单的通知》（鄂环函〔2021〕95号），明确了生态环境准入要求。</w:t>
            </w:r>
          </w:p>
          <w:p w14:paraId="51D9AC57">
            <w:pPr>
              <w:autoSpaceDE w:val="0"/>
              <w:autoSpaceDN w:val="0"/>
              <w:adjustRightInd w:val="0"/>
              <w:snapToGrid w:val="0"/>
              <w:spacing w:line="360" w:lineRule="auto"/>
              <w:ind w:firstLine="480" w:firstLineChars="200"/>
              <w:jc w:val="left"/>
              <w:rPr>
                <w:sz w:val="24"/>
              </w:rPr>
            </w:pPr>
            <w:r>
              <w:rPr>
                <w:sz w:val="24"/>
              </w:rPr>
              <w:t>对照鄂尔多斯市环境管控单元图以及鄂尔多斯市生态环境局鄂尔多斯市“三线一单”编制组在2022年10月对“鄂 尔 多斯市生态环境准入清单”的修改内容，本项目所在区域属于重点管控单元（ZH15062420001</w:t>
            </w:r>
            <w:r>
              <w:rPr>
                <w:kern w:val="0"/>
                <w:szCs w:val="21"/>
                <w:lang w:bidi="ar"/>
              </w:rPr>
              <w:t>）</w:t>
            </w:r>
            <w:r>
              <w:rPr>
                <w:sz w:val="24"/>
              </w:rPr>
              <w:t>（见附图3），本项目与“三线一单”符合性判定见表1-1。</w:t>
            </w:r>
          </w:p>
          <w:p w14:paraId="77719AB2">
            <w:pPr>
              <w:pStyle w:val="16"/>
              <w:spacing w:before="24" w:after="24"/>
              <w:textAlignment w:val="center"/>
              <w:rPr>
                <w:rFonts w:eastAsia="宋体"/>
                <w:szCs w:val="24"/>
              </w:rPr>
            </w:pPr>
            <w:r>
              <w:rPr>
                <w:rFonts w:eastAsia="宋体"/>
                <w:szCs w:val="24"/>
              </w:rPr>
              <w:t>表1-2    “三线一单”符合性分析表</w:t>
            </w:r>
          </w:p>
          <w:tbl>
            <w:tblPr>
              <w:tblStyle w:val="11"/>
              <w:tblW w:w="6272"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7"/>
              <w:gridCol w:w="556"/>
              <w:gridCol w:w="2666"/>
              <w:gridCol w:w="2513"/>
            </w:tblGrid>
            <w:tr w14:paraId="5E14D9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7" w:type="dxa"/>
                  <w:noWrap w:val="0"/>
                  <w:vAlign w:val="center"/>
                </w:tcPr>
                <w:p w14:paraId="5036E3F7">
                  <w:pPr>
                    <w:pStyle w:val="18"/>
                    <w:spacing w:before="24" w:after="24" w:line="240" w:lineRule="auto"/>
                    <w:rPr>
                      <w:rFonts w:ascii="Times New Roman"/>
                      <w:szCs w:val="21"/>
                      <w:lang w:val="en-US" w:eastAsia="zh-CN"/>
                    </w:rPr>
                  </w:pPr>
                  <w:r>
                    <w:rPr>
                      <w:rFonts w:ascii="Times New Roman"/>
                      <w:szCs w:val="21"/>
                      <w:lang w:val="en-US" w:eastAsia="zh-CN"/>
                    </w:rPr>
                    <w:t>内容</w:t>
                  </w:r>
                </w:p>
              </w:tc>
              <w:tc>
                <w:tcPr>
                  <w:tcW w:w="3222" w:type="dxa"/>
                  <w:gridSpan w:val="2"/>
                  <w:noWrap w:val="0"/>
                  <w:vAlign w:val="center"/>
                </w:tcPr>
                <w:p w14:paraId="285D431B">
                  <w:pPr>
                    <w:pStyle w:val="18"/>
                    <w:spacing w:before="24" w:after="24" w:line="240" w:lineRule="auto"/>
                    <w:rPr>
                      <w:rFonts w:ascii="Times New Roman"/>
                      <w:szCs w:val="21"/>
                      <w:lang w:val="en-US" w:eastAsia="zh-CN"/>
                    </w:rPr>
                  </w:pPr>
                  <w:r>
                    <w:rPr>
                      <w:rFonts w:ascii="Times New Roman"/>
                      <w:szCs w:val="21"/>
                      <w:lang w:val="en-US" w:eastAsia="zh-CN"/>
                    </w:rPr>
                    <w:t>文件及要求</w:t>
                  </w:r>
                </w:p>
              </w:tc>
              <w:tc>
                <w:tcPr>
                  <w:tcW w:w="2513" w:type="dxa"/>
                  <w:noWrap w:val="0"/>
                  <w:vAlign w:val="center"/>
                </w:tcPr>
                <w:p w14:paraId="00077843">
                  <w:pPr>
                    <w:pStyle w:val="18"/>
                    <w:spacing w:before="24" w:after="24" w:line="240" w:lineRule="auto"/>
                    <w:rPr>
                      <w:rFonts w:ascii="Times New Roman"/>
                      <w:szCs w:val="21"/>
                      <w:lang w:val="en-US" w:eastAsia="zh-CN"/>
                    </w:rPr>
                  </w:pPr>
                  <w:r>
                    <w:rPr>
                      <w:rFonts w:ascii="Times New Roman"/>
                      <w:szCs w:val="21"/>
                      <w:lang w:val="en-US" w:eastAsia="zh-CN"/>
                    </w:rPr>
                    <w:t>本项目情况</w:t>
                  </w:r>
                </w:p>
              </w:tc>
            </w:tr>
            <w:tr w14:paraId="4B4FB6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c>
                <w:tcPr>
                  <w:tcW w:w="537" w:type="dxa"/>
                  <w:noWrap w:val="0"/>
                  <w:vAlign w:val="center"/>
                </w:tcPr>
                <w:p w14:paraId="5EB2DB92">
                  <w:pPr>
                    <w:pStyle w:val="18"/>
                    <w:spacing w:before="24" w:after="24" w:line="240" w:lineRule="auto"/>
                    <w:rPr>
                      <w:rFonts w:ascii="Times New Roman"/>
                      <w:szCs w:val="21"/>
                      <w:lang w:val="en-US" w:eastAsia="zh-CN"/>
                    </w:rPr>
                  </w:pPr>
                  <w:r>
                    <w:rPr>
                      <w:rFonts w:ascii="Times New Roman"/>
                      <w:szCs w:val="21"/>
                      <w:lang w:val="en-US" w:eastAsia="zh-CN"/>
                    </w:rPr>
                    <w:t>生态保护红线</w:t>
                  </w:r>
                </w:p>
              </w:tc>
              <w:tc>
                <w:tcPr>
                  <w:tcW w:w="3222" w:type="dxa"/>
                  <w:gridSpan w:val="2"/>
                  <w:noWrap w:val="0"/>
                  <w:vAlign w:val="center"/>
                </w:tcPr>
                <w:p w14:paraId="1EB119ED">
                  <w:pPr>
                    <w:pStyle w:val="18"/>
                    <w:spacing w:beforeLines="0" w:afterLines="0" w:line="240" w:lineRule="auto"/>
                    <w:jc w:val="both"/>
                    <w:rPr>
                      <w:rFonts w:ascii="Times New Roman"/>
                      <w:szCs w:val="21"/>
                      <w:lang w:val="en-US" w:eastAsia="zh-CN"/>
                    </w:rPr>
                  </w:pPr>
                  <w:r>
                    <w:rPr>
                      <w:rFonts w:ascii="Times New Roman"/>
                      <w:szCs w:val="21"/>
                      <w:lang w:val="en-US" w:eastAsia="zh-CN"/>
                    </w:rPr>
                    <w:t>《鄂尔多斯市人民政府关于“三线一单”生态环境分区管控的实施意见》（鄂府发</w:t>
                  </w:r>
                  <w:r>
                    <w:rPr>
                      <w:rFonts w:hint="eastAsia" w:ascii="Times New Roman"/>
                      <w:szCs w:val="21"/>
                      <w:lang w:val="en-US" w:eastAsia="zh-CN"/>
                    </w:rPr>
                    <w:t>〔</w:t>
                  </w:r>
                  <w:r>
                    <w:rPr>
                      <w:rFonts w:ascii="Times New Roman"/>
                      <w:szCs w:val="21"/>
                      <w:lang w:val="en-US" w:eastAsia="zh-CN"/>
                    </w:rPr>
                    <w:t>2021</w:t>
                  </w:r>
                  <w:r>
                    <w:rPr>
                      <w:rFonts w:hint="eastAsia" w:ascii="Times New Roman"/>
                      <w:szCs w:val="21"/>
                      <w:lang w:val="en-US" w:eastAsia="zh-CN"/>
                    </w:rPr>
                    <w:t>〕</w:t>
                  </w:r>
                  <w:r>
                    <w:rPr>
                      <w:rFonts w:ascii="Times New Roman"/>
                      <w:szCs w:val="21"/>
                      <w:lang w:val="en-US" w:eastAsia="zh-CN"/>
                    </w:rPr>
                    <w:t>218号）要求：重点管控单元：共87个，面积占比为30.74%，主要包括工业园区、城市、矿区等开发强度高、污染排放量大、环境问题相对集中的区域，以及生态需水补给区等。该区域应不断提升资源利用效率，有针对性地加强污染物排放控制和环境风险防控，解决生态环境质量不达标、生态环境风险高等问题。一般管控单元：面积占比为6.63%，优先保护单元、重点管控单元之外为一般管控单元。该区域主要落实生态环境保护基本要求。</w:t>
                  </w:r>
                </w:p>
              </w:tc>
              <w:tc>
                <w:tcPr>
                  <w:tcW w:w="2513" w:type="dxa"/>
                  <w:noWrap w:val="0"/>
                  <w:vAlign w:val="top"/>
                </w:tcPr>
                <w:p w14:paraId="1C006A65">
                  <w:pPr>
                    <w:rPr>
                      <w:szCs w:val="21"/>
                    </w:rPr>
                  </w:pPr>
                  <w:r>
                    <w:rPr>
                      <w:szCs w:val="21"/>
                    </w:rPr>
                    <w:t>本项目位于鄂尔多斯市鄂托克旗蒙西镇（蒙西高新技术工业园区），属于重点管控单元，项目采取全封闭储棚、定期洒水、安装布袋除尘等措施减少废气对环境的影响；安装基础减振厂房隔声等措施减少声环境的影响；生活污水排至园区管网、生产废水经沉淀池收集后循环使用，固废分类收集处理措施，使废水和固废的合理处理，不外排，符合生态保护红线要求。</w:t>
                  </w:r>
                </w:p>
              </w:tc>
            </w:tr>
            <w:tr w14:paraId="7D8A3A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7" w:type="dxa"/>
                  <w:noWrap w:val="0"/>
                  <w:vAlign w:val="center"/>
                </w:tcPr>
                <w:p w14:paraId="121EBAE4">
                  <w:pPr>
                    <w:pStyle w:val="18"/>
                    <w:spacing w:before="24" w:after="24" w:line="240" w:lineRule="auto"/>
                    <w:rPr>
                      <w:rFonts w:ascii="Times New Roman"/>
                      <w:szCs w:val="21"/>
                      <w:lang w:val="en-US" w:eastAsia="zh-CN"/>
                    </w:rPr>
                  </w:pPr>
                  <w:r>
                    <w:rPr>
                      <w:rFonts w:ascii="Times New Roman"/>
                      <w:szCs w:val="21"/>
                      <w:lang w:val="en-US" w:eastAsia="zh-CN"/>
                    </w:rPr>
                    <w:t>环境质量底线</w:t>
                  </w:r>
                </w:p>
              </w:tc>
              <w:tc>
                <w:tcPr>
                  <w:tcW w:w="3222" w:type="dxa"/>
                  <w:gridSpan w:val="2"/>
                  <w:noWrap w:val="0"/>
                  <w:vAlign w:val="center"/>
                </w:tcPr>
                <w:p w14:paraId="0F54E548">
                  <w:pPr>
                    <w:pStyle w:val="18"/>
                    <w:spacing w:beforeLines="0" w:afterLines="0" w:line="240" w:lineRule="auto"/>
                    <w:jc w:val="both"/>
                    <w:rPr>
                      <w:rFonts w:ascii="Times New Roman"/>
                      <w:szCs w:val="21"/>
                      <w:lang w:val="en-US" w:eastAsia="zh-CN"/>
                    </w:rPr>
                  </w:pPr>
                  <w:r>
                    <w:rPr>
                      <w:rFonts w:ascii="Times New Roman"/>
                      <w:szCs w:val="21"/>
                      <w:lang w:val="en-US" w:eastAsia="zh-CN"/>
                    </w:rPr>
                    <w:t>全市空气质量持续改善，力争PM</w:t>
                  </w:r>
                  <w:r>
                    <w:rPr>
                      <w:rFonts w:ascii="Times New Roman"/>
                      <w:szCs w:val="21"/>
                      <w:vertAlign w:val="subscript"/>
                      <w:lang w:val="en-US" w:eastAsia="zh-CN"/>
                    </w:rPr>
                    <w:t>2.5</w:t>
                  </w:r>
                  <w:r>
                    <w:rPr>
                      <w:rFonts w:ascii="Times New Roman"/>
                      <w:szCs w:val="21"/>
                      <w:lang w:val="en-US" w:eastAsia="zh-CN"/>
                    </w:rPr>
                    <w:t>平均浓度不大于30微克/立方米。到2025年，全市水环境质量持续改善，国控断面地表水优良比例达到87%，消除劣Ⅴ类断面，城市集中式饮用水水源达到或优于III类比例达到100%（除本底值超标外）。全市受污染耕地安全利用率达到98%以上，污染地块安全利用率达到90%以上。污染物排放总量和环境质量达到鄂尔多斯市生态环境保护“十四五”规划目标要求。</w:t>
                  </w:r>
                </w:p>
              </w:tc>
              <w:tc>
                <w:tcPr>
                  <w:tcW w:w="2513" w:type="dxa"/>
                  <w:noWrap w:val="0"/>
                  <w:vAlign w:val="top"/>
                </w:tcPr>
                <w:p w14:paraId="088BC42B">
                  <w:pPr>
                    <w:rPr>
                      <w:szCs w:val="21"/>
                    </w:rPr>
                  </w:pPr>
                  <w:r>
                    <w:rPr>
                      <w:szCs w:val="21"/>
                    </w:rPr>
                    <w:t>项目位于鄂尔多斯市鄂托克旗蒙西镇（蒙西高新技术工业园区），属于乌海及周边地区，根据2022年内蒙古自治区生态环境质量状况公报统计数据，该地区PM</w:t>
                  </w:r>
                  <w:r>
                    <w:rPr>
                      <w:szCs w:val="21"/>
                      <w:vertAlign w:val="subscript"/>
                    </w:rPr>
                    <w:t>10</w:t>
                  </w:r>
                  <w:r>
                    <w:rPr>
                      <w:szCs w:val="21"/>
                    </w:rPr>
                    <w:t>超过《环境空气质量标准》（GB3095-2012）中二级标准限值的污染物，故本项目所在区域属于不达标区，根据现状监测数据可知，TSP满足《环境空气质量标准》（GB3095-2012）二级标准及其修改单，本项目运营后会产生一定的污染物，项目运营期间产生的粉尘和噪声经采取相应防治措施后，可实现达标排放，对周边环境造成的影响较小；废水、固废合理处置，不外排，对周边环境造成的影响较小。本项目建设不会改变区域环境功能区质量要求，能维持环境功能区质量现状。因此项目建设符合环境质量底线要求。</w:t>
                  </w:r>
                </w:p>
              </w:tc>
            </w:tr>
            <w:tr w14:paraId="2C328C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7" w:type="dxa"/>
                  <w:noWrap w:val="0"/>
                  <w:vAlign w:val="center"/>
                </w:tcPr>
                <w:p w14:paraId="7A50ED78">
                  <w:pPr>
                    <w:pStyle w:val="18"/>
                    <w:spacing w:before="24" w:after="24" w:line="240" w:lineRule="auto"/>
                    <w:rPr>
                      <w:rFonts w:ascii="Times New Roman"/>
                      <w:szCs w:val="21"/>
                      <w:lang w:val="en-US" w:eastAsia="zh-CN"/>
                    </w:rPr>
                  </w:pPr>
                  <w:r>
                    <w:rPr>
                      <w:rFonts w:ascii="Times New Roman"/>
                      <w:szCs w:val="21"/>
                      <w:lang w:val="en-US" w:eastAsia="zh-CN"/>
                    </w:rPr>
                    <w:t>资源利用上线</w:t>
                  </w:r>
                </w:p>
              </w:tc>
              <w:tc>
                <w:tcPr>
                  <w:tcW w:w="3222" w:type="dxa"/>
                  <w:gridSpan w:val="2"/>
                  <w:noWrap w:val="0"/>
                  <w:vAlign w:val="center"/>
                </w:tcPr>
                <w:p w14:paraId="0B280BAE">
                  <w:pPr>
                    <w:pStyle w:val="3"/>
                    <w:widowControl w:val="0"/>
                    <w:autoSpaceDE w:val="0"/>
                    <w:autoSpaceDN w:val="0"/>
                    <w:adjustRightInd w:val="0"/>
                    <w:spacing w:before="0" w:after="0" w:line="240" w:lineRule="auto"/>
                    <w:ind w:right="0"/>
                    <w:rPr>
                      <w:sz w:val="21"/>
                      <w:szCs w:val="21"/>
                      <w:lang w:val="en-US" w:eastAsia="zh-CN"/>
                    </w:rPr>
                  </w:pPr>
                  <w:r>
                    <w:rPr>
                      <w:sz w:val="21"/>
                      <w:szCs w:val="21"/>
                      <w:lang w:val="en-US" w:eastAsia="zh-CN"/>
                    </w:rPr>
                    <w:t>《鄂尔多斯市人民政府关于“三线一单”生态环境分区管控的实施意见》（鄂府发</w:t>
                  </w:r>
                  <w:r>
                    <w:rPr>
                      <w:rFonts w:hint="eastAsia"/>
                      <w:sz w:val="21"/>
                      <w:szCs w:val="21"/>
                      <w:lang w:val="en-US" w:eastAsia="zh-CN"/>
                    </w:rPr>
                    <w:t>〔</w:t>
                  </w:r>
                  <w:r>
                    <w:rPr>
                      <w:sz w:val="21"/>
                      <w:szCs w:val="21"/>
                      <w:lang w:val="en-US" w:eastAsia="zh-CN"/>
                    </w:rPr>
                    <w:t>2021</w:t>
                  </w:r>
                  <w:r>
                    <w:rPr>
                      <w:rFonts w:hint="eastAsia"/>
                      <w:sz w:val="21"/>
                      <w:szCs w:val="21"/>
                      <w:lang w:val="en-US" w:eastAsia="zh-CN"/>
                    </w:rPr>
                    <w:t>〕</w:t>
                  </w:r>
                  <w:r>
                    <w:rPr>
                      <w:sz w:val="21"/>
                      <w:szCs w:val="21"/>
                      <w:lang w:val="en-US" w:eastAsia="zh-CN"/>
                    </w:rPr>
                    <w:t>218号）中要求：到2025年，全市国土空间开发强度、能源消费总量得到合理控制。到2030年，全市用水总量控制在19.94亿立方米以内。</w:t>
                  </w:r>
                </w:p>
              </w:tc>
              <w:tc>
                <w:tcPr>
                  <w:tcW w:w="2513" w:type="dxa"/>
                  <w:noWrap w:val="0"/>
                  <w:vAlign w:val="top"/>
                </w:tcPr>
                <w:p w14:paraId="27D1EBFC">
                  <w:pPr>
                    <w:rPr>
                      <w:szCs w:val="21"/>
                    </w:rPr>
                  </w:pPr>
                  <w:r>
                    <w:rPr>
                      <w:szCs w:val="21"/>
                    </w:rPr>
                    <w:t>本项目生产用水由鄂尔多斯市水投鄂旗水务有限公司供给，生产废水经沉淀池收集回用，不外排；项目占地25527.62m</w:t>
                  </w:r>
                  <w:r>
                    <w:rPr>
                      <w:szCs w:val="21"/>
                      <w:vertAlign w:val="superscript"/>
                    </w:rPr>
                    <w:t>2</w:t>
                  </w:r>
                  <w:r>
                    <w:rPr>
                      <w:szCs w:val="21"/>
                    </w:rPr>
                    <w:t>，占蒙西高新技术工业园区总占地面积0.02%，土地资源占用量较小；项目使用设备不属于高功耗设备，电量使用占地区总量较小。</w:t>
                  </w:r>
                </w:p>
              </w:tc>
            </w:tr>
            <w:tr w14:paraId="2B9714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 w:hRule="atLeast"/>
              </w:trPr>
              <w:tc>
                <w:tcPr>
                  <w:tcW w:w="537" w:type="dxa"/>
                  <w:vMerge w:val="restart"/>
                  <w:noWrap w:val="0"/>
                  <w:vAlign w:val="center"/>
                </w:tcPr>
                <w:p w14:paraId="444DD58D">
                  <w:pPr>
                    <w:pStyle w:val="18"/>
                    <w:spacing w:before="24" w:after="24" w:line="240" w:lineRule="auto"/>
                    <w:rPr>
                      <w:rFonts w:ascii="Times New Roman"/>
                      <w:szCs w:val="21"/>
                      <w:lang w:val="en-US" w:eastAsia="zh-CN"/>
                    </w:rPr>
                  </w:pPr>
                  <w:r>
                    <w:rPr>
                      <w:rFonts w:ascii="Times New Roman"/>
                      <w:szCs w:val="21"/>
                      <w:lang w:val="en-US" w:eastAsia="zh-CN"/>
                    </w:rPr>
                    <w:t>生态环境准入</w:t>
                  </w:r>
                </w:p>
              </w:tc>
              <w:tc>
                <w:tcPr>
                  <w:tcW w:w="556" w:type="dxa"/>
                  <w:vMerge w:val="restart"/>
                  <w:noWrap w:val="0"/>
                  <w:vAlign w:val="center"/>
                </w:tcPr>
                <w:p w14:paraId="29F7B44B">
                  <w:pPr>
                    <w:pStyle w:val="18"/>
                    <w:spacing w:beforeLines="0" w:afterLines="0" w:line="240" w:lineRule="auto"/>
                    <w:jc w:val="both"/>
                    <w:rPr>
                      <w:rFonts w:ascii="Times New Roman"/>
                      <w:szCs w:val="21"/>
                      <w:lang w:val="en-US" w:eastAsia="zh-CN"/>
                    </w:rPr>
                  </w:pPr>
                  <w:r>
                    <w:rPr>
                      <w:rFonts w:ascii="Times New Roman"/>
                      <w:b/>
                      <w:szCs w:val="21"/>
                      <w:lang w:val="en-US" w:eastAsia="zh-CN"/>
                    </w:rPr>
                    <w:t>空间布局约束</w:t>
                  </w:r>
                </w:p>
              </w:tc>
              <w:tc>
                <w:tcPr>
                  <w:tcW w:w="2666" w:type="dxa"/>
                  <w:noWrap w:val="0"/>
                  <w:vAlign w:val="center"/>
                </w:tcPr>
                <w:p w14:paraId="11BCE32B">
                  <w:pPr>
                    <w:keepLines/>
                    <w:widowControl/>
                    <w:overflowPunct w:val="0"/>
                    <w:adjustRightInd w:val="0"/>
                    <w:snapToGrid w:val="0"/>
                    <w:rPr>
                      <w:szCs w:val="21"/>
                    </w:rPr>
                  </w:pPr>
                  <w:r>
                    <w:rPr>
                      <w:bCs/>
                      <w:szCs w:val="21"/>
                    </w:rPr>
                    <w:t>1.禁止不符合园区产业定位及规划环评等要求的项目入园；国家明令淘汰的落后产能和不符合国家产业政策的项目，禁止向工业园区转移。</w:t>
                  </w:r>
                </w:p>
              </w:tc>
              <w:tc>
                <w:tcPr>
                  <w:tcW w:w="2513" w:type="dxa"/>
                  <w:vMerge w:val="restart"/>
                  <w:noWrap w:val="0"/>
                  <w:vAlign w:val="top"/>
                </w:tcPr>
                <w:p w14:paraId="1E85E434">
                  <w:pPr>
                    <w:rPr>
                      <w:szCs w:val="21"/>
                    </w:rPr>
                  </w:pPr>
                  <w:r>
                    <w:rPr>
                      <w:szCs w:val="21"/>
                    </w:rPr>
                    <w:t>本项目为预拌混凝土生产项目，可有效利用园区固废产生新的产品，符合园区规划；不属于</w:t>
                  </w:r>
                  <w:r>
                    <w:rPr>
                      <w:bCs/>
                      <w:szCs w:val="21"/>
                    </w:rPr>
                    <w:t>国家明令淘汰的落后产能和不符合国家产业政策的项目。</w:t>
                  </w:r>
                </w:p>
              </w:tc>
            </w:tr>
            <w:tr w14:paraId="04DAA6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 w:hRule="atLeast"/>
              </w:trPr>
              <w:tc>
                <w:tcPr>
                  <w:tcW w:w="537" w:type="dxa"/>
                  <w:vMerge w:val="continue"/>
                  <w:noWrap w:val="0"/>
                  <w:vAlign w:val="center"/>
                </w:tcPr>
                <w:p w14:paraId="46D593FD">
                  <w:pPr>
                    <w:pStyle w:val="18"/>
                    <w:spacing w:beforeLines="0" w:afterLines="0" w:line="240" w:lineRule="auto"/>
                    <w:jc w:val="both"/>
                    <w:rPr>
                      <w:rFonts w:ascii="Times New Roman"/>
                      <w:szCs w:val="21"/>
                      <w:lang w:val="en-US" w:eastAsia="zh-CN"/>
                    </w:rPr>
                  </w:pPr>
                </w:p>
              </w:tc>
              <w:tc>
                <w:tcPr>
                  <w:tcW w:w="556" w:type="dxa"/>
                  <w:vMerge w:val="continue"/>
                  <w:noWrap w:val="0"/>
                  <w:vAlign w:val="center"/>
                </w:tcPr>
                <w:p w14:paraId="383BD91E">
                  <w:pPr>
                    <w:pStyle w:val="18"/>
                    <w:spacing w:beforeLines="0" w:afterLines="0" w:line="240" w:lineRule="auto"/>
                    <w:jc w:val="both"/>
                    <w:rPr>
                      <w:rFonts w:ascii="Times New Roman"/>
                      <w:szCs w:val="21"/>
                      <w:lang w:val="en-US" w:eastAsia="zh-CN"/>
                    </w:rPr>
                  </w:pPr>
                </w:p>
              </w:tc>
              <w:tc>
                <w:tcPr>
                  <w:tcW w:w="2666" w:type="dxa"/>
                  <w:noWrap w:val="0"/>
                  <w:vAlign w:val="center"/>
                </w:tcPr>
                <w:p w14:paraId="0921D544">
                  <w:pPr>
                    <w:keepLines/>
                    <w:widowControl/>
                    <w:overflowPunct w:val="0"/>
                    <w:adjustRightInd w:val="0"/>
                    <w:snapToGrid w:val="0"/>
                    <w:rPr>
                      <w:szCs w:val="21"/>
                    </w:rPr>
                  </w:pPr>
                  <w:r>
                    <w:rPr>
                      <w:bCs/>
                      <w:szCs w:val="21"/>
                    </w:rPr>
                    <w:t>2.入园项目禁止不符合园区产业定位及清洁生产水平要求。</w:t>
                  </w:r>
                </w:p>
              </w:tc>
              <w:tc>
                <w:tcPr>
                  <w:tcW w:w="2513" w:type="dxa"/>
                  <w:vMerge w:val="continue"/>
                  <w:noWrap w:val="0"/>
                  <w:vAlign w:val="top"/>
                </w:tcPr>
                <w:p w14:paraId="5B78A82F">
                  <w:pPr>
                    <w:pStyle w:val="18"/>
                    <w:spacing w:beforeLines="0" w:afterLines="0" w:line="240" w:lineRule="auto"/>
                    <w:jc w:val="both"/>
                    <w:rPr>
                      <w:rFonts w:ascii="Times New Roman"/>
                      <w:szCs w:val="21"/>
                      <w:lang w:val="en-US" w:eastAsia="zh-CN"/>
                    </w:rPr>
                  </w:pPr>
                </w:p>
              </w:tc>
            </w:tr>
            <w:tr w14:paraId="49728C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 w:hRule="atLeast"/>
              </w:trPr>
              <w:tc>
                <w:tcPr>
                  <w:tcW w:w="537" w:type="dxa"/>
                  <w:vMerge w:val="continue"/>
                  <w:noWrap w:val="0"/>
                  <w:vAlign w:val="center"/>
                </w:tcPr>
                <w:p w14:paraId="634F5371">
                  <w:pPr>
                    <w:pStyle w:val="18"/>
                    <w:spacing w:beforeLines="0" w:afterLines="0" w:line="240" w:lineRule="auto"/>
                    <w:jc w:val="both"/>
                    <w:rPr>
                      <w:rFonts w:ascii="Times New Roman"/>
                      <w:szCs w:val="21"/>
                      <w:lang w:val="en-US" w:eastAsia="zh-CN"/>
                    </w:rPr>
                  </w:pPr>
                </w:p>
              </w:tc>
              <w:tc>
                <w:tcPr>
                  <w:tcW w:w="556" w:type="dxa"/>
                  <w:vMerge w:val="continue"/>
                  <w:noWrap w:val="0"/>
                  <w:vAlign w:val="center"/>
                </w:tcPr>
                <w:p w14:paraId="27C5B027">
                  <w:pPr>
                    <w:pStyle w:val="18"/>
                    <w:spacing w:beforeLines="0" w:afterLines="0" w:line="240" w:lineRule="auto"/>
                    <w:jc w:val="both"/>
                    <w:rPr>
                      <w:rFonts w:ascii="Times New Roman"/>
                      <w:szCs w:val="21"/>
                      <w:lang w:val="en-US" w:eastAsia="zh-CN"/>
                    </w:rPr>
                  </w:pPr>
                </w:p>
              </w:tc>
              <w:tc>
                <w:tcPr>
                  <w:tcW w:w="2666" w:type="dxa"/>
                  <w:noWrap w:val="0"/>
                  <w:vAlign w:val="center"/>
                </w:tcPr>
                <w:p w14:paraId="7DF759D2">
                  <w:pPr>
                    <w:keepLines/>
                    <w:widowControl/>
                    <w:overflowPunct w:val="0"/>
                    <w:adjustRightInd w:val="0"/>
                    <w:snapToGrid w:val="0"/>
                    <w:rPr>
                      <w:szCs w:val="21"/>
                    </w:rPr>
                  </w:pPr>
                  <w:r>
                    <w:rPr>
                      <w:bCs/>
                      <w:szCs w:val="21"/>
                    </w:rPr>
                    <w:t>3.严格控制焦化、钢铁、电解铝、水泥、电石、PVC、铁合金、平板玻璃等行业新增产能，确需必要建设的，须在区内实施产能置换。</w:t>
                  </w:r>
                </w:p>
              </w:tc>
              <w:tc>
                <w:tcPr>
                  <w:tcW w:w="2513" w:type="dxa"/>
                  <w:vMerge w:val="continue"/>
                  <w:noWrap w:val="0"/>
                  <w:vAlign w:val="top"/>
                </w:tcPr>
                <w:p w14:paraId="1B64418A">
                  <w:pPr>
                    <w:pStyle w:val="18"/>
                    <w:spacing w:beforeLines="0" w:afterLines="0" w:line="240" w:lineRule="auto"/>
                    <w:jc w:val="both"/>
                    <w:rPr>
                      <w:rFonts w:ascii="Times New Roman"/>
                      <w:szCs w:val="21"/>
                      <w:lang w:val="en-US" w:eastAsia="zh-CN"/>
                    </w:rPr>
                  </w:pPr>
                </w:p>
              </w:tc>
            </w:tr>
            <w:tr w14:paraId="567C00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 w:hRule="atLeast"/>
              </w:trPr>
              <w:tc>
                <w:tcPr>
                  <w:tcW w:w="537" w:type="dxa"/>
                  <w:vMerge w:val="continue"/>
                  <w:noWrap w:val="0"/>
                  <w:vAlign w:val="center"/>
                </w:tcPr>
                <w:p w14:paraId="2BA4E400">
                  <w:pPr>
                    <w:pStyle w:val="18"/>
                    <w:spacing w:beforeLines="0" w:afterLines="0" w:line="240" w:lineRule="auto"/>
                    <w:jc w:val="both"/>
                    <w:rPr>
                      <w:rFonts w:ascii="Times New Roman"/>
                      <w:szCs w:val="21"/>
                      <w:lang w:val="en-US" w:eastAsia="zh-CN"/>
                    </w:rPr>
                  </w:pPr>
                </w:p>
              </w:tc>
              <w:tc>
                <w:tcPr>
                  <w:tcW w:w="556" w:type="dxa"/>
                  <w:vMerge w:val="continue"/>
                  <w:noWrap w:val="0"/>
                  <w:vAlign w:val="center"/>
                </w:tcPr>
                <w:p w14:paraId="4ABCBCD1">
                  <w:pPr>
                    <w:pStyle w:val="18"/>
                    <w:spacing w:beforeLines="0" w:afterLines="0" w:line="240" w:lineRule="auto"/>
                    <w:jc w:val="both"/>
                    <w:rPr>
                      <w:rFonts w:ascii="Times New Roman"/>
                      <w:szCs w:val="21"/>
                      <w:lang w:val="en-US" w:eastAsia="zh-CN"/>
                    </w:rPr>
                  </w:pPr>
                </w:p>
              </w:tc>
              <w:tc>
                <w:tcPr>
                  <w:tcW w:w="2666" w:type="dxa"/>
                  <w:noWrap w:val="0"/>
                  <w:vAlign w:val="center"/>
                </w:tcPr>
                <w:p w14:paraId="61E008BB">
                  <w:pPr>
                    <w:keepLines/>
                    <w:widowControl/>
                    <w:overflowPunct w:val="0"/>
                    <w:adjustRightInd w:val="0"/>
                    <w:snapToGrid w:val="0"/>
                    <w:rPr>
                      <w:szCs w:val="21"/>
                    </w:rPr>
                  </w:pPr>
                  <w:r>
                    <w:rPr>
                      <w:bCs/>
                      <w:szCs w:val="21"/>
                    </w:rPr>
                    <w:t>4.园区发展大道以西禁止布设 PVC 产业，主要发展物流等服务产业。</w:t>
                  </w:r>
                </w:p>
              </w:tc>
              <w:tc>
                <w:tcPr>
                  <w:tcW w:w="2513" w:type="dxa"/>
                  <w:vMerge w:val="continue"/>
                  <w:noWrap w:val="0"/>
                  <w:vAlign w:val="top"/>
                </w:tcPr>
                <w:p w14:paraId="459A8479">
                  <w:pPr>
                    <w:pStyle w:val="18"/>
                    <w:spacing w:beforeLines="0" w:afterLines="0" w:line="240" w:lineRule="auto"/>
                    <w:jc w:val="both"/>
                    <w:rPr>
                      <w:rFonts w:ascii="Times New Roman"/>
                      <w:szCs w:val="21"/>
                      <w:lang w:val="en-US" w:eastAsia="zh-CN"/>
                    </w:rPr>
                  </w:pPr>
                </w:p>
              </w:tc>
            </w:tr>
            <w:tr w14:paraId="308575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 w:hRule="atLeast"/>
              </w:trPr>
              <w:tc>
                <w:tcPr>
                  <w:tcW w:w="537" w:type="dxa"/>
                  <w:vMerge w:val="continue"/>
                  <w:noWrap w:val="0"/>
                  <w:vAlign w:val="center"/>
                </w:tcPr>
                <w:p w14:paraId="664508EF">
                  <w:pPr>
                    <w:pStyle w:val="18"/>
                    <w:spacing w:beforeLines="0" w:afterLines="0" w:line="240" w:lineRule="auto"/>
                    <w:jc w:val="both"/>
                    <w:rPr>
                      <w:rFonts w:ascii="Times New Roman"/>
                      <w:szCs w:val="21"/>
                      <w:lang w:val="en-US" w:eastAsia="zh-CN"/>
                    </w:rPr>
                  </w:pPr>
                </w:p>
              </w:tc>
              <w:tc>
                <w:tcPr>
                  <w:tcW w:w="556" w:type="dxa"/>
                  <w:vMerge w:val="continue"/>
                  <w:noWrap w:val="0"/>
                  <w:vAlign w:val="center"/>
                </w:tcPr>
                <w:p w14:paraId="406031BB">
                  <w:pPr>
                    <w:pStyle w:val="18"/>
                    <w:spacing w:beforeLines="0" w:afterLines="0" w:line="240" w:lineRule="auto"/>
                    <w:jc w:val="both"/>
                    <w:rPr>
                      <w:rFonts w:ascii="Times New Roman"/>
                      <w:szCs w:val="21"/>
                      <w:lang w:val="en-US" w:eastAsia="zh-CN"/>
                    </w:rPr>
                  </w:pPr>
                </w:p>
              </w:tc>
              <w:tc>
                <w:tcPr>
                  <w:tcW w:w="2666" w:type="dxa"/>
                  <w:noWrap w:val="0"/>
                  <w:vAlign w:val="center"/>
                </w:tcPr>
                <w:p w14:paraId="2741E343">
                  <w:pPr>
                    <w:keepLines/>
                    <w:widowControl/>
                    <w:overflowPunct w:val="0"/>
                    <w:adjustRightInd w:val="0"/>
                    <w:snapToGrid w:val="0"/>
                    <w:rPr>
                      <w:szCs w:val="21"/>
                    </w:rPr>
                  </w:pPr>
                  <w:r>
                    <w:rPr>
                      <w:bCs/>
                      <w:szCs w:val="21"/>
                    </w:rPr>
                    <w:t>5.建设园区隔离带、绿化防护带。</w:t>
                  </w:r>
                </w:p>
              </w:tc>
              <w:tc>
                <w:tcPr>
                  <w:tcW w:w="2513" w:type="dxa"/>
                  <w:noWrap w:val="0"/>
                  <w:vAlign w:val="top"/>
                </w:tcPr>
                <w:p w14:paraId="0AB2E920">
                  <w:pPr>
                    <w:pStyle w:val="18"/>
                    <w:spacing w:beforeLines="0" w:afterLines="0" w:line="240" w:lineRule="auto"/>
                    <w:jc w:val="both"/>
                    <w:rPr>
                      <w:rFonts w:ascii="Times New Roman"/>
                      <w:szCs w:val="21"/>
                      <w:lang w:val="en-US" w:eastAsia="zh-CN"/>
                    </w:rPr>
                  </w:pPr>
                  <w:r>
                    <w:rPr>
                      <w:rFonts w:ascii="Times New Roman"/>
                      <w:szCs w:val="21"/>
                      <w:lang w:val="en-US" w:eastAsia="zh-CN"/>
                    </w:rPr>
                    <w:t>项目四周种植杨树进行绿化。</w:t>
                  </w:r>
                </w:p>
              </w:tc>
            </w:tr>
            <w:tr w14:paraId="59D968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 w:hRule="atLeast"/>
              </w:trPr>
              <w:tc>
                <w:tcPr>
                  <w:tcW w:w="537" w:type="dxa"/>
                  <w:vMerge w:val="continue"/>
                  <w:noWrap w:val="0"/>
                  <w:vAlign w:val="center"/>
                </w:tcPr>
                <w:p w14:paraId="302E2A35">
                  <w:pPr>
                    <w:pStyle w:val="18"/>
                    <w:spacing w:beforeLines="0" w:afterLines="0" w:line="240" w:lineRule="auto"/>
                    <w:jc w:val="both"/>
                    <w:rPr>
                      <w:rFonts w:ascii="Times New Roman"/>
                      <w:szCs w:val="21"/>
                      <w:lang w:val="en-US" w:eastAsia="zh-CN"/>
                    </w:rPr>
                  </w:pPr>
                </w:p>
              </w:tc>
              <w:tc>
                <w:tcPr>
                  <w:tcW w:w="556" w:type="dxa"/>
                  <w:vMerge w:val="continue"/>
                  <w:noWrap w:val="0"/>
                  <w:vAlign w:val="center"/>
                </w:tcPr>
                <w:p w14:paraId="699CEE6A">
                  <w:pPr>
                    <w:pStyle w:val="18"/>
                    <w:spacing w:beforeLines="0" w:afterLines="0" w:line="240" w:lineRule="auto"/>
                    <w:jc w:val="both"/>
                    <w:rPr>
                      <w:rFonts w:ascii="Times New Roman"/>
                      <w:szCs w:val="21"/>
                      <w:lang w:val="en-US" w:eastAsia="zh-CN"/>
                    </w:rPr>
                  </w:pPr>
                </w:p>
              </w:tc>
              <w:tc>
                <w:tcPr>
                  <w:tcW w:w="2666" w:type="dxa"/>
                  <w:noWrap w:val="0"/>
                  <w:vAlign w:val="center"/>
                </w:tcPr>
                <w:p w14:paraId="52E6B9A4">
                  <w:pPr>
                    <w:keepLines/>
                    <w:widowControl/>
                    <w:overflowPunct w:val="0"/>
                    <w:adjustRightInd w:val="0"/>
                    <w:snapToGrid w:val="0"/>
                    <w:rPr>
                      <w:szCs w:val="21"/>
                    </w:rPr>
                  </w:pPr>
                  <w:r>
                    <w:rPr>
                      <w:bCs/>
                      <w:szCs w:val="21"/>
                    </w:rPr>
                    <w:t>6.禁止建设违反《关于汞的水俣公约》相关规定的项目。</w:t>
                  </w:r>
                </w:p>
              </w:tc>
              <w:tc>
                <w:tcPr>
                  <w:tcW w:w="2513" w:type="dxa"/>
                  <w:noWrap w:val="0"/>
                  <w:vAlign w:val="top"/>
                </w:tcPr>
                <w:p w14:paraId="40383416">
                  <w:pPr>
                    <w:pStyle w:val="18"/>
                    <w:spacing w:beforeLines="0" w:afterLines="0" w:line="240" w:lineRule="auto"/>
                    <w:jc w:val="both"/>
                    <w:rPr>
                      <w:rFonts w:ascii="Times New Roman"/>
                      <w:szCs w:val="21"/>
                      <w:lang w:val="en-US" w:eastAsia="zh-CN"/>
                    </w:rPr>
                  </w:pPr>
                  <w:r>
                    <w:rPr>
                      <w:rFonts w:ascii="Times New Roman"/>
                      <w:szCs w:val="21"/>
                      <w:lang w:val="en-US" w:eastAsia="zh-CN"/>
                    </w:rPr>
                    <w:t>项目工艺不涉及含汞原料及废物。</w:t>
                  </w:r>
                </w:p>
              </w:tc>
            </w:tr>
            <w:tr w14:paraId="67ED92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 w:hRule="atLeast"/>
              </w:trPr>
              <w:tc>
                <w:tcPr>
                  <w:tcW w:w="537" w:type="dxa"/>
                  <w:vMerge w:val="continue"/>
                  <w:noWrap w:val="0"/>
                  <w:vAlign w:val="center"/>
                </w:tcPr>
                <w:p w14:paraId="6A8680BB">
                  <w:pPr>
                    <w:pStyle w:val="18"/>
                    <w:spacing w:before="24" w:after="24" w:line="240" w:lineRule="auto"/>
                    <w:rPr>
                      <w:rFonts w:ascii="Times New Roman"/>
                      <w:szCs w:val="21"/>
                      <w:lang w:val="en-US" w:eastAsia="zh-CN"/>
                    </w:rPr>
                  </w:pPr>
                </w:p>
              </w:tc>
              <w:tc>
                <w:tcPr>
                  <w:tcW w:w="556" w:type="dxa"/>
                  <w:vMerge w:val="restart"/>
                  <w:noWrap w:val="0"/>
                  <w:vAlign w:val="center"/>
                </w:tcPr>
                <w:p w14:paraId="2869FC65">
                  <w:pPr>
                    <w:keepLines/>
                    <w:widowControl/>
                    <w:overflowPunct w:val="0"/>
                    <w:adjustRightInd w:val="0"/>
                    <w:snapToGrid w:val="0"/>
                    <w:rPr>
                      <w:b/>
                      <w:kern w:val="0"/>
                      <w:szCs w:val="21"/>
                    </w:rPr>
                  </w:pPr>
                  <w:r>
                    <w:rPr>
                      <w:b/>
                      <w:kern w:val="0"/>
                      <w:szCs w:val="21"/>
                    </w:rPr>
                    <w:t>污 染</w:t>
                  </w:r>
                </w:p>
                <w:p w14:paraId="0DEDFC2A">
                  <w:pPr>
                    <w:keepLines/>
                    <w:widowControl/>
                    <w:overflowPunct w:val="0"/>
                    <w:adjustRightInd w:val="0"/>
                    <w:snapToGrid w:val="0"/>
                    <w:rPr>
                      <w:b/>
                      <w:kern w:val="0"/>
                      <w:szCs w:val="21"/>
                    </w:rPr>
                  </w:pPr>
                  <w:r>
                    <w:rPr>
                      <w:b/>
                      <w:kern w:val="0"/>
                      <w:szCs w:val="21"/>
                    </w:rPr>
                    <w:t>物 排</w:t>
                  </w:r>
                </w:p>
                <w:p w14:paraId="3F28F85D">
                  <w:pPr>
                    <w:keepLines/>
                    <w:widowControl/>
                    <w:overflowPunct w:val="0"/>
                    <w:adjustRightInd w:val="0"/>
                    <w:snapToGrid w:val="0"/>
                    <w:rPr>
                      <w:b/>
                      <w:kern w:val="0"/>
                      <w:szCs w:val="21"/>
                    </w:rPr>
                  </w:pPr>
                  <w:r>
                    <w:rPr>
                      <w:b/>
                      <w:kern w:val="0"/>
                      <w:szCs w:val="21"/>
                    </w:rPr>
                    <w:t>放 管</w:t>
                  </w:r>
                </w:p>
                <w:p w14:paraId="2B9E284F">
                  <w:pPr>
                    <w:pStyle w:val="18"/>
                    <w:spacing w:beforeLines="0" w:afterLines="0" w:line="240" w:lineRule="auto"/>
                    <w:jc w:val="both"/>
                    <w:rPr>
                      <w:rFonts w:ascii="Times New Roman"/>
                      <w:szCs w:val="21"/>
                      <w:lang w:val="en-US" w:eastAsia="zh-CN"/>
                    </w:rPr>
                  </w:pPr>
                  <w:r>
                    <w:rPr>
                      <w:rFonts w:ascii="Times New Roman"/>
                      <w:b/>
                      <w:szCs w:val="21"/>
                      <w:lang w:val="en-US" w:eastAsia="zh-CN"/>
                    </w:rPr>
                    <w:t>控</w:t>
                  </w:r>
                </w:p>
              </w:tc>
              <w:tc>
                <w:tcPr>
                  <w:tcW w:w="2666" w:type="dxa"/>
                  <w:noWrap w:val="0"/>
                  <w:vAlign w:val="center"/>
                </w:tcPr>
                <w:p w14:paraId="46112D5A">
                  <w:pPr>
                    <w:keepLines/>
                    <w:widowControl/>
                    <w:overflowPunct w:val="0"/>
                    <w:adjustRightInd w:val="0"/>
                    <w:snapToGrid w:val="0"/>
                    <w:rPr>
                      <w:szCs w:val="21"/>
                    </w:rPr>
                  </w:pPr>
                  <w:r>
                    <w:rPr>
                      <w:bCs/>
                      <w:szCs w:val="21"/>
                    </w:rPr>
                    <w:t>1.逐步淘汰10蒸吨/小时以下燃煤锅炉，禁止新建35蒸吨/小时以下燃煤锅炉。</w:t>
                  </w:r>
                </w:p>
              </w:tc>
              <w:tc>
                <w:tcPr>
                  <w:tcW w:w="2513" w:type="dxa"/>
                  <w:noWrap w:val="0"/>
                  <w:vAlign w:val="top"/>
                </w:tcPr>
                <w:p w14:paraId="2A65737F">
                  <w:pPr>
                    <w:rPr>
                      <w:szCs w:val="21"/>
                    </w:rPr>
                  </w:pPr>
                  <w:r>
                    <w:rPr>
                      <w:szCs w:val="21"/>
                    </w:rPr>
                    <w:t>本项目供热来自园区集中供热，不新建燃煤锅炉。</w:t>
                  </w:r>
                </w:p>
              </w:tc>
            </w:tr>
            <w:tr w14:paraId="6D28E1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 w:hRule="atLeast"/>
              </w:trPr>
              <w:tc>
                <w:tcPr>
                  <w:tcW w:w="537" w:type="dxa"/>
                  <w:vMerge w:val="continue"/>
                  <w:noWrap w:val="0"/>
                  <w:vAlign w:val="center"/>
                </w:tcPr>
                <w:p w14:paraId="366C9B5B">
                  <w:pPr>
                    <w:pStyle w:val="18"/>
                    <w:spacing w:beforeLines="0" w:afterLines="0" w:line="240" w:lineRule="auto"/>
                    <w:jc w:val="both"/>
                    <w:rPr>
                      <w:rFonts w:ascii="Times New Roman"/>
                      <w:szCs w:val="21"/>
                      <w:lang w:val="en-US" w:eastAsia="zh-CN"/>
                    </w:rPr>
                  </w:pPr>
                </w:p>
              </w:tc>
              <w:tc>
                <w:tcPr>
                  <w:tcW w:w="556" w:type="dxa"/>
                  <w:vMerge w:val="continue"/>
                  <w:noWrap w:val="0"/>
                  <w:vAlign w:val="center"/>
                </w:tcPr>
                <w:p w14:paraId="25653EB6">
                  <w:pPr>
                    <w:pStyle w:val="18"/>
                    <w:spacing w:beforeLines="0" w:afterLines="0" w:line="240" w:lineRule="auto"/>
                    <w:jc w:val="both"/>
                    <w:rPr>
                      <w:rFonts w:ascii="Times New Roman"/>
                      <w:szCs w:val="21"/>
                      <w:lang w:val="en-US" w:eastAsia="zh-CN"/>
                    </w:rPr>
                  </w:pPr>
                </w:p>
              </w:tc>
              <w:tc>
                <w:tcPr>
                  <w:tcW w:w="2666" w:type="dxa"/>
                  <w:noWrap w:val="0"/>
                  <w:vAlign w:val="center"/>
                </w:tcPr>
                <w:p w14:paraId="4F35A89E">
                  <w:pPr>
                    <w:keepLines/>
                    <w:widowControl/>
                    <w:overflowPunct w:val="0"/>
                    <w:adjustRightInd w:val="0"/>
                    <w:snapToGrid w:val="0"/>
                    <w:rPr>
                      <w:szCs w:val="21"/>
                    </w:rPr>
                  </w:pPr>
                  <w:r>
                    <w:rPr>
                      <w:bCs/>
                      <w:szCs w:val="21"/>
                    </w:rPr>
                    <w:t>2. 燃煤发电机组执行大气污染物超低排放限值；钢铁、水泥、焦化、电石、铁合金行业执行大气污染物特别排放限值。</w:t>
                  </w:r>
                </w:p>
              </w:tc>
              <w:tc>
                <w:tcPr>
                  <w:tcW w:w="2513" w:type="dxa"/>
                  <w:noWrap w:val="0"/>
                  <w:vAlign w:val="top"/>
                </w:tcPr>
                <w:p w14:paraId="0395840A">
                  <w:pPr>
                    <w:pStyle w:val="18"/>
                    <w:spacing w:beforeLines="0" w:afterLines="0" w:line="240" w:lineRule="auto"/>
                    <w:jc w:val="both"/>
                    <w:rPr>
                      <w:rFonts w:ascii="Times New Roman"/>
                      <w:szCs w:val="21"/>
                      <w:lang w:val="en-US" w:eastAsia="zh-CN"/>
                    </w:rPr>
                  </w:pPr>
                  <w:r>
                    <w:rPr>
                      <w:rFonts w:ascii="Times New Roman"/>
                      <w:szCs w:val="21"/>
                      <w:lang w:val="en-US" w:eastAsia="zh-CN"/>
                    </w:rPr>
                    <w:t>项目为预拌混凝土生产项目，</w:t>
                  </w:r>
                  <w:r>
                    <w:rPr>
                      <w:rFonts w:ascii="Times New Roman"/>
                      <w:lang w:val="en-US" w:eastAsia="zh-CN"/>
                    </w:rPr>
                    <w:t>不涉及管控要求；</w:t>
                  </w:r>
                  <w:r>
                    <w:rPr>
                      <w:rFonts w:ascii="Times New Roman"/>
                      <w:szCs w:val="21"/>
                      <w:lang w:val="en-US" w:eastAsia="zh-CN"/>
                    </w:rPr>
                    <w:t>供热供电均来自园区原有；项目不涉及</w:t>
                  </w:r>
                  <w:r>
                    <w:rPr>
                      <w:rFonts w:ascii="Times New Roman"/>
                      <w:bCs/>
                      <w:szCs w:val="21"/>
                      <w:lang w:val="en-US" w:eastAsia="zh-CN"/>
                    </w:rPr>
                    <w:t>钢铁、焦化、电石、铁合金；水泥装卸粉尘执行</w:t>
                  </w:r>
                  <w:r>
                    <w:rPr>
                      <w:rFonts w:ascii="Times New Roman"/>
                      <w:kern w:val="24"/>
                      <w:szCs w:val="21"/>
                      <w:lang w:val="en-US" w:eastAsia="zh-CN"/>
                    </w:rPr>
                    <w:t>《水泥工业大气污染物排放标准》（GB4915-2013）。</w:t>
                  </w:r>
                </w:p>
              </w:tc>
            </w:tr>
            <w:tr w14:paraId="2453CA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 w:hRule="atLeast"/>
              </w:trPr>
              <w:tc>
                <w:tcPr>
                  <w:tcW w:w="537" w:type="dxa"/>
                  <w:vMerge w:val="continue"/>
                  <w:noWrap w:val="0"/>
                  <w:vAlign w:val="center"/>
                </w:tcPr>
                <w:p w14:paraId="359FEB93">
                  <w:pPr>
                    <w:pStyle w:val="18"/>
                    <w:spacing w:beforeLines="0" w:afterLines="0" w:line="240" w:lineRule="auto"/>
                    <w:jc w:val="both"/>
                    <w:rPr>
                      <w:rFonts w:ascii="Times New Roman"/>
                      <w:szCs w:val="21"/>
                      <w:lang w:val="en-US" w:eastAsia="zh-CN"/>
                    </w:rPr>
                  </w:pPr>
                </w:p>
              </w:tc>
              <w:tc>
                <w:tcPr>
                  <w:tcW w:w="556" w:type="dxa"/>
                  <w:vMerge w:val="continue"/>
                  <w:noWrap w:val="0"/>
                  <w:vAlign w:val="center"/>
                </w:tcPr>
                <w:p w14:paraId="1B76DA7B">
                  <w:pPr>
                    <w:pStyle w:val="18"/>
                    <w:spacing w:beforeLines="0" w:afterLines="0" w:line="240" w:lineRule="auto"/>
                    <w:jc w:val="both"/>
                    <w:rPr>
                      <w:rFonts w:ascii="Times New Roman"/>
                      <w:szCs w:val="21"/>
                      <w:lang w:val="en-US" w:eastAsia="zh-CN"/>
                    </w:rPr>
                  </w:pPr>
                </w:p>
              </w:tc>
              <w:tc>
                <w:tcPr>
                  <w:tcW w:w="2666" w:type="dxa"/>
                  <w:noWrap w:val="0"/>
                  <w:vAlign w:val="center"/>
                </w:tcPr>
                <w:p w14:paraId="26416AD8">
                  <w:pPr>
                    <w:keepLines/>
                    <w:widowControl/>
                    <w:overflowPunct w:val="0"/>
                    <w:adjustRightInd w:val="0"/>
                    <w:snapToGrid w:val="0"/>
                    <w:rPr>
                      <w:szCs w:val="21"/>
                    </w:rPr>
                  </w:pPr>
                  <w:r>
                    <w:rPr>
                      <w:bCs/>
                      <w:szCs w:val="21"/>
                    </w:rPr>
                    <w:t>3.新、改、扩建十大行业建设项目按照生态环境部有关规划落实主要涉水污染物等量或减量置换。</w:t>
                  </w:r>
                </w:p>
              </w:tc>
              <w:tc>
                <w:tcPr>
                  <w:tcW w:w="2513" w:type="dxa"/>
                  <w:noWrap w:val="0"/>
                  <w:vAlign w:val="top"/>
                </w:tcPr>
                <w:p w14:paraId="56C6E27C">
                  <w:pPr>
                    <w:pStyle w:val="18"/>
                    <w:spacing w:beforeLines="0" w:afterLines="0" w:line="240" w:lineRule="auto"/>
                    <w:jc w:val="both"/>
                    <w:rPr>
                      <w:rFonts w:ascii="Times New Roman"/>
                      <w:szCs w:val="21"/>
                      <w:lang w:val="en-US" w:eastAsia="zh-CN"/>
                    </w:rPr>
                  </w:pPr>
                  <w:r>
                    <w:rPr>
                      <w:rFonts w:ascii="Times New Roman"/>
                      <w:szCs w:val="21"/>
                      <w:lang w:val="en-US" w:eastAsia="zh-CN"/>
                    </w:rPr>
                    <w:t>本项目不涉及水污染。</w:t>
                  </w:r>
                </w:p>
              </w:tc>
            </w:tr>
            <w:tr w14:paraId="4B024F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 w:hRule="atLeast"/>
              </w:trPr>
              <w:tc>
                <w:tcPr>
                  <w:tcW w:w="537" w:type="dxa"/>
                  <w:vMerge w:val="continue"/>
                  <w:noWrap w:val="0"/>
                  <w:vAlign w:val="center"/>
                </w:tcPr>
                <w:p w14:paraId="5E3ACF2D">
                  <w:pPr>
                    <w:pStyle w:val="18"/>
                    <w:spacing w:beforeLines="0" w:afterLines="0" w:line="240" w:lineRule="auto"/>
                    <w:jc w:val="both"/>
                    <w:rPr>
                      <w:rFonts w:ascii="Times New Roman"/>
                      <w:szCs w:val="21"/>
                      <w:lang w:val="en-US" w:eastAsia="zh-CN"/>
                    </w:rPr>
                  </w:pPr>
                </w:p>
              </w:tc>
              <w:tc>
                <w:tcPr>
                  <w:tcW w:w="556" w:type="dxa"/>
                  <w:vMerge w:val="continue"/>
                  <w:noWrap w:val="0"/>
                  <w:vAlign w:val="center"/>
                </w:tcPr>
                <w:p w14:paraId="04115310">
                  <w:pPr>
                    <w:pStyle w:val="18"/>
                    <w:spacing w:beforeLines="0" w:afterLines="0" w:line="240" w:lineRule="auto"/>
                    <w:jc w:val="both"/>
                    <w:rPr>
                      <w:rFonts w:ascii="Times New Roman"/>
                      <w:szCs w:val="21"/>
                      <w:lang w:val="en-US" w:eastAsia="zh-CN"/>
                    </w:rPr>
                  </w:pPr>
                </w:p>
              </w:tc>
              <w:tc>
                <w:tcPr>
                  <w:tcW w:w="2666" w:type="dxa"/>
                  <w:noWrap w:val="0"/>
                  <w:vAlign w:val="center"/>
                </w:tcPr>
                <w:p w14:paraId="17B311CB">
                  <w:pPr>
                    <w:keepLines/>
                    <w:widowControl/>
                    <w:overflowPunct w:val="0"/>
                    <w:adjustRightInd w:val="0"/>
                    <w:snapToGrid w:val="0"/>
                    <w:rPr>
                      <w:szCs w:val="21"/>
                    </w:rPr>
                  </w:pPr>
                  <w:r>
                    <w:rPr>
                      <w:bCs/>
                      <w:szCs w:val="21"/>
                    </w:rPr>
                    <w:t>4.化工、石化、包装印刷、工业涂装等企业应尽快实施技术升级改造，减少挥发性有机污染物（VOCs）的泄漏排放。</w:t>
                  </w:r>
                </w:p>
              </w:tc>
              <w:tc>
                <w:tcPr>
                  <w:tcW w:w="2513" w:type="dxa"/>
                  <w:noWrap w:val="0"/>
                  <w:vAlign w:val="top"/>
                </w:tcPr>
                <w:p w14:paraId="5F0A4F80">
                  <w:pPr>
                    <w:pStyle w:val="18"/>
                    <w:spacing w:beforeLines="0" w:afterLines="0" w:line="240" w:lineRule="auto"/>
                    <w:jc w:val="both"/>
                    <w:rPr>
                      <w:rFonts w:ascii="Times New Roman"/>
                      <w:szCs w:val="21"/>
                      <w:lang w:val="en-US" w:eastAsia="zh-CN"/>
                    </w:rPr>
                  </w:pPr>
                  <w:r>
                    <w:rPr>
                      <w:rFonts w:ascii="Times New Roman"/>
                      <w:szCs w:val="21"/>
                      <w:lang w:val="en-US" w:eastAsia="zh-CN"/>
                    </w:rPr>
                    <w:t>本项目不涉及</w:t>
                  </w:r>
                  <w:r>
                    <w:rPr>
                      <w:rFonts w:ascii="Times New Roman"/>
                      <w:bCs/>
                      <w:szCs w:val="21"/>
                      <w:lang w:val="en-US" w:eastAsia="zh-CN"/>
                    </w:rPr>
                    <w:t>化工、石化、包装印刷、工业涂装等。</w:t>
                  </w:r>
                </w:p>
              </w:tc>
            </w:tr>
            <w:tr w14:paraId="26DE91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 w:hRule="atLeast"/>
              </w:trPr>
              <w:tc>
                <w:tcPr>
                  <w:tcW w:w="537" w:type="dxa"/>
                  <w:vMerge w:val="continue"/>
                  <w:noWrap w:val="0"/>
                  <w:vAlign w:val="center"/>
                </w:tcPr>
                <w:p w14:paraId="1BE000CC">
                  <w:pPr>
                    <w:pStyle w:val="18"/>
                    <w:spacing w:beforeLines="0" w:afterLines="0" w:line="240" w:lineRule="auto"/>
                    <w:jc w:val="both"/>
                    <w:rPr>
                      <w:rFonts w:ascii="Times New Roman"/>
                      <w:szCs w:val="21"/>
                      <w:lang w:val="en-US" w:eastAsia="zh-CN"/>
                    </w:rPr>
                  </w:pPr>
                </w:p>
              </w:tc>
              <w:tc>
                <w:tcPr>
                  <w:tcW w:w="556" w:type="dxa"/>
                  <w:vMerge w:val="continue"/>
                  <w:noWrap w:val="0"/>
                  <w:vAlign w:val="center"/>
                </w:tcPr>
                <w:p w14:paraId="61D1C6FB">
                  <w:pPr>
                    <w:pStyle w:val="18"/>
                    <w:spacing w:beforeLines="0" w:afterLines="0" w:line="240" w:lineRule="auto"/>
                    <w:jc w:val="both"/>
                    <w:rPr>
                      <w:rFonts w:ascii="Times New Roman"/>
                      <w:szCs w:val="21"/>
                      <w:lang w:val="en-US" w:eastAsia="zh-CN"/>
                    </w:rPr>
                  </w:pPr>
                </w:p>
              </w:tc>
              <w:tc>
                <w:tcPr>
                  <w:tcW w:w="2666" w:type="dxa"/>
                  <w:noWrap w:val="0"/>
                  <w:vAlign w:val="center"/>
                </w:tcPr>
                <w:p w14:paraId="7C40FC30">
                  <w:pPr>
                    <w:keepLines/>
                    <w:widowControl/>
                    <w:overflowPunct w:val="0"/>
                    <w:adjustRightInd w:val="0"/>
                    <w:snapToGrid w:val="0"/>
                    <w:rPr>
                      <w:szCs w:val="21"/>
                    </w:rPr>
                  </w:pPr>
                  <w:r>
                    <w:rPr>
                      <w:bCs/>
                      <w:szCs w:val="21"/>
                    </w:rPr>
                    <w:t>5.重点行业粉状物料堆场实现全封闭，块状物料安装抑尘设施。</w:t>
                  </w:r>
                </w:p>
              </w:tc>
              <w:tc>
                <w:tcPr>
                  <w:tcW w:w="2513" w:type="dxa"/>
                  <w:noWrap w:val="0"/>
                  <w:vAlign w:val="top"/>
                </w:tcPr>
                <w:p w14:paraId="1F78DFAD">
                  <w:pPr>
                    <w:pStyle w:val="18"/>
                    <w:spacing w:beforeLines="0" w:afterLines="0" w:line="240" w:lineRule="auto"/>
                    <w:jc w:val="both"/>
                    <w:rPr>
                      <w:rFonts w:ascii="Times New Roman"/>
                      <w:szCs w:val="21"/>
                      <w:lang w:val="en-US" w:eastAsia="zh-CN"/>
                    </w:rPr>
                  </w:pPr>
                  <w:r>
                    <w:rPr>
                      <w:rFonts w:ascii="Times New Roman"/>
                      <w:szCs w:val="21"/>
                      <w:lang w:val="en-US" w:eastAsia="zh-CN"/>
                    </w:rPr>
                    <w:t>项目粉状物料全部由筒仓储存，并在仓顶设有布袋除尘，块状物料全部在全封闭储料棚内储存。</w:t>
                  </w:r>
                </w:p>
              </w:tc>
            </w:tr>
            <w:tr w14:paraId="0F767A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537" w:type="dxa"/>
                  <w:vMerge w:val="continue"/>
                  <w:noWrap w:val="0"/>
                  <w:vAlign w:val="top"/>
                </w:tcPr>
                <w:p w14:paraId="54059C1D">
                  <w:pPr>
                    <w:rPr>
                      <w:szCs w:val="21"/>
                    </w:rPr>
                  </w:pPr>
                </w:p>
              </w:tc>
              <w:tc>
                <w:tcPr>
                  <w:tcW w:w="556" w:type="dxa"/>
                  <w:vMerge w:val="restart"/>
                  <w:noWrap w:val="0"/>
                  <w:vAlign w:val="top"/>
                </w:tcPr>
                <w:p w14:paraId="030507DA">
                  <w:pPr>
                    <w:rPr>
                      <w:szCs w:val="21"/>
                    </w:rPr>
                  </w:pPr>
                  <w:r>
                    <w:rPr>
                      <w:b/>
                      <w:szCs w:val="21"/>
                    </w:rPr>
                    <w:t>环境风险防控</w:t>
                  </w:r>
                </w:p>
              </w:tc>
              <w:tc>
                <w:tcPr>
                  <w:tcW w:w="2666" w:type="dxa"/>
                  <w:noWrap w:val="0"/>
                  <w:vAlign w:val="center"/>
                </w:tcPr>
                <w:p w14:paraId="0E19C719">
                  <w:pPr>
                    <w:keepLines/>
                    <w:widowControl/>
                    <w:overflowPunct w:val="0"/>
                    <w:adjustRightInd w:val="0"/>
                    <w:snapToGrid w:val="0"/>
                    <w:rPr>
                      <w:szCs w:val="21"/>
                    </w:rPr>
                  </w:pPr>
                  <w:r>
                    <w:rPr>
                      <w:bCs/>
                      <w:szCs w:val="21"/>
                    </w:rPr>
                    <w:t>1.严格落实工业集聚区环境风险各项防控措施。对高风险化学品生产、使用进行严格限制，并逐步淘汰替代。</w:t>
                  </w:r>
                </w:p>
              </w:tc>
              <w:tc>
                <w:tcPr>
                  <w:tcW w:w="2513" w:type="dxa"/>
                  <w:noWrap w:val="0"/>
                  <w:vAlign w:val="top"/>
                </w:tcPr>
                <w:p w14:paraId="41D5BD7A">
                  <w:pPr>
                    <w:rPr>
                      <w:szCs w:val="21"/>
                    </w:rPr>
                  </w:pPr>
                  <w:r>
                    <w:rPr>
                      <w:szCs w:val="21"/>
                    </w:rPr>
                    <w:t>项目不涉及</w:t>
                  </w:r>
                  <w:r>
                    <w:rPr>
                      <w:bCs/>
                      <w:szCs w:val="21"/>
                    </w:rPr>
                    <w:t>高风险化学品生产、使用。</w:t>
                  </w:r>
                </w:p>
              </w:tc>
            </w:tr>
            <w:tr w14:paraId="3D88B0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537" w:type="dxa"/>
                  <w:vMerge w:val="continue"/>
                  <w:noWrap w:val="0"/>
                  <w:vAlign w:val="top"/>
                </w:tcPr>
                <w:p w14:paraId="117503A2">
                  <w:pPr>
                    <w:rPr>
                      <w:szCs w:val="21"/>
                    </w:rPr>
                  </w:pPr>
                </w:p>
              </w:tc>
              <w:tc>
                <w:tcPr>
                  <w:tcW w:w="556" w:type="dxa"/>
                  <w:vMerge w:val="continue"/>
                  <w:noWrap w:val="0"/>
                  <w:vAlign w:val="top"/>
                </w:tcPr>
                <w:p w14:paraId="6898E77D">
                  <w:pPr>
                    <w:rPr>
                      <w:szCs w:val="21"/>
                    </w:rPr>
                  </w:pPr>
                </w:p>
              </w:tc>
              <w:tc>
                <w:tcPr>
                  <w:tcW w:w="2666" w:type="dxa"/>
                  <w:noWrap w:val="0"/>
                  <w:vAlign w:val="center"/>
                </w:tcPr>
                <w:p w14:paraId="6E838F6E">
                  <w:pPr>
                    <w:keepLines/>
                    <w:widowControl/>
                    <w:overflowPunct w:val="0"/>
                    <w:adjustRightInd w:val="0"/>
                    <w:snapToGrid w:val="0"/>
                    <w:rPr>
                      <w:szCs w:val="21"/>
                    </w:rPr>
                  </w:pPr>
                  <w:r>
                    <w:rPr>
                      <w:bCs/>
                      <w:szCs w:val="21"/>
                    </w:rPr>
                    <w:t xml:space="preserve">2.开展涉危涉化企业、有风险隐患的渣场等风险排查和整改工作，及时消除隐患。 </w:t>
                  </w:r>
                </w:p>
              </w:tc>
              <w:tc>
                <w:tcPr>
                  <w:tcW w:w="2513" w:type="dxa"/>
                  <w:noWrap w:val="0"/>
                  <w:vAlign w:val="top"/>
                </w:tcPr>
                <w:p w14:paraId="15529B45">
                  <w:pPr>
                    <w:rPr>
                      <w:szCs w:val="21"/>
                    </w:rPr>
                  </w:pPr>
                  <w:r>
                    <w:rPr>
                      <w:szCs w:val="21"/>
                    </w:rPr>
                    <w:t>2.本项目不涉及</w:t>
                  </w:r>
                  <w:r>
                    <w:rPr>
                      <w:bCs/>
                      <w:szCs w:val="21"/>
                    </w:rPr>
                    <w:t>高风险化学品生产、使用。</w:t>
                  </w:r>
                </w:p>
              </w:tc>
            </w:tr>
            <w:tr w14:paraId="172B4A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537" w:type="dxa"/>
                  <w:vMerge w:val="continue"/>
                  <w:noWrap w:val="0"/>
                  <w:vAlign w:val="top"/>
                </w:tcPr>
                <w:p w14:paraId="52C503CC">
                  <w:pPr>
                    <w:rPr>
                      <w:szCs w:val="21"/>
                    </w:rPr>
                  </w:pPr>
                </w:p>
              </w:tc>
              <w:tc>
                <w:tcPr>
                  <w:tcW w:w="556" w:type="dxa"/>
                  <w:vMerge w:val="continue"/>
                  <w:noWrap w:val="0"/>
                  <w:vAlign w:val="top"/>
                </w:tcPr>
                <w:p w14:paraId="1EBA0902">
                  <w:pPr>
                    <w:rPr>
                      <w:szCs w:val="21"/>
                    </w:rPr>
                  </w:pPr>
                </w:p>
              </w:tc>
              <w:tc>
                <w:tcPr>
                  <w:tcW w:w="2666" w:type="dxa"/>
                  <w:noWrap w:val="0"/>
                  <w:vAlign w:val="center"/>
                </w:tcPr>
                <w:p w14:paraId="3F08603D">
                  <w:pPr>
                    <w:keepLines/>
                    <w:widowControl/>
                    <w:overflowPunct w:val="0"/>
                    <w:adjustRightInd w:val="0"/>
                    <w:snapToGrid w:val="0"/>
                    <w:rPr>
                      <w:szCs w:val="21"/>
                    </w:rPr>
                  </w:pPr>
                  <w:r>
                    <w:rPr>
                      <w:bCs/>
                      <w:szCs w:val="21"/>
                    </w:rPr>
                    <w:t>3.园区可能渗漏区域应采取严格的防渗措施，建设事故池，在任何情况下，严禁废水进入黄河。</w:t>
                  </w:r>
                </w:p>
              </w:tc>
              <w:tc>
                <w:tcPr>
                  <w:tcW w:w="2513" w:type="dxa"/>
                  <w:noWrap w:val="0"/>
                  <w:vAlign w:val="top"/>
                </w:tcPr>
                <w:p w14:paraId="791D98F3">
                  <w:pPr>
                    <w:rPr>
                      <w:szCs w:val="21"/>
                    </w:rPr>
                  </w:pPr>
                  <w:r>
                    <w:rPr>
                      <w:szCs w:val="21"/>
                    </w:rPr>
                    <w:t>项目设有专业的危废库，危废库设计按照</w:t>
                  </w:r>
                  <w:r>
                    <w:rPr>
                      <w:snapToGrid w:val="0"/>
                      <w:szCs w:val="21"/>
                    </w:rPr>
                    <w:t>《危险废物贮存污染控制标准》（GB18597-2023）要求设置，采用至少2mm厚HDPE或其他人工材料进行防渗处理，防渗系数不大于1.0×10</w:t>
                  </w:r>
                  <w:r>
                    <w:rPr>
                      <w:snapToGrid w:val="0"/>
                      <w:szCs w:val="21"/>
                      <w:vertAlign w:val="superscript"/>
                    </w:rPr>
                    <w:t>-10</w:t>
                  </w:r>
                  <w:r>
                    <w:rPr>
                      <w:snapToGrid w:val="0"/>
                      <w:szCs w:val="21"/>
                    </w:rPr>
                    <w:t>cm/s。</w:t>
                  </w:r>
                </w:p>
              </w:tc>
            </w:tr>
            <w:tr w14:paraId="31C971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537" w:type="dxa"/>
                  <w:vMerge w:val="continue"/>
                  <w:noWrap w:val="0"/>
                  <w:vAlign w:val="top"/>
                </w:tcPr>
                <w:p w14:paraId="1BAA950B">
                  <w:pPr>
                    <w:rPr>
                      <w:szCs w:val="21"/>
                    </w:rPr>
                  </w:pPr>
                </w:p>
              </w:tc>
              <w:tc>
                <w:tcPr>
                  <w:tcW w:w="556" w:type="dxa"/>
                  <w:vMerge w:val="restart"/>
                  <w:noWrap w:val="0"/>
                  <w:vAlign w:val="top"/>
                </w:tcPr>
                <w:p w14:paraId="06B19E9F">
                  <w:pPr>
                    <w:keepLines/>
                    <w:widowControl/>
                    <w:overflowPunct w:val="0"/>
                    <w:adjustRightInd w:val="0"/>
                    <w:snapToGrid w:val="0"/>
                    <w:rPr>
                      <w:szCs w:val="21"/>
                    </w:rPr>
                  </w:pPr>
                  <w:r>
                    <w:rPr>
                      <w:b/>
                      <w:szCs w:val="21"/>
                    </w:rPr>
                    <w:t>资 源利 用效 率要求</w:t>
                  </w:r>
                </w:p>
              </w:tc>
              <w:tc>
                <w:tcPr>
                  <w:tcW w:w="2666" w:type="dxa"/>
                  <w:noWrap w:val="0"/>
                  <w:vAlign w:val="center"/>
                </w:tcPr>
                <w:p w14:paraId="2E9610E7">
                  <w:pPr>
                    <w:keepLines/>
                    <w:widowControl/>
                    <w:overflowPunct w:val="0"/>
                    <w:adjustRightInd w:val="0"/>
                    <w:snapToGrid w:val="0"/>
                    <w:rPr>
                      <w:szCs w:val="21"/>
                    </w:rPr>
                  </w:pPr>
                  <w:r>
                    <w:rPr>
                      <w:bCs/>
                      <w:szCs w:val="21"/>
                    </w:rPr>
                    <w:t xml:space="preserve">1.煤泥综合利用率达到 85%以上。 </w:t>
                  </w:r>
                </w:p>
              </w:tc>
              <w:tc>
                <w:tcPr>
                  <w:tcW w:w="2513" w:type="dxa"/>
                  <w:noWrap w:val="0"/>
                  <w:vAlign w:val="top"/>
                </w:tcPr>
                <w:p w14:paraId="087A9FD9">
                  <w:pPr>
                    <w:rPr>
                      <w:szCs w:val="21"/>
                    </w:rPr>
                  </w:pPr>
                  <w:r>
                    <w:rPr>
                      <w:szCs w:val="21"/>
                    </w:rPr>
                    <w:t>项目不涉及煤泥的产生。</w:t>
                  </w:r>
                </w:p>
              </w:tc>
            </w:tr>
            <w:tr w14:paraId="0DEEFC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537" w:type="dxa"/>
                  <w:vMerge w:val="continue"/>
                  <w:noWrap w:val="0"/>
                  <w:vAlign w:val="top"/>
                </w:tcPr>
                <w:p w14:paraId="429A9F0B">
                  <w:pPr>
                    <w:rPr>
                      <w:szCs w:val="21"/>
                    </w:rPr>
                  </w:pPr>
                </w:p>
              </w:tc>
              <w:tc>
                <w:tcPr>
                  <w:tcW w:w="556" w:type="dxa"/>
                  <w:vMerge w:val="continue"/>
                  <w:noWrap w:val="0"/>
                  <w:vAlign w:val="top"/>
                </w:tcPr>
                <w:p w14:paraId="49642FD7">
                  <w:pPr>
                    <w:rPr>
                      <w:szCs w:val="21"/>
                    </w:rPr>
                  </w:pPr>
                </w:p>
              </w:tc>
              <w:tc>
                <w:tcPr>
                  <w:tcW w:w="2666" w:type="dxa"/>
                  <w:noWrap w:val="0"/>
                  <w:vAlign w:val="center"/>
                </w:tcPr>
                <w:p w14:paraId="3F2CAE1B">
                  <w:pPr>
                    <w:keepLines/>
                    <w:widowControl/>
                    <w:overflowPunct w:val="0"/>
                    <w:adjustRightInd w:val="0"/>
                    <w:snapToGrid w:val="0"/>
                    <w:rPr>
                      <w:szCs w:val="21"/>
                    </w:rPr>
                  </w:pPr>
                  <w:r>
                    <w:rPr>
                      <w:bCs/>
                      <w:szCs w:val="21"/>
                    </w:rPr>
                    <w:t>2.煤焦油、焦炉煤气等副产品综合利用率达到 100%。</w:t>
                  </w:r>
                </w:p>
              </w:tc>
              <w:tc>
                <w:tcPr>
                  <w:tcW w:w="2513" w:type="dxa"/>
                  <w:noWrap w:val="0"/>
                  <w:vAlign w:val="top"/>
                </w:tcPr>
                <w:p w14:paraId="76077F87">
                  <w:pPr>
                    <w:rPr>
                      <w:szCs w:val="21"/>
                    </w:rPr>
                  </w:pPr>
                  <w:r>
                    <w:rPr>
                      <w:szCs w:val="21"/>
                    </w:rPr>
                    <w:t>项目不涉及</w:t>
                  </w:r>
                  <w:r>
                    <w:rPr>
                      <w:bCs/>
                      <w:szCs w:val="21"/>
                    </w:rPr>
                    <w:t>煤焦油、焦炉煤气等</w:t>
                  </w:r>
                  <w:r>
                    <w:rPr>
                      <w:szCs w:val="21"/>
                    </w:rPr>
                    <w:t>。</w:t>
                  </w:r>
                </w:p>
              </w:tc>
            </w:tr>
            <w:tr w14:paraId="37059F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537" w:type="dxa"/>
                  <w:vMerge w:val="continue"/>
                  <w:noWrap w:val="0"/>
                  <w:vAlign w:val="top"/>
                </w:tcPr>
                <w:p w14:paraId="7633A399">
                  <w:pPr>
                    <w:rPr>
                      <w:szCs w:val="21"/>
                    </w:rPr>
                  </w:pPr>
                </w:p>
              </w:tc>
              <w:tc>
                <w:tcPr>
                  <w:tcW w:w="556" w:type="dxa"/>
                  <w:vMerge w:val="continue"/>
                  <w:noWrap w:val="0"/>
                  <w:vAlign w:val="top"/>
                </w:tcPr>
                <w:p w14:paraId="00D506E2">
                  <w:pPr>
                    <w:rPr>
                      <w:szCs w:val="21"/>
                    </w:rPr>
                  </w:pPr>
                </w:p>
              </w:tc>
              <w:tc>
                <w:tcPr>
                  <w:tcW w:w="2666" w:type="dxa"/>
                  <w:noWrap w:val="0"/>
                  <w:vAlign w:val="center"/>
                </w:tcPr>
                <w:p w14:paraId="251C617B">
                  <w:pPr>
                    <w:keepLines/>
                    <w:widowControl/>
                    <w:overflowPunct w:val="0"/>
                    <w:adjustRightInd w:val="0"/>
                    <w:snapToGrid w:val="0"/>
                    <w:rPr>
                      <w:szCs w:val="21"/>
                    </w:rPr>
                  </w:pPr>
                  <w:r>
                    <w:rPr>
                      <w:bCs/>
                      <w:szCs w:val="21"/>
                    </w:rPr>
                    <w:t>3.电石炉气综合利用率达到 100%，聚氯乙烯深加工率达到20%以上。</w:t>
                  </w:r>
                </w:p>
              </w:tc>
              <w:tc>
                <w:tcPr>
                  <w:tcW w:w="2513" w:type="dxa"/>
                  <w:noWrap w:val="0"/>
                  <w:vAlign w:val="top"/>
                </w:tcPr>
                <w:p w14:paraId="10862ED5">
                  <w:pPr>
                    <w:rPr>
                      <w:szCs w:val="21"/>
                    </w:rPr>
                  </w:pPr>
                  <w:r>
                    <w:rPr>
                      <w:szCs w:val="21"/>
                    </w:rPr>
                    <w:t>项目不涉及</w:t>
                  </w:r>
                  <w:r>
                    <w:rPr>
                      <w:bCs/>
                      <w:szCs w:val="21"/>
                    </w:rPr>
                    <w:t>电石炉的使用，</w:t>
                  </w:r>
                  <w:r>
                    <w:rPr>
                      <w:szCs w:val="21"/>
                    </w:rPr>
                    <w:t>不涉及</w:t>
                  </w:r>
                  <w:r>
                    <w:rPr>
                      <w:bCs/>
                      <w:szCs w:val="21"/>
                    </w:rPr>
                    <w:t>聚氯乙烯的加工使用。</w:t>
                  </w:r>
                </w:p>
              </w:tc>
            </w:tr>
            <w:tr w14:paraId="2AE0BA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537" w:type="dxa"/>
                  <w:vMerge w:val="continue"/>
                  <w:noWrap w:val="0"/>
                  <w:vAlign w:val="top"/>
                </w:tcPr>
                <w:p w14:paraId="13918027">
                  <w:pPr>
                    <w:rPr>
                      <w:szCs w:val="21"/>
                    </w:rPr>
                  </w:pPr>
                </w:p>
              </w:tc>
              <w:tc>
                <w:tcPr>
                  <w:tcW w:w="556" w:type="dxa"/>
                  <w:vMerge w:val="continue"/>
                  <w:noWrap w:val="0"/>
                  <w:vAlign w:val="top"/>
                </w:tcPr>
                <w:p w14:paraId="403AF051">
                  <w:pPr>
                    <w:rPr>
                      <w:szCs w:val="21"/>
                    </w:rPr>
                  </w:pPr>
                </w:p>
              </w:tc>
              <w:tc>
                <w:tcPr>
                  <w:tcW w:w="2666" w:type="dxa"/>
                  <w:noWrap w:val="0"/>
                  <w:vAlign w:val="center"/>
                </w:tcPr>
                <w:p w14:paraId="1D765909">
                  <w:pPr>
                    <w:keepLines/>
                    <w:widowControl/>
                    <w:overflowPunct w:val="0"/>
                    <w:adjustRightInd w:val="0"/>
                    <w:snapToGrid w:val="0"/>
                    <w:rPr>
                      <w:szCs w:val="21"/>
                    </w:rPr>
                  </w:pPr>
                  <w:r>
                    <w:rPr>
                      <w:bCs/>
                      <w:szCs w:val="21"/>
                    </w:rPr>
                    <w:t>4.推进粉煤灰、有色冶炼渣等大宗固体废物综合利用，以及高铝粉煤灰等资源化利用。</w:t>
                  </w:r>
                </w:p>
              </w:tc>
              <w:tc>
                <w:tcPr>
                  <w:tcW w:w="2513" w:type="dxa"/>
                  <w:noWrap w:val="0"/>
                  <w:vAlign w:val="top"/>
                </w:tcPr>
                <w:p w14:paraId="0988D64D">
                  <w:pPr>
                    <w:rPr>
                      <w:szCs w:val="21"/>
                    </w:rPr>
                  </w:pPr>
                  <w:r>
                    <w:rPr>
                      <w:szCs w:val="21"/>
                    </w:rPr>
                    <w:t>本项目生产原料为粉煤灰，</w:t>
                  </w:r>
                  <w:r>
                    <w:t>为粉煤灰综合利用项目</w:t>
                  </w:r>
                  <w:r>
                    <w:rPr>
                      <w:szCs w:val="21"/>
                    </w:rPr>
                    <w:t>。</w:t>
                  </w:r>
                </w:p>
              </w:tc>
            </w:tr>
            <w:tr w14:paraId="443484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 w:hRule="atLeast"/>
              </w:trPr>
              <w:tc>
                <w:tcPr>
                  <w:tcW w:w="537" w:type="dxa"/>
                  <w:vMerge w:val="continue"/>
                  <w:noWrap w:val="0"/>
                  <w:vAlign w:val="top"/>
                </w:tcPr>
                <w:p w14:paraId="0973E0B1">
                  <w:pPr>
                    <w:rPr>
                      <w:szCs w:val="21"/>
                    </w:rPr>
                  </w:pPr>
                </w:p>
              </w:tc>
              <w:tc>
                <w:tcPr>
                  <w:tcW w:w="556" w:type="dxa"/>
                  <w:vMerge w:val="continue"/>
                  <w:noWrap w:val="0"/>
                  <w:vAlign w:val="top"/>
                </w:tcPr>
                <w:p w14:paraId="3A3D543E">
                  <w:pPr>
                    <w:rPr>
                      <w:szCs w:val="21"/>
                    </w:rPr>
                  </w:pPr>
                </w:p>
              </w:tc>
              <w:tc>
                <w:tcPr>
                  <w:tcW w:w="2666" w:type="dxa"/>
                  <w:noWrap w:val="0"/>
                  <w:vAlign w:val="center"/>
                </w:tcPr>
                <w:p w14:paraId="3D26C239">
                  <w:pPr>
                    <w:keepLines/>
                    <w:widowControl/>
                    <w:overflowPunct w:val="0"/>
                    <w:adjustRightInd w:val="0"/>
                    <w:snapToGrid w:val="0"/>
                    <w:rPr>
                      <w:szCs w:val="21"/>
                    </w:rPr>
                  </w:pPr>
                  <w:r>
                    <w:rPr>
                      <w:bCs/>
                      <w:szCs w:val="21"/>
                    </w:rPr>
                    <w:t>5.“以水定产”，统筹生产、生活用水。</w:t>
                  </w:r>
                </w:p>
              </w:tc>
              <w:tc>
                <w:tcPr>
                  <w:tcW w:w="2513" w:type="dxa"/>
                  <w:noWrap w:val="0"/>
                  <w:vAlign w:val="top"/>
                </w:tcPr>
                <w:p w14:paraId="3DDA51D7">
                  <w:pPr>
                    <w:rPr>
                      <w:szCs w:val="21"/>
                    </w:rPr>
                  </w:pPr>
                  <w:r>
                    <w:rPr>
                      <w:szCs w:val="21"/>
                    </w:rPr>
                    <w:t>本项目生产用水由鄂尔多斯市水投鄂旗水务有限公司供给。</w:t>
                  </w:r>
                </w:p>
              </w:tc>
            </w:tr>
          </w:tbl>
          <w:p w14:paraId="19D12BFC">
            <w:pPr>
              <w:autoSpaceDE w:val="0"/>
              <w:autoSpaceDN w:val="0"/>
              <w:adjustRightInd w:val="0"/>
              <w:snapToGrid w:val="0"/>
              <w:spacing w:line="360" w:lineRule="auto"/>
              <w:ind w:firstLine="480" w:firstLineChars="200"/>
              <w:jc w:val="left"/>
              <w:rPr>
                <w:sz w:val="24"/>
              </w:rPr>
            </w:pPr>
            <w:r>
              <w:rPr>
                <w:sz w:val="24"/>
              </w:rPr>
              <w:t>综上，项目的建设符合“三线一单”的相关要求。</w:t>
            </w:r>
            <w:bookmarkStart w:id="2" w:name="_Toc32229788"/>
            <w:bookmarkEnd w:id="2"/>
            <w:bookmarkStart w:id="3" w:name="_Toc472692935"/>
            <w:bookmarkEnd w:id="3"/>
            <w:bookmarkStart w:id="4" w:name="_Toc487208589"/>
            <w:bookmarkEnd w:id="4"/>
          </w:p>
          <w:p w14:paraId="2671B475">
            <w:pPr>
              <w:widowControl/>
              <w:spacing w:line="480" w:lineRule="exact"/>
              <w:textAlignment w:val="center"/>
            </w:pPr>
            <w:r>
              <w:rPr>
                <w:b/>
                <w:bCs/>
                <w:sz w:val="24"/>
              </w:rPr>
              <w:t>4.与《内蒙古自治区乌海市及周边地区大气污染防治条例》的符合性分析</w:t>
            </w:r>
          </w:p>
          <w:p w14:paraId="0655BFEA">
            <w:pPr>
              <w:spacing w:line="480" w:lineRule="exact"/>
              <w:ind w:firstLine="480" w:firstLineChars="200"/>
              <w:textAlignment w:val="center"/>
              <w:rPr>
                <w:sz w:val="24"/>
              </w:rPr>
            </w:pPr>
            <w:r>
              <w:rPr>
                <w:sz w:val="24"/>
              </w:rPr>
              <w:t>与本项目相符性分析详见表1-3。</w:t>
            </w:r>
          </w:p>
          <w:p w14:paraId="44FCB4AF">
            <w:pPr>
              <w:pStyle w:val="16"/>
              <w:spacing w:before="24" w:after="24" w:line="480" w:lineRule="exact"/>
              <w:textAlignment w:val="center"/>
              <w:rPr>
                <w:rFonts w:eastAsia="宋体"/>
                <w:szCs w:val="24"/>
              </w:rPr>
            </w:pPr>
            <w:r>
              <w:rPr>
                <w:rFonts w:eastAsia="宋体"/>
                <w:szCs w:val="24"/>
              </w:rPr>
              <w:t>表1-3  与《内蒙古自治区乌海市及周边地区大气污染防治条例》符合性分析表</w:t>
            </w:r>
          </w:p>
          <w:tbl>
            <w:tblPr>
              <w:tblStyle w:val="11"/>
              <w:tblW w:w="5000"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4"/>
              <w:gridCol w:w="2743"/>
              <w:gridCol w:w="2241"/>
              <w:gridCol w:w="824"/>
            </w:tblGrid>
            <w:tr w14:paraId="755DF5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9" w:type="dxa"/>
                  <w:noWrap w:val="0"/>
                  <w:vAlign w:val="center"/>
                </w:tcPr>
                <w:p w14:paraId="383FD080">
                  <w:pPr>
                    <w:keepLines/>
                    <w:overflowPunct w:val="0"/>
                    <w:adjustRightInd w:val="0"/>
                    <w:snapToGrid w:val="0"/>
                    <w:jc w:val="center"/>
                    <w:rPr>
                      <w:b/>
                      <w:szCs w:val="21"/>
                    </w:rPr>
                  </w:pPr>
                  <w:r>
                    <w:rPr>
                      <w:b/>
                      <w:szCs w:val="21"/>
                    </w:rPr>
                    <w:t>项目</w:t>
                  </w:r>
                </w:p>
              </w:tc>
              <w:tc>
                <w:tcPr>
                  <w:tcW w:w="3012" w:type="dxa"/>
                  <w:noWrap w:val="0"/>
                  <w:vAlign w:val="center"/>
                </w:tcPr>
                <w:p w14:paraId="42797A26">
                  <w:pPr>
                    <w:keepLines/>
                    <w:overflowPunct w:val="0"/>
                    <w:adjustRightInd w:val="0"/>
                    <w:snapToGrid w:val="0"/>
                    <w:jc w:val="center"/>
                    <w:rPr>
                      <w:b/>
                      <w:szCs w:val="21"/>
                    </w:rPr>
                  </w:pPr>
                  <w:r>
                    <w:rPr>
                      <w:b/>
                      <w:szCs w:val="21"/>
                    </w:rPr>
                    <w:t>条例相关要求</w:t>
                  </w:r>
                </w:p>
              </w:tc>
              <w:tc>
                <w:tcPr>
                  <w:tcW w:w="2456" w:type="dxa"/>
                  <w:noWrap w:val="0"/>
                  <w:vAlign w:val="center"/>
                </w:tcPr>
                <w:p w14:paraId="4F2E0259">
                  <w:pPr>
                    <w:keepLines/>
                    <w:overflowPunct w:val="0"/>
                    <w:adjustRightInd w:val="0"/>
                    <w:snapToGrid w:val="0"/>
                    <w:jc w:val="center"/>
                    <w:rPr>
                      <w:b/>
                      <w:szCs w:val="21"/>
                    </w:rPr>
                  </w:pPr>
                  <w:r>
                    <w:rPr>
                      <w:b/>
                      <w:szCs w:val="21"/>
                    </w:rPr>
                    <w:t>本项目</w:t>
                  </w:r>
                </w:p>
              </w:tc>
              <w:tc>
                <w:tcPr>
                  <w:tcW w:w="887" w:type="dxa"/>
                  <w:noWrap w:val="0"/>
                  <w:vAlign w:val="center"/>
                </w:tcPr>
                <w:p w14:paraId="0C084FFB">
                  <w:pPr>
                    <w:keepLines/>
                    <w:overflowPunct w:val="0"/>
                    <w:adjustRightInd w:val="0"/>
                    <w:snapToGrid w:val="0"/>
                    <w:jc w:val="center"/>
                    <w:rPr>
                      <w:b/>
                      <w:szCs w:val="21"/>
                    </w:rPr>
                  </w:pPr>
                  <w:r>
                    <w:rPr>
                      <w:b/>
                      <w:szCs w:val="21"/>
                    </w:rPr>
                    <w:t>符合性</w:t>
                  </w:r>
                </w:p>
              </w:tc>
            </w:tr>
            <w:tr w14:paraId="0B5DEA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9" w:type="dxa"/>
                  <w:vMerge w:val="restart"/>
                  <w:noWrap w:val="0"/>
                  <w:vAlign w:val="center"/>
                </w:tcPr>
                <w:p w14:paraId="606E615C">
                  <w:pPr>
                    <w:keepLines/>
                    <w:overflowPunct w:val="0"/>
                    <w:adjustRightInd w:val="0"/>
                    <w:snapToGrid w:val="0"/>
                    <w:jc w:val="center"/>
                    <w:rPr>
                      <w:b/>
                      <w:szCs w:val="21"/>
                    </w:rPr>
                  </w:pPr>
                  <w:r>
                    <w:rPr>
                      <w:b/>
                      <w:szCs w:val="21"/>
                    </w:rPr>
                    <w:t>工业污染防治</w:t>
                  </w:r>
                </w:p>
              </w:tc>
              <w:tc>
                <w:tcPr>
                  <w:tcW w:w="3012" w:type="dxa"/>
                  <w:noWrap w:val="0"/>
                  <w:vAlign w:val="center"/>
                </w:tcPr>
                <w:p w14:paraId="5DBDE377">
                  <w:pPr>
                    <w:keepLines/>
                    <w:overflowPunct w:val="0"/>
                    <w:adjustRightInd w:val="0"/>
                    <w:snapToGrid w:val="0"/>
                    <w:rPr>
                      <w:bCs/>
                      <w:szCs w:val="21"/>
                    </w:rPr>
                  </w:pPr>
                  <w:r>
                    <w:rPr>
                      <w:bCs/>
                      <w:szCs w:val="21"/>
                    </w:rPr>
                    <w:t>第十八条 鼓励工业园区实施煤改气或者可再生能源替代化石能源，推进余热余压梯级利用，建设生产用热热源以及热网，推广集中供热和制冷，淘汰分散锅炉。</w:t>
                  </w:r>
                </w:p>
              </w:tc>
              <w:tc>
                <w:tcPr>
                  <w:tcW w:w="2456" w:type="dxa"/>
                  <w:noWrap w:val="0"/>
                  <w:vAlign w:val="center"/>
                </w:tcPr>
                <w:p w14:paraId="3B755A3B">
                  <w:pPr>
                    <w:keepLines/>
                    <w:overflowPunct w:val="0"/>
                    <w:adjustRightInd w:val="0"/>
                    <w:snapToGrid w:val="0"/>
                    <w:rPr>
                      <w:bCs/>
                      <w:szCs w:val="21"/>
                    </w:rPr>
                  </w:pPr>
                  <w:r>
                    <w:rPr>
                      <w:bCs/>
                      <w:szCs w:val="21"/>
                    </w:rPr>
                    <w:t>本项目供热采用集中供热。</w:t>
                  </w:r>
                </w:p>
              </w:tc>
              <w:tc>
                <w:tcPr>
                  <w:tcW w:w="887" w:type="dxa"/>
                  <w:noWrap w:val="0"/>
                  <w:vAlign w:val="center"/>
                </w:tcPr>
                <w:p w14:paraId="6F6613C1">
                  <w:pPr>
                    <w:pStyle w:val="8"/>
                    <w:ind w:right="21" w:rightChars="10"/>
                    <w:jc w:val="center"/>
                    <w:textAlignment w:val="center"/>
                    <w:rPr>
                      <w:sz w:val="24"/>
                      <w:szCs w:val="24"/>
                      <w:lang w:val="en-US" w:eastAsia="zh-CN"/>
                    </w:rPr>
                  </w:pPr>
                  <w:r>
                    <w:rPr>
                      <w:bCs/>
                      <w:sz w:val="21"/>
                      <w:szCs w:val="21"/>
                      <w:lang w:val="en-US" w:eastAsia="zh-CN"/>
                    </w:rPr>
                    <w:t>符合</w:t>
                  </w:r>
                </w:p>
              </w:tc>
            </w:tr>
            <w:tr w14:paraId="3AB2D3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9" w:type="dxa"/>
                  <w:vMerge w:val="continue"/>
                  <w:noWrap w:val="0"/>
                  <w:vAlign w:val="center"/>
                </w:tcPr>
                <w:p w14:paraId="3C593291">
                  <w:pPr>
                    <w:pStyle w:val="8"/>
                    <w:ind w:right="21" w:rightChars="10"/>
                    <w:jc w:val="center"/>
                    <w:textAlignment w:val="center"/>
                    <w:rPr>
                      <w:sz w:val="24"/>
                      <w:szCs w:val="24"/>
                      <w:lang w:val="en-US" w:eastAsia="zh-CN"/>
                    </w:rPr>
                  </w:pPr>
                </w:p>
              </w:tc>
              <w:tc>
                <w:tcPr>
                  <w:tcW w:w="3012" w:type="dxa"/>
                  <w:noWrap w:val="0"/>
                  <w:vAlign w:val="center"/>
                </w:tcPr>
                <w:p w14:paraId="0F945078">
                  <w:pPr>
                    <w:keepLines/>
                    <w:overflowPunct w:val="0"/>
                    <w:adjustRightInd w:val="0"/>
                    <w:snapToGrid w:val="0"/>
                    <w:rPr>
                      <w:bCs/>
                      <w:szCs w:val="21"/>
                    </w:rPr>
                  </w:pPr>
                  <w:r>
                    <w:rPr>
                      <w:bCs/>
                      <w:szCs w:val="21"/>
                    </w:rPr>
                    <w:t>第十九条 乌海市及周边地区人民政府应当结合区域实际，确定本地区挥发性有机物控制重点企业，制定并组织实施挥发性有机物治理方案。</w:t>
                  </w:r>
                </w:p>
              </w:tc>
              <w:tc>
                <w:tcPr>
                  <w:tcW w:w="2456" w:type="dxa"/>
                  <w:noWrap w:val="0"/>
                  <w:vAlign w:val="center"/>
                </w:tcPr>
                <w:p w14:paraId="6255B375">
                  <w:pPr>
                    <w:keepLines/>
                    <w:overflowPunct w:val="0"/>
                    <w:adjustRightInd w:val="0"/>
                    <w:snapToGrid w:val="0"/>
                    <w:rPr>
                      <w:bCs/>
                      <w:szCs w:val="21"/>
                    </w:rPr>
                  </w:pPr>
                  <w:r>
                    <w:rPr>
                      <w:bCs/>
                      <w:szCs w:val="21"/>
                    </w:rPr>
                    <w:t>本项目不属于挥发性有机物重点企业，厂区危废库内废矿物油经全密闭铁桶收集存放，非甲烷总烃的无组织排放量较少。</w:t>
                  </w:r>
                </w:p>
              </w:tc>
              <w:tc>
                <w:tcPr>
                  <w:tcW w:w="887" w:type="dxa"/>
                  <w:noWrap w:val="0"/>
                  <w:vAlign w:val="center"/>
                </w:tcPr>
                <w:p w14:paraId="786C53B1">
                  <w:pPr>
                    <w:pStyle w:val="8"/>
                    <w:ind w:right="21" w:rightChars="10"/>
                    <w:jc w:val="center"/>
                    <w:textAlignment w:val="center"/>
                    <w:rPr>
                      <w:sz w:val="24"/>
                      <w:szCs w:val="24"/>
                      <w:lang w:val="en-US" w:eastAsia="zh-CN"/>
                    </w:rPr>
                  </w:pPr>
                  <w:r>
                    <w:rPr>
                      <w:bCs/>
                      <w:sz w:val="21"/>
                      <w:szCs w:val="21"/>
                      <w:lang w:val="en-US" w:eastAsia="zh-CN"/>
                    </w:rPr>
                    <w:t>符合</w:t>
                  </w:r>
                </w:p>
              </w:tc>
            </w:tr>
            <w:tr w14:paraId="3EA679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9" w:type="dxa"/>
                  <w:vMerge w:val="continue"/>
                  <w:noWrap w:val="0"/>
                  <w:vAlign w:val="center"/>
                </w:tcPr>
                <w:p w14:paraId="0DC06277">
                  <w:pPr>
                    <w:pStyle w:val="8"/>
                    <w:ind w:right="21" w:rightChars="10"/>
                    <w:jc w:val="center"/>
                    <w:textAlignment w:val="center"/>
                    <w:rPr>
                      <w:sz w:val="24"/>
                      <w:szCs w:val="24"/>
                      <w:lang w:val="en-US" w:eastAsia="zh-CN"/>
                    </w:rPr>
                  </w:pPr>
                </w:p>
              </w:tc>
              <w:tc>
                <w:tcPr>
                  <w:tcW w:w="3012" w:type="dxa"/>
                  <w:noWrap w:val="0"/>
                  <w:vAlign w:val="center"/>
                </w:tcPr>
                <w:p w14:paraId="748A323C">
                  <w:pPr>
                    <w:keepLines/>
                    <w:overflowPunct w:val="0"/>
                    <w:adjustRightInd w:val="0"/>
                    <w:snapToGrid w:val="0"/>
                    <w:rPr>
                      <w:bCs/>
                      <w:szCs w:val="21"/>
                    </w:rPr>
                  </w:pPr>
                  <w:r>
                    <w:rPr>
                      <w:bCs/>
                      <w:szCs w:val="21"/>
                    </w:rPr>
                    <w:t>第二十条 有色金属冶炼（不含氧化铝）、钢铁、水泥、燃煤发电、平板玻璃、焦化、石化和化工等行业应当执行大气污染物特别排放限值，国家、自治区排放标准中未规定大气污染物特别排放限值的行业，执行现有排放标准。</w:t>
                  </w:r>
                </w:p>
              </w:tc>
              <w:tc>
                <w:tcPr>
                  <w:tcW w:w="2456" w:type="dxa"/>
                  <w:noWrap w:val="0"/>
                  <w:vAlign w:val="center"/>
                </w:tcPr>
                <w:p w14:paraId="24802731">
                  <w:pPr>
                    <w:keepLines/>
                    <w:overflowPunct w:val="0"/>
                    <w:adjustRightInd w:val="0"/>
                    <w:snapToGrid w:val="0"/>
                    <w:rPr>
                      <w:bCs/>
                      <w:szCs w:val="21"/>
                    </w:rPr>
                  </w:pPr>
                  <w:r>
                    <w:rPr>
                      <w:bCs/>
                      <w:szCs w:val="21"/>
                    </w:rPr>
                    <w:t>本项目水泥装卸粉尘执行</w:t>
                  </w:r>
                  <w:r>
                    <w:rPr>
                      <w:kern w:val="24"/>
                      <w:szCs w:val="21"/>
                    </w:rPr>
                    <w:t>《水泥工业大气污染物排放标准》（GB4915-2013）中表2大气污染物特别排放限值。</w:t>
                  </w:r>
                </w:p>
              </w:tc>
              <w:tc>
                <w:tcPr>
                  <w:tcW w:w="887" w:type="dxa"/>
                  <w:noWrap w:val="0"/>
                  <w:vAlign w:val="center"/>
                </w:tcPr>
                <w:p w14:paraId="2801ACD3">
                  <w:pPr>
                    <w:pStyle w:val="8"/>
                    <w:ind w:right="21" w:rightChars="10"/>
                    <w:jc w:val="center"/>
                    <w:textAlignment w:val="center"/>
                    <w:rPr>
                      <w:sz w:val="24"/>
                      <w:szCs w:val="24"/>
                      <w:lang w:val="en-US" w:eastAsia="zh-CN"/>
                    </w:rPr>
                  </w:pPr>
                  <w:r>
                    <w:rPr>
                      <w:bCs/>
                      <w:sz w:val="21"/>
                      <w:szCs w:val="21"/>
                      <w:lang w:val="en-US" w:eastAsia="zh-CN"/>
                    </w:rPr>
                    <w:t>符合</w:t>
                  </w:r>
                </w:p>
              </w:tc>
            </w:tr>
            <w:tr w14:paraId="4FD07E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9" w:type="dxa"/>
                  <w:vMerge w:val="continue"/>
                  <w:noWrap w:val="0"/>
                  <w:vAlign w:val="center"/>
                </w:tcPr>
                <w:p w14:paraId="2C90E9F0">
                  <w:pPr>
                    <w:pStyle w:val="8"/>
                    <w:ind w:right="21" w:rightChars="10"/>
                    <w:jc w:val="center"/>
                    <w:textAlignment w:val="center"/>
                    <w:rPr>
                      <w:sz w:val="24"/>
                      <w:szCs w:val="24"/>
                      <w:lang w:val="en-US" w:eastAsia="zh-CN"/>
                    </w:rPr>
                  </w:pPr>
                </w:p>
              </w:tc>
              <w:tc>
                <w:tcPr>
                  <w:tcW w:w="3012" w:type="dxa"/>
                  <w:noWrap w:val="0"/>
                  <w:vAlign w:val="center"/>
                </w:tcPr>
                <w:p w14:paraId="2494545F">
                  <w:pPr>
                    <w:keepLines/>
                    <w:overflowPunct w:val="0"/>
                    <w:adjustRightInd w:val="0"/>
                    <w:snapToGrid w:val="0"/>
                    <w:rPr>
                      <w:bCs/>
                      <w:szCs w:val="21"/>
                    </w:rPr>
                  </w:pPr>
                  <w:r>
                    <w:rPr>
                      <w:bCs/>
                      <w:szCs w:val="21"/>
                    </w:rPr>
                    <w:t>第二十一条 工业炉窑应当采用封闭、密闭或者集气罩等有效措施控制无组织排放，物料落料点应当配备集气罩和除尘设施，或者采取喷雾等抑尘措施。</w:t>
                  </w:r>
                </w:p>
                <w:p w14:paraId="2603643C">
                  <w:pPr>
                    <w:keepLines/>
                    <w:overflowPunct w:val="0"/>
                    <w:adjustRightInd w:val="0"/>
                    <w:snapToGrid w:val="0"/>
                    <w:ind w:firstLine="420" w:firstLineChars="200"/>
                    <w:rPr>
                      <w:bCs/>
                      <w:szCs w:val="21"/>
                    </w:rPr>
                  </w:pPr>
                  <w:r>
                    <w:rPr>
                      <w:bCs/>
                      <w:szCs w:val="21"/>
                    </w:rPr>
                    <w:t>粉状物料应当采取密闭措施储存，采用密闭皮带、封闭通廊、真空罐车等方式输送。</w:t>
                  </w:r>
                </w:p>
                <w:p w14:paraId="43C38B9E">
                  <w:pPr>
                    <w:keepLines/>
                    <w:overflowPunct w:val="0"/>
                    <w:adjustRightInd w:val="0"/>
                    <w:snapToGrid w:val="0"/>
                    <w:ind w:firstLine="420" w:firstLineChars="200"/>
                    <w:rPr>
                      <w:bCs/>
                      <w:szCs w:val="21"/>
                    </w:rPr>
                  </w:pPr>
                  <w:r>
                    <w:rPr>
                      <w:bCs/>
                      <w:szCs w:val="21"/>
                    </w:rPr>
                    <w:t>块状物料应当采取入棚入仓或者建设防风抑尘网等方式储存及封闭输送等有效抑尘措施。</w:t>
                  </w:r>
                </w:p>
                <w:p w14:paraId="02AC2CDB">
                  <w:pPr>
                    <w:keepLines/>
                    <w:overflowPunct w:val="0"/>
                    <w:adjustRightInd w:val="0"/>
                    <w:snapToGrid w:val="0"/>
                    <w:ind w:firstLine="420" w:firstLineChars="200"/>
                    <w:rPr>
                      <w:bCs/>
                      <w:szCs w:val="21"/>
                    </w:rPr>
                  </w:pPr>
                  <w:r>
                    <w:rPr>
                      <w:bCs/>
                      <w:szCs w:val="21"/>
                    </w:rPr>
                    <w:t>大宗物料应当通过铁路、管道或者管状带式输送机等清洁方式运输，确需汽车运输的应当封闭车厢或者遮盖严密。</w:t>
                  </w:r>
                </w:p>
              </w:tc>
              <w:tc>
                <w:tcPr>
                  <w:tcW w:w="2456" w:type="dxa"/>
                  <w:noWrap w:val="0"/>
                  <w:vAlign w:val="center"/>
                </w:tcPr>
                <w:p w14:paraId="4E973581">
                  <w:pPr>
                    <w:keepLines/>
                    <w:overflowPunct w:val="0"/>
                    <w:adjustRightInd w:val="0"/>
                    <w:snapToGrid w:val="0"/>
                    <w:rPr>
                      <w:bCs/>
                      <w:szCs w:val="21"/>
                    </w:rPr>
                  </w:pPr>
                  <w:r>
                    <w:rPr>
                      <w:bCs/>
                      <w:szCs w:val="21"/>
                    </w:rPr>
                    <w:t>本项目不涉及工业窑炉；水泥等粉状物料筒仓储存，其他物料经全封闭储棚储存，物料在场内的运输采用全封闭皮带输送，水泥及粉煤灰通过真空罐车输送；其他物料运输车辆全部加盖篷布。</w:t>
                  </w:r>
                </w:p>
              </w:tc>
              <w:tc>
                <w:tcPr>
                  <w:tcW w:w="887" w:type="dxa"/>
                  <w:noWrap w:val="0"/>
                  <w:vAlign w:val="center"/>
                </w:tcPr>
                <w:p w14:paraId="21CCE1CF">
                  <w:pPr>
                    <w:pStyle w:val="8"/>
                    <w:ind w:right="21" w:rightChars="10"/>
                    <w:jc w:val="center"/>
                    <w:textAlignment w:val="center"/>
                    <w:rPr>
                      <w:sz w:val="24"/>
                      <w:szCs w:val="24"/>
                      <w:lang w:val="en-US" w:eastAsia="zh-CN"/>
                    </w:rPr>
                  </w:pPr>
                  <w:r>
                    <w:rPr>
                      <w:bCs/>
                      <w:sz w:val="21"/>
                      <w:szCs w:val="21"/>
                      <w:lang w:val="en-US" w:eastAsia="zh-CN"/>
                    </w:rPr>
                    <w:t>符合</w:t>
                  </w:r>
                </w:p>
              </w:tc>
            </w:tr>
            <w:tr w14:paraId="67AE08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9" w:type="dxa"/>
                  <w:vMerge w:val="continue"/>
                  <w:noWrap w:val="0"/>
                  <w:vAlign w:val="center"/>
                </w:tcPr>
                <w:p w14:paraId="0D437984">
                  <w:pPr>
                    <w:pStyle w:val="8"/>
                    <w:ind w:right="21" w:rightChars="10"/>
                    <w:jc w:val="center"/>
                    <w:textAlignment w:val="center"/>
                    <w:rPr>
                      <w:sz w:val="24"/>
                      <w:szCs w:val="24"/>
                      <w:lang w:val="en-US" w:eastAsia="zh-CN"/>
                    </w:rPr>
                  </w:pPr>
                </w:p>
              </w:tc>
              <w:tc>
                <w:tcPr>
                  <w:tcW w:w="3012" w:type="dxa"/>
                  <w:noWrap w:val="0"/>
                  <w:vAlign w:val="center"/>
                </w:tcPr>
                <w:p w14:paraId="50EC6C4F">
                  <w:pPr>
                    <w:keepLines/>
                    <w:overflowPunct w:val="0"/>
                    <w:adjustRightInd w:val="0"/>
                    <w:snapToGrid w:val="0"/>
                    <w:rPr>
                      <w:bCs/>
                      <w:szCs w:val="21"/>
                    </w:rPr>
                  </w:pPr>
                  <w:r>
                    <w:rPr>
                      <w:bCs/>
                      <w:szCs w:val="21"/>
                    </w:rPr>
                    <w:t>第二十二条 水泥熟料窑应当配备低氮燃烧器，采用分级燃烧等技术，窑尾应当采用选择性催化还原、选择性非催化还原等成熟先进的脱硝技术。</w:t>
                  </w:r>
                </w:p>
                <w:p w14:paraId="16728416">
                  <w:pPr>
                    <w:keepLines/>
                    <w:overflowPunct w:val="0"/>
                    <w:adjustRightInd w:val="0"/>
                    <w:snapToGrid w:val="0"/>
                    <w:ind w:firstLine="420" w:firstLineChars="200"/>
                    <w:rPr>
                      <w:bCs/>
                      <w:szCs w:val="21"/>
                    </w:rPr>
                  </w:pPr>
                  <w:r>
                    <w:rPr>
                      <w:bCs/>
                      <w:szCs w:val="21"/>
                    </w:rPr>
                    <w:t>鼓励利用工业固体废物生产水泥。</w:t>
                  </w:r>
                </w:p>
              </w:tc>
              <w:tc>
                <w:tcPr>
                  <w:tcW w:w="2456" w:type="dxa"/>
                  <w:noWrap w:val="0"/>
                  <w:vAlign w:val="center"/>
                </w:tcPr>
                <w:p w14:paraId="0550F208">
                  <w:pPr>
                    <w:keepLines/>
                    <w:overflowPunct w:val="0"/>
                    <w:adjustRightInd w:val="0"/>
                    <w:snapToGrid w:val="0"/>
                    <w:rPr>
                      <w:bCs/>
                      <w:szCs w:val="21"/>
                    </w:rPr>
                  </w:pPr>
                  <w:r>
                    <w:rPr>
                      <w:bCs/>
                      <w:szCs w:val="21"/>
                    </w:rPr>
                    <w:t>本项目不涉及水泥的生产。</w:t>
                  </w:r>
                </w:p>
              </w:tc>
              <w:tc>
                <w:tcPr>
                  <w:tcW w:w="887" w:type="dxa"/>
                  <w:noWrap w:val="0"/>
                  <w:vAlign w:val="center"/>
                </w:tcPr>
                <w:p w14:paraId="429884D6">
                  <w:pPr>
                    <w:pStyle w:val="8"/>
                    <w:ind w:right="21" w:rightChars="10"/>
                    <w:jc w:val="center"/>
                    <w:textAlignment w:val="center"/>
                    <w:rPr>
                      <w:sz w:val="24"/>
                      <w:szCs w:val="24"/>
                      <w:lang w:val="en-US" w:eastAsia="zh-CN"/>
                    </w:rPr>
                  </w:pPr>
                  <w:r>
                    <w:rPr>
                      <w:bCs/>
                      <w:sz w:val="21"/>
                      <w:szCs w:val="21"/>
                      <w:lang w:val="en-US" w:eastAsia="zh-CN"/>
                    </w:rPr>
                    <w:t>符合</w:t>
                  </w:r>
                </w:p>
              </w:tc>
            </w:tr>
            <w:tr w14:paraId="532486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89" w:type="dxa"/>
                  <w:vMerge w:val="continue"/>
                  <w:noWrap w:val="0"/>
                  <w:vAlign w:val="center"/>
                </w:tcPr>
                <w:p w14:paraId="03C63AD0">
                  <w:pPr>
                    <w:pStyle w:val="8"/>
                    <w:ind w:right="21" w:rightChars="10"/>
                    <w:jc w:val="center"/>
                    <w:textAlignment w:val="center"/>
                    <w:rPr>
                      <w:sz w:val="24"/>
                      <w:szCs w:val="24"/>
                      <w:lang w:val="en-US" w:eastAsia="zh-CN"/>
                    </w:rPr>
                  </w:pPr>
                </w:p>
              </w:tc>
              <w:tc>
                <w:tcPr>
                  <w:tcW w:w="3012" w:type="dxa"/>
                  <w:noWrap w:val="0"/>
                  <w:vAlign w:val="center"/>
                </w:tcPr>
                <w:p w14:paraId="1BA3B66A">
                  <w:pPr>
                    <w:keepLines/>
                    <w:overflowPunct w:val="0"/>
                    <w:adjustRightInd w:val="0"/>
                    <w:snapToGrid w:val="0"/>
                    <w:rPr>
                      <w:bCs/>
                      <w:szCs w:val="21"/>
                    </w:rPr>
                  </w:pPr>
                  <w:r>
                    <w:rPr>
                      <w:bCs/>
                      <w:szCs w:val="21"/>
                    </w:rPr>
                    <w:t>第二十三条 焦化企业化工物料罐、槽的排放气体应当返回系统或者收集处理，减少挥发性有机物无组织排放。焦化企业应当确保污水处理设施正常运转，熄焦废水未经处理、未达到排放标准的，禁止用于重复熄焦。</w:t>
                  </w:r>
                </w:p>
                <w:p w14:paraId="68444A12">
                  <w:pPr>
                    <w:keepLines/>
                    <w:overflowPunct w:val="0"/>
                    <w:adjustRightInd w:val="0"/>
                    <w:snapToGrid w:val="0"/>
                    <w:ind w:firstLine="420" w:firstLineChars="200"/>
                    <w:rPr>
                      <w:bCs/>
                      <w:szCs w:val="21"/>
                    </w:rPr>
                  </w:pPr>
                  <w:r>
                    <w:rPr>
                      <w:bCs/>
                      <w:szCs w:val="21"/>
                    </w:rPr>
                    <w:t>鼓励焦化企业进行干熄焦改造，实施焦炉煤气精脱硫，采用成熟先进的污染防治技术控制焦炉炉体无组织排放。</w:t>
                  </w:r>
                </w:p>
              </w:tc>
              <w:tc>
                <w:tcPr>
                  <w:tcW w:w="2456" w:type="dxa"/>
                  <w:noWrap w:val="0"/>
                  <w:vAlign w:val="center"/>
                </w:tcPr>
                <w:p w14:paraId="7FCF12FD">
                  <w:pPr>
                    <w:keepLines/>
                    <w:overflowPunct w:val="0"/>
                    <w:adjustRightInd w:val="0"/>
                    <w:snapToGrid w:val="0"/>
                    <w:rPr>
                      <w:bCs/>
                      <w:szCs w:val="21"/>
                    </w:rPr>
                  </w:pPr>
                  <w:r>
                    <w:rPr>
                      <w:bCs/>
                      <w:szCs w:val="21"/>
                    </w:rPr>
                    <w:t>本项目不属于焦化企业。</w:t>
                  </w:r>
                </w:p>
              </w:tc>
              <w:tc>
                <w:tcPr>
                  <w:tcW w:w="887" w:type="dxa"/>
                  <w:noWrap w:val="0"/>
                  <w:vAlign w:val="center"/>
                </w:tcPr>
                <w:p w14:paraId="201E6D6E">
                  <w:pPr>
                    <w:pStyle w:val="8"/>
                    <w:ind w:right="21" w:rightChars="10"/>
                    <w:jc w:val="center"/>
                    <w:textAlignment w:val="center"/>
                    <w:rPr>
                      <w:sz w:val="24"/>
                      <w:szCs w:val="24"/>
                      <w:lang w:val="en-US" w:eastAsia="zh-CN"/>
                    </w:rPr>
                  </w:pPr>
                  <w:r>
                    <w:rPr>
                      <w:bCs/>
                      <w:sz w:val="21"/>
                      <w:szCs w:val="21"/>
                      <w:lang w:val="en-US" w:eastAsia="zh-CN"/>
                    </w:rPr>
                    <w:t>符合</w:t>
                  </w:r>
                </w:p>
              </w:tc>
            </w:tr>
            <w:tr w14:paraId="3DE82D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9" w:type="dxa"/>
                  <w:vMerge w:val="continue"/>
                  <w:noWrap w:val="0"/>
                  <w:vAlign w:val="center"/>
                </w:tcPr>
                <w:p w14:paraId="78A758D9">
                  <w:pPr>
                    <w:pStyle w:val="8"/>
                    <w:ind w:right="21" w:rightChars="10"/>
                    <w:jc w:val="center"/>
                    <w:textAlignment w:val="center"/>
                    <w:rPr>
                      <w:sz w:val="24"/>
                      <w:szCs w:val="24"/>
                      <w:lang w:val="en-US" w:eastAsia="zh-CN"/>
                    </w:rPr>
                  </w:pPr>
                </w:p>
              </w:tc>
              <w:tc>
                <w:tcPr>
                  <w:tcW w:w="3012" w:type="dxa"/>
                  <w:noWrap w:val="0"/>
                  <w:vAlign w:val="center"/>
                </w:tcPr>
                <w:p w14:paraId="724EC79C">
                  <w:pPr>
                    <w:keepLines/>
                    <w:overflowPunct w:val="0"/>
                    <w:adjustRightInd w:val="0"/>
                    <w:snapToGrid w:val="0"/>
                    <w:rPr>
                      <w:bCs/>
                      <w:szCs w:val="21"/>
                    </w:rPr>
                  </w:pPr>
                  <w:r>
                    <w:rPr>
                      <w:bCs/>
                      <w:szCs w:val="21"/>
                    </w:rPr>
                    <w:t>第二十四条 钢铁企业烧结烟气应当采用除尘、脱硫、脱硝措施，烧结、球团竖炉、炼钢、轧钢等主要生产车间、高炉出铁场、钢渣处理设施应当密闭，铁沟、渣沟应当加盖封闭。</w:t>
                  </w:r>
                </w:p>
                <w:p w14:paraId="5C742416">
                  <w:pPr>
                    <w:keepLines/>
                    <w:overflowPunct w:val="0"/>
                    <w:adjustRightInd w:val="0"/>
                    <w:snapToGrid w:val="0"/>
                    <w:ind w:firstLine="420" w:firstLineChars="200"/>
                    <w:rPr>
                      <w:bCs/>
                      <w:szCs w:val="21"/>
                    </w:rPr>
                  </w:pPr>
                  <w:r>
                    <w:rPr>
                      <w:bCs/>
                      <w:szCs w:val="21"/>
                    </w:rPr>
                    <w:t>鼓励实施烧结机头烟气循环。</w:t>
                  </w:r>
                </w:p>
              </w:tc>
              <w:tc>
                <w:tcPr>
                  <w:tcW w:w="2456" w:type="dxa"/>
                  <w:noWrap w:val="0"/>
                  <w:vAlign w:val="center"/>
                </w:tcPr>
                <w:p w14:paraId="4F438FA9">
                  <w:pPr>
                    <w:keepLines/>
                    <w:overflowPunct w:val="0"/>
                    <w:adjustRightInd w:val="0"/>
                    <w:snapToGrid w:val="0"/>
                    <w:rPr>
                      <w:bCs/>
                      <w:szCs w:val="21"/>
                    </w:rPr>
                  </w:pPr>
                  <w:r>
                    <w:rPr>
                      <w:bCs/>
                      <w:szCs w:val="21"/>
                    </w:rPr>
                    <w:t>本项目不属于钢铁企业。</w:t>
                  </w:r>
                </w:p>
              </w:tc>
              <w:tc>
                <w:tcPr>
                  <w:tcW w:w="887" w:type="dxa"/>
                  <w:noWrap w:val="0"/>
                  <w:vAlign w:val="center"/>
                </w:tcPr>
                <w:p w14:paraId="784F468D">
                  <w:pPr>
                    <w:pStyle w:val="8"/>
                    <w:ind w:right="21" w:rightChars="10"/>
                    <w:jc w:val="center"/>
                    <w:textAlignment w:val="center"/>
                    <w:rPr>
                      <w:sz w:val="24"/>
                      <w:szCs w:val="24"/>
                      <w:lang w:val="en-US" w:eastAsia="zh-CN"/>
                    </w:rPr>
                  </w:pPr>
                  <w:r>
                    <w:rPr>
                      <w:bCs/>
                      <w:sz w:val="21"/>
                      <w:szCs w:val="21"/>
                      <w:lang w:val="en-US" w:eastAsia="zh-CN"/>
                    </w:rPr>
                    <w:t>符合</w:t>
                  </w:r>
                </w:p>
              </w:tc>
            </w:tr>
            <w:tr w14:paraId="18117C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9" w:type="dxa"/>
                  <w:vMerge w:val="continue"/>
                  <w:noWrap w:val="0"/>
                  <w:vAlign w:val="center"/>
                </w:tcPr>
                <w:p w14:paraId="764D2690">
                  <w:pPr>
                    <w:pStyle w:val="8"/>
                    <w:ind w:right="21" w:rightChars="10"/>
                    <w:jc w:val="center"/>
                    <w:textAlignment w:val="center"/>
                    <w:rPr>
                      <w:sz w:val="24"/>
                      <w:szCs w:val="24"/>
                      <w:lang w:val="en-US" w:eastAsia="zh-CN"/>
                    </w:rPr>
                  </w:pPr>
                </w:p>
              </w:tc>
              <w:tc>
                <w:tcPr>
                  <w:tcW w:w="3012" w:type="dxa"/>
                  <w:noWrap w:val="0"/>
                  <w:vAlign w:val="center"/>
                </w:tcPr>
                <w:p w14:paraId="55A204A9">
                  <w:pPr>
                    <w:keepLines/>
                    <w:overflowPunct w:val="0"/>
                    <w:adjustRightInd w:val="0"/>
                    <w:snapToGrid w:val="0"/>
                    <w:rPr>
                      <w:bCs/>
                      <w:szCs w:val="21"/>
                    </w:rPr>
                  </w:pPr>
                  <w:r>
                    <w:rPr>
                      <w:bCs/>
                      <w:szCs w:val="21"/>
                    </w:rPr>
                    <w:t>第二十五条 冶金、石化和化工行业中有重大环境风险，建设地点敏感，且持续排放重金属或者持久性有机污染物的建设项目，在运行过程中产生不符合经审批的环境影响报告书情形的，应当在正式投入生产或者运营后三至五年内，开展环境影响后评价工作。</w:t>
                  </w:r>
                </w:p>
              </w:tc>
              <w:tc>
                <w:tcPr>
                  <w:tcW w:w="2456" w:type="dxa"/>
                  <w:noWrap w:val="0"/>
                  <w:vAlign w:val="center"/>
                </w:tcPr>
                <w:p w14:paraId="24754BE6">
                  <w:pPr>
                    <w:keepLines/>
                    <w:overflowPunct w:val="0"/>
                    <w:adjustRightInd w:val="0"/>
                    <w:snapToGrid w:val="0"/>
                    <w:rPr>
                      <w:bCs/>
                      <w:szCs w:val="21"/>
                    </w:rPr>
                  </w:pPr>
                  <w:r>
                    <w:rPr>
                      <w:bCs/>
                      <w:szCs w:val="21"/>
                    </w:rPr>
                    <w:t>本项目不属于冶金、石化和化工行业。</w:t>
                  </w:r>
                </w:p>
              </w:tc>
              <w:tc>
                <w:tcPr>
                  <w:tcW w:w="887" w:type="dxa"/>
                  <w:noWrap w:val="0"/>
                  <w:vAlign w:val="center"/>
                </w:tcPr>
                <w:p w14:paraId="416B2FF3">
                  <w:pPr>
                    <w:pStyle w:val="8"/>
                    <w:ind w:right="21" w:rightChars="10"/>
                    <w:jc w:val="center"/>
                    <w:textAlignment w:val="center"/>
                    <w:rPr>
                      <w:sz w:val="24"/>
                      <w:szCs w:val="24"/>
                      <w:lang w:val="en-US" w:eastAsia="zh-CN"/>
                    </w:rPr>
                  </w:pPr>
                  <w:r>
                    <w:rPr>
                      <w:bCs/>
                      <w:sz w:val="21"/>
                      <w:szCs w:val="21"/>
                      <w:lang w:val="en-US" w:eastAsia="zh-CN"/>
                    </w:rPr>
                    <w:t>符合</w:t>
                  </w:r>
                </w:p>
              </w:tc>
            </w:tr>
          </w:tbl>
          <w:p w14:paraId="3ADA5EE6">
            <w:pPr>
              <w:autoSpaceDE w:val="0"/>
              <w:autoSpaceDN w:val="0"/>
              <w:adjustRightInd w:val="0"/>
              <w:snapToGrid w:val="0"/>
              <w:spacing w:line="360" w:lineRule="auto"/>
              <w:ind w:firstLine="480" w:firstLineChars="200"/>
              <w:jc w:val="left"/>
              <w:rPr>
                <w:sz w:val="24"/>
              </w:rPr>
            </w:pPr>
            <w:r>
              <w:rPr>
                <w:sz w:val="24"/>
              </w:rPr>
              <w:t>综上，本项目建设符合《内蒙古自治区乌海市及周边地区大气污染防治条例》。</w:t>
            </w:r>
          </w:p>
          <w:p w14:paraId="0A95F3D8">
            <w:pPr>
              <w:pStyle w:val="5"/>
              <w:ind w:left="0" w:leftChars="0" w:firstLine="0" w:firstLineChars="0"/>
              <w:rPr>
                <w:lang w:val="en-US" w:eastAsia="zh-CN"/>
              </w:rPr>
            </w:pPr>
          </w:p>
          <w:p w14:paraId="5D56DFD2">
            <w:pPr>
              <w:pStyle w:val="5"/>
              <w:ind w:left="0" w:leftChars="0" w:firstLine="0" w:firstLineChars="0"/>
              <w:rPr>
                <w:lang w:val="en-US" w:eastAsia="zh-CN"/>
              </w:rPr>
            </w:pPr>
          </w:p>
          <w:p w14:paraId="7224E700">
            <w:pPr>
              <w:pStyle w:val="5"/>
              <w:ind w:left="0" w:leftChars="0" w:firstLine="0" w:firstLineChars="0"/>
              <w:rPr>
                <w:lang w:val="en-US" w:eastAsia="zh-CN"/>
              </w:rPr>
            </w:pPr>
          </w:p>
          <w:p w14:paraId="2F6DDB4F">
            <w:pPr>
              <w:pStyle w:val="5"/>
              <w:ind w:left="0" w:leftChars="0" w:firstLine="0" w:firstLineChars="0"/>
              <w:rPr>
                <w:lang w:val="en-US" w:eastAsia="zh-CN"/>
              </w:rPr>
            </w:pPr>
          </w:p>
          <w:p w14:paraId="7E18EDAE">
            <w:pPr>
              <w:pStyle w:val="5"/>
              <w:ind w:left="0" w:leftChars="0" w:firstLine="0" w:firstLineChars="0"/>
              <w:rPr>
                <w:lang w:val="en-US" w:eastAsia="zh-CN"/>
              </w:rPr>
            </w:pPr>
          </w:p>
          <w:p w14:paraId="018A2211">
            <w:pPr>
              <w:pStyle w:val="5"/>
              <w:ind w:left="0" w:leftChars="0" w:firstLine="0" w:firstLineChars="0"/>
              <w:rPr>
                <w:lang w:val="en-US" w:eastAsia="zh-CN"/>
              </w:rPr>
            </w:pPr>
          </w:p>
          <w:p w14:paraId="00D9A6AF">
            <w:pPr>
              <w:pStyle w:val="5"/>
              <w:ind w:left="0" w:leftChars="0" w:firstLine="0" w:firstLineChars="0"/>
              <w:rPr>
                <w:lang w:val="en-US" w:eastAsia="zh-CN"/>
              </w:rPr>
            </w:pPr>
          </w:p>
          <w:p w14:paraId="335EF926">
            <w:pPr>
              <w:pStyle w:val="5"/>
              <w:ind w:left="0" w:leftChars="0" w:firstLine="0" w:firstLineChars="0"/>
              <w:rPr>
                <w:lang w:val="en-US" w:eastAsia="zh-CN"/>
              </w:rPr>
            </w:pPr>
          </w:p>
          <w:p w14:paraId="3FDE8077">
            <w:pPr>
              <w:pStyle w:val="5"/>
              <w:ind w:left="0" w:leftChars="0" w:firstLine="0" w:firstLineChars="0"/>
              <w:rPr>
                <w:lang w:val="en-US" w:eastAsia="zh-CN"/>
              </w:rPr>
            </w:pPr>
          </w:p>
          <w:p w14:paraId="0649CED2">
            <w:pPr>
              <w:pStyle w:val="5"/>
              <w:ind w:left="0" w:leftChars="0" w:firstLine="0" w:firstLineChars="0"/>
              <w:rPr>
                <w:lang w:val="en-US" w:eastAsia="zh-CN"/>
              </w:rPr>
            </w:pPr>
          </w:p>
          <w:p w14:paraId="5C4D9660">
            <w:pPr>
              <w:pStyle w:val="5"/>
              <w:ind w:left="0" w:leftChars="0" w:firstLine="0" w:firstLineChars="0"/>
              <w:rPr>
                <w:lang w:val="en-US" w:eastAsia="zh-CN"/>
              </w:rPr>
            </w:pPr>
          </w:p>
          <w:p w14:paraId="3CA524FE">
            <w:pPr>
              <w:pStyle w:val="5"/>
              <w:ind w:left="0" w:leftChars="0" w:firstLine="0" w:firstLineChars="0"/>
              <w:rPr>
                <w:lang w:val="en-US" w:eastAsia="zh-CN"/>
              </w:rPr>
            </w:pPr>
          </w:p>
          <w:p w14:paraId="25F70577">
            <w:pPr>
              <w:pStyle w:val="5"/>
              <w:ind w:left="0" w:leftChars="0" w:firstLine="0" w:firstLineChars="0"/>
              <w:rPr>
                <w:lang w:val="en-US" w:eastAsia="zh-CN"/>
              </w:rPr>
            </w:pPr>
          </w:p>
          <w:p w14:paraId="5F190F99">
            <w:pPr>
              <w:pStyle w:val="5"/>
              <w:ind w:left="0" w:leftChars="0" w:firstLine="0" w:firstLineChars="0"/>
              <w:rPr>
                <w:lang w:val="en-US" w:eastAsia="zh-CN"/>
              </w:rPr>
            </w:pPr>
          </w:p>
          <w:p w14:paraId="3720DA6A">
            <w:pPr>
              <w:pStyle w:val="5"/>
              <w:ind w:left="0" w:leftChars="0" w:firstLine="0" w:firstLineChars="0"/>
              <w:rPr>
                <w:lang w:val="en-US" w:eastAsia="zh-CN"/>
              </w:rPr>
            </w:pPr>
          </w:p>
          <w:p w14:paraId="1F8537A2">
            <w:pPr>
              <w:pStyle w:val="5"/>
              <w:ind w:left="0" w:leftChars="0" w:firstLine="0" w:firstLineChars="0"/>
              <w:rPr>
                <w:lang w:val="en-US" w:eastAsia="zh-CN"/>
              </w:rPr>
            </w:pPr>
          </w:p>
          <w:p w14:paraId="3A39A2D3">
            <w:pPr>
              <w:pStyle w:val="5"/>
              <w:ind w:left="0" w:leftChars="0" w:firstLine="0" w:firstLineChars="0"/>
              <w:rPr>
                <w:lang w:val="en-US" w:eastAsia="zh-CN"/>
              </w:rPr>
            </w:pPr>
          </w:p>
          <w:p w14:paraId="40371261">
            <w:pPr>
              <w:pStyle w:val="5"/>
              <w:ind w:left="0" w:leftChars="0" w:firstLine="0" w:firstLineChars="0"/>
              <w:rPr>
                <w:lang w:val="en-US" w:eastAsia="zh-CN"/>
              </w:rPr>
            </w:pPr>
          </w:p>
          <w:p w14:paraId="1DBA9AFA">
            <w:pPr>
              <w:pStyle w:val="5"/>
              <w:ind w:left="0" w:leftChars="0" w:firstLine="0" w:firstLineChars="0"/>
              <w:rPr>
                <w:lang w:val="en-US" w:eastAsia="zh-CN"/>
              </w:rPr>
            </w:pPr>
          </w:p>
          <w:p w14:paraId="6E77F436">
            <w:pPr>
              <w:pStyle w:val="5"/>
              <w:ind w:left="0" w:leftChars="0" w:firstLine="0" w:firstLineChars="0"/>
              <w:rPr>
                <w:lang w:val="en-US" w:eastAsia="zh-CN"/>
              </w:rPr>
            </w:pPr>
          </w:p>
          <w:p w14:paraId="1D4DA3D3">
            <w:pPr>
              <w:pStyle w:val="5"/>
              <w:ind w:left="0" w:leftChars="0" w:firstLine="0" w:firstLineChars="0"/>
              <w:rPr>
                <w:lang w:val="en-US" w:eastAsia="zh-CN"/>
              </w:rPr>
            </w:pPr>
          </w:p>
          <w:p w14:paraId="169433BB">
            <w:pPr>
              <w:pStyle w:val="5"/>
              <w:ind w:left="0" w:leftChars="0" w:firstLine="0" w:firstLineChars="0"/>
              <w:rPr>
                <w:lang w:val="en-US" w:eastAsia="zh-CN"/>
              </w:rPr>
            </w:pPr>
          </w:p>
          <w:p w14:paraId="1E20BE67">
            <w:pPr>
              <w:pStyle w:val="5"/>
              <w:ind w:left="0" w:leftChars="0" w:firstLine="0" w:firstLineChars="0"/>
              <w:rPr>
                <w:lang w:val="en-US" w:eastAsia="zh-CN"/>
              </w:rPr>
            </w:pPr>
          </w:p>
          <w:p w14:paraId="54D77E68">
            <w:pPr>
              <w:pStyle w:val="5"/>
              <w:ind w:left="0" w:leftChars="0" w:firstLine="0" w:firstLineChars="0"/>
              <w:rPr>
                <w:lang w:val="en-US" w:eastAsia="zh-CN"/>
              </w:rPr>
            </w:pPr>
          </w:p>
          <w:p w14:paraId="228EC6E6">
            <w:pPr>
              <w:pStyle w:val="5"/>
              <w:ind w:left="0" w:leftChars="0" w:firstLine="0" w:firstLineChars="0"/>
              <w:rPr>
                <w:lang w:val="en-US" w:eastAsia="zh-CN"/>
              </w:rPr>
            </w:pPr>
          </w:p>
          <w:p w14:paraId="1DD0BC14">
            <w:pPr>
              <w:pStyle w:val="5"/>
              <w:ind w:left="0" w:leftChars="0" w:firstLine="0" w:firstLineChars="0"/>
              <w:rPr>
                <w:lang w:val="en-US" w:eastAsia="zh-CN"/>
              </w:rPr>
            </w:pPr>
          </w:p>
        </w:tc>
      </w:tr>
    </w:tbl>
    <w:p w14:paraId="523B6743">
      <w:pPr>
        <w:spacing w:line="360" w:lineRule="auto"/>
        <w:outlineLvl w:val="0"/>
        <w:rPr>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p>
    <w:p w14:paraId="4BF55EE2">
      <w:pPr>
        <w:pStyle w:val="10"/>
        <w:jc w:val="center"/>
        <w:outlineLvl w:val="0"/>
        <w:rPr>
          <w:rFonts w:ascii="Times New Roman" w:hAnsi="Times New Roman"/>
          <w:snapToGrid w:val="0"/>
          <w:sz w:val="30"/>
          <w:szCs w:val="30"/>
        </w:rPr>
      </w:pPr>
      <w:r>
        <w:rPr>
          <w:rFonts w:ascii="Times New Roman" w:hAnsi="Times New Roman"/>
          <w:snapToGrid w:val="0"/>
          <w:sz w:val="30"/>
          <w:szCs w:val="30"/>
        </w:rPr>
        <w:t>二、建设项目工程分析</w:t>
      </w:r>
    </w:p>
    <w:tbl>
      <w:tblPr>
        <w:tblStyle w:val="1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634087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3" w:hRule="atLeast"/>
          <w:jc w:val="center"/>
        </w:trPr>
        <w:tc>
          <w:tcPr>
            <w:tcW w:w="823" w:type="dxa"/>
            <w:noWrap w:val="0"/>
            <w:vAlign w:val="center"/>
          </w:tcPr>
          <w:p w14:paraId="03EE07D0">
            <w:pPr>
              <w:pStyle w:val="10"/>
              <w:adjustRightInd w:val="0"/>
              <w:snapToGrid w:val="0"/>
              <w:spacing w:before="0" w:beforeAutospacing="0" w:after="0" w:afterAutospacing="0"/>
              <w:jc w:val="center"/>
              <w:rPr>
                <w:rFonts w:ascii="Times New Roman" w:hAnsi="Times New Roman"/>
                <w:sz w:val="21"/>
                <w:szCs w:val="21"/>
                <w:lang w:val="en-US" w:eastAsia="zh-CN"/>
              </w:rPr>
            </w:pPr>
            <w:r>
              <w:rPr>
                <w:rFonts w:ascii="Times New Roman" w:hAnsi="Times New Roman"/>
                <w:sz w:val="21"/>
                <w:szCs w:val="21"/>
                <w:lang w:val="en-US" w:eastAsia="zh-CN"/>
              </w:rPr>
              <w:t>建设内容</w:t>
            </w:r>
          </w:p>
        </w:tc>
        <w:tc>
          <w:tcPr>
            <w:tcW w:w="8161" w:type="dxa"/>
            <w:noWrap w:val="0"/>
            <w:vAlign w:val="top"/>
          </w:tcPr>
          <w:p w14:paraId="60A86AC7">
            <w:pPr>
              <w:autoSpaceDE w:val="0"/>
              <w:autoSpaceDN w:val="0"/>
              <w:adjustRightInd w:val="0"/>
              <w:snapToGrid w:val="0"/>
              <w:spacing w:line="360" w:lineRule="auto"/>
              <w:jc w:val="left"/>
              <w:rPr>
                <w:sz w:val="24"/>
              </w:rPr>
            </w:pPr>
            <w:r>
              <w:rPr>
                <w:b/>
                <w:sz w:val="24"/>
              </w:rPr>
              <w:t>1.项目建设情</w:t>
            </w:r>
            <w:r>
              <w:rPr>
                <w:b/>
                <w:bCs/>
                <w:sz w:val="24"/>
              </w:rPr>
              <w:t>况</w:t>
            </w:r>
          </w:p>
          <w:p w14:paraId="22A1C1CA">
            <w:pPr>
              <w:autoSpaceDE w:val="0"/>
              <w:autoSpaceDN w:val="0"/>
              <w:adjustRightInd w:val="0"/>
              <w:snapToGrid w:val="0"/>
              <w:spacing w:line="360" w:lineRule="auto"/>
              <w:ind w:firstLine="480" w:firstLineChars="200"/>
              <w:jc w:val="left"/>
              <w:rPr>
                <w:sz w:val="24"/>
              </w:rPr>
            </w:pPr>
            <w:r>
              <w:rPr>
                <w:sz w:val="24"/>
              </w:rPr>
              <w:t>项目为预拌混凝土搅拌站建设项目，年生产预拌混凝土40万立方</w:t>
            </w:r>
            <w:r>
              <w:rPr>
                <w:rFonts w:hint="eastAsia"/>
                <w:sz w:val="24"/>
                <w:lang w:val="en-US" w:eastAsia="zh-CN"/>
              </w:rPr>
              <w:t>米</w:t>
            </w:r>
            <w:r>
              <w:rPr>
                <w:sz w:val="24"/>
              </w:rPr>
              <w:t>，项目总占地为25527.62m</w:t>
            </w:r>
            <w:r>
              <w:rPr>
                <w:sz w:val="24"/>
                <w:vertAlign w:val="superscript"/>
              </w:rPr>
              <w:t>2</w:t>
            </w:r>
            <w:r>
              <w:rPr>
                <w:sz w:val="24"/>
              </w:rPr>
              <w:t>，主要建设主厂房1座、储料棚2座、库房1座、配料仓8个、外加剂配料仓4个以及生活办公区等配套设施。</w:t>
            </w:r>
          </w:p>
          <w:p w14:paraId="435C4111">
            <w:pPr>
              <w:autoSpaceDE w:val="0"/>
              <w:autoSpaceDN w:val="0"/>
              <w:adjustRightInd w:val="0"/>
              <w:snapToGrid w:val="0"/>
              <w:spacing w:line="360" w:lineRule="auto"/>
              <w:ind w:firstLine="482" w:firstLineChars="200"/>
              <w:jc w:val="center"/>
              <w:rPr>
                <w:b/>
                <w:bCs/>
                <w:sz w:val="24"/>
                <w:lang w:val="zh-CN"/>
              </w:rPr>
            </w:pPr>
            <w:r>
              <w:rPr>
                <w:b/>
                <w:bCs/>
                <w:sz w:val="24"/>
                <w:lang w:val="zh-CN"/>
              </w:rPr>
              <w:t>表</w:t>
            </w:r>
            <w:r>
              <w:rPr>
                <w:b/>
                <w:bCs/>
                <w:sz w:val="24"/>
              </w:rPr>
              <w:t>2-1</w:t>
            </w:r>
            <w:r>
              <w:rPr>
                <w:b/>
                <w:bCs/>
                <w:sz w:val="24"/>
                <w:lang w:val="zh-CN"/>
              </w:rPr>
              <w:t xml:space="preserve">   项目组成一览表</w:t>
            </w:r>
          </w:p>
          <w:tbl>
            <w:tblPr>
              <w:tblStyle w:val="11"/>
              <w:tblW w:w="4911"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4"/>
              <w:gridCol w:w="904"/>
              <w:gridCol w:w="5530"/>
              <w:gridCol w:w="606"/>
            </w:tblGrid>
            <w:tr w14:paraId="763644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90" w:type="pct"/>
                  <w:noWrap w:val="0"/>
                  <w:vAlign w:val="center"/>
                </w:tcPr>
                <w:p w14:paraId="7C69F256">
                  <w:pPr>
                    <w:overflowPunct w:val="0"/>
                    <w:adjustRightInd w:val="0"/>
                    <w:snapToGrid w:val="0"/>
                    <w:jc w:val="center"/>
                    <w:rPr>
                      <w:b/>
                      <w:szCs w:val="21"/>
                    </w:rPr>
                  </w:pPr>
                  <w:r>
                    <w:rPr>
                      <w:b/>
                      <w:szCs w:val="21"/>
                    </w:rPr>
                    <w:t>工程</w:t>
                  </w:r>
                </w:p>
                <w:p w14:paraId="3050B67B">
                  <w:pPr>
                    <w:overflowPunct w:val="0"/>
                    <w:adjustRightInd w:val="0"/>
                    <w:snapToGrid w:val="0"/>
                    <w:jc w:val="center"/>
                    <w:rPr>
                      <w:b/>
                      <w:szCs w:val="21"/>
                    </w:rPr>
                  </w:pPr>
                  <w:r>
                    <w:rPr>
                      <w:b/>
                      <w:szCs w:val="21"/>
                    </w:rPr>
                    <w:t>类别</w:t>
                  </w:r>
                </w:p>
              </w:tc>
              <w:tc>
                <w:tcPr>
                  <w:tcW w:w="579" w:type="pct"/>
                  <w:noWrap w:val="0"/>
                  <w:vAlign w:val="center"/>
                </w:tcPr>
                <w:p w14:paraId="4E6EB178">
                  <w:pPr>
                    <w:overflowPunct w:val="0"/>
                    <w:adjustRightInd w:val="0"/>
                    <w:snapToGrid w:val="0"/>
                    <w:jc w:val="center"/>
                    <w:rPr>
                      <w:b/>
                      <w:szCs w:val="21"/>
                    </w:rPr>
                  </w:pPr>
                  <w:r>
                    <w:rPr>
                      <w:b/>
                      <w:szCs w:val="21"/>
                    </w:rPr>
                    <w:t>工程</w:t>
                  </w:r>
                </w:p>
                <w:p w14:paraId="411D5CF1">
                  <w:pPr>
                    <w:overflowPunct w:val="0"/>
                    <w:adjustRightInd w:val="0"/>
                    <w:snapToGrid w:val="0"/>
                    <w:jc w:val="center"/>
                    <w:rPr>
                      <w:b/>
                      <w:szCs w:val="21"/>
                    </w:rPr>
                  </w:pPr>
                </w:p>
                <w:p w14:paraId="3DE1BA92">
                  <w:pPr>
                    <w:overflowPunct w:val="0"/>
                    <w:adjustRightInd w:val="0"/>
                    <w:snapToGrid w:val="0"/>
                    <w:jc w:val="center"/>
                    <w:rPr>
                      <w:b/>
                      <w:szCs w:val="21"/>
                    </w:rPr>
                  </w:pPr>
                  <w:r>
                    <w:rPr>
                      <w:b/>
                      <w:szCs w:val="21"/>
                    </w:rPr>
                    <w:t>名称</w:t>
                  </w:r>
                </w:p>
              </w:tc>
              <w:tc>
                <w:tcPr>
                  <w:tcW w:w="3542" w:type="pct"/>
                  <w:noWrap w:val="0"/>
                  <w:vAlign w:val="center"/>
                </w:tcPr>
                <w:p w14:paraId="5DBF9787">
                  <w:pPr>
                    <w:overflowPunct w:val="0"/>
                    <w:adjustRightInd w:val="0"/>
                    <w:snapToGrid w:val="0"/>
                    <w:jc w:val="center"/>
                    <w:rPr>
                      <w:b/>
                      <w:szCs w:val="21"/>
                    </w:rPr>
                  </w:pPr>
                  <w:r>
                    <w:rPr>
                      <w:b/>
                      <w:szCs w:val="21"/>
                    </w:rPr>
                    <w:t>主要建设内容</w:t>
                  </w:r>
                </w:p>
              </w:tc>
              <w:tc>
                <w:tcPr>
                  <w:tcW w:w="388" w:type="pct"/>
                  <w:noWrap w:val="0"/>
                  <w:vAlign w:val="center"/>
                </w:tcPr>
                <w:p w14:paraId="738425E7">
                  <w:pPr>
                    <w:overflowPunct w:val="0"/>
                    <w:adjustRightInd w:val="0"/>
                    <w:snapToGrid w:val="0"/>
                    <w:jc w:val="center"/>
                    <w:rPr>
                      <w:b/>
                      <w:szCs w:val="21"/>
                    </w:rPr>
                  </w:pPr>
                  <w:r>
                    <w:rPr>
                      <w:b/>
                      <w:szCs w:val="21"/>
                    </w:rPr>
                    <w:t>备注</w:t>
                  </w:r>
                </w:p>
              </w:tc>
            </w:tr>
            <w:tr w14:paraId="735119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8" w:hRule="atLeast"/>
                <w:jc w:val="center"/>
              </w:trPr>
              <w:tc>
                <w:tcPr>
                  <w:tcW w:w="490" w:type="pct"/>
                  <w:vMerge w:val="restart"/>
                  <w:noWrap w:val="0"/>
                  <w:vAlign w:val="center"/>
                </w:tcPr>
                <w:p w14:paraId="74BD8C6D">
                  <w:pPr>
                    <w:overflowPunct w:val="0"/>
                    <w:adjustRightInd w:val="0"/>
                    <w:snapToGrid w:val="0"/>
                    <w:jc w:val="center"/>
                    <w:rPr>
                      <w:bCs/>
                      <w:szCs w:val="21"/>
                    </w:rPr>
                  </w:pPr>
                  <w:r>
                    <w:rPr>
                      <w:bCs/>
                      <w:szCs w:val="21"/>
                    </w:rPr>
                    <w:t>主体</w:t>
                  </w:r>
                </w:p>
                <w:p w14:paraId="4E81DEC3">
                  <w:pPr>
                    <w:overflowPunct w:val="0"/>
                    <w:adjustRightInd w:val="0"/>
                    <w:snapToGrid w:val="0"/>
                    <w:jc w:val="center"/>
                    <w:rPr>
                      <w:bCs/>
                      <w:szCs w:val="21"/>
                    </w:rPr>
                  </w:pPr>
                  <w:r>
                    <w:rPr>
                      <w:bCs/>
                      <w:szCs w:val="21"/>
                    </w:rPr>
                    <w:t>工程</w:t>
                  </w:r>
                </w:p>
              </w:tc>
              <w:tc>
                <w:tcPr>
                  <w:tcW w:w="579" w:type="pct"/>
                  <w:noWrap w:val="0"/>
                  <w:vAlign w:val="center"/>
                </w:tcPr>
                <w:p w14:paraId="5BF0AD45">
                  <w:pPr>
                    <w:overflowPunct w:val="0"/>
                    <w:adjustRightInd w:val="0"/>
                    <w:snapToGrid w:val="0"/>
                    <w:jc w:val="center"/>
                    <w:rPr>
                      <w:bCs/>
                      <w:szCs w:val="21"/>
                    </w:rPr>
                  </w:pPr>
                  <w:r>
                    <w:rPr>
                      <w:bCs/>
                      <w:szCs w:val="21"/>
                    </w:rPr>
                    <w:t>预拌混凝土生产线</w:t>
                  </w:r>
                </w:p>
              </w:tc>
              <w:tc>
                <w:tcPr>
                  <w:tcW w:w="3542" w:type="pct"/>
                  <w:noWrap w:val="0"/>
                  <w:vAlign w:val="center"/>
                </w:tcPr>
                <w:p w14:paraId="6C70FF2A">
                  <w:pPr>
                    <w:overflowPunct w:val="0"/>
                    <w:adjustRightInd w:val="0"/>
                    <w:snapToGrid w:val="0"/>
                    <w:jc w:val="left"/>
                    <w:rPr>
                      <w:bCs/>
                      <w:szCs w:val="21"/>
                    </w:rPr>
                  </w:pPr>
                  <w:r>
                    <w:rPr>
                      <w:bCs/>
                      <w:szCs w:val="21"/>
                    </w:rPr>
                    <w:t>厂中心设全封闭主厂房，1层轻钢结构，面积为702m</w:t>
                  </w:r>
                  <w:r>
                    <w:rPr>
                      <w:bCs/>
                      <w:szCs w:val="21"/>
                      <w:vertAlign w:val="superscript"/>
                    </w:rPr>
                    <w:t>2</w:t>
                  </w:r>
                  <w:r>
                    <w:rPr>
                      <w:bCs/>
                      <w:szCs w:val="21"/>
                    </w:rPr>
                    <w:t>（26×27m），高10m，厂房内布置HZS180型号混凝土搅拌生产线2条，厂房西侧与储料棚设2条45m全封闭输送带连接。</w:t>
                  </w:r>
                </w:p>
              </w:tc>
              <w:tc>
                <w:tcPr>
                  <w:tcW w:w="388" w:type="pct"/>
                  <w:noWrap w:val="0"/>
                  <w:vAlign w:val="center"/>
                </w:tcPr>
                <w:p w14:paraId="40E5A652">
                  <w:pPr>
                    <w:overflowPunct w:val="0"/>
                    <w:adjustRightInd w:val="0"/>
                    <w:snapToGrid w:val="0"/>
                    <w:jc w:val="center"/>
                    <w:rPr>
                      <w:bCs/>
                      <w:szCs w:val="21"/>
                    </w:rPr>
                  </w:pPr>
                  <w:r>
                    <w:rPr>
                      <w:bCs/>
                      <w:szCs w:val="21"/>
                    </w:rPr>
                    <w:t>新建</w:t>
                  </w:r>
                </w:p>
              </w:tc>
            </w:tr>
            <w:tr w14:paraId="4637D7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8" w:hRule="atLeast"/>
                <w:jc w:val="center"/>
              </w:trPr>
              <w:tc>
                <w:tcPr>
                  <w:tcW w:w="490" w:type="pct"/>
                  <w:vMerge w:val="continue"/>
                  <w:noWrap w:val="0"/>
                  <w:vAlign w:val="center"/>
                </w:tcPr>
                <w:p w14:paraId="77E60006">
                  <w:pPr>
                    <w:overflowPunct w:val="0"/>
                    <w:adjustRightInd w:val="0"/>
                    <w:snapToGrid w:val="0"/>
                    <w:jc w:val="center"/>
                  </w:pPr>
                </w:p>
              </w:tc>
              <w:tc>
                <w:tcPr>
                  <w:tcW w:w="579" w:type="pct"/>
                  <w:noWrap w:val="0"/>
                  <w:vAlign w:val="center"/>
                </w:tcPr>
                <w:p w14:paraId="26BAFCC0">
                  <w:pPr>
                    <w:overflowPunct w:val="0"/>
                    <w:adjustRightInd w:val="0"/>
                    <w:snapToGrid w:val="0"/>
                    <w:jc w:val="center"/>
                    <w:rPr>
                      <w:bCs/>
                      <w:szCs w:val="21"/>
                    </w:rPr>
                  </w:pPr>
                  <w:r>
                    <w:rPr>
                      <w:bCs/>
                      <w:szCs w:val="21"/>
                    </w:rPr>
                    <w:t>机制砂生产线</w:t>
                  </w:r>
                </w:p>
              </w:tc>
              <w:tc>
                <w:tcPr>
                  <w:tcW w:w="3542" w:type="pct"/>
                  <w:noWrap w:val="0"/>
                  <w:vAlign w:val="center"/>
                </w:tcPr>
                <w:p w14:paraId="02845395">
                  <w:pPr>
                    <w:overflowPunct w:val="0"/>
                    <w:adjustRightInd w:val="0"/>
                    <w:snapToGrid w:val="0"/>
                    <w:jc w:val="left"/>
                    <w:rPr>
                      <w:bCs/>
                      <w:szCs w:val="21"/>
                    </w:rPr>
                  </w:pPr>
                  <w:r>
                    <w:rPr>
                      <w:bCs/>
                      <w:szCs w:val="21"/>
                    </w:rPr>
                    <w:t>储料棚内设机制砂破碎机1台、振动筛1台，用于生产本项目所需砂子。</w:t>
                  </w:r>
                </w:p>
              </w:tc>
              <w:tc>
                <w:tcPr>
                  <w:tcW w:w="388" w:type="pct"/>
                  <w:noWrap w:val="0"/>
                  <w:vAlign w:val="center"/>
                </w:tcPr>
                <w:p w14:paraId="1D2B2F78">
                  <w:pPr>
                    <w:overflowPunct w:val="0"/>
                    <w:adjustRightInd w:val="0"/>
                    <w:snapToGrid w:val="0"/>
                    <w:jc w:val="center"/>
                    <w:rPr>
                      <w:bCs/>
                      <w:szCs w:val="21"/>
                    </w:rPr>
                  </w:pPr>
                  <w:r>
                    <w:rPr>
                      <w:bCs/>
                      <w:szCs w:val="21"/>
                    </w:rPr>
                    <w:t>新建</w:t>
                  </w:r>
                </w:p>
              </w:tc>
            </w:tr>
            <w:tr w14:paraId="6C49AB4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8" w:hRule="atLeast"/>
                <w:jc w:val="center"/>
              </w:trPr>
              <w:tc>
                <w:tcPr>
                  <w:tcW w:w="490" w:type="pct"/>
                  <w:vMerge w:val="restart"/>
                  <w:noWrap w:val="0"/>
                  <w:vAlign w:val="center"/>
                </w:tcPr>
                <w:p w14:paraId="6D605322">
                  <w:pPr>
                    <w:overflowPunct w:val="0"/>
                    <w:adjustRightInd w:val="0"/>
                    <w:snapToGrid w:val="0"/>
                    <w:jc w:val="center"/>
                    <w:rPr>
                      <w:bCs/>
                      <w:szCs w:val="21"/>
                    </w:rPr>
                  </w:pPr>
                  <w:r>
                    <w:rPr>
                      <w:bCs/>
                      <w:szCs w:val="21"/>
                    </w:rPr>
                    <w:t>储运工程</w:t>
                  </w:r>
                </w:p>
              </w:tc>
              <w:tc>
                <w:tcPr>
                  <w:tcW w:w="579" w:type="pct"/>
                  <w:vMerge w:val="restart"/>
                  <w:noWrap w:val="0"/>
                  <w:vAlign w:val="center"/>
                </w:tcPr>
                <w:p w14:paraId="3C7CC92E">
                  <w:pPr>
                    <w:overflowPunct w:val="0"/>
                    <w:adjustRightInd w:val="0"/>
                    <w:snapToGrid w:val="0"/>
                    <w:jc w:val="center"/>
                    <w:rPr>
                      <w:bCs/>
                      <w:szCs w:val="21"/>
                    </w:rPr>
                  </w:pPr>
                  <w:r>
                    <w:rPr>
                      <w:bCs/>
                      <w:szCs w:val="21"/>
                    </w:rPr>
                    <w:t>储料棚</w:t>
                  </w:r>
                </w:p>
              </w:tc>
              <w:tc>
                <w:tcPr>
                  <w:tcW w:w="3542" w:type="pct"/>
                  <w:vMerge w:val="restart"/>
                  <w:noWrap w:val="0"/>
                  <w:vAlign w:val="center"/>
                </w:tcPr>
                <w:p w14:paraId="5B19F9BC">
                  <w:pPr>
                    <w:jc w:val="left"/>
                    <w:rPr>
                      <w:bCs/>
                      <w:szCs w:val="21"/>
                    </w:rPr>
                  </w:pPr>
                  <w:r>
                    <w:rPr>
                      <w:spacing w:val="-2"/>
                      <w:szCs w:val="21"/>
                    </w:rPr>
                    <w:t>主厂房西侧设两间储料棚，</w:t>
                  </w:r>
                  <w:r>
                    <w:rPr>
                      <w:bCs/>
                      <w:szCs w:val="21"/>
                    </w:rPr>
                    <w:t>1层轻钢结构，</w:t>
                  </w:r>
                  <w:r>
                    <w:rPr>
                      <w:spacing w:val="-2"/>
                      <w:szCs w:val="21"/>
                    </w:rPr>
                    <w:t>储料棚A面积为3150m</w:t>
                  </w:r>
                  <w:r>
                    <w:rPr>
                      <w:spacing w:val="-2"/>
                      <w:szCs w:val="21"/>
                      <w:vertAlign w:val="superscript"/>
                    </w:rPr>
                    <w:t>2</w:t>
                  </w:r>
                  <w:r>
                    <w:rPr>
                      <w:spacing w:val="-2"/>
                      <w:szCs w:val="21"/>
                    </w:rPr>
                    <w:t>，高10m，主要储存待破碎废石，并设1台机制砂破机及1台振动筛，储料棚B面积为3150m，高10m，主要存放本项目所需砂石料，并设8个砂石配料仓，单个仓容积为20m</w:t>
                  </w:r>
                  <w:r>
                    <w:rPr>
                      <w:spacing w:val="-2"/>
                      <w:szCs w:val="21"/>
                      <w:vertAlign w:val="superscript"/>
                    </w:rPr>
                    <w:t>3</w:t>
                  </w:r>
                  <w:r>
                    <w:rPr>
                      <w:spacing w:val="-2"/>
                      <w:szCs w:val="21"/>
                    </w:rPr>
                    <w:t>；设4个外加剂配料仓，单个配料仓容积为2m</w:t>
                  </w:r>
                  <w:r>
                    <w:rPr>
                      <w:spacing w:val="-2"/>
                      <w:szCs w:val="21"/>
                      <w:vertAlign w:val="superscript"/>
                    </w:rPr>
                    <w:t>3</w:t>
                  </w:r>
                  <w:r>
                    <w:rPr>
                      <w:spacing w:val="-2"/>
                      <w:szCs w:val="21"/>
                    </w:rPr>
                    <w:t>（干湿外加剂各2个）；储料棚外设水泥、粉煤灰筒仓各4个，单个筒仓容积200m</w:t>
                  </w:r>
                  <w:r>
                    <w:rPr>
                      <w:spacing w:val="-2"/>
                      <w:szCs w:val="21"/>
                      <w:vertAlign w:val="superscript"/>
                    </w:rPr>
                    <w:t>3</w:t>
                  </w:r>
                  <w:r>
                    <w:rPr>
                      <w:spacing w:val="-2"/>
                      <w:szCs w:val="21"/>
                    </w:rPr>
                    <w:t>。</w:t>
                  </w:r>
                </w:p>
              </w:tc>
              <w:tc>
                <w:tcPr>
                  <w:tcW w:w="388" w:type="pct"/>
                  <w:noWrap w:val="0"/>
                  <w:vAlign w:val="center"/>
                </w:tcPr>
                <w:p w14:paraId="493D157A">
                  <w:pPr>
                    <w:overflowPunct w:val="0"/>
                    <w:adjustRightInd w:val="0"/>
                    <w:snapToGrid w:val="0"/>
                    <w:jc w:val="center"/>
                    <w:rPr>
                      <w:bCs/>
                      <w:szCs w:val="21"/>
                    </w:rPr>
                  </w:pPr>
                  <w:r>
                    <w:rPr>
                      <w:bCs/>
                      <w:szCs w:val="21"/>
                    </w:rPr>
                    <w:t>新建</w:t>
                  </w:r>
                </w:p>
              </w:tc>
            </w:tr>
            <w:tr w14:paraId="0CF201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8" w:hRule="atLeast"/>
                <w:jc w:val="center"/>
              </w:trPr>
              <w:tc>
                <w:tcPr>
                  <w:tcW w:w="490" w:type="pct"/>
                  <w:vMerge w:val="continue"/>
                  <w:noWrap w:val="0"/>
                  <w:vAlign w:val="center"/>
                </w:tcPr>
                <w:p w14:paraId="6D94EAA7">
                  <w:pPr>
                    <w:overflowPunct w:val="0"/>
                    <w:adjustRightInd w:val="0"/>
                    <w:snapToGrid w:val="0"/>
                    <w:jc w:val="center"/>
                  </w:pPr>
                </w:p>
              </w:tc>
              <w:tc>
                <w:tcPr>
                  <w:tcW w:w="579" w:type="pct"/>
                  <w:vMerge w:val="continue"/>
                  <w:noWrap w:val="0"/>
                  <w:vAlign w:val="center"/>
                </w:tcPr>
                <w:p w14:paraId="4C1D77B1">
                  <w:pPr>
                    <w:overflowPunct w:val="0"/>
                    <w:adjustRightInd w:val="0"/>
                    <w:snapToGrid w:val="0"/>
                    <w:jc w:val="center"/>
                    <w:rPr>
                      <w:bCs/>
                      <w:szCs w:val="21"/>
                    </w:rPr>
                  </w:pPr>
                </w:p>
              </w:tc>
              <w:tc>
                <w:tcPr>
                  <w:tcW w:w="3542" w:type="pct"/>
                  <w:vMerge w:val="continue"/>
                  <w:noWrap w:val="0"/>
                  <w:vAlign w:val="center"/>
                </w:tcPr>
                <w:p w14:paraId="5D50A74B">
                  <w:pPr>
                    <w:jc w:val="left"/>
                    <w:rPr>
                      <w:bCs/>
                      <w:szCs w:val="21"/>
                    </w:rPr>
                  </w:pPr>
                </w:p>
              </w:tc>
              <w:tc>
                <w:tcPr>
                  <w:tcW w:w="388" w:type="pct"/>
                  <w:noWrap w:val="0"/>
                  <w:vAlign w:val="center"/>
                </w:tcPr>
                <w:p w14:paraId="6B3B3774">
                  <w:pPr>
                    <w:overflowPunct w:val="0"/>
                    <w:adjustRightInd w:val="0"/>
                    <w:snapToGrid w:val="0"/>
                    <w:jc w:val="center"/>
                    <w:rPr>
                      <w:bCs/>
                      <w:szCs w:val="21"/>
                    </w:rPr>
                  </w:pPr>
                  <w:r>
                    <w:rPr>
                      <w:bCs/>
                      <w:szCs w:val="21"/>
                    </w:rPr>
                    <w:t>新建</w:t>
                  </w:r>
                </w:p>
              </w:tc>
            </w:tr>
            <w:tr w14:paraId="0D847C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8" w:hRule="atLeast"/>
                <w:jc w:val="center"/>
              </w:trPr>
              <w:tc>
                <w:tcPr>
                  <w:tcW w:w="490" w:type="pct"/>
                  <w:vMerge w:val="continue"/>
                  <w:noWrap w:val="0"/>
                  <w:vAlign w:val="center"/>
                </w:tcPr>
                <w:p w14:paraId="394A4F48">
                  <w:pPr>
                    <w:overflowPunct w:val="0"/>
                    <w:adjustRightInd w:val="0"/>
                    <w:snapToGrid w:val="0"/>
                    <w:jc w:val="center"/>
                  </w:pPr>
                </w:p>
              </w:tc>
              <w:tc>
                <w:tcPr>
                  <w:tcW w:w="579" w:type="pct"/>
                  <w:noWrap w:val="0"/>
                  <w:vAlign w:val="center"/>
                </w:tcPr>
                <w:p w14:paraId="269EB955">
                  <w:pPr>
                    <w:overflowPunct w:val="0"/>
                    <w:adjustRightInd w:val="0"/>
                    <w:snapToGrid w:val="0"/>
                    <w:jc w:val="center"/>
                    <w:rPr>
                      <w:bCs/>
                      <w:szCs w:val="21"/>
                    </w:rPr>
                  </w:pPr>
                  <w:r>
                    <w:rPr>
                      <w:bCs/>
                      <w:szCs w:val="21"/>
                    </w:rPr>
                    <w:t>沉淀池</w:t>
                  </w:r>
                </w:p>
              </w:tc>
              <w:tc>
                <w:tcPr>
                  <w:tcW w:w="3542" w:type="pct"/>
                  <w:noWrap w:val="0"/>
                  <w:vAlign w:val="center"/>
                </w:tcPr>
                <w:p w14:paraId="6A790A2D">
                  <w:pPr>
                    <w:jc w:val="left"/>
                    <w:rPr>
                      <w:spacing w:val="-2"/>
                      <w:szCs w:val="21"/>
                    </w:rPr>
                  </w:pPr>
                  <w:r>
                    <w:rPr>
                      <w:spacing w:val="-2"/>
                      <w:szCs w:val="21"/>
                    </w:rPr>
                    <w:t>主厂房南侧设容积为144m</w:t>
                  </w:r>
                  <w:r>
                    <w:rPr>
                      <w:spacing w:val="-2"/>
                      <w:szCs w:val="21"/>
                      <w:vertAlign w:val="superscript"/>
                    </w:rPr>
                    <w:t>3</w:t>
                  </w:r>
                  <w:r>
                    <w:rPr>
                      <w:spacing w:val="-2"/>
                      <w:szCs w:val="21"/>
                    </w:rPr>
                    <w:t>（4m×6m×6m）沉淀池，为地下结构，用于生产沉淀生产废水并循环利用。</w:t>
                  </w:r>
                </w:p>
              </w:tc>
              <w:tc>
                <w:tcPr>
                  <w:tcW w:w="388" w:type="pct"/>
                  <w:noWrap w:val="0"/>
                  <w:vAlign w:val="center"/>
                </w:tcPr>
                <w:p w14:paraId="097A1126">
                  <w:pPr>
                    <w:overflowPunct w:val="0"/>
                    <w:adjustRightInd w:val="0"/>
                    <w:snapToGrid w:val="0"/>
                    <w:jc w:val="center"/>
                    <w:rPr>
                      <w:bCs/>
                      <w:szCs w:val="21"/>
                    </w:rPr>
                  </w:pPr>
                  <w:r>
                    <w:rPr>
                      <w:bCs/>
                      <w:szCs w:val="21"/>
                    </w:rPr>
                    <w:t>新建</w:t>
                  </w:r>
                </w:p>
              </w:tc>
            </w:tr>
            <w:tr w14:paraId="72EC30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490" w:type="pct"/>
                  <w:vMerge w:val="continue"/>
                  <w:noWrap w:val="0"/>
                  <w:vAlign w:val="center"/>
                </w:tcPr>
                <w:p w14:paraId="06F800DE">
                  <w:pPr>
                    <w:overflowPunct w:val="0"/>
                    <w:adjustRightInd w:val="0"/>
                    <w:snapToGrid w:val="0"/>
                    <w:jc w:val="center"/>
                  </w:pPr>
                </w:p>
              </w:tc>
              <w:tc>
                <w:tcPr>
                  <w:tcW w:w="579" w:type="pct"/>
                  <w:noWrap w:val="0"/>
                  <w:vAlign w:val="center"/>
                </w:tcPr>
                <w:p w14:paraId="01D3C6C1">
                  <w:pPr>
                    <w:overflowPunct w:val="0"/>
                    <w:adjustRightInd w:val="0"/>
                    <w:snapToGrid w:val="0"/>
                    <w:jc w:val="center"/>
                    <w:rPr>
                      <w:bCs/>
                      <w:szCs w:val="21"/>
                    </w:rPr>
                  </w:pPr>
                  <w:r>
                    <w:rPr>
                      <w:bCs/>
                      <w:szCs w:val="21"/>
                    </w:rPr>
                    <w:t>库房</w:t>
                  </w:r>
                </w:p>
              </w:tc>
              <w:tc>
                <w:tcPr>
                  <w:tcW w:w="3542" w:type="pct"/>
                  <w:noWrap w:val="0"/>
                  <w:vAlign w:val="center"/>
                </w:tcPr>
                <w:p w14:paraId="60AB68E2">
                  <w:pPr>
                    <w:jc w:val="left"/>
                    <w:rPr>
                      <w:spacing w:val="-2"/>
                      <w:szCs w:val="21"/>
                    </w:rPr>
                  </w:pPr>
                  <w:r>
                    <w:rPr>
                      <w:spacing w:val="-2"/>
                      <w:szCs w:val="21"/>
                    </w:rPr>
                    <w:t>主厂房东侧设面积为2160m</w:t>
                  </w:r>
                  <w:r>
                    <w:rPr>
                      <w:spacing w:val="-2"/>
                      <w:szCs w:val="21"/>
                      <w:vertAlign w:val="superscript"/>
                    </w:rPr>
                    <w:t>2</w:t>
                  </w:r>
                  <w:r>
                    <w:rPr>
                      <w:spacing w:val="-2"/>
                      <w:szCs w:val="21"/>
                    </w:rPr>
                    <w:t>、高10m的库房一间，</w:t>
                  </w:r>
                  <w:r>
                    <w:rPr>
                      <w:bCs/>
                      <w:szCs w:val="21"/>
                    </w:rPr>
                    <w:t>1层轻钢结构，</w:t>
                  </w:r>
                  <w:r>
                    <w:rPr>
                      <w:spacing w:val="-2"/>
                      <w:szCs w:val="21"/>
                    </w:rPr>
                    <w:t>用于存放减水剂等外加剂。</w:t>
                  </w:r>
                </w:p>
              </w:tc>
              <w:tc>
                <w:tcPr>
                  <w:tcW w:w="388" w:type="pct"/>
                  <w:noWrap w:val="0"/>
                  <w:vAlign w:val="center"/>
                </w:tcPr>
                <w:p w14:paraId="4B9DF07C">
                  <w:pPr>
                    <w:overflowPunct w:val="0"/>
                    <w:adjustRightInd w:val="0"/>
                    <w:snapToGrid w:val="0"/>
                    <w:jc w:val="center"/>
                    <w:rPr>
                      <w:bCs/>
                      <w:szCs w:val="21"/>
                    </w:rPr>
                  </w:pPr>
                  <w:r>
                    <w:rPr>
                      <w:bCs/>
                      <w:szCs w:val="21"/>
                    </w:rPr>
                    <w:t>新建</w:t>
                  </w:r>
                </w:p>
              </w:tc>
            </w:tr>
            <w:tr w14:paraId="0EA5EC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07" w:hRule="atLeast"/>
                <w:jc w:val="center"/>
              </w:trPr>
              <w:tc>
                <w:tcPr>
                  <w:tcW w:w="490" w:type="pct"/>
                  <w:vMerge w:val="continue"/>
                  <w:noWrap w:val="0"/>
                  <w:vAlign w:val="center"/>
                </w:tcPr>
                <w:p w14:paraId="03150F25">
                  <w:pPr>
                    <w:overflowPunct w:val="0"/>
                    <w:adjustRightInd w:val="0"/>
                    <w:snapToGrid w:val="0"/>
                    <w:jc w:val="center"/>
                  </w:pPr>
                </w:p>
              </w:tc>
              <w:tc>
                <w:tcPr>
                  <w:tcW w:w="579" w:type="pct"/>
                  <w:noWrap w:val="0"/>
                  <w:vAlign w:val="center"/>
                </w:tcPr>
                <w:p w14:paraId="4C72A2C9">
                  <w:pPr>
                    <w:overflowPunct w:val="0"/>
                    <w:adjustRightInd w:val="0"/>
                    <w:snapToGrid w:val="0"/>
                    <w:jc w:val="center"/>
                    <w:rPr>
                      <w:bCs/>
                      <w:szCs w:val="21"/>
                    </w:rPr>
                  </w:pPr>
                  <w:r>
                    <w:rPr>
                      <w:bCs/>
                      <w:szCs w:val="21"/>
                    </w:rPr>
                    <w:t>危废库</w:t>
                  </w:r>
                </w:p>
              </w:tc>
              <w:tc>
                <w:tcPr>
                  <w:tcW w:w="3542" w:type="pct"/>
                  <w:noWrap w:val="0"/>
                  <w:vAlign w:val="center"/>
                </w:tcPr>
                <w:p w14:paraId="0839823C">
                  <w:pPr>
                    <w:jc w:val="left"/>
                    <w:rPr>
                      <w:spacing w:val="-2"/>
                      <w:szCs w:val="21"/>
                    </w:rPr>
                  </w:pPr>
                  <w:r>
                    <w:rPr>
                      <w:spacing w:val="-2"/>
                      <w:szCs w:val="21"/>
                    </w:rPr>
                    <w:t>位于库房内，用于存放项目产生的废矿物油和废矿物油桶。占地30m</w:t>
                  </w:r>
                  <w:r>
                    <w:rPr>
                      <w:spacing w:val="-2"/>
                      <w:szCs w:val="21"/>
                      <w:vertAlign w:val="superscript"/>
                    </w:rPr>
                    <w:t>2</w:t>
                  </w:r>
                  <w:r>
                    <w:rPr>
                      <w:spacing w:val="-2"/>
                      <w:szCs w:val="21"/>
                    </w:rPr>
                    <w:t>，设独立隔断，隔断沿四周设导流槽并在东北角设0.1m</w:t>
                  </w:r>
                  <w:r>
                    <w:rPr>
                      <w:spacing w:val="-2"/>
                      <w:szCs w:val="21"/>
                      <w:vertAlign w:val="superscript"/>
                    </w:rPr>
                    <w:t>3</w:t>
                  </w:r>
                  <w:r>
                    <w:rPr>
                      <w:spacing w:val="-2"/>
                      <w:szCs w:val="21"/>
                    </w:rPr>
                    <w:t>集液池，</w:t>
                  </w:r>
                </w:p>
              </w:tc>
              <w:tc>
                <w:tcPr>
                  <w:tcW w:w="388" w:type="pct"/>
                  <w:noWrap w:val="0"/>
                  <w:vAlign w:val="center"/>
                </w:tcPr>
                <w:p w14:paraId="7B3F6EEE">
                  <w:pPr>
                    <w:overflowPunct w:val="0"/>
                    <w:adjustRightInd w:val="0"/>
                    <w:snapToGrid w:val="0"/>
                    <w:jc w:val="center"/>
                    <w:rPr>
                      <w:bCs/>
                      <w:szCs w:val="21"/>
                    </w:rPr>
                  </w:pPr>
                  <w:r>
                    <w:rPr>
                      <w:bCs/>
                      <w:szCs w:val="21"/>
                    </w:rPr>
                    <w:t>新建</w:t>
                  </w:r>
                </w:p>
              </w:tc>
            </w:tr>
            <w:tr w14:paraId="1D8FA2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490" w:type="pct"/>
                  <w:vMerge w:val="restart"/>
                  <w:noWrap w:val="0"/>
                  <w:vAlign w:val="center"/>
                </w:tcPr>
                <w:p w14:paraId="4F0BF641">
                  <w:pPr>
                    <w:overflowPunct w:val="0"/>
                    <w:adjustRightInd w:val="0"/>
                    <w:snapToGrid w:val="0"/>
                    <w:jc w:val="center"/>
                    <w:rPr>
                      <w:bCs/>
                      <w:szCs w:val="21"/>
                    </w:rPr>
                  </w:pPr>
                  <w:r>
                    <w:rPr>
                      <w:bCs/>
                      <w:szCs w:val="21"/>
                    </w:rPr>
                    <w:t>辅助工程</w:t>
                  </w:r>
                </w:p>
              </w:tc>
              <w:tc>
                <w:tcPr>
                  <w:tcW w:w="579" w:type="pct"/>
                  <w:noWrap w:val="0"/>
                  <w:vAlign w:val="center"/>
                </w:tcPr>
                <w:p w14:paraId="6F959E0E">
                  <w:pPr>
                    <w:overflowPunct w:val="0"/>
                    <w:adjustRightInd w:val="0"/>
                    <w:snapToGrid w:val="0"/>
                    <w:jc w:val="center"/>
                    <w:rPr>
                      <w:bCs/>
                      <w:szCs w:val="21"/>
                    </w:rPr>
                  </w:pPr>
                  <w:r>
                    <w:rPr>
                      <w:bCs/>
                      <w:szCs w:val="21"/>
                    </w:rPr>
                    <w:t>办公楼</w:t>
                  </w:r>
                </w:p>
              </w:tc>
              <w:tc>
                <w:tcPr>
                  <w:tcW w:w="3542" w:type="pct"/>
                  <w:noWrap w:val="0"/>
                  <w:vAlign w:val="center"/>
                </w:tcPr>
                <w:p w14:paraId="0C23CB38">
                  <w:pPr>
                    <w:jc w:val="left"/>
                    <w:rPr>
                      <w:spacing w:val="-2"/>
                      <w:szCs w:val="21"/>
                    </w:rPr>
                  </w:pPr>
                  <w:r>
                    <w:rPr>
                      <w:spacing w:val="-2"/>
                      <w:szCs w:val="21"/>
                    </w:rPr>
                    <w:t>主厂房东南侧设占地面积为450m</w:t>
                  </w:r>
                  <w:r>
                    <w:rPr>
                      <w:spacing w:val="-2"/>
                      <w:szCs w:val="21"/>
                      <w:vertAlign w:val="superscript"/>
                    </w:rPr>
                    <w:t>2</w:t>
                  </w:r>
                  <w:r>
                    <w:rPr>
                      <w:spacing w:val="-2"/>
                      <w:szCs w:val="21"/>
                    </w:rPr>
                    <w:t>办公楼，2层砖混结构，用于日常办公。</w:t>
                  </w:r>
                </w:p>
              </w:tc>
              <w:tc>
                <w:tcPr>
                  <w:tcW w:w="388" w:type="pct"/>
                  <w:noWrap w:val="0"/>
                  <w:vAlign w:val="center"/>
                </w:tcPr>
                <w:p w14:paraId="2BA7C3CB">
                  <w:pPr>
                    <w:overflowPunct w:val="0"/>
                    <w:adjustRightInd w:val="0"/>
                    <w:snapToGrid w:val="0"/>
                    <w:jc w:val="center"/>
                    <w:rPr>
                      <w:bCs/>
                      <w:szCs w:val="21"/>
                    </w:rPr>
                  </w:pPr>
                  <w:r>
                    <w:rPr>
                      <w:bCs/>
                      <w:szCs w:val="21"/>
                    </w:rPr>
                    <w:t>新建</w:t>
                  </w:r>
                </w:p>
              </w:tc>
            </w:tr>
            <w:tr w14:paraId="66B246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490" w:type="pct"/>
                  <w:vMerge w:val="continue"/>
                  <w:noWrap w:val="0"/>
                  <w:vAlign w:val="center"/>
                </w:tcPr>
                <w:p w14:paraId="0CEBDE9A">
                  <w:pPr>
                    <w:overflowPunct w:val="0"/>
                    <w:adjustRightInd w:val="0"/>
                    <w:snapToGrid w:val="0"/>
                    <w:jc w:val="center"/>
                    <w:rPr>
                      <w:bCs/>
                      <w:szCs w:val="21"/>
                    </w:rPr>
                  </w:pPr>
                </w:p>
              </w:tc>
              <w:tc>
                <w:tcPr>
                  <w:tcW w:w="579" w:type="pct"/>
                  <w:noWrap w:val="0"/>
                  <w:vAlign w:val="center"/>
                </w:tcPr>
                <w:p w14:paraId="53DD6282">
                  <w:pPr>
                    <w:overflowPunct w:val="0"/>
                    <w:adjustRightInd w:val="0"/>
                    <w:snapToGrid w:val="0"/>
                    <w:jc w:val="center"/>
                    <w:rPr>
                      <w:bCs/>
                      <w:szCs w:val="21"/>
                    </w:rPr>
                  </w:pPr>
                  <w:r>
                    <w:rPr>
                      <w:bCs/>
                      <w:szCs w:val="21"/>
                    </w:rPr>
                    <w:t>宿舍楼</w:t>
                  </w:r>
                </w:p>
              </w:tc>
              <w:tc>
                <w:tcPr>
                  <w:tcW w:w="3542" w:type="pct"/>
                  <w:noWrap w:val="0"/>
                  <w:vAlign w:val="center"/>
                </w:tcPr>
                <w:p w14:paraId="325DF708">
                  <w:pPr>
                    <w:jc w:val="left"/>
                    <w:rPr>
                      <w:spacing w:val="-2"/>
                      <w:szCs w:val="21"/>
                    </w:rPr>
                  </w:pPr>
                  <w:r>
                    <w:rPr>
                      <w:spacing w:val="-2"/>
                      <w:szCs w:val="21"/>
                    </w:rPr>
                    <w:t>办公楼东侧设占地面积为450m</w:t>
                  </w:r>
                  <w:r>
                    <w:rPr>
                      <w:spacing w:val="-2"/>
                      <w:szCs w:val="21"/>
                      <w:vertAlign w:val="superscript"/>
                    </w:rPr>
                    <w:t>2</w:t>
                  </w:r>
                  <w:r>
                    <w:rPr>
                      <w:spacing w:val="-2"/>
                      <w:szCs w:val="21"/>
                    </w:rPr>
                    <w:t>宿舍楼，2层砖混结构，用于职工食宿。</w:t>
                  </w:r>
                </w:p>
              </w:tc>
              <w:tc>
                <w:tcPr>
                  <w:tcW w:w="388" w:type="pct"/>
                  <w:noWrap w:val="0"/>
                  <w:vAlign w:val="center"/>
                </w:tcPr>
                <w:p w14:paraId="40B1AFC9">
                  <w:pPr>
                    <w:overflowPunct w:val="0"/>
                    <w:adjustRightInd w:val="0"/>
                    <w:snapToGrid w:val="0"/>
                    <w:jc w:val="center"/>
                    <w:rPr>
                      <w:bCs/>
                      <w:szCs w:val="21"/>
                    </w:rPr>
                  </w:pPr>
                  <w:r>
                    <w:rPr>
                      <w:bCs/>
                      <w:szCs w:val="21"/>
                    </w:rPr>
                    <w:t>新建</w:t>
                  </w:r>
                </w:p>
              </w:tc>
            </w:tr>
            <w:tr w14:paraId="0493DA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490" w:type="pct"/>
                  <w:vMerge w:val="continue"/>
                  <w:noWrap w:val="0"/>
                  <w:vAlign w:val="center"/>
                </w:tcPr>
                <w:p w14:paraId="33E066D0">
                  <w:pPr>
                    <w:overflowPunct w:val="0"/>
                    <w:adjustRightInd w:val="0"/>
                    <w:snapToGrid w:val="0"/>
                    <w:jc w:val="center"/>
                    <w:rPr>
                      <w:bCs/>
                      <w:szCs w:val="21"/>
                    </w:rPr>
                  </w:pPr>
                </w:p>
              </w:tc>
              <w:tc>
                <w:tcPr>
                  <w:tcW w:w="579" w:type="pct"/>
                  <w:noWrap w:val="0"/>
                  <w:vAlign w:val="center"/>
                </w:tcPr>
                <w:p w14:paraId="34EA840B">
                  <w:pPr>
                    <w:overflowPunct w:val="0"/>
                    <w:adjustRightInd w:val="0"/>
                    <w:snapToGrid w:val="0"/>
                    <w:jc w:val="center"/>
                    <w:rPr>
                      <w:bCs/>
                      <w:szCs w:val="21"/>
                    </w:rPr>
                  </w:pPr>
                  <w:r>
                    <w:rPr>
                      <w:bCs/>
                      <w:szCs w:val="21"/>
                    </w:rPr>
                    <w:t>门卫室</w:t>
                  </w:r>
                </w:p>
              </w:tc>
              <w:tc>
                <w:tcPr>
                  <w:tcW w:w="3542" w:type="pct"/>
                  <w:noWrap w:val="0"/>
                  <w:vAlign w:val="center"/>
                </w:tcPr>
                <w:p w14:paraId="17CAE7F7">
                  <w:pPr>
                    <w:jc w:val="left"/>
                    <w:rPr>
                      <w:spacing w:val="-2"/>
                      <w:szCs w:val="21"/>
                    </w:rPr>
                  </w:pPr>
                  <w:r>
                    <w:rPr>
                      <w:spacing w:val="-2"/>
                      <w:szCs w:val="21"/>
                    </w:rPr>
                    <w:t>办公楼南侧设12m</w:t>
                  </w:r>
                  <w:r>
                    <w:rPr>
                      <w:spacing w:val="-2"/>
                      <w:szCs w:val="21"/>
                      <w:vertAlign w:val="superscript"/>
                    </w:rPr>
                    <w:t>2</w:t>
                  </w:r>
                  <w:r>
                    <w:rPr>
                      <w:spacing w:val="-2"/>
                      <w:szCs w:val="21"/>
                    </w:rPr>
                    <w:t>门卫室，一层砖混结构。</w:t>
                  </w:r>
                </w:p>
              </w:tc>
              <w:tc>
                <w:tcPr>
                  <w:tcW w:w="388" w:type="pct"/>
                  <w:noWrap w:val="0"/>
                  <w:vAlign w:val="center"/>
                </w:tcPr>
                <w:p w14:paraId="7EC38684">
                  <w:pPr>
                    <w:overflowPunct w:val="0"/>
                    <w:adjustRightInd w:val="0"/>
                    <w:snapToGrid w:val="0"/>
                    <w:jc w:val="center"/>
                    <w:rPr>
                      <w:bCs/>
                      <w:szCs w:val="21"/>
                    </w:rPr>
                  </w:pPr>
                  <w:r>
                    <w:rPr>
                      <w:bCs/>
                      <w:szCs w:val="21"/>
                    </w:rPr>
                    <w:t>新建</w:t>
                  </w:r>
                </w:p>
              </w:tc>
            </w:tr>
            <w:tr w14:paraId="7F9470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490" w:type="pct"/>
                  <w:vMerge w:val="continue"/>
                  <w:noWrap w:val="0"/>
                  <w:vAlign w:val="center"/>
                </w:tcPr>
                <w:p w14:paraId="363D70B3">
                  <w:pPr>
                    <w:overflowPunct w:val="0"/>
                    <w:adjustRightInd w:val="0"/>
                    <w:snapToGrid w:val="0"/>
                    <w:jc w:val="center"/>
                    <w:rPr>
                      <w:bCs/>
                      <w:szCs w:val="21"/>
                    </w:rPr>
                  </w:pPr>
                </w:p>
              </w:tc>
              <w:tc>
                <w:tcPr>
                  <w:tcW w:w="579" w:type="pct"/>
                  <w:noWrap w:val="0"/>
                  <w:vAlign w:val="center"/>
                </w:tcPr>
                <w:p w14:paraId="7443A1B8">
                  <w:pPr>
                    <w:overflowPunct w:val="0"/>
                    <w:adjustRightInd w:val="0"/>
                    <w:snapToGrid w:val="0"/>
                    <w:jc w:val="center"/>
                    <w:rPr>
                      <w:bCs/>
                      <w:szCs w:val="21"/>
                    </w:rPr>
                  </w:pPr>
                  <w:r>
                    <w:rPr>
                      <w:bCs/>
                      <w:szCs w:val="21"/>
                    </w:rPr>
                    <w:t>计量房</w:t>
                  </w:r>
                </w:p>
              </w:tc>
              <w:tc>
                <w:tcPr>
                  <w:tcW w:w="3542" w:type="pct"/>
                  <w:noWrap w:val="0"/>
                  <w:vAlign w:val="center"/>
                </w:tcPr>
                <w:p w14:paraId="6DD50DB7">
                  <w:pPr>
                    <w:jc w:val="left"/>
                    <w:rPr>
                      <w:spacing w:val="-2"/>
                      <w:szCs w:val="21"/>
                    </w:rPr>
                  </w:pPr>
                  <w:r>
                    <w:rPr>
                      <w:spacing w:val="-2"/>
                      <w:szCs w:val="21"/>
                    </w:rPr>
                    <w:t>主厂房北侧设7.5m</w:t>
                  </w:r>
                  <w:r>
                    <w:rPr>
                      <w:spacing w:val="-2"/>
                      <w:szCs w:val="21"/>
                      <w:vertAlign w:val="superscript"/>
                    </w:rPr>
                    <w:t>2</w:t>
                  </w:r>
                  <w:r>
                    <w:rPr>
                      <w:spacing w:val="-2"/>
                      <w:szCs w:val="21"/>
                    </w:rPr>
                    <w:t>计量房，一层砖混结构。</w:t>
                  </w:r>
                </w:p>
              </w:tc>
              <w:tc>
                <w:tcPr>
                  <w:tcW w:w="388" w:type="pct"/>
                  <w:noWrap w:val="0"/>
                  <w:vAlign w:val="center"/>
                </w:tcPr>
                <w:p w14:paraId="681BEC03">
                  <w:pPr>
                    <w:overflowPunct w:val="0"/>
                    <w:adjustRightInd w:val="0"/>
                    <w:snapToGrid w:val="0"/>
                    <w:jc w:val="center"/>
                    <w:rPr>
                      <w:bCs/>
                      <w:szCs w:val="21"/>
                    </w:rPr>
                  </w:pPr>
                  <w:r>
                    <w:rPr>
                      <w:bCs/>
                      <w:szCs w:val="21"/>
                    </w:rPr>
                    <w:t>新建</w:t>
                  </w:r>
                </w:p>
              </w:tc>
            </w:tr>
            <w:tr w14:paraId="3E72D9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4" w:hRule="atLeast"/>
                <w:jc w:val="center"/>
              </w:trPr>
              <w:tc>
                <w:tcPr>
                  <w:tcW w:w="490" w:type="pct"/>
                  <w:vMerge w:val="restart"/>
                  <w:noWrap w:val="0"/>
                  <w:vAlign w:val="center"/>
                </w:tcPr>
                <w:p w14:paraId="5D830822">
                  <w:pPr>
                    <w:overflowPunct w:val="0"/>
                    <w:adjustRightInd w:val="0"/>
                    <w:snapToGrid w:val="0"/>
                    <w:jc w:val="center"/>
                    <w:rPr>
                      <w:bCs/>
                      <w:szCs w:val="21"/>
                    </w:rPr>
                  </w:pPr>
                  <w:r>
                    <w:rPr>
                      <w:bCs/>
                      <w:szCs w:val="21"/>
                    </w:rPr>
                    <w:t>公用</w:t>
                  </w:r>
                </w:p>
                <w:p w14:paraId="611DE165">
                  <w:pPr>
                    <w:overflowPunct w:val="0"/>
                    <w:adjustRightInd w:val="0"/>
                    <w:snapToGrid w:val="0"/>
                    <w:jc w:val="center"/>
                    <w:rPr>
                      <w:bCs/>
                      <w:szCs w:val="21"/>
                    </w:rPr>
                  </w:pPr>
                  <w:r>
                    <w:rPr>
                      <w:bCs/>
                      <w:szCs w:val="21"/>
                    </w:rPr>
                    <w:t>工程</w:t>
                  </w:r>
                </w:p>
              </w:tc>
              <w:tc>
                <w:tcPr>
                  <w:tcW w:w="579" w:type="pct"/>
                  <w:noWrap w:val="0"/>
                  <w:vAlign w:val="center"/>
                </w:tcPr>
                <w:p w14:paraId="0547A0AD">
                  <w:pPr>
                    <w:overflowPunct w:val="0"/>
                    <w:adjustRightInd w:val="0"/>
                    <w:snapToGrid w:val="0"/>
                    <w:jc w:val="center"/>
                    <w:rPr>
                      <w:bCs/>
                      <w:szCs w:val="21"/>
                    </w:rPr>
                  </w:pPr>
                  <w:r>
                    <w:rPr>
                      <w:bCs/>
                      <w:szCs w:val="21"/>
                    </w:rPr>
                    <w:t>供水</w:t>
                  </w:r>
                </w:p>
              </w:tc>
              <w:tc>
                <w:tcPr>
                  <w:tcW w:w="3542" w:type="pct"/>
                  <w:noWrap w:val="0"/>
                  <w:vAlign w:val="center"/>
                </w:tcPr>
                <w:p w14:paraId="1BE0E109">
                  <w:pPr>
                    <w:jc w:val="left"/>
                    <w:rPr>
                      <w:spacing w:val="-2"/>
                      <w:szCs w:val="21"/>
                    </w:rPr>
                  </w:pPr>
                  <w:r>
                    <w:rPr>
                      <w:spacing w:val="-2"/>
                      <w:szCs w:val="21"/>
                    </w:rPr>
                    <w:t>项目生产用水及生活用水由园区供给。</w:t>
                  </w:r>
                </w:p>
              </w:tc>
              <w:tc>
                <w:tcPr>
                  <w:tcW w:w="388" w:type="pct"/>
                  <w:noWrap w:val="0"/>
                  <w:vAlign w:val="center"/>
                </w:tcPr>
                <w:p w14:paraId="4DDCBB4B">
                  <w:pPr>
                    <w:overflowPunct w:val="0"/>
                    <w:adjustRightInd w:val="0"/>
                    <w:snapToGrid w:val="0"/>
                    <w:jc w:val="center"/>
                    <w:rPr>
                      <w:bCs/>
                      <w:szCs w:val="21"/>
                    </w:rPr>
                  </w:pPr>
                  <w:r>
                    <w:rPr>
                      <w:bCs/>
                      <w:szCs w:val="21"/>
                    </w:rPr>
                    <w:t>-</w:t>
                  </w:r>
                </w:p>
              </w:tc>
            </w:tr>
            <w:tr w14:paraId="33E1D0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4" w:hRule="atLeast"/>
                <w:jc w:val="center"/>
              </w:trPr>
              <w:tc>
                <w:tcPr>
                  <w:tcW w:w="490" w:type="pct"/>
                  <w:vMerge w:val="continue"/>
                  <w:noWrap w:val="0"/>
                  <w:vAlign w:val="center"/>
                </w:tcPr>
                <w:p w14:paraId="4B22E418">
                  <w:pPr>
                    <w:overflowPunct w:val="0"/>
                    <w:adjustRightInd w:val="0"/>
                    <w:snapToGrid w:val="0"/>
                    <w:jc w:val="center"/>
                  </w:pPr>
                </w:p>
              </w:tc>
              <w:tc>
                <w:tcPr>
                  <w:tcW w:w="579" w:type="pct"/>
                  <w:noWrap w:val="0"/>
                  <w:vAlign w:val="center"/>
                </w:tcPr>
                <w:p w14:paraId="6A74F58A">
                  <w:pPr>
                    <w:overflowPunct w:val="0"/>
                    <w:adjustRightInd w:val="0"/>
                    <w:snapToGrid w:val="0"/>
                    <w:jc w:val="center"/>
                    <w:rPr>
                      <w:bCs/>
                      <w:szCs w:val="21"/>
                    </w:rPr>
                  </w:pPr>
                  <w:r>
                    <w:rPr>
                      <w:bCs/>
                      <w:szCs w:val="21"/>
                    </w:rPr>
                    <w:t>供电</w:t>
                  </w:r>
                </w:p>
              </w:tc>
              <w:tc>
                <w:tcPr>
                  <w:tcW w:w="3542" w:type="pct"/>
                  <w:noWrap w:val="0"/>
                  <w:vAlign w:val="center"/>
                </w:tcPr>
                <w:p w14:paraId="4C6E56D8">
                  <w:pPr>
                    <w:overflowPunct w:val="0"/>
                    <w:adjustRightInd w:val="0"/>
                    <w:snapToGrid w:val="0"/>
                    <w:jc w:val="left"/>
                    <w:rPr>
                      <w:bCs/>
                      <w:szCs w:val="21"/>
                    </w:rPr>
                  </w:pPr>
                  <w:r>
                    <w:rPr>
                      <w:bCs/>
                      <w:szCs w:val="21"/>
                    </w:rPr>
                    <w:t>项目供电来自园区原有电网。</w:t>
                  </w:r>
                </w:p>
              </w:tc>
              <w:tc>
                <w:tcPr>
                  <w:tcW w:w="388" w:type="pct"/>
                  <w:noWrap w:val="0"/>
                  <w:vAlign w:val="center"/>
                </w:tcPr>
                <w:p w14:paraId="7AD25FC7">
                  <w:pPr>
                    <w:overflowPunct w:val="0"/>
                    <w:adjustRightInd w:val="0"/>
                    <w:snapToGrid w:val="0"/>
                    <w:jc w:val="center"/>
                    <w:rPr>
                      <w:bCs/>
                      <w:szCs w:val="21"/>
                    </w:rPr>
                  </w:pPr>
                  <w:r>
                    <w:rPr>
                      <w:bCs/>
                      <w:szCs w:val="21"/>
                    </w:rPr>
                    <w:t>-</w:t>
                  </w:r>
                </w:p>
              </w:tc>
            </w:tr>
            <w:tr w14:paraId="65034E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4" w:hRule="atLeast"/>
                <w:jc w:val="center"/>
              </w:trPr>
              <w:tc>
                <w:tcPr>
                  <w:tcW w:w="490" w:type="pct"/>
                  <w:vMerge w:val="continue"/>
                  <w:noWrap w:val="0"/>
                  <w:vAlign w:val="center"/>
                </w:tcPr>
                <w:p w14:paraId="59F87885">
                  <w:pPr>
                    <w:overflowPunct w:val="0"/>
                    <w:adjustRightInd w:val="0"/>
                    <w:snapToGrid w:val="0"/>
                    <w:jc w:val="center"/>
                    <w:rPr>
                      <w:bCs/>
                      <w:szCs w:val="21"/>
                    </w:rPr>
                  </w:pPr>
                </w:p>
              </w:tc>
              <w:tc>
                <w:tcPr>
                  <w:tcW w:w="579" w:type="pct"/>
                  <w:noWrap w:val="0"/>
                  <w:vAlign w:val="center"/>
                </w:tcPr>
                <w:p w14:paraId="3EF7CB8F">
                  <w:pPr>
                    <w:overflowPunct w:val="0"/>
                    <w:adjustRightInd w:val="0"/>
                    <w:snapToGrid w:val="0"/>
                    <w:jc w:val="center"/>
                    <w:rPr>
                      <w:bCs/>
                      <w:szCs w:val="21"/>
                    </w:rPr>
                  </w:pPr>
                  <w:r>
                    <w:rPr>
                      <w:bCs/>
                      <w:szCs w:val="21"/>
                    </w:rPr>
                    <w:t>供热</w:t>
                  </w:r>
                </w:p>
              </w:tc>
              <w:tc>
                <w:tcPr>
                  <w:tcW w:w="3542" w:type="pct"/>
                  <w:noWrap w:val="0"/>
                  <w:vAlign w:val="center"/>
                </w:tcPr>
                <w:p w14:paraId="0C4AE9AA">
                  <w:pPr>
                    <w:overflowPunct w:val="0"/>
                    <w:adjustRightInd w:val="0"/>
                    <w:snapToGrid w:val="0"/>
                    <w:jc w:val="left"/>
                    <w:rPr>
                      <w:bCs/>
                      <w:szCs w:val="21"/>
                    </w:rPr>
                  </w:pPr>
                  <w:r>
                    <w:rPr>
                      <w:bCs/>
                      <w:szCs w:val="21"/>
                    </w:rPr>
                    <w:t>项目供热来自园区集中供热。</w:t>
                  </w:r>
                </w:p>
              </w:tc>
              <w:tc>
                <w:tcPr>
                  <w:tcW w:w="388" w:type="pct"/>
                  <w:noWrap w:val="0"/>
                  <w:vAlign w:val="center"/>
                </w:tcPr>
                <w:p w14:paraId="1732084B">
                  <w:pPr>
                    <w:overflowPunct w:val="0"/>
                    <w:adjustRightInd w:val="0"/>
                    <w:snapToGrid w:val="0"/>
                    <w:jc w:val="center"/>
                    <w:rPr>
                      <w:bCs/>
                      <w:szCs w:val="21"/>
                    </w:rPr>
                  </w:pPr>
                  <w:r>
                    <w:rPr>
                      <w:bCs/>
                      <w:szCs w:val="21"/>
                    </w:rPr>
                    <w:t>-</w:t>
                  </w:r>
                </w:p>
              </w:tc>
            </w:tr>
            <w:tr w14:paraId="7E83BF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08" w:hRule="atLeast"/>
                <w:jc w:val="center"/>
              </w:trPr>
              <w:tc>
                <w:tcPr>
                  <w:tcW w:w="490" w:type="pct"/>
                  <w:vMerge w:val="restart"/>
                  <w:noWrap w:val="0"/>
                  <w:vAlign w:val="center"/>
                </w:tcPr>
                <w:p w14:paraId="4059BA14">
                  <w:pPr>
                    <w:overflowPunct w:val="0"/>
                    <w:adjustRightInd w:val="0"/>
                    <w:snapToGrid w:val="0"/>
                    <w:jc w:val="center"/>
                    <w:rPr>
                      <w:bCs/>
                      <w:szCs w:val="21"/>
                    </w:rPr>
                  </w:pPr>
                  <w:r>
                    <w:rPr>
                      <w:bCs/>
                      <w:szCs w:val="21"/>
                    </w:rPr>
                    <w:t>环保工程</w:t>
                  </w:r>
                </w:p>
              </w:tc>
              <w:tc>
                <w:tcPr>
                  <w:tcW w:w="579" w:type="pct"/>
                  <w:noWrap w:val="0"/>
                  <w:vAlign w:val="center"/>
                </w:tcPr>
                <w:p w14:paraId="412E4E77">
                  <w:pPr>
                    <w:overflowPunct w:val="0"/>
                    <w:adjustRightInd w:val="0"/>
                    <w:snapToGrid w:val="0"/>
                    <w:jc w:val="center"/>
                    <w:rPr>
                      <w:bCs/>
                      <w:szCs w:val="21"/>
                    </w:rPr>
                  </w:pPr>
                  <w:r>
                    <w:rPr>
                      <w:bCs/>
                      <w:szCs w:val="21"/>
                    </w:rPr>
                    <w:t>废气</w:t>
                  </w:r>
                </w:p>
              </w:tc>
              <w:tc>
                <w:tcPr>
                  <w:tcW w:w="3542" w:type="pct"/>
                  <w:noWrap w:val="0"/>
                  <w:vAlign w:val="center"/>
                </w:tcPr>
                <w:p w14:paraId="33203D8E">
                  <w:pPr>
                    <w:overflowPunct w:val="0"/>
                    <w:adjustRightInd w:val="0"/>
                    <w:snapToGrid w:val="0"/>
                    <w:jc w:val="left"/>
                    <w:rPr>
                      <w:bCs/>
                      <w:szCs w:val="21"/>
                    </w:rPr>
                  </w:pPr>
                  <w:r>
                    <w:rPr>
                      <w:b/>
                      <w:szCs w:val="21"/>
                    </w:rPr>
                    <w:t>储运废气</w:t>
                  </w:r>
                  <w:r>
                    <w:rPr>
                      <w:bCs/>
                      <w:szCs w:val="21"/>
                    </w:rPr>
                    <w:t>：项目原料设全封闭储料棚储存；原料运输设全封闭输送带输送；储料棚设洒水车抑尘；水泥及粉煤灰采用全封闭筒仓储存。</w:t>
                  </w:r>
                </w:p>
                <w:p w14:paraId="4FFFD0C5">
                  <w:pPr>
                    <w:overflowPunct w:val="0"/>
                    <w:adjustRightInd w:val="0"/>
                    <w:snapToGrid w:val="0"/>
                    <w:jc w:val="left"/>
                    <w:rPr>
                      <w:bCs/>
                      <w:szCs w:val="21"/>
                    </w:rPr>
                  </w:pPr>
                  <w:r>
                    <w:rPr>
                      <w:b/>
                      <w:szCs w:val="21"/>
                    </w:rPr>
                    <w:t>装卸废气</w:t>
                  </w:r>
                  <w:r>
                    <w:rPr>
                      <w:bCs/>
                      <w:szCs w:val="21"/>
                    </w:rPr>
                    <w:t>：项目原料在全封闭储料棚装卸，水泥及粉煤灰筒仓上方自带布袋除尘设备，装卸废气经布袋除尘器处理后由15m高仓顶有组织排放。</w:t>
                  </w:r>
                </w:p>
                <w:p w14:paraId="4D04B4FB">
                  <w:pPr>
                    <w:overflowPunct w:val="0"/>
                    <w:adjustRightInd w:val="0"/>
                    <w:snapToGrid w:val="0"/>
                    <w:jc w:val="left"/>
                  </w:pPr>
                  <w:r>
                    <w:rPr>
                      <w:b/>
                      <w:szCs w:val="21"/>
                    </w:rPr>
                    <w:t>机制砂废气</w:t>
                  </w:r>
                  <w:r>
                    <w:rPr>
                      <w:bCs/>
                      <w:szCs w:val="21"/>
                    </w:rPr>
                    <w:t>：机制砂破碎机及振动筛位于全封闭储料棚内，机器上方各设置1套集尘罩，</w:t>
                  </w:r>
                  <w:r>
                    <w:t>共用</w:t>
                  </w:r>
                  <w:r>
                    <w:rPr>
                      <w:bCs/>
                      <w:szCs w:val="21"/>
                    </w:rPr>
                    <w:t>1台布袋除尘器，废气经收集处理后由15m高排气筒排放。</w:t>
                  </w:r>
                </w:p>
              </w:tc>
              <w:tc>
                <w:tcPr>
                  <w:tcW w:w="388" w:type="pct"/>
                  <w:noWrap w:val="0"/>
                  <w:vAlign w:val="center"/>
                </w:tcPr>
                <w:p w14:paraId="102B2781">
                  <w:pPr>
                    <w:overflowPunct w:val="0"/>
                    <w:adjustRightInd w:val="0"/>
                    <w:snapToGrid w:val="0"/>
                    <w:jc w:val="center"/>
                    <w:rPr>
                      <w:bCs/>
                      <w:szCs w:val="21"/>
                    </w:rPr>
                  </w:pPr>
                  <w:r>
                    <w:rPr>
                      <w:bCs/>
                      <w:szCs w:val="21"/>
                    </w:rPr>
                    <w:t>新建</w:t>
                  </w:r>
                </w:p>
              </w:tc>
            </w:tr>
            <w:tr w14:paraId="4D6928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8" w:hRule="atLeast"/>
                <w:jc w:val="center"/>
              </w:trPr>
              <w:tc>
                <w:tcPr>
                  <w:tcW w:w="490" w:type="pct"/>
                  <w:vMerge w:val="continue"/>
                  <w:noWrap w:val="0"/>
                  <w:vAlign w:val="center"/>
                </w:tcPr>
                <w:p w14:paraId="16CB0FF8">
                  <w:pPr>
                    <w:overflowPunct w:val="0"/>
                    <w:adjustRightInd w:val="0"/>
                    <w:snapToGrid w:val="0"/>
                    <w:jc w:val="center"/>
                  </w:pPr>
                </w:p>
              </w:tc>
              <w:tc>
                <w:tcPr>
                  <w:tcW w:w="579" w:type="pct"/>
                  <w:noWrap w:val="0"/>
                  <w:vAlign w:val="center"/>
                </w:tcPr>
                <w:p w14:paraId="2AF40D10">
                  <w:pPr>
                    <w:overflowPunct w:val="0"/>
                    <w:adjustRightInd w:val="0"/>
                    <w:snapToGrid w:val="0"/>
                    <w:jc w:val="center"/>
                    <w:rPr>
                      <w:bCs/>
                      <w:szCs w:val="21"/>
                    </w:rPr>
                  </w:pPr>
                  <w:r>
                    <w:rPr>
                      <w:bCs/>
                      <w:szCs w:val="21"/>
                    </w:rPr>
                    <w:t>废水</w:t>
                  </w:r>
                </w:p>
              </w:tc>
              <w:tc>
                <w:tcPr>
                  <w:tcW w:w="3542" w:type="pct"/>
                  <w:noWrap w:val="0"/>
                  <w:vAlign w:val="center"/>
                </w:tcPr>
                <w:p w14:paraId="44CCAFD2">
                  <w:pPr>
                    <w:jc w:val="left"/>
                    <w:rPr>
                      <w:color w:val="auto"/>
                      <w:spacing w:val="-2"/>
                      <w:szCs w:val="21"/>
                    </w:rPr>
                  </w:pPr>
                  <w:r>
                    <w:rPr>
                      <w:color w:val="auto"/>
                      <w:spacing w:val="-2"/>
                      <w:szCs w:val="21"/>
                    </w:rPr>
                    <w:t>本项目</w:t>
                  </w:r>
                  <w:r>
                    <w:rPr>
                      <w:rFonts w:hint="eastAsia"/>
                      <w:color w:val="auto"/>
                      <w:spacing w:val="-2"/>
                      <w:szCs w:val="21"/>
                      <w:lang w:val="en-US" w:eastAsia="zh-CN"/>
                    </w:rPr>
                    <w:t>产生的</w:t>
                  </w:r>
                  <w:r>
                    <w:rPr>
                      <w:color w:val="auto"/>
                      <w:spacing w:val="-2"/>
                      <w:szCs w:val="21"/>
                    </w:rPr>
                    <w:t>生产废水</w:t>
                  </w:r>
                  <w:r>
                    <w:rPr>
                      <w:rFonts w:hint="eastAsia"/>
                      <w:color w:val="auto"/>
                      <w:spacing w:val="-2"/>
                      <w:szCs w:val="21"/>
                      <w:lang w:val="en-US" w:eastAsia="zh-CN"/>
                    </w:rPr>
                    <w:t>经</w:t>
                  </w:r>
                  <w:r>
                    <w:rPr>
                      <w:rStyle w:val="15"/>
                      <w:rFonts w:hint="eastAsia"/>
                      <w:color w:val="auto"/>
                      <w:kern w:val="0"/>
                      <w:szCs w:val="20"/>
                      <w:lang w:val="en-US" w:eastAsia="zh-CN"/>
                    </w:rPr>
                    <w:t>沉淀池收集沉淀后全部回用</w:t>
                  </w:r>
                  <w:r>
                    <w:rPr>
                      <w:color w:val="auto"/>
                      <w:spacing w:val="-2"/>
                      <w:szCs w:val="21"/>
                    </w:rPr>
                    <w:t>，生活</w:t>
                  </w:r>
                  <w:r>
                    <w:rPr>
                      <w:rFonts w:hint="eastAsia"/>
                      <w:color w:val="auto"/>
                      <w:spacing w:val="-2"/>
                      <w:szCs w:val="21"/>
                      <w:lang w:val="en-US" w:eastAsia="zh-CN"/>
                    </w:rPr>
                    <w:t>污</w:t>
                  </w:r>
                  <w:r>
                    <w:rPr>
                      <w:color w:val="auto"/>
                      <w:spacing w:val="-2"/>
                      <w:szCs w:val="21"/>
                    </w:rPr>
                    <w:t>水由园区生活污水管网排放至生活污水处理厂。</w:t>
                  </w:r>
                </w:p>
              </w:tc>
              <w:tc>
                <w:tcPr>
                  <w:tcW w:w="388" w:type="pct"/>
                  <w:noWrap w:val="0"/>
                  <w:vAlign w:val="center"/>
                </w:tcPr>
                <w:p w14:paraId="5A990716">
                  <w:pPr>
                    <w:overflowPunct w:val="0"/>
                    <w:adjustRightInd w:val="0"/>
                    <w:snapToGrid w:val="0"/>
                    <w:jc w:val="center"/>
                    <w:rPr>
                      <w:bCs/>
                      <w:szCs w:val="21"/>
                    </w:rPr>
                  </w:pPr>
                  <w:r>
                    <w:rPr>
                      <w:bCs/>
                      <w:szCs w:val="21"/>
                    </w:rPr>
                    <w:t>新建</w:t>
                  </w:r>
                </w:p>
              </w:tc>
            </w:tr>
            <w:tr w14:paraId="5928D4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8" w:hRule="atLeast"/>
                <w:jc w:val="center"/>
              </w:trPr>
              <w:tc>
                <w:tcPr>
                  <w:tcW w:w="490" w:type="pct"/>
                  <w:vMerge w:val="continue"/>
                  <w:noWrap w:val="0"/>
                  <w:vAlign w:val="center"/>
                </w:tcPr>
                <w:p w14:paraId="7455D704">
                  <w:pPr>
                    <w:overflowPunct w:val="0"/>
                    <w:adjustRightInd w:val="0"/>
                    <w:snapToGrid w:val="0"/>
                    <w:jc w:val="center"/>
                    <w:rPr>
                      <w:bCs/>
                      <w:szCs w:val="21"/>
                    </w:rPr>
                  </w:pPr>
                </w:p>
              </w:tc>
              <w:tc>
                <w:tcPr>
                  <w:tcW w:w="579" w:type="pct"/>
                  <w:noWrap w:val="0"/>
                  <w:vAlign w:val="center"/>
                </w:tcPr>
                <w:p w14:paraId="1A06C0AC">
                  <w:pPr>
                    <w:overflowPunct w:val="0"/>
                    <w:adjustRightInd w:val="0"/>
                    <w:snapToGrid w:val="0"/>
                    <w:jc w:val="center"/>
                    <w:rPr>
                      <w:bCs/>
                      <w:szCs w:val="21"/>
                    </w:rPr>
                  </w:pPr>
                  <w:r>
                    <w:rPr>
                      <w:bCs/>
                      <w:szCs w:val="21"/>
                    </w:rPr>
                    <w:t>噪声</w:t>
                  </w:r>
                </w:p>
              </w:tc>
              <w:tc>
                <w:tcPr>
                  <w:tcW w:w="3542" w:type="pct"/>
                  <w:noWrap w:val="0"/>
                  <w:vAlign w:val="center"/>
                </w:tcPr>
                <w:p w14:paraId="262948D2">
                  <w:pPr>
                    <w:overflowPunct w:val="0"/>
                    <w:adjustRightInd w:val="0"/>
                    <w:snapToGrid w:val="0"/>
                    <w:rPr>
                      <w:bCs/>
                      <w:color w:val="auto"/>
                      <w:szCs w:val="21"/>
                    </w:rPr>
                  </w:pPr>
                  <w:r>
                    <w:rPr>
                      <w:bCs/>
                      <w:color w:val="auto"/>
                      <w:szCs w:val="21"/>
                    </w:rPr>
                    <w:t>噪声由厂房隔声并设置基础减振。</w:t>
                  </w:r>
                </w:p>
              </w:tc>
              <w:tc>
                <w:tcPr>
                  <w:tcW w:w="388" w:type="pct"/>
                  <w:noWrap w:val="0"/>
                  <w:vAlign w:val="center"/>
                </w:tcPr>
                <w:p w14:paraId="1A3339C1">
                  <w:pPr>
                    <w:overflowPunct w:val="0"/>
                    <w:adjustRightInd w:val="0"/>
                    <w:snapToGrid w:val="0"/>
                    <w:jc w:val="center"/>
                    <w:rPr>
                      <w:bCs/>
                      <w:szCs w:val="21"/>
                    </w:rPr>
                  </w:pPr>
                  <w:r>
                    <w:rPr>
                      <w:bCs/>
                      <w:szCs w:val="21"/>
                    </w:rPr>
                    <w:t>新建</w:t>
                  </w:r>
                </w:p>
              </w:tc>
            </w:tr>
            <w:tr w14:paraId="44CBBA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79" w:hRule="atLeast"/>
                <w:jc w:val="center"/>
              </w:trPr>
              <w:tc>
                <w:tcPr>
                  <w:tcW w:w="490" w:type="pct"/>
                  <w:vMerge w:val="continue"/>
                  <w:noWrap w:val="0"/>
                  <w:vAlign w:val="center"/>
                </w:tcPr>
                <w:p w14:paraId="5AA010F8">
                  <w:pPr>
                    <w:overflowPunct w:val="0"/>
                    <w:adjustRightInd w:val="0"/>
                    <w:snapToGrid w:val="0"/>
                    <w:jc w:val="center"/>
                    <w:rPr>
                      <w:bCs/>
                      <w:szCs w:val="21"/>
                    </w:rPr>
                  </w:pPr>
                </w:p>
              </w:tc>
              <w:tc>
                <w:tcPr>
                  <w:tcW w:w="579" w:type="pct"/>
                  <w:noWrap w:val="0"/>
                  <w:vAlign w:val="center"/>
                </w:tcPr>
                <w:p w14:paraId="18A521F3">
                  <w:pPr>
                    <w:overflowPunct w:val="0"/>
                    <w:adjustRightInd w:val="0"/>
                    <w:snapToGrid w:val="0"/>
                    <w:jc w:val="center"/>
                    <w:rPr>
                      <w:bCs/>
                      <w:szCs w:val="21"/>
                    </w:rPr>
                  </w:pPr>
                  <w:r>
                    <w:rPr>
                      <w:bCs/>
                      <w:szCs w:val="21"/>
                    </w:rPr>
                    <w:t>固废</w:t>
                  </w:r>
                </w:p>
              </w:tc>
              <w:tc>
                <w:tcPr>
                  <w:tcW w:w="3542" w:type="pct"/>
                  <w:noWrap w:val="0"/>
                  <w:vAlign w:val="center"/>
                </w:tcPr>
                <w:p w14:paraId="27F2E10F">
                  <w:pPr>
                    <w:overflowPunct w:val="0"/>
                    <w:adjustRightInd w:val="0"/>
                    <w:snapToGrid w:val="0"/>
                    <w:rPr>
                      <w:bCs/>
                      <w:szCs w:val="21"/>
                    </w:rPr>
                  </w:pPr>
                  <w:r>
                    <w:rPr>
                      <w:b/>
                      <w:szCs w:val="21"/>
                    </w:rPr>
                    <w:t>除尘灰</w:t>
                  </w:r>
                  <w:r>
                    <w:rPr>
                      <w:bCs/>
                      <w:szCs w:val="21"/>
                    </w:rPr>
                    <w:t>：直接回用于本项目生产。</w:t>
                  </w:r>
                </w:p>
                <w:p w14:paraId="76A6B433">
                  <w:pPr>
                    <w:overflowPunct w:val="0"/>
                    <w:adjustRightInd w:val="0"/>
                    <w:snapToGrid w:val="0"/>
                    <w:rPr>
                      <w:b/>
                      <w:szCs w:val="21"/>
                    </w:rPr>
                  </w:pPr>
                  <w:r>
                    <w:rPr>
                      <w:b/>
                      <w:szCs w:val="21"/>
                    </w:rPr>
                    <w:t>废矿物油及废矿物桶：</w:t>
                  </w:r>
                  <w:r>
                    <w:rPr>
                      <w:bCs/>
                      <w:szCs w:val="21"/>
                    </w:rPr>
                    <w:t>项目设备检修由专业团队上门维修，厂区车辆检修过程产生的废矿物油及废矿物桶暂存至厂区危废库，并定期交由有资质单位处理。</w:t>
                  </w:r>
                </w:p>
                <w:p w14:paraId="69D08D51">
                  <w:pPr>
                    <w:overflowPunct w:val="0"/>
                    <w:adjustRightInd w:val="0"/>
                    <w:snapToGrid w:val="0"/>
                    <w:rPr>
                      <w:bCs/>
                      <w:szCs w:val="21"/>
                    </w:rPr>
                  </w:pPr>
                  <w:r>
                    <w:rPr>
                      <w:b/>
                      <w:szCs w:val="21"/>
                    </w:rPr>
                    <w:t>生活垃圾</w:t>
                  </w:r>
                  <w:r>
                    <w:rPr>
                      <w:bCs/>
                      <w:szCs w:val="21"/>
                    </w:rPr>
                    <w:t>：员工产生的生活垃圾集中收集后交由当地环卫部门处置。</w:t>
                  </w:r>
                </w:p>
              </w:tc>
              <w:tc>
                <w:tcPr>
                  <w:tcW w:w="388" w:type="pct"/>
                  <w:noWrap w:val="0"/>
                  <w:vAlign w:val="center"/>
                </w:tcPr>
                <w:p w14:paraId="2480326B">
                  <w:pPr>
                    <w:overflowPunct w:val="0"/>
                    <w:adjustRightInd w:val="0"/>
                    <w:snapToGrid w:val="0"/>
                    <w:jc w:val="center"/>
                    <w:rPr>
                      <w:bCs/>
                      <w:szCs w:val="21"/>
                    </w:rPr>
                  </w:pPr>
                  <w:r>
                    <w:rPr>
                      <w:bCs/>
                      <w:szCs w:val="21"/>
                    </w:rPr>
                    <w:t>新建</w:t>
                  </w:r>
                </w:p>
              </w:tc>
            </w:tr>
            <w:tr w14:paraId="534A14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8" w:hRule="atLeast"/>
                <w:jc w:val="center"/>
              </w:trPr>
              <w:tc>
                <w:tcPr>
                  <w:tcW w:w="490" w:type="pct"/>
                  <w:vMerge w:val="restart"/>
                  <w:noWrap w:val="0"/>
                  <w:vAlign w:val="center"/>
                </w:tcPr>
                <w:p w14:paraId="0C8596FE">
                  <w:pPr>
                    <w:overflowPunct w:val="0"/>
                    <w:adjustRightInd w:val="0"/>
                    <w:snapToGrid w:val="0"/>
                    <w:jc w:val="center"/>
                    <w:rPr>
                      <w:bCs/>
                      <w:szCs w:val="21"/>
                    </w:rPr>
                  </w:pPr>
                  <w:r>
                    <w:rPr>
                      <w:bCs/>
                      <w:szCs w:val="21"/>
                    </w:rPr>
                    <w:t>防渗工程</w:t>
                  </w:r>
                </w:p>
              </w:tc>
              <w:tc>
                <w:tcPr>
                  <w:tcW w:w="579" w:type="pct"/>
                  <w:noWrap w:val="0"/>
                  <w:vAlign w:val="center"/>
                </w:tcPr>
                <w:p w14:paraId="4E981F7E">
                  <w:pPr>
                    <w:overflowPunct w:val="0"/>
                    <w:adjustRightInd w:val="0"/>
                    <w:snapToGrid w:val="0"/>
                    <w:jc w:val="center"/>
                    <w:rPr>
                      <w:bCs/>
                      <w:szCs w:val="21"/>
                    </w:rPr>
                  </w:pPr>
                  <w:r>
                    <w:rPr>
                      <w:bCs/>
                      <w:szCs w:val="21"/>
                    </w:rPr>
                    <w:t>危废库</w:t>
                  </w:r>
                </w:p>
              </w:tc>
              <w:tc>
                <w:tcPr>
                  <w:tcW w:w="3542" w:type="pct"/>
                  <w:noWrap w:val="0"/>
                  <w:vAlign w:val="center"/>
                </w:tcPr>
                <w:p w14:paraId="464D8428">
                  <w:pPr>
                    <w:overflowPunct w:val="0"/>
                    <w:adjustRightInd w:val="0"/>
                    <w:snapToGrid w:val="0"/>
                    <w:rPr>
                      <w:b/>
                      <w:szCs w:val="21"/>
                    </w:rPr>
                  </w:pPr>
                  <w:r>
                    <w:rPr>
                      <w:snapToGrid w:val="0"/>
                      <w:szCs w:val="21"/>
                    </w:rPr>
                    <w:t>按照《危险废物贮存污染控制标准》（GB18597-2023）要求设置，采用至少2mm厚HDPE或其他人工材料进行防渗处理，防渗系数不大于1.0×10</w:t>
                  </w:r>
                  <w:r>
                    <w:rPr>
                      <w:snapToGrid w:val="0"/>
                      <w:szCs w:val="21"/>
                      <w:vertAlign w:val="superscript"/>
                    </w:rPr>
                    <w:t>-10</w:t>
                  </w:r>
                  <w:r>
                    <w:rPr>
                      <w:snapToGrid w:val="0"/>
                      <w:szCs w:val="21"/>
                    </w:rPr>
                    <w:t>cm/s。</w:t>
                  </w:r>
                </w:p>
              </w:tc>
              <w:tc>
                <w:tcPr>
                  <w:tcW w:w="388" w:type="pct"/>
                  <w:noWrap w:val="0"/>
                  <w:vAlign w:val="center"/>
                </w:tcPr>
                <w:p w14:paraId="1902A350">
                  <w:pPr>
                    <w:overflowPunct w:val="0"/>
                    <w:adjustRightInd w:val="0"/>
                    <w:snapToGrid w:val="0"/>
                    <w:jc w:val="center"/>
                    <w:rPr>
                      <w:bCs/>
                      <w:szCs w:val="21"/>
                    </w:rPr>
                  </w:pPr>
                  <w:r>
                    <w:rPr>
                      <w:bCs/>
                      <w:szCs w:val="21"/>
                    </w:rPr>
                    <w:t>新建</w:t>
                  </w:r>
                </w:p>
              </w:tc>
            </w:tr>
            <w:tr w14:paraId="7C72F4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90" w:type="pct"/>
                  <w:vMerge w:val="continue"/>
                  <w:noWrap w:val="0"/>
                  <w:vAlign w:val="center"/>
                </w:tcPr>
                <w:p w14:paraId="0A43CBC7">
                  <w:pPr>
                    <w:overflowPunct w:val="0"/>
                    <w:adjustRightInd w:val="0"/>
                    <w:snapToGrid w:val="0"/>
                    <w:jc w:val="center"/>
                    <w:rPr>
                      <w:bCs/>
                      <w:szCs w:val="21"/>
                    </w:rPr>
                  </w:pPr>
                </w:p>
              </w:tc>
              <w:tc>
                <w:tcPr>
                  <w:tcW w:w="579" w:type="pct"/>
                  <w:noWrap w:val="0"/>
                  <w:vAlign w:val="center"/>
                </w:tcPr>
                <w:p w14:paraId="4F0D6DB5">
                  <w:pPr>
                    <w:overflowPunct w:val="0"/>
                    <w:adjustRightInd w:val="0"/>
                    <w:snapToGrid w:val="0"/>
                    <w:jc w:val="center"/>
                    <w:rPr>
                      <w:bCs/>
                      <w:szCs w:val="21"/>
                    </w:rPr>
                  </w:pPr>
                  <w:r>
                    <w:rPr>
                      <w:bCs/>
                      <w:szCs w:val="21"/>
                    </w:rPr>
                    <w:t>沉淀池</w:t>
                  </w:r>
                </w:p>
              </w:tc>
              <w:tc>
                <w:tcPr>
                  <w:tcW w:w="3542" w:type="pct"/>
                  <w:noWrap w:val="0"/>
                  <w:vAlign w:val="center"/>
                </w:tcPr>
                <w:p w14:paraId="2AAE7140">
                  <w:pPr>
                    <w:pStyle w:val="17"/>
                    <w:ind w:left="21" w:right="21"/>
                    <w:jc w:val="both"/>
                    <w:rPr>
                      <w:snapToGrid w:val="0"/>
                      <w:szCs w:val="21"/>
                    </w:rPr>
                  </w:pPr>
                  <w:r>
                    <w:rPr>
                      <w:snapToGrid w:val="0"/>
                      <w:szCs w:val="21"/>
                    </w:rPr>
                    <w:t>等效黏土防渗层Mb≥1.5m，渗透系数K≤1×10</w:t>
                  </w:r>
                  <w:r>
                    <w:rPr>
                      <w:snapToGrid w:val="0"/>
                      <w:szCs w:val="21"/>
                      <w:vertAlign w:val="superscript"/>
                    </w:rPr>
                    <w:t>-7</w:t>
                  </w:r>
                  <w:r>
                    <w:rPr>
                      <w:snapToGrid w:val="0"/>
                      <w:szCs w:val="21"/>
                    </w:rPr>
                    <w:t>cm/s。</w:t>
                  </w:r>
                </w:p>
              </w:tc>
              <w:tc>
                <w:tcPr>
                  <w:tcW w:w="388" w:type="pct"/>
                  <w:noWrap w:val="0"/>
                  <w:vAlign w:val="center"/>
                </w:tcPr>
                <w:p w14:paraId="1B7F58C0">
                  <w:pPr>
                    <w:overflowPunct w:val="0"/>
                    <w:adjustRightInd w:val="0"/>
                    <w:snapToGrid w:val="0"/>
                    <w:jc w:val="center"/>
                    <w:rPr>
                      <w:bCs/>
                      <w:szCs w:val="21"/>
                    </w:rPr>
                  </w:pPr>
                  <w:r>
                    <w:rPr>
                      <w:bCs/>
                      <w:szCs w:val="21"/>
                    </w:rPr>
                    <w:t>新建</w:t>
                  </w:r>
                </w:p>
              </w:tc>
            </w:tr>
            <w:tr w14:paraId="567A69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8" w:hRule="atLeast"/>
                <w:jc w:val="center"/>
              </w:trPr>
              <w:tc>
                <w:tcPr>
                  <w:tcW w:w="490" w:type="pct"/>
                  <w:vMerge w:val="continue"/>
                  <w:noWrap w:val="0"/>
                  <w:vAlign w:val="center"/>
                </w:tcPr>
                <w:p w14:paraId="35DFA60D">
                  <w:pPr>
                    <w:overflowPunct w:val="0"/>
                    <w:adjustRightInd w:val="0"/>
                    <w:snapToGrid w:val="0"/>
                    <w:jc w:val="center"/>
                    <w:rPr>
                      <w:bCs/>
                      <w:szCs w:val="21"/>
                    </w:rPr>
                  </w:pPr>
                </w:p>
              </w:tc>
              <w:tc>
                <w:tcPr>
                  <w:tcW w:w="579" w:type="pct"/>
                  <w:noWrap w:val="0"/>
                  <w:vAlign w:val="center"/>
                </w:tcPr>
                <w:p w14:paraId="65292B48">
                  <w:pPr>
                    <w:overflowPunct w:val="0"/>
                    <w:adjustRightInd w:val="0"/>
                    <w:snapToGrid w:val="0"/>
                    <w:jc w:val="center"/>
                    <w:rPr>
                      <w:bCs/>
                      <w:szCs w:val="21"/>
                    </w:rPr>
                  </w:pPr>
                  <w:r>
                    <w:rPr>
                      <w:bCs/>
                      <w:szCs w:val="21"/>
                    </w:rPr>
                    <w:t>主厂房等其他区域</w:t>
                  </w:r>
                </w:p>
              </w:tc>
              <w:tc>
                <w:tcPr>
                  <w:tcW w:w="3542" w:type="pct"/>
                  <w:noWrap w:val="0"/>
                  <w:vAlign w:val="center"/>
                </w:tcPr>
                <w:p w14:paraId="54117198">
                  <w:pPr>
                    <w:overflowPunct w:val="0"/>
                    <w:adjustRightInd w:val="0"/>
                    <w:snapToGrid w:val="0"/>
                    <w:rPr>
                      <w:snapToGrid w:val="0"/>
                      <w:szCs w:val="21"/>
                    </w:rPr>
                  </w:pPr>
                  <w:r>
                    <w:rPr>
                      <w:snapToGrid w:val="0"/>
                      <w:szCs w:val="21"/>
                    </w:rPr>
                    <w:t>进行简单防渗，通过水泥硬化。</w:t>
                  </w:r>
                </w:p>
              </w:tc>
              <w:tc>
                <w:tcPr>
                  <w:tcW w:w="388" w:type="pct"/>
                  <w:noWrap w:val="0"/>
                  <w:vAlign w:val="center"/>
                </w:tcPr>
                <w:p w14:paraId="7B684F8F">
                  <w:pPr>
                    <w:overflowPunct w:val="0"/>
                    <w:adjustRightInd w:val="0"/>
                    <w:snapToGrid w:val="0"/>
                    <w:jc w:val="center"/>
                    <w:rPr>
                      <w:bCs/>
                      <w:szCs w:val="21"/>
                    </w:rPr>
                  </w:pPr>
                  <w:r>
                    <w:rPr>
                      <w:bCs/>
                      <w:szCs w:val="21"/>
                    </w:rPr>
                    <w:t>新建</w:t>
                  </w:r>
                </w:p>
              </w:tc>
            </w:tr>
          </w:tbl>
          <w:p w14:paraId="37242049">
            <w:pPr>
              <w:adjustRightInd w:val="0"/>
              <w:snapToGrid w:val="0"/>
              <w:spacing w:line="360" w:lineRule="auto"/>
              <w:rPr>
                <w:b/>
                <w:sz w:val="24"/>
              </w:rPr>
            </w:pPr>
            <w:r>
              <w:rPr>
                <w:b/>
                <w:sz w:val="24"/>
              </w:rPr>
              <w:t>2.主要生产设备</w:t>
            </w:r>
          </w:p>
          <w:p w14:paraId="1CFC2247">
            <w:pPr>
              <w:autoSpaceDE w:val="0"/>
              <w:autoSpaceDN w:val="0"/>
              <w:adjustRightInd w:val="0"/>
              <w:snapToGrid w:val="0"/>
              <w:spacing w:line="360" w:lineRule="auto"/>
              <w:ind w:firstLine="480" w:firstLineChars="200"/>
              <w:jc w:val="left"/>
              <w:rPr>
                <w:sz w:val="24"/>
              </w:rPr>
            </w:pPr>
            <w:r>
              <w:rPr>
                <w:sz w:val="24"/>
              </w:rPr>
              <w:t>本项目主要生产设备见下表。</w:t>
            </w:r>
          </w:p>
          <w:p w14:paraId="1894F2FB">
            <w:pPr>
              <w:autoSpaceDE w:val="0"/>
              <w:autoSpaceDN w:val="0"/>
              <w:adjustRightInd w:val="0"/>
              <w:snapToGrid w:val="0"/>
              <w:spacing w:line="360" w:lineRule="auto"/>
              <w:ind w:firstLine="482" w:firstLineChars="200"/>
              <w:jc w:val="center"/>
              <w:rPr>
                <w:b/>
                <w:bCs/>
                <w:sz w:val="24"/>
              </w:rPr>
            </w:pPr>
            <w:r>
              <w:rPr>
                <w:b/>
                <w:bCs/>
                <w:sz w:val="24"/>
              </w:rPr>
              <w:t>表2-2  本项目主要生产设备</w:t>
            </w:r>
          </w:p>
          <w:tbl>
            <w:tblPr>
              <w:tblStyle w:val="1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6"/>
              <w:gridCol w:w="2172"/>
              <w:gridCol w:w="1589"/>
              <w:gridCol w:w="1589"/>
              <w:gridCol w:w="1589"/>
            </w:tblGrid>
            <w:tr w14:paraId="3EF199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top"/>
                </w:tcPr>
                <w:p w14:paraId="17D32896">
                  <w:pPr>
                    <w:pStyle w:val="2"/>
                    <w:spacing w:line="240" w:lineRule="auto"/>
                    <w:ind w:firstLine="0"/>
                    <w:jc w:val="center"/>
                    <w:rPr>
                      <w:sz w:val="21"/>
                      <w:szCs w:val="21"/>
                    </w:rPr>
                  </w:pPr>
                  <w:r>
                    <w:rPr>
                      <w:sz w:val="21"/>
                      <w:szCs w:val="21"/>
                    </w:rPr>
                    <w:t>序号</w:t>
                  </w:r>
                </w:p>
              </w:tc>
              <w:tc>
                <w:tcPr>
                  <w:tcW w:w="1810" w:type="dxa"/>
                  <w:noWrap w:val="0"/>
                  <w:vAlign w:val="center"/>
                </w:tcPr>
                <w:p w14:paraId="5C9CD33D">
                  <w:pPr>
                    <w:jc w:val="center"/>
                    <w:rPr>
                      <w:szCs w:val="21"/>
                    </w:rPr>
                  </w:pPr>
                  <w:r>
                    <w:rPr>
                      <w:szCs w:val="21"/>
                    </w:rPr>
                    <w:t>设备名称</w:t>
                  </w:r>
                </w:p>
              </w:tc>
              <w:tc>
                <w:tcPr>
                  <w:tcW w:w="1324" w:type="dxa"/>
                  <w:noWrap w:val="0"/>
                  <w:vAlign w:val="center"/>
                </w:tcPr>
                <w:p w14:paraId="27510494">
                  <w:pPr>
                    <w:jc w:val="center"/>
                    <w:rPr>
                      <w:szCs w:val="21"/>
                    </w:rPr>
                  </w:pPr>
                  <w:r>
                    <w:rPr>
                      <w:szCs w:val="21"/>
                    </w:rPr>
                    <w:t>单位</w:t>
                  </w:r>
                </w:p>
              </w:tc>
              <w:tc>
                <w:tcPr>
                  <w:tcW w:w="1324" w:type="dxa"/>
                  <w:noWrap w:val="0"/>
                  <w:vAlign w:val="center"/>
                </w:tcPr>
                <w:p w14:paraId="08C0AE39">
                  <w:pPr>
                    <w:jc w:val="center"/>
                    <w:rPr>
                      <w:szCs w:val="21"/>
                    </w:rPr>
                  </w:pPr>
                  <w:r>
                    <w:rPr>
                      <w:szCs w:val="21"/>
                    </w:rPr>
                    <w:t>数量</w:t>
                  </w:r>
                </w:p>
              </w:tc>
              <w:tc>
                <w:tcPr>
                  <w:tcW w:w="1324" w:type="dxa"/>
                  <w:noWrap w:val="0"/>
                  <w:vAlign w:val="center"/>
                </w:tcPr>
                <w:p w14:paraId="7F3DB52D">
                  <w:pPr>
                    <w:jc w:val="center"/>
                    <w:rPr>
                      <w:szCs w:val="21"/>
                    </w:rPr>
                  </w:pPr>
                  <w:r>
                    <w:rPr>
                      <w:szCs w:val="21"/>
                    </w:rPr>
                    <w:t>备注</w:t>
                  </w:r>
                </w:p>
              </w:tc>
            </w:tr>
            <w:tr w14:paraId="5E6C47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top"/>
                </w:tcPr>
                <w:p w14:paraId="6F51CFFE">
                  <w:pPr>
                    <w:pStyle w:val="2"/>
                    <w:ind w:firstLine="0"/>
                    <w:jc w:val="center"/>
                  </w:pPr>
                  <w:r>
                    <w:t>1</w:t>
                  </w:r>
                </w:p>
              </w:tc>
              <w:tc>
                <w:tcPr>
                  <w:tcW w:w="1810" w:type="dxa"/>
                  <w:noWrap w:val="0"/>
                  <w:vAlign w:val="center"/>
                </w:tcPr>
                <w:p w14:paraId="56220A5F">
                  <w:pPr>
                    <w:jc w:val="center"/>
                    <w:rPr>
                      <w:szCs w:val="21"/>
                    </w:rPr>
                  </w:pPr>
                  <w:r>
                    <w:rPr>
                      <w:szCs w:val="21"/>
                    </w:rPr>
                    <w:t>搅拌机</w:t>
                  </w:r>
                </w:p>
              </w:tc>
              <w:tc>
                <w:tcPr>
                  <w:tcW w:w="1324" w:type="dxa"/>
                  <w:noWrap w:val="0"/>
                  <w:vAlign w:val="center"/>
                </w:tcPr>
                <w:p w14:paraId="17151277">
                  <w:pPr>
                    <w:jc w:val="center"/>
                    <w:rPr>
                      <w:szCs w:val="21"/>
                    </w:rPr>
                  </w:pPr>
                  <w:r>
                    <w:rPr>
                      <w:szCs w:val="21"/>
                    </w:rPr>
                    <w:t>台</w:t>
                  </w:r>
                </w:p>
              </w:tc>
              <w:tc>
                <w:tcPr>
                  <w:tcW w:w="1324" w:type="dxa"/>
                  <w:noWrap w:val="0"/>
                  <w:vAlign w:val="center"/>
                </w:tcPr>
                <w:p w14:paraId="54E4290E">
                  <w:pPr>
                    <w:jc w:val="center"/>
                    <w:rPr>
                      <w:szCs w:val="21"/>
                    </w:rPr>
                  </w:pPr>
                  <w:r>
                    <w:rPr>
                      <w:szCs w:val="21"/>
                    </w:rPr>
                    <w:t>2</w:t>
                  </w:r>
                </w:p>
              </w:tc>
              <w:tc>
                <w:tcPr>
                  <w:tcW w:w="1324" w:type="dxa"/>
                  <w:noWrap w:val="0"/>
                  <w:vAlign w:val="center"/>
                </w:tcPr>
                <w:p w14:paraId="019355CB">
                  <w:pPr>
                    <w:jc w:val="center"/>
                    <w:rPr>
                      <w:szCs w:val="21"/>
                    </w:rPr>
                  </w:pPr>
                  <w:r>
                    <w:rPr>
                      <w:bCs/>
                      <w:szCs w:val="21"/>
                    </w:rPr>
                    <w:t>HZS180</w:t>
                  </w:r>
                </w:p>
              </w:tc>
            </w:tr>
            <w:tr w14:paraId="58298B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top"/>
                </w:tcPr>
                <w:p w14:paraId="48E28031">
                  <w:pPr>
                    <w:pStyle w:val="2"/>
                    <w:ind w:firstLine="0"/>
                    <w:jc w:val="center"/>
                  </w:pPr>
                  <w:r>
                    <w:t>2</w:t>
                  </w:r>
                </w:p>
              </w:tc>
              <w:tc>
                <w:tcPr>
                  <w:tcW w:w="1810" w:type="dxa"/>
                  <w:noWrap w:val="0"/>
                  <w:vAlign w:val="center"/>
                </w:tcPr>
                <w:p w14:paraId="15B94049">
                  <w:pPr>
                    <w:jc w:val="center"/>
                    <w:rPr>
                      <w:szCs w:val="21"/>
                    </w:rPr>
                  </w:pPr>
                  <w:r>
                    <w:rPr>
                      <w:szCs w:val="21"/>
                    </w:rPr>
                    <w:t>砂石配料仓</w:t>
                  </w:r>
                </w:p>
              </w:tc>
              <w:tc>
                <w:tcPr>
                  <w:tcW w:w="1324" w:type="dxa"/>
                  <w:noWrap w:val="0"/>
                  <w:vAlign w:val="center"/>
                </w:tcPr>
                <w:p w14:paraId="79E0FB6E">
                  <w:pPr>
                    <w:jc w:val="center"/>
                    <w:rPr>
                      <w:szCs w:val="21"/>
                    </w:rPr>
                  </w:pPr>
                  <w:r>
                    <w:rPr>
                      <w:szCs w:val="21"/>
                    </w:rPr>
                    <w:t>座</w:t>
                  </w:r>
                </w:p>
              </w:tc>
              <w:tc>
                <w:tcPr>
                  <w:tcW w:w="1324" w:type="dxa"/>
                  <w:noWrap w:val="0"/>
                  <w:vAlign w:val="center"/>
                </w:tcPr>
                <w:p w14:paraId="2537DD08">
                  <w:pPr>
                    <w:jc w:val="center"/>
                    <w:rPr>
                      <w:szCs w:val="21"/>
                    </w:rPr>
                  </w:pPr>
                  <w:r>
                    <w:rPr>
                      <w:szCs w:val="21"/>
                    </w:rPr>
                    <w:t>8</w:t>
                  </w:r>
                </w:p>
              </w:tc>
              <w:tc>
                <w:tcPr>
                  <w:tcW w:w="1324" w:type="dxa"/>
                  <w:noWrap w:val="0"/>
                  <w:vAlign w:val="center"/>
                </w:tcPr>
                <w:p w14:paraId="3FD4A3C2">
                  <w:pPr>
                    <w:jc w:val="center"/>
                    <w:rPr>
                      <w:szCs w:val="21"/>
                    </w:rPr>
                  </w:pPr>
                  <w:r>
                    <w:rPr>
                      <w:szCs w:val="21"/>
                    </w:rPr>
                    <w:t>20m</w:t>
                  </w:r>
                  <w:r>
                    <w:rPr>
                      <w:szCs w:val="21"/>
                      <w:vertAlign w:val="superscript"/>
                    </w:rPr>
                    <w:t>3</w:t>
                  </w:r>
                </w:p>
              </w:tc>
            </w:tr>
            <w:tr w14:paraId="4E9DC2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top"/>
                </w:tcPr>
                <w:p w14:paraId="1B19E35D">
                  <w:pPr>
                    <w:pStyle w:val="2"/>
                    <w:ind w:firstLine="0"/>
                    <w:jc w:val="center"/>
                  </w:pPr>
                  <w:r>
                    <w:t>3</w:t>
                  </w:r>
                </w:p>
              </w:tc>
              <w:tc>
                <w:tcPr>
                  <w:tcW w:w="1810" w:type="dxa"/>
                  <w:noWrap w:val="0"/>
                  <w:vAlign w:val="center"/>
                </w:tcPr>
                <w:p w14:paraId="5E6EA057">
                  <w:pPr>
                    <w:jc w:val="center"/>
                    <w:rPr>
                      <w:szCs w:val="21"/>
                    </w:rPr>
                  </w:pPr>
                  <w:r>
                    <w:rPr>
                      <w:spacing w:val="-2"/>
                      <w:szCs w:val="21"/>
                    </w:rPr>
                    <w:t>外加剂配料仓</w:t>
                  </w:r>
                </w:p>
              </w:tc>
              <w:tc>
                <w:tcPr>
                  <w:tcW w:w="1324" w:type="dxa"/>
                  <w:noWrap w:val="0"/>
                  <w:vAlign w:val="center"/>
                </w:tcPr>
                <w:p w14:paraId="35E8503D">
                  <w:pPr>
                    <w:jc w:val="center"/>
                    <w:rPr>
                      <w:szCs w:val="21"/>
                    </w:rPr>
                  </w:pPr>
                  <w:r>
                    <w:rPr>
                      <w:szCs w:val="21"/>
                    </w:rPr>
                    <w:t>座</w:t>
                  </w:r>
                </w:p>
              </w:tc>
              <w:tc>
                <w:tcPr>
                  <w:tcW w:w="1324" w:type="dxa"/>
                  <w:noWrap w:val="0"/>
                  <w:vAlign w:val="center"/>
                </w:tcPr>
                <w:p w14:paraId="172DB8FF">
                  <w:pPr>
                    <w:jc w:val="center"/>
                    <w:rPr>
                      <w:szCs w:val="21"/>
                    </w:rPr>
                  </w:pPr>
                  <w:r>
                    <w:rPr>
                      <w:szCs w:val="21"/>
                    </w:rPr>
                    <w:t>4</w:t>
                  </w:r>
                </w:p>
              </w:tc>
              <w:tc>
                <w:tcPr>
                  <w:tcW w:w="1324" w:type="dxa"/>
                  <w:noWrap w:val="0"/>
                  <w:vAlign w:val="center"/>
                </w:tcPr>
                <w:p w14:paraId="74CCC4B5">
                  <w:pPr>
                    <w:jc w:val="center"/>
                    <w:rPr>
                      <w:szCs w:val="21"/>
                    </w:rPr>
                  </w:pPr>
                  <w:r>
                    <w:rPr>
                      <w:szCs w:val="21"/>
                    </w:rPr>
                    <w:t>2m</w:t>
                  </w:r>
                  <w:r>
                    <w:rPr>
                      <w:szCs w:val="21"/>
                      <w:vertAlign w:val="superscript"/>
                    </w:rPr>
                    <w:t>3</w:t>
                  </w:r>
                </w:p>
              </w:tc>
            </w:tr>
            <w:tr w14:paraId="3B7132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top"/>
                </w:tcPr>
                <w:p w14:paraId="25E7F627">
                  <w:pPr>
                    <w:pStyle w:val="2"/>
                    <w:ind w:firstLine="0"/>
                    <w:jc w:val="center"/>
                  </w:pPr>
                  <w:r>
                    <w:t>4</w:t>
                  </w:r>
                </w:p>
              </w:tc>
              <w:tc>
                <w:tcPr>
                  <w:tcW w:w="1810" w:type="dxa"/>
                  <w:noWrap w:val="0"/>
                  <w:vAlign w:val="center"/>
                </w:tcPr>
                <w:p w14:paraId="2BD1B165">
                  <w:pPr>
                    <w:jc w:val="center"/>
                    <w:rPr>
                      <w:szCs w:val="21"/>
                    </w:rPr>
                  </w:pPr>
                  <w:r>
                    <w:rPr>
                      <w:szCs w:val="21"/>
                    </w:rPr>
                    <w:t>胶带输送机</w:t>
                  </w:r>
                </w:p>
              </w:tc>
              <w:tc>
                <w:tcPr>
                  <w:tcW w:w="1324" w:type="dxa"/>
                  <w:noWrap w:val="0"/>
                  <w:vAlign w:val="center"/>
                </w:tcPr>
                <w:p w14:paraId="1A1F5A2B">
                  <w:pPr>
                    <w:jc w:val="center"/>
                    <w:rPr>
                      <w:szCs w:val="21"/>
                    </w:rPr>
                  </w:pPr>
                  <w:r>
                    <w:rPr>
                      <w:szCs w:val="21"/>
                    </w:rPr>
                    <w:t>台</w:t>
                  </w:r>
                </w:p>
              </w:tc>
              <w:tc>
                <w:tcPr>
                  <w:tcW w:w="1324" w:type="dxa"/>
                  <w:noWrap w:val="0"/>
                  <w:vAlign w:val="center"/>
                </w:tcPr>
                <w:p w14:paraId="1E88AA85">
                  <w:pPr>
                    <w:jc w:val="center"/>
                    <w:rPr>
                      <w:szCs w:val="21"/>
                    </w:rPr>
                  </w:pPr>
                  <w:r>
                    <w:rPr>
                      <w:szCs w:val="21"/>
                    </w:rPr>
                    <w:t>2</w:t>
                  </w:r>
                </w:p>
              </w:tc>
              <w:tc>
                <w:tcPr>
                  <w:tcW w:w="1324" w:type="dxa"/>
                  <w:noWrap w:val="0"/>
                  <w:vAlign w:val="center"/>
                </w:tcPr>
                <w:p w14:paraId="5B03483A">
                  <w:pPr>
                    <w:jc w:val="center"/>
                    <w:rPr>
                      <w:szCs w:val="21"/>
                    </w:rPr>
                  </w:pPr>
                  <w:r>
                    <w:rPr>
                      <w:szCs w:val="21"/>
                    </w:rPr>
                    <w:t>600t/h</w:t>
                  </w:r>
                </w:p>
              </w:tc>
            </w:tr>
            <w:tr w14:paraId="045621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top"/>
                </w:tcPr>
                <w:p w14:paraId="04260102">
                  <w:pPr>
                    <w:pStyle w:val="2"/>
                    <w:ind w:firstLine="0"/>
                    <w:jc w:val="center"/>
                  </w:pPr>
                  <w:r>
                    <w:t>5</w:t>
                  </w:r>
                </w:p>
              </w:tc>
              <w:tc>
                <w:tcPr>
                  <w:tcW w:w="1810" w:type="dxa"/>
                  <w:noWrap w:val="0"/>
                  <w:vAlign w:val="center"/>
                </w:tcPr>
                <w:p w14:paraId="62B2B387">
                  <w:pPr>
                    <w:jc w:val="center"/>
                    <w:rPr>
                      <w:szCs w:val="21"/>
                    </w:rPr>
                  </w:pPr>
                  <w:r>
                    <w:rPr>
                      <w:szCs w:val="21"/>
                    </w:rPr>
                    <w:t>水泥筒仓</w:t>
                  </w:r>
                </w:p>
              </w:tc>
              <w:tc>
                <w:tcPr>
                  <w:tcW w:w="1324" w:type="dxa"/>
                  <w:noWrap w:val="0"/>
                  <w:vAlign w:val="center"/>
                </w:tcPr>
                <w:p w14:paraId="37BEF916">
                  <w:pPr>
                    <w:jc w:val="center"/>
                    <w:rPr>
                      <w:szCs w:val="21"/>
                    </w:rPr>
                  </w:pPr>
                  <w:r>
                    <w:rPr>
                      <w:szCs w:val="21"/>
                    </w:rPr>
                    <w:t>座</w:t>
                  </w:r>
                </w:p>
              </w:tc>
              <w:tc>
                <w:tcPr>
                  <w:tcW w:w="1324" w:type="dxa"/>
                  <w:noWrap w:val="0"/>
                  <w:vAlign w:val="center"/>
                </w:tcPr>
                <w:p w14:paraId="434D4666">
                  <w:pPr>
                    <w:jc w:val="center"/>
                    <w:rPr>
                      <w:szCs w:val="21"/>
                    </w:rPr>
                  </w:pPr>
                  <w:r>
                    <w:rPr>
                      <w:szCs w:val="21"/>
                    </w:rPr>
                    <w:t>4</w:t>
                  </w:r>
                </w:p>
              </w:tc>
              <w:tc>
                <w:tcPr>
                  <w:tcW w:w="1324" w:type="dxa"/>
                  <w:noWrap w:val="0"/>
                  <w:vAlign w:val="center"/>
                </w:tcPr>
                <w:p w14:paraId="2F212B0C">
                  <w:pPr>
                    <w:jc w:val="center"/>
                    <w:rPr>
                      <w:szCs w:val="21"/>
                    </w:rPr>
                  </w:pPr>
                  <w:r>
                    <w:rPr>
                      <w:szCs w:val="21"/>
                    </w:rPr>
                    <w:t>200m</w:t>
                  </w:r>
                  <w:r>
                    <w:rPr>
                      <w:szCs w:val="21"/>
                      <w:vertAlign w:val="superscript"/>
                    </w:rPr>
                    <w:t>3</w:t>
                  </w:r>
                </w:p>
              </w:tc>
            </w:tr>
            <w:tr w14:paraId="58AA01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top"/>
                </w:tcPr>
                <w:p w14:paraId="1B9026D6">
                  <w:pPr>
                    <w:pStyle w:val="2"/>
                    <w:ind w:firstLine="0"/>
                    <w:jc w:val="center"/>
                  </w:pPr>
                  <w:r>
                    <w:t>6</w:t>
                  </w:r>
                </w:p>
              </w:tc>
              <w:tc>
                <w:tcPr>
                  <w:tcW w:w="1810" w:type="dxa"/>
                  <w:noWrap w:val="0"/>
                  <w:vAlign w:val="center"/>
                </w:tcPr>
                <w:p w14:paraId="01DCCBDA">
                  <w:pPr>
                    <w:jc w:val="center"/>
                    <w:rPr>
                      <w:szCs w:val="21"/>
                    </w:rPr>
                  </w:pPr>
                  <w:r>
                    <w:rPr>
                      <w:szCs w:val="21"/>
                    </w:rPr>
                    <w:t>粉煤灰筒仓</w:t>
                  </w:r>
                </w:p>
              </w:tc>
              <w:tc>
                <w:tcPr>
                  <w:tcW w:w="1324" w:type="dxa"/>
                  <w:noWrap w:val="0"/>
                  <w:vAlign w:val="center"/>
                </w:tcPr>
                <w:p w14:paraId="6C1F4895">
                  <w:pPr>
                    <w:jc w:val="center"/>
                    <w:rPr>
                      <w:szCs w:val="21"/>
                    </w:rPr>
                  </w:pPr>
                  <w:r>
                    <w:rPr>
                      <w:szCs w:val="21"/>
                    </w:rPr>
                    <w:t>座</w:t>
                  </w:r>
                </w:p>
              </w:tc>
              <w:tc>
                <w:tcPr>
                  <w:tcW w:w="1324" w:type="dxa"/>
                  <w:noWrap w:val="0"/>
                  <w:vAlign w:val="center"/>
                </w:tcPr>
                <w:p w14:paraId="676919C5">
                  <w:pPr>
                    <w:jc w:val="center"/>
                    <w:rPr>
                      <w:szCs w:val="21"/>
                    </w:rPr>
                  </w:pPr>
                  <w:r>
                    <w:rPr>
                      <w:szCs w:val="21"/>
                    </w:rPr>
                    <w:t>4</w:t>
                  </w:r>
                </w:p>
              </w:tc>
              <w:tc>
                <w:tcPr>
                  <w:tcW w:w="1324" w:type="dxa"/>
                  <w:noWrap w:val="0"/>
                  <w:vAlign w:val="center"/>
                </w:tcPr>
                <w:p w14:paraId="47D73171">
                  <w:pPr>
                    <w:jc w:val="center"/>
                    <w:rPr>
                      <w:szCs w:val="21"/>
                    </w:rPr>
                  </w:pPr>
                  <w:r>
                    <w:rPr>
                      <w:szCs w:val="21"/>
                    </w:rPr>
                    <w:t>200m</w:t>
                  </w:r>
                  <w:r>
                    <w:rPr>
                      <w:szCs w:val="21"/>
                      <w:vertAlign w:val="superscript"/>
                    </w:rPr>
                    <w:t>3</w:t>
                  </w:r>
                </w:p>
              </w:tc>
            </w:tr>
            <w:tr w14:paraId="21D94B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top"/>
                </w:tcPr>
                <w:p w14:paraId="620BEB63">
                  <w:pPr>
                    <w:pStyle w:val="2"/>
                    <w:ind w:firstLine="0"/>
                    <w:jc w:val="center"/>
                  </w:pPr>
                  <w:r>
                    <w:t>7</w:t>
                  </w:r>
                </w:p>
              </w:tc>
              <w:tc>
                <w:tcPr>
                  <w:tcW w:w="1810" w:type="dxa"/>
                  <w:noWrap w:val="0"/>
                  <w:vAlign w:val="center"/>
                </w:tcPr>
                <w:p w14:paraId="2A8B7C78">
                  <w:pPr>
                    <w:jc w:val="center"/>
                    <w:rPr>
                      <w:szCs w:val="21"/>
                    </w:rPr>
                  </w:pPr>
                  <w:r>
                    <w:rPr>
                      <w:szCs w:val="21"/>
                    </w:rPr>
                    <w:t>机制砂破碎机</w:t>
                  </w:r>
                </w:p>
              </w:tc>
              <w:tc>
                <w:tcPr>
                  <w:tcW w:w="1324" w:type="dxa"/>
                  <w:noWrap w:val="0"/>
                  <w:vAlign w:val="center"/>
                </w:tcPr>
                <w:p w14:paraId="5B4C65EA">
                  <w:pPr>
                    <w:jc w:val="center"/>
                    <w:rPr>
                      <w:szCs w:val="21"/>
                    </w:rPr>
                  </w:pPr>
                  <w:r>
                    <w:rPr>
                      <w:szCs w:val="21"/>
                    </w:rPr>
                    <w:t>台</w:t>
                  </w:r>
                </w:p>
              </w:tc>
              <w:tc>
                <w:tcPr>
                  <w:tcW w:w="1324" w:type="dxa"/>
                  <w:noWrap w:val="0"/>
                  <w:vAlign w:val="center"/>
                </w:tcPr>
                <w:p w14:paraId="35B3691B">
                  <w:pPr>
                    <w:jc w:val="center"/>
                    <w:rPr>
                      <w:szCs w:val="21"/>
                    </w:rPr>
                  </w:pPr>
                  <w:r>
                    <w:rPr>
                      <w:szCs w:val="21"/>
                    </w:rPr>
                    <w:t>1</w:t>
                  </w:r>
                </w:p>
              </w:tc>
              <w:tc>
                <w:tcPr>
                  <w:tcW w:w="1324" w:type="dxa"/>
                  <w:noWrap w:val="0"/>
                  <w:vAlign w:val="center"/>
                </w:tcPr>
                <w:p w14:paraId="5F8CBAC0">
                  <w:pPr>
                    <w:jc w:val="center"/>
                    <w:rPr>
                      <w:szCs w:val="21"/>
                    </w:rPr>
                  </w:pPr>
                  <w:r>
                    <w:rPr>
                      <w:szCs w:val="21"/>
                    </w:rPr>
                    <w:t>-</w:t>
                  </w:r>
                </w:p>
              </w:tc>
            </w:tr>
            <w:tr w14:paraId="2DFCF3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top"/>
                </w:tcPr>
                <w:p w14:paraId="6F9DBE7B">
                  <w:pPr>
                    <w:pStyle w:val="2"/>
                    <w:ind w:firstLine="0"/>
                    <w:jc w:val="center"/>
                  </w:pPr>
                  <w:r>
                    <w:t>8</w:t>
                  </w:r>
                </w:p>
              </w:tc>
              <w:tc>
                <w:tcPr>
                  <w:tcW w:w="1810" w:type="dxa"/>
                  <w:noWrap w:val="0"/>
                  <w:vAlign w:val="center"/>
                </w:tcPr>
                <w:p w14:paraId="250E51F6">
                  <w:pPr>
                    <w:jc w:val="center"/>
                    <w:rPr>
                      <w:szCs w:val="21"/>
                    </w:rPr>
                  </w:pPr>
                  <w:r>
                    <w:rPr>
                      <w:szCs w:val="21"/>
                    </w:rPr>
                    <w:t>机制砂振动筛</w:t>
                  </w:r>
                </w:p>
              </w:tc>
              <w:tc>
                <w:tcPr>
                  <w:tcW w:w="1324" w:type="dxa"/>
                  <w:noWrap w:val="0"/>
                  <w:vAlign w:val="center"/>
                </w:tcPr>
                <w:p w14:paraId="0BB6F74A">
                  <w:pPr>
                    <w:jc w:val="center"/>
                    <w:rPr>
                      <w:szCs w:val="21"/>
                    </w:rPr>
                  </w:pPr>
                  <w:r>
                    <w:rPr>
                      <w:szCs w:val="21"/>
                    </w:rPr>
                    <w:t>台</w:t>
                  </w:r>
                </w:p>
              </w:tc>
              <w:tc>
                <w:tcPr>
                  <w:tcW w:w="1324" w:type="dxa"/>
                  <w:noWrap w:val="0"/>
                  <w:vAlign w:val="center"/>
                </w:tcPr>
                <w:p w14:paraId="19716178">
                  <w:pPr>
                    <w:jc w:val="center"/>
                    <w:rPr>
                      <w:szCs w:val="21"/>
                    </w:rPr>
                  </w:pPr>
                  <w:r>
                    <w:rPr>
                      <w:szCs w:val="21"/>
                    </w:rPr>
                    <w:t>1</w:t>
                  </w:r>
                </w:p>
              </w:tc>
              <w:tc>
                <w:tcPr>
                  <w:tcW w:w="1324" w:type="dxa"/>
                  <w:noWrap w:val="0"/>
                  <w:vAlign w:val="center"/>
                </w:tcPr>
                <w:p w14:paraId="7B21ABF5">
                  <w:pPr>
                    <w:jc w:val="center"/>
                    <w:rPr>
                      <w:szCs w:val="21"/>
                    </w:rPr>
                  </w:pPr>
                </w:p>
              </w:tc>
            </w:tr>
            <w:tr w14:paraId="62CD99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top"/>
                </w:tcPr>
                <w:p w14:paraId="1CA5CE78">
                  <w:pPr>
                    <w:pStyle w:val="2"/>
                    <w:ind w:firstLine="0"/>
                    <w:jc w:val="center"/>
                  </w:pPr>
                  <w:r>
                    <w:t>9</w:t>
                  </w:r>
                </w:p>
              </w:tc>
              <w:tc>
                <w:tcPr>
                  <w:tcW w:w="1810" w:type="dxa"/>
                  <w:noWrap w:val="0"/>
                  <w:vAlign w:val="center"/>
                </w:tcPr>
                <w:p w14:paraId="5FA60C44">
                  <w:pPr>
                    <w:jc w:val="center"/>
                    <w:rPr>
                      <w:szCs w:val="21"/>
                    </w:rPr>
                  </w:pPr>
                  <w:r>
                    <w:rPr>
                      <w:szCs w:val="21"/>
                    </w:rPr>
                    <w:t>潜水泵</w:t>
                  </w:r>
                </w:p>
              </w:tc>
              <w:tc>
                <w:tcPr>
                  <w:tcW w:w="1324" w:type="dxa"/>
                  <w:noWrap w:val="0"/>
                  <w:vAlign w:val="center"/>
                </w:tcPr>
                <w:p w14:paraId="1CA1CBD6">
                  <w:pPr>
                    <w:jc w:val="center"/>
                    <w:rPr>
                      <w:szCs w:val="21"/>
                    </w:rPr>
                  </w:pPr>
                  <w:r>
                    <w:rPr>
                      <w:szCs w:val="21"/>
                    </w:rPr>
                    <w:t>台</w:t>
                  </w:r>
                </w:p>
              </w:tc>
              <w:tc>
                <w:tcPr>
                  <w:tcW w:w="1324" w:type="dxa"/>
                  <w:noWrap w:val="0"/>
                  <w:vAlign w:val="center"/>
                </w:tcPr>
                <w:p w14:paraId="2C41DF11">
                  <w:pPr>
                    <w:jc w:val="center"/>
                    <w:rPr>
                      <w:szCs w:val="21"/>
                    </w:rPr>
                  </w:pPr>
                  <w:r>
                    <w:rPr>
                      <w:szCs w:val="21"/>
                    </w:rPr>
                    <w:t>1</w:t>
                  </w:r>
                </w:p>
              </w:tc>
              <w:tc>
                <w:tcPr>
                  <w:tcW w:w="1324" w:type="dxa"/>
                  <w:noWrap w:val="0"/>
                  <w:vAlign w:val="center"/>
                </w:tcPr>
                <w:p w14:paraId="4F54239E">
                  <w:pPr>
                    <w:jc w:val="center"/>
                    <w:rPr>
                      <w:szCs w:val="21"/>
                    </w:rPr>
                  </w:pPr>
                  <w:r>
                    <w:rPr>
                      <w:szCs w:val="21"/>
                    </w:rPr>
                    <w:t>65t/h</w:t>
                  </w:r>
                </w:p>
              </w:tc>
            </w:tr>
            <w:tr w14:paraId="27177F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top"/>
                </w:tcPr>
                <w:p w14:paraId="3D71C451">
                  <w:pPr>
                    <w:pStyle w:val="2"/>
                    <w:ind w:firstLine="0"/>
                    <w:jc w:val="center"/>
                  </w:pPr>
                  <w:r>
                    <w:t>10</w:t>
                  </w:r>
                </w:p>
              </w:tc>
              <w:tc>
                <w:tcPr>
                  <w:tcW w:w="1810" w:type="dxa"/>
                  <w:noWrap w:val="0"/>
                  <w:vAlign w:val="center"/>
                </w:tcPr>
                <w:p w14:paraId="10FA77B8">
                  <w:pPr>
                    <w:jc w:val="center"/>
                    <w:rPr>
                      <w:szCs w:val="21"/>
                    </w:rPr>
                  </w:pPr>
                  <w:r>
                    <w:rPr>
                      <w:szCs w:val="21"/>
                    </w:rPr>
                    <w:t>螺旋式空压机</w:t>
                  </w:r>
                </w:p>
              </w:tc>
              <w:tc>
                <w:tcPr>
                  <w:tcW w:w="1324" w:type="dxa"/>
                  <w:noWrap w:val="0"/>
                  <w:vAlign w:val="center"/>
                </w:tcPr>
                <w:p w14:paraId="6F581CDA">
                  <w:pPr>
                    <w:jc w:val="center"/>
                    <w:rPr>
                      <w:szCs w:val="21"/>
                    </w:rPr>
                  </w:pPr>
                  <w:r>
                    <w:rPr>
                      <w:szCs w:val="21"/>
                    </w:rPr>
                    <w:t>台</w:t>
                  </w:r>
                </w:p>
              </w:tc>
              <w:tc>
                <w:tcPr>
                  <w:tcW w:w="1324" w:type="dxa"/>
                  <w:noWrap w:val="0"/>
                  <w:vAlign w:val="center"/>
                </w:tcPr>
                <w:p w14:paraId="6CD61BBA">
                  <w:pPr>
                    <w:jc w:val="center"/>
                    <w:rPr>
                      <w:szCs w:val="21"/>
                    </w:rPr>
                  </w:pPr>
                  <w:r>
                    <w:rPr>
                      <w:szCs w:val="21"/>
                    </w:rPr>
                    <w:t>2</w:t>
                  </w:r>
                </w:p>
              </w:tc>
              <w:tc>
                <w:tcPr>
                  <w:tcW w:w="1324" w:type="dxa"/>
                  <w:noWrap w:val="0"/>
                  <w:vAlign w:val="center"/>
                </w:tcPr>
                <w:p w14:paraId="5CFC8AE9">
                  <w:pPr>
                    <w:jc w:val="center"/>
                    <w:rPr>
                      <w:szCs w:val="21"/>
                    </w:rPr>
                  </w:pPr>
                  <w:r>
                    <w:rPr>
                      <w:szCs w:val="21"/>
                    </w:rPr>
                    <w:t>10m</w:t>
                  </w:r>
                  <w:r>
                    <w:rPr>
                      <w:szCs w:val="21"/>
                      <w:vertAlign w:val="superscript"/>
                    </w:rPr>
                    <w:t>3</w:t>
                  </w:r>
                  <w:r>
                    <w:rPr>
                      <w:szCs w:val="21"/>
                    </w:rPr>
                    <w:t>/min</w:t>
                  </w:r>
                </w:p>
              </w:tc>
            </w:tr>
            <w:tr w14:paraId="3FCC4E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top"/>
                </w:tcPr>
                <w:p w14:paraId="687EE289">
                  <w:pPr>
                    <w:pStyle w:val="2"/>
                    <w:ind w:firstLine="0"/>
                    <w:jc w:val="center"/>
                  </w:pPr>
                  <w:r>
                    <w:t>11</w:t>
                  </w:r>
                </w:p>
              </w:tc>
              <w:tc>
                <w:tcPr>
                  <w:tcW w:w="1810" w:type="dxa"/>
                  <w:noWrap w:val="0"/>
                  <w:vAlign w:val="center"/>
                </w:tcPr>
                <w:p w14:paraId="5D944D10">
                  <w:pPr>
                    <w:jc w:val="center"/>
                    <w:rPr>
                      <w:szCs w:val="21"/>
                    </w:rPr>
                  </w:pPr>
                  <w:r>
                    <w:rPr>
                      <w:szCs w:val="21"/>
                    </w:rPr>
                    <w:t>散装水泥专用车</w:t>
                  </w:r>
                </w:p>
              </w:tc>
              <w:tc>
                <w:tcPr>
                  <w:tcW w:w="1324" w:type="dxa"/>
                  <w:noWrap w:val="0"/>
                  <w:vAlign w:val="center"/>
                </w:tcPr>
                <w:p w14:paraId="6CFD8A11">
                  <w:pPr>
                    <w:jc w:val="center"/>
                    <w:rPr>
                      <w:szCs w:val="21"/>
                    </w:rPr>
                  </w:pPr>
                  <w:r>
                    <w:rPr>
                      <w:szCs w:val="21"/>
                    </w:rPr>
                    <w:t>辆</w:t>
                  </w:r>
                </w:p>
              </w:tc>
              <w:tc>
                <w:tcPr>
                  <w:tcW w:w="1324" w:type="dxa"/>
                  <w:noWrap w:val="0"/>
                  <w:vAlign w:val="center"/>
                </w:tcPr>
                <w:p w14:paraId="408C1358">
                  <w:pPr>
                    <w:jc w:val="center"/>
                    <w:rPr>
                      <w:szCs w:val="21"/>
                    </w:rPr>
                  </w:pPr>
                  <w:r>
                    <w:rPr>
                      <w:szCs w:val="21"/>
                    </w:rPr>
                    <w:t>2</w:t>
                  </w:r>
                </w:p>
              </w:tc>
              <w:tc>
                <w:tcPr>
                  <w:tcW w:w="1324" w:type="dxa"/>
                  <w:noWrap w:val="0"/>
                  <w:vAlign w:val="center"/>
                </w:tcPr>
                <w:p w14:paraId="72F6CE0B">
                  <w:pPr>
                    <w:jc w:val="center"/>
                    <w:rPr>
                      <w:szCs w:val="21"/>
                    </w:rPr>
                  </w:pPr>
                  <w:r>
                    <w:rPr>
                      <w:szCs w:val="21"/>
                    </w:rPr>
                    <w:t>40m</w:t>
                  </w:r>
                  <w:r>
                    <w:rPr>
                      <w:szCs w:val="21"/>
                      <w:vertAlign w:val="superscript"/>
                    </w:rPr>
                    <w:t>3</w:t>
                  </w:r>
                </w:p>
              </w:tc>
            </w:tr>
            <w:tr w14:paraId="4B4ED2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top"/>
                </w:tcPr>
                <w:p w14:paraId="58D40C11">
                  <w:pPr>
                    <w:pStyle w:val="2"/>
                    <w:ind w:firstLine="0"/>
                    <w:jc w:val="center"/>
                  </w:pPr>
                  <w:r>
                    <w:t>12</w:t>
                  </w:r>
                </w:p>
              </w:tc>
              <w:tc>
                <w:tcPr>
                  <w:tcW w:w="1810" w:type="dxa"/>
                  <w:noWrap w:val="0"/>
                  <w:vAlign w:val="center"/>
                </w:tcPr>
                <w:p w14:paraId="1F01A435">
                  <w:pPr>
                    <w:jc w:val="center"/>
                    <w:rPr>
                      <w:szCs w:val="21"/>
                    </w:rPr>
                  </w:pPr>
                  <w:r>
                    <w:rPr>
                      <w:szCs w:val="21"/>
                    </w:rPr>
                    <w:t>装载机</w:t>
                  </w:r>
                </w:p>
              </w:tc>
              <w:tc>
                <w:tcPr>
                  <w:tcW w:w="1324" w:type="dxa"/>
                  <w:noWrap w:val="0"/>
                  <w:vAlign w:val="center"/>
                </w:tcPr>
                <w:p w14:paraId="1E3D284B">
                  <w:pPr>
                    <w:jc w:val="center"/>
                    <w:rPr>
                      <w:szCs w:val="21"/>
                    </w:rPr>
                  </w:pPr>
                  <w:r>
                    <w:rPr>
                      <w:szCs w:val="21"/>
                    </w:rPr>
                    <w:t>辆</w:t>
                  </w:r>
                </w:p>
              </w:tc>
              <w:tc>
                <w:tcPr>
                  <w:tcW w:w="1324" w:type="dxa"/>
                  <w:noWrap w:val="0"/>
                  <w:vAlign w:val="center"/>
                </w:tcPr>
                <w:p w14:paraId="63EF4651">
                  <w:pPr>
                    <w:jc w:val="center"/>
                    <w:rPr>
                      <w:szCs w:val="21"/>
                    </w:rPr>
                  </w:pPr>
                  <w:r>
                    <w:rPr>
                      <w:szCs w:val="21"/>
                    </w:rPr>
                    <w:t>2</w:t>
                  </w:r>
                </w:p>
              </w:tc>
              <w:tc>
                <w:tcPr>
                  <w:tcW w:w="1324" w:type="dxa"/>
                  <w:noWrap w:val="0"/>
                  <w:vAlign w:val="center"/>
                </w:tcPr>
                <w:p w14:paraId="00B202B0">
                  <w:pPr>
                    <w:jc w:val="center"/>
                    <w:rPr>
                      <w:szCs w:val="21"/>
                    </w:rPr>
                  </w:pPr>
                  <w:r>
                    <w:rPr>
                      <w:szCs w:val="21"/>
                    </w:rPr>
                    <w:t>Z5</w:t>
                  </w:r>
                </w:p>
              </w:tc>
            </w:tr>
            <w:tr w14:paraId="7F76BC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top"/>
                </w:tcPr>
                <w:p w14:paraId="70A7C455">
                  <w:pPr>
                    <w:pStyle w:val="2"/>
                    <w:ind w:firstLine="0"/>
                    <w:jc w:val="center"/>
                  </w:pPr>
                  <w:r>
                    <w:t>13</w:t>
                  </w:r>
                </w:p>
              </w:tc>
              <w:tc>
                <w:tcPr>
                  <w:tcW w:w="1810" w:type="dxa"/>
                  <w:noWrap w:val="0"/>
                  <w:vAlign w:val="center"/>
                </w:tcPr>
                <w:p w14:paraId="6418BF89">
                  <w:pPr>
                    <w:jc w:val="center"/>
                    <w:rPr>
                      <w:szCs w:val="21"/>
                    </w:rPr>
                  </w:pPr>
                  <w:r>
                    <w:rPr>
                      <w:szCs w:val="21"/>
                    </w:rPr>
                    <w:t>混凝土搅拌车</w:t>
                  </w:r>
                </w:p>
              </w:tc>
              <w:tc>
                <w:tcPr>
                  <w:tcW w:w="1324" w:type="dxa"/>
                  <w:noWrap w:val="0"/>
                  <w:vAlign w:val="center"/>
                </w:tcPr>
                <w:p w14:paraId="505FE1C2">
                  <w:pPr>
                    <w:jc w:val="center"/>
                    <w:rPr>
                      <w:szCs w:val="21"/>
                    </w:rPr>
                  </w:pPr>
                  <w:r>
                    <w:rPr>
                      <w:szCs w:val="21"/>
                    </w:rPr>
                    <w:t>辆</w:t>
                  </w:r>
                </w:p>
              </w:tc>
              <w:tc>
                <w:tcPr>
                  <w:tcW w:w="1324" w:type="dxa"/>
                  <w:noWrap w:val="0"/>
                  <w:vAlign w:val="center"/>
                </w:tcPr>
                <w:p w14:paraId="0721C3E8">
                  <w:pPr>
                    <w:jc w:val="center"/>
                    <w:rPr>
                      <w:szCs w:val="21"/>
                    </w:rPr>
                  </w:pPr>
                  <w:r>
                    <w:rPr>
                      <w:szCs w:val="21"/>
                    </w:rPr>
                    <w:t>10</w:t>
                  </w:r>
                </w:p>
              </w:tc>
              <w:tc>
                <w:tcPr>
                  <w:tcW w:w="1324" w:type="dxa"/>
                  <w:noWrap w:val="0"/>
                  <w:vAlign w:val="center"/>
                </w:tcPr>
                <w:p w14:paraId="2CCA8D8D">
                  <w:pPr>
                    <w:jc w:val="center"/>
                    <w:rPr>
                      <w:szCs w:val="21"/>
                    </w:rPr>
                  </w:pPr>
                  <w:r>
                    <w:rPr>
                      <w:szCs w:val="21"/>
                    </w:rPr>
                    <w:t>8-12m</w:t>
                  </w:r>
                  <w:r>
                    <w:rPr>
                      <w:szCs w:val="21"/>
                      <w:vertAlign w:val="superscript"/>
                    </w:rPr>
                    <w:t>3</w:t>
                  </w:r>
                </w:p>
              </w:tc>
            </w:tr>
            <w:tr w14:paraId="15C517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top"/>
                </w:tcPr>
                <w:p w14:paraId="6880EC17">
                  <w:pPr>
                    <w:pStyle w:val="2"/>
                    <w:ind w:firstLine="0"/>
                    <w:jc w:val="center"/>
                  </w:pPr>
                  <w:r>
                    <w:t>14</w:t>
                  </w:r>
                </w:p>
              </w:tc>
              <w:tc>
                <w:tcPr>
                  <w:tcW w:w="1810" w:type="dxa"/>
                  <w:noWrap w:val="0"/>
                  <w:vAlign w:val="center"/>
                </w:tcPr>
                <w:p w14:paraId="1867688E">
                  <w:pPr>
                    <w:jc w:val="center"/>
                    <w:rPr>
                      <w:szCs w:val="21"/>
                    </w:rPr>
                  </w:pPr>
                  <w:r>
                    <w:rPr>
                      <w:szCs w:val="21"/>
                    </w:rPr>
                    <w:t>混凝土泵车</w:t>
                  </w:r>
                </w:p>
              </w:tc>
              <w:tc>
                <w:tcPr>
                  <w:tcW w:w="1324" w:type="dxa"/>
                  <w:noWrap w:val="0"/>
                  <w:vAlign w:val="center"/>
                </w:tcPr>
                <w:p w14:paraId="46153DD9">
                  <w:pPr>
                    <w:jc w:val="center"/>
                    <w:rPr>
                      <w:szCs w:val="21"/>
                    </w:rPr>
                  </w:pPr>
                  <w:r>
                    <w:rPr>
                      <w:szCs w:val="21"/>
                    </w:rPr>
                    <w:t>辆</w:t>
                  </w:r>
                </w:p>
              </w:tc>
              <w:tc>
                <w:tcPr>
                  <w:tcW w:w="1324" w:type="dxa"/>
                  <w:noWrap w:val="0"/>
                  <w:vAlign w:val="center"/>
                </w:tcPr>
                <w:p w14:paraId="3E397270">
                  <w:pPr>
                    <w:jc w:val="center"/>
                    <w:rPr>
                      <w:szCs w:val="21"/>
                    </w:rPr>
                  </w:pPr>
                  <w:r>
                    <w:rPr>
                      <w:szCs w:val="21"/>
                    </w:rPr>
                    <w:t>1</w:t>
                  </w:r>
                </w:p>
              </w:tc>
              <w:tc>
                <w:tcPr>
                  <w:tcW w:w="1324" w:type="dxa"/>
                  <w:noWrap w:val="0"/>
                  <w:vAlign w:val="center"/>
                </w:tcPr>
                <w:p w14:paraId="08CCB5B6">
                  <w:pPr>
                    <w:jc w:val="center"/>
                    <w:rPr>
                      <w:szCs w:val="21"/>
                    </w:rPr>
                  </w:pPr>
                  <w:r>
                    <w:rPr>
                      <w:szCs w:val="21"/>
                    </w:rPr>
                    <w:t>37-56m</w:t>
                  </w:r>
                </w:p>
              </w:tc>
            </w:tr>
            <w:tr w14:paraId="4C6BB6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8" w:type="dxa"/>
                  <w:noWrap w:val="0"/>
                  <w:vAlign w:val="top"/>
                </w:tcPr>
                <w:p w14:paraId="55216659">
                  <w:pPr>
                    <w:pStyle w:val="2"/>
                    <w:ind w:firstLine="0"/>
                    <w:jc w:val="center"/>
                  </w:pPr>
                  <w:r>
                    <w:t>15</w:t>
                  </w:r>
                </w:p>
              </w:tc>
              <w:tc>
                <w:tcPr>
                  <w:tcW w:w="1810" w:type="dxa"/>
                  <w:noWrap w:val="0"/>
                  <w:vAlign w:val="center"/>
                </w:tcPr>
                <w:p w14:paraId="179B94EB">
                  <w:pPr>
                    <w:jc w:val="center"/>
                    <w:rPr>
                      <w:szCs w:val="21"/>
                    </w:rPr>
                  </w:pPr>
                  <w:r>
                    <w:rPr>
                      <w:szCs w:val="21"/>
                    </w:rPr>
                    <w:t>混凝土拖泵</w:t>
                  </w:r>
                </w:p>
              </w:tc>
              <w:tc>
                <w:tcPr>
                  <w:tcW w:w="1324" w:type="dxa"/>
                  <w:noWrap w:val="0"/>
                  <w:vAlign w:val="center"/>
                </w:tcPr>
                <w:p w14:paraId="16786E72">
                  <w:pPr>
                    <w:jc w:val="center"/>
                    <w:rPr>
                      <w:szCs w:val="21"/>
                    </w:rPr>
                  </w:pPr>
                  <w:r>
                    <w:rPr>
                      <w:szCs w:val="21"/>
                    </w:rPr>
                    <w:t>台</w:t>
                  </w:r>
                </w:p>
              </w:tc>
              <w:tc>
                <w:tcPr>
                  <w:tcW w:w="1324" w:type="dxa"/>
                  <w:noWrap w:val="0"/>
                  <w:vAlign w:val="center"/>
                </w:tcPr>
                <w:p w14:paraId="339C3900">
                  <w:pPr>
                    <w:jc w:val="center"/>
                    <w:rPr>
                      <w:szCs w:val="21"/>
                    </w:rPr>
                  </w:pPr>
                  <w:r>
                    <w:rPr>
                      <w:szCs w:val="21"/>
                    </w:rPr>
                    <w:t>8</w:t>
                  </w:r>
                </w:p>
              </w:tc>
              <w:tc>
                <w:tcPr>
                  <w:tcW w:w="1324" w:type="dxa"/>
                  <w:noWrap w:val="0"/>
                  <w:vAlign w:val="center"/>
                </w:tcPr>
                <w:p w14:paraId="6E1F0438">
                  <w:pPr>
                    <w:jc w:val="center"/>
                    <w:rPr>
                      <w:szCs w:val="21"/>
                    </w:rPr>
                  </w:pPr>
                  <w:r>
                    <w:rPr>
                      <w:szCs w:val="21"/>
                    </w:rPr>
                    <w:t>-</w:t>
                  </w:r>
                </w:p>
              </w:tc>
            </w:tr>
          </w:tbl>
          <w:p w14:paraId="46882CA5">
            <w:pPr>
              <w:adjustRightInd w:val="0"/>
              <w:snapToGrid w:val="0"/>
              <w:spacing w:line="360" w:lineRule="auto"/>
              <w:rPr>
                <w:b/>
                <w:bCs/>
                <w:sz w:val="24"/>
              </w:rPr>
            </w:pPr>
            <w:r>
              <w:rPr>
                <w:b/>
                <w:bCs/>
                <w:sz w:val="24"/>
              </w:rPr>
              <w:t>3.产品方案</w:t>
            </w:r>
          </w:p>
          <w:p w14:paraId="7320BF76">
            <w:pPr>
              <w:spacing w:line="360" w:lineRule="auto"/>
              <w:jc w:val="center"/>
              <w:rPr>
                <w:b/>
                <w:bCs/>
                <w:sz w:val="24"/>
              </w:rPr>
            </w:pPr>
            <w:r>
              <w:rPr>
                <w:b/>
                <w:bCs/>
                <w:sz w:val="24"/>
              </w:rPr>
              <w:t>表2-3  本项目生产规模及产品方案</w:t>
            </w:r>
          </w:p>
          <w:tbl>
            <w:tblPr>
              <w:tblStyle w:val="11"/>
              <w:tblW w:w="794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5"/>
              <w:gridCol w:w="851"/>
              <w:gridCol w:w="1909"/>
              <w:gridCol w:w="688"/>
              <w:gridCol w:w="960"/>
              <w:gridCol w:w="2852"/>
            </w:tblGrid>
            <w:tr w14:paraId="6F3B7E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5" w:type="dxa"/>
                  <w:noWrap w:val="0"/>
                  <w:vAlign w:val="center"/>
                </w:tcPr>
                <w:p w14:paraId="4773E926">
                  <w:pPr>
                    <w:jc w:val="center"/>
                    <w:rPr>
                      <w:bCs/>
                      <w:szCs w:val="21"/>
                    </w:rPr>
                  </w:pPr>
                </w:p>
                <w:p w14:paraId="2D9D0B85">
                  <w:pPr>
                    <w:pStyle w:val="5"/>
                    <w:ind w:firstLine="480"/>
                    <w:rPr>
                      <w:lang w:val="en-US" w:eastAsia="zh-CN"/>
                    </w:rPr>
                  </w:pPr>
                </w:p>
              </w:tc>
              <w:tc>
                <w:tcPr>
                  <w:tcW w:w="851" w:type="dxa"/>
                  <w:noWrap w:val="0"/>
                  <w:vAlign w:val="center"/>
                </w:tcPr>
                <w:p w14:paraId="34C365BD">
                  <w:pPr>
                    <w:jc w:val="center"/>
                    <w:rPr>
                      <w:bCs/>
                      <w:szCs w:val="21"/>
                    </w:rPr>
                  </w:pPr>
                  <w:r>
                    <w:rPr>
                      <w:bCs/>
                      <w:szCs w:val="21"/>
                    </w:rPr>
                    <w:t>名称</w:t>
                  </w:r>
                </w:p>
              </w:tc>
              <w:tc>
                <w:tcPr>
                  <w:tcW w:w="1909" w:type="dxa"/>
                  <w:noWrap w:val="0"/>
                  <w:vAlign w:val="center"/>
                </w:tcPr>
                <w:p w14:paraId="45285084">
                  <w:pPr>
                    <w:jc w:val="center"/>
                    <w:rPr>
                      <w:bCs/>
                      <w:szCs w:val="21"/>
                    </w:rPr>
                  </w:pPr>
                  <w:r>
                    <w:rPr>
                      <w:bCs/>
                      <w:szCs w:val="21"/>
                    </w:rPr>
                    <w:t>规格</w:t>
                  </w:r>
                </w:p>
              </w:tc>
              <w:tc>
                <w:tcPr>
                  <w:tcW w:w="688" w:type="dxa"/>
                  <w:noWrap w:val="0"/>
                  <w:vAlign w:val="center"/>
                </w:tcPr>
                <w:p w14:paraId="4FF92A34">
                  <w:pPr>
                    <w:jc w:val="center"/>
                    <w:rPr>
                      <w:bCs/>
                      <w:szCs w:val="21"/>
                    </w:rPr>
                  </w:pPr>
                  <w:r>
                    <w:rPr>
                      <w:bCs/>
                      <w:szCs w:val="21"/>
                    </w:rPr>
                    <w:t>单位</w:t>
                  </w:r>
                </w:p>
              </w:tc>
              <w:tc>
                <w:tcPr>
                  <w:tcW w:w="960" w:type="dxa"/>
                  <w:noWrap w:val="0"/>
                  <w:vAlign w:val="center"/>
                </w:tcPr>
                <w:p w14:paraId="766D3C59">
                  <w:pPr>
                    <w:jc w:val="center"/>
                    <w:rPr>
                      <w:bCs/>
                      <w:szCs w:val="21"/>
                    </w:rPr>
                  </w:pPr>
                  <w:r>
                    <w:rPr>
                      <w:bCs/>
                      <w:szCs w:val="21"/>
                    </w:rPr>
                    <w:t>数量</w:t>
                  </w:r>
                </w:p>
              </w:tc>
              <w:tc>
                <w:tcPr>
                  <w:tcW w:w="2852" w:type="dxa"/>
                  <w:noWrap w:val="0"/>
                  <w:vAlign w:val="center"/>
                </w:tcPr>
                <w:p w14:paraId="46B1D01E">
                  <w:pPr>
                    <w:jc w:val="center"/>
                    <w:rPr>
                      <w:bCs/>
                      <w:szCs w:val="21"/>
                    </w:rPr>
                  </w:pPr>
                  <w:r>
                    <w:rPr>
                      <w:bCs/>
                      <w:szCs w:val="21"/>
                    </w:rPr>
                    <w:t>备注</w:t>
                  </w:r>
                </w:p>
              </w:tc>
            </w:tr>
            <w:tr w14:paraId="04B0FD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5" w:type="dxa"/>
                  <w:noWrap w:val="0"/>
                  <w:vAlign w:val="center"/>
                </w:tcPr>
                <w:p w14:paraId="38895998">
                  <w:pPr>
                    <w:jc w:val="center"/>
                    <w:rPr>
                      <w:bCs/>
                      <w:szCs w:val="21"/>
                    </w:rPr>
                  </w:pPr>
                  <w:r>
                    <w:rPr>
                      <w:bCs/>
                      <w:szCs w:val="21"/>
                    </w:rPr>
                    <w:t>1</w:t>
                  </w:r>
                </w:p>
              </w:tc>
              <w:tc>
                <w:tcPr>
                  <w:tcW w:w="851" w:type="dxa"/>
                  <w:noWrap w:val="0"/>
                  <w:vAlign w:val="center"/>
                </w:tcPr>
                <w:p w14:paraId="0A57299C">
                  <w:pPr>
                    <w:jc w:val="center"/>
                    <w:rPr>
                      <w:bCs/>
                      <w:szCs w:val="21"/>
                    </w:rPr>
                  </w:pPr>
                  <w:r>
                    <w:rPr>
                      <w:bCs/>
                      <w:szCs w:val="21"/>
                    </w:rPr>
                    <w:t>预拌混凝土</w:t>
                  </w:r>
                </w:p>
              </w:tc>
              <w:tc>
                <w:tcPr>
                  <w:tcW w:w="1909" w:type="dxa"/>
                  <w:noWrap w:val="0"/>
                  <w:vAlign w:val="center"/>
                </w:tcPr>
                <w:p w14:paraId="182D8C3B">
                  <w:pPr>
                    <w:jc w:val="center"/>
                    <w:rPr>
                      <w:bCs/>
                      <w:szCs w:val="21"/>
                    </w:rPr>
                  </w:pPr>
                  <w:r>
                    <w:rPr>
                      <w:bCs/>
                      <w:szCs w:val="21"/>
                    </w:rPr>
                    <w:t>根据实际需求生产</w:t>
                  </w:r>
                </w:p>
              </w:tc>
              <w:tc>
                <w:tcPr>
                  <w:tcW w:w="688" w:type="dxa"/>
                  <w:noWrap w:val="0"/>
                  <w:vAlign w:val="center"/>
                </w:tcPr>
                <w:p w14:paraId="2E778E73">
                  <w:pPr>
                    <w:jc w:val="center"/>
                    <w:rPr>
                      <w:bCs/>
                      <w:szCs w:val="21"/>
                    </w:rPr>
                  </w:pPr>
                  <w:r>
                    <w:rPr>
                      <w:bCs/>
                      <w:szCs w:val="21"/>
                    </w:rPr>
                    <w:t>m</w:t>
                  </w:r>
                  <w:r>
                    <w:rPr>
                      <w:bCs/>
                      <w:szCs w:val="21"/>
                      <w:vertAlign w:val="superscript"/>
                    </w:rPr>
                    <w:t>3</w:t>
                  </w:r>
                  <w:r>
                    <w:rPr>
                      <w:bCs/>
                      <w:szCs w:val="21"/>
                    </w:rPr>
                    <w:t>/a</w:t>
                  </w:r>
                </w:p>
              </w:tc>
              <w:tc>
                <w:tcPr>
                  <w:tcW w:w="960" w:type="dxa"/>
                  <w:noWrap w:val="0"/>
                  <w:vAlign w:val="center"/>
                </w:tcPr>
                <w:p w14:paraId="23906FD5">
                  <w:pPr>
                    <w:jc w:val="center"/>
                    <w:rPr>
                      <w:bCs/>
                      <w:szCs w:val="21"/>
                    </w:rPr>
                  </w:pPr>
                  <w:r>
                    <w:rPr>
                      <w:bCs/>
                      <w:szCs w:val="21"/>
                    </w:rPr>
                    <w:t>400000</w:t>
                  </w:r>
                </w:p>
              </w:tc>
              <w:tc>
                <w:tcPr>
                  <w:tcW w:w="2852" w:type="dxa"/>
                  <w:noWrap w:val="0"/>
                  <w:vAlign w:val="center"/>
                </w:tcPr>
                <w:p w14:paraId="75BB3577">
                  <w:pPr>
                    <w:jc w:val="center"/>
                    <w:rPr>
                      <w:bCs/>
                      <w:szCs w:val="21"/>
                    </w:rPr>
                  </w:pPr>
                  <w:r>
                    <w:rPr>
                      <w:bCs/>
                      <w:szCs w:val="21"/>
                    </w:rPr>
                    <w:t>外售</w:t>
                  </w:r>
                </w:p>
              </w:tc>
            </w:tr>
          </w:tbl>
          <w:p w14:paraId="0D158CA3">
            <w:pPr>
              <w:pStyle w:val="2"/>
              <w:ind w:firstLine="0"/>
              <w:rPr>
                <w:b/>
                <w:bCs/>
              </w:rPr>
            </w:pPr>
            <w:r>
              <w:rPr>
                <w:b/>
                <w:bCs/>
              </w:rPr>
              <w:t>4.主要原辅料</w:t>
            </w:r>
          </w:p>
          <w:p w14:paraId="5007B15F">
            <w:pPr>
              <w:spacing w:line="360" w:lineRule="auto"/>
              <w:jc w:val="center"/>
              <w:rPr>
                <w:b/>
                <w:bCs/>
                <w:sz w:val="24"/>
              </w:rPr>
            </w:pPr>
            <w:r>
              <w:rPr>
                <w:b/>
                <w:bCs/>
                <w:sz w:val="24"/>
              </w:rPr>
              <w:t>表2-4  本项目所需主要原辅料</w:t>
            </w:r>
          </w:p>
          <w:tbl>
            <w:tblPr>
              <w:tblStyle w:val="11"/>
              <w:tblW w:w="7945"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9"/>
              <w:gridCol w:w="1999"/>
              <w:gridCol w:w="1589"/>
              <w:gridCol w:w="1171"/>
              <w:gridCol w:w="2007"/>
            </w:tblGrid>
            <w:tr w14:paraId="170F5E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9" w:type="dxa"/>
                  <w:noWrap w:val="0"/>
                  <w:vAlign w:val="center"/>
                </w:tcPr>
                <w:p w14:paraId="6F7AB836">
                  <w:pPr>
                    <w:spacing w:line="0" w:lineRule="atLeast"/>
                    <w:jc w:val="center"/>
                    <w:rPr>
                      <w:szCs w:val="21"/>
                    </w:rPr>
                  </w:pPr>
                  <w:r>
                    <w:rPr>
                      <w:szCs w:val="21"/>
                    </w:rPr>
                    <w:t>序号</w:t>
                  </w:r>
                </w:p>
              </w:tc>
              <w:tc>
                <w:tcPr>
                  <w:tcW w:w="1999" w:type="dxa"/>
                  <w:noWrap w:val="0"/>
                  <w:vAlign w:val="center"/>
                </w:tcPr>
                <w:p w14:paraId="1D902DC6">
                  <w:pPr>
                    <w:spacing w:line="0" w:lineRule="atLeast"/>
                    <w:jc w:val="center"/>
                    <w:rPr>
                      <w:szCs w:val="21"/>
                    </w:rPr>
                  </w:pPr>
                  <w:r>
                    <w:rPr>
                      <w:szCs w:val="21"/>
                    </w:rPr>
                    <w:t>主要原辅材料名称</w:t>
                  </w:r>
                </w:p>
              </w:tc>
              <w:tc>
                <w:tcPr>
                  <w:tcW w:w="1589" w:type="dxa"/>
                  <w:noWrap w:val="0"/>
                  <w:vAlign w:val="center"/>
                </w:tcPr>
                <w:p w14:paraId="75E897E1">
                  <w:pPr>
                    <w:spacing w:line="0" w:lineRule="atLeast"/>
                    <w:jc w:val="center"/>
                    <w:rPr>
                      <w:szCs w:val="21"/>
                    </w:rPr>
                  </w:pPr>
                  <w:r>
                    <w:rPr>
                      <w:szCs w:val="21"/>
                    </w:rPr>
                    <w:t>单位</w:t>
                  </w:r>
                </w:p>
              </w:tc>
              <w:tc>
                <w:tcPr>
                  <w:tcW w:w="1171" w:type="dxa"/>
                  <w:noWrap w:val="0"/>
                  <w:vAlign w:val="center"/>
                </w:tcPr>
                <w:p w14:paraId="1D5E8100">
                  <w:pPr>
                    <w:spacing w:line="0" w:lineRule="atLeast"/>
                    <w:jc w:val="center"/>
                    <w:rPr>
                      <w:szCs w:val="21"/>
                    </w:rPr>
                  </w:pPr>
                  <w:r>
                    <w:rPr>
                      <w:szCs w:val="21"/>
                    </w:rPr>
                    <w:t>年消耗量</w:t>
                  </w:r>
                </w:p>
              </w:tc>
              <w:tc>
                <w:tcPr>
                  <w:tcW w:w="2007" w:type="dxa"/>
                  <w:noWrap w:val="0"/>
                  <w:vAlign w:val="center"/>
                </w:tcPr>
                <w:p w14:paraId="2BD5EFB4">
                  <w:pPr>
                    <w:spacing w:line="0" w:lineRule="atLeast"/>
                    <w:jc w:val="center"/>
                    <w:rPr>
                      <w:szCs w:val="21"/>
                    </w:rPr>
                  </w:pPr>
                  <w:r>
                    <w:rPr>
                      <w:szCs w:val="21"/>
                    </w:rPr>
                    <w:t>备注</w:t>
                  </w:r>
                </w:p>
              </w:tc>
            </w:tr>
            <w:tr w14:paraId="585A4B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trPr>
              <w:tc>
                <w:tcPr>
                  <w:tcW w:w="1179" w:type="dxa"/>
                  <w:noWrap w:val="0"/>
                  <w:vAlign w:val="top"/>
                </w:tcPr>
                <w:p w14:paraId="0436188C">
                  <w:pPr>
                    <w:spacing w:line="0" w:lineRule="atLeast"/>
                    <w:jc w:val="center"/>
                    <w:rPr>
                      <w:szCs w:val="21"/>
                    </w:rPr>
                  </w:pPr>
                  <w:r>
                    <w:rPr>
                      <w:szCs w:val="21"/>
                    </w:rPr>
                    <w:t>1</w:t>
                  </w:r>
                </w:p>
              </w:tc>
              <w:tc>
                <w:tcPr>
                  <w:tcW w:w="1999" w:type="dxa"/>
                  <w:noWrap w:val="0"/>
                  <w:vAlign w:val="top"/>
                </w:tcPr>
                <w:p w14:paraId="201E4F6A">
                  <w:pPr>
                    <w:spacing w:line="0" w:lineRule="atLeast"/>
                    <w:jc w:val="center"/>
                    <w:rPr>
                      <w:szCs w:val="21"/>
                    </w:rPr>
                  </w:pPr>
                  <w:r>
                    <w:rPr>
                      <w:szCs w:val="21"/>
                    </w:rPr>
                    <w:t>水泥</w:t>
                  </w:r>
                </w:p>
              </w:tc>
              <w:tc>
                <w:tcPr>
                  <w:tcW w:w="1589" w:type="dxa"/>
                  <w:noWrap w:val="0"/>
                  <w:vAlign w:val="top"/>
                </w:tcPr>
                <w:p w14:paraId="2239B485">
                  <w:pPr>
                    <w:spacing w:line="0" w:lineRule="atLeast"/>
                    <w:jc w:val="center"/>
                    <w:rPr>
                      <w:szCs w:val="21"/>
                    </w:rPr>
                  </w:pPr>
                  <w:r>
                    <w:rPr>
                      <w:szCs w:val="21"/>
                    </w:rPr>
                    <w:t>t/a</w:t>
                  </w:r>
                </w:p>
              </w:tc>
              <w:tc>
                <w:tcPr>
                  <w:tcW w:w="1171" w:type="dxa"/>
                  <w:noWrap w:val="0"/>
                  <w:vAlign w:val="top"/>
                </w:tcPr>
                <w:p w14:paraId="59CA8AED">
                  <w:pPr>
                    <w:spacing w:line="0" w:lineRule="atLeast"/>
                    <w:jc w:val="center"/>
                    <w:rPr>
                      <w:szCs w:val="21"/>
                    </w:rPr>
                  </w:pPr>
                  <w:r>
                    <w:rPr>
                      <w:szCs w:val="21"/>
                    </w:rPr>
                    <w:t>140070</w:t>
                  </w:r>
                </w:p>
              </w:tc>
              <w:tc>
                <w:tcPr>
                  <w:tcW w:w="2007" w:type="dxa"/>
                  <w:noWrap w:val="0"/>
                  <w:vAlign w:val="top"/>
                </w:tcPr>
                <w:p w14:paraId="25D1B5B0">
                  <w:pPr>
                    <w:spacing w:line="0" w:lineRule="atLeast"/>
                    <w:jc w:val="center"/>
                    <w:rPr>
                      <w:szCs w:val="21"/>
                    </w:rPr>
                  </w:pPr>
                  <w:r>
                    <w:rPr>
                      <w:szCs w:val="21"/>
                    </w:rPr>
                    <w:t>外购</w:t>
                  </w:r>
                </w:p>
              </w:tc>
            </w:tr>
            <w:tr w14:paraId="54AD10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9" w:type="dxa"/>
                  <w:noWrap w:val="0"/>
                  <w:vAlign w:val="top"/>
                </w:tcPr>
                <w:p w14:paraId="501171E8">
                  <w:pPr>
                    <w:spacing w:line="0" w:lineRule="atLeast"/>
                    <w:jc w:val="center"/>
                    <w:rPr>
                      <w:szCs w:val="21"/>
                    </w:rPr>
                  </w:pPr>
                  <w:r>
                    <w:rPr>
                      <w:szCs w:val="21"/>
                    </w:rPr>
                    <w:t>2</w:t>
                  </w:r>
                </w:p>
              </w:tc>
              <w:tc>
                <w:tcPr>
                  <w:tcW w:w="1999" w:type="dxa"/>
                  <w:noWrap w:val="0"/>
                  <w:vAlign w:val="top"/>
                </w:tcPr>
                <w:p w14:paraId="4EB33337">
                  <w:pPr>
                    <w:spacing w:line="0" w:lineRule="atLeast"/>
                    <w:jc w:val="center"/>
                    <w:rPr>
                      <w:szCs w:val="21"/>
                    </w:rPr>
                  </w:pPr>
                  <w:r>
                    <w:rPr>
                      <w:szCs w:val="21"/>
                    </w:rPr>
                    <w:t>粉煤灰</w:t>
                  </w:r>
                </w:p>
              </w:tc>
              <w:tc>
                <w:tcPr>
                  <w:tcW w:w="1589" w:type="dxa"/>
                  <w:noWrap w:val="0"/>
                  <w:vAlign w:val="top"/>
                </w:tcPr>
                <w:p w14:paraId="6D1AC03B">
                  <w:pPr>
                    <w:spacing w:line="0" w:lineRule="atLeast"/>
                    <w:jc w:val="center"/>
                    <w:rPr>
                      <w:szCs w:val="21"/>
                    </w:rPr>
                  </w:pPr>
                  <w:r>
                    <w:rPr>
                      <w:szCs w:val="21"/>
                    </w:rPr>
                    <w:t>t/a</w:t>
                  </w:r>
                </w:p>
              </w:tc>
              <w:tc>
                <w:tcPr>
                  <w:tcW w:w="1171" w:type="dxa"/>
                  <w:noWrap w:val="0"/>
                  <w:vAlign w:val="top"/>
                </w:tcPr>
                <w:p w14:paraId="5F10E850">
                  <w:pPr>
                    <w:spacing w:line="0" w:lineRule="atLeast"/>
                    <w:jc w:val="center"/>
                    <w:rPr>
                      <w:szCs w:val="21"/>
                    </w:rPr>
                  </w:pPr>
                  <w:r>
                    <w:rPr>
                      <w:szCs w:val="21"/>
                    </w:rPr>
                    <w:t>32004</w:t>
                  </w:r>
                </w:p>
              </w:tc>
              <w:tc>
                <w:tcPr>
                  <w:tcW w:w="2007" w:type="dxa"/>
                  <w:noWrap w:val="0"/>
                  <w:vAlign w:val="top"/>
                </w:tcPr>
                <w:p w14:paraId="7FFC3680">
                  <w:pPr>
                    <w:spacing w:line="0" w:lineRule="atLeast"/>
                    <w:jc w:val="center"/>
                    <w:rPr>
                      <w:szCs w:val="21"/>
                    </w:rPr>
                  </w:pPr>
                  <w:r>
                    <w:rPr>
                      <w:szCs w:val="21"/>
                    </w:rPr>
                    <w:t>外购</w:t>
                  </w:r>
                </w:p>
              </w:tc>
            </w:tr>
            <w:tr w14:paraId="3CA0BA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9" w:type="dxa"/>
                  <w:noWrap w:val="0"/>
                  <w:vAlign w:val="center"/>
                </w:tcPr>
                <w:p w14:paraId="106FE2F9">
                  <w:pPr>
                    <w:spacing w:line="0" w:lineRule="atLeast"/>
                    <w:jc w:val="center"/>
                    <w:rPr>
                      <w:szCs w:val="21"/>
                    </w:rPr>
                  </w:pPr>
                  <w:r>
                    <w:rPr>
                      <w:szCs w:val="21"/>
                    </w:rPr>
                    <w:t>3</w:t>
                  </w:r>
                </w:p>
              </w:tc>
              <w:tc>
                <w:tcPr>
                  <w:tcW w:w="1999" w:type="dxa"/>
                  <w:noWrap w:val="0"/>
                  <w:vAlign w:val="center"/>
                </w:tcPr>
                <w:p w14:paraId="7760B084">
                  <w:pPr>
                    <w:spacing w:line="0" w:lineRule="atLeast"/>
                    <w:jc w:val="center"/>
                    <w:rPr>
                      <w:szCs w:val="21"/>
                    </w:rPr>
                  </w:pPr>
                  <w:r>
                    <w:rPr>
                      <w:szCs w:val="21"/>
                    </w:rPr>
                    <w:t>废石（砂子）</w:t>
                  </w:r>
                </w:p>
              </w:tc>
              <w:tc>
                <w:tcPr>
                  <w:tcW w:w="1589" w:type="dxa"/>
                  <w:noWrap w:val="0"/>
                  <w:vAlign w:val="center"/>
                </w:tcPr>
                <w:p w14:paraId="3E211132">
                  <w:pPr>
                    <w:spacing w:line="0" w:lineRule="atLeast"/>
                    <w:jc w:val="center"/>
                    <w:rPr>
                      <w:szCs w:val="21"/>
                    </w:rPr>
                  </w:pPr>
                  <w:r>
                    <w:rPr>
                      <w:szCs w:val="21"/>
                    </w:rPr>
                    <w:t>t/a</w:t>
                  </w:r>
                </w:p>
              </w:tc>
              <w:tc>
                <w:tcPr>
                  <w:tcW w:w="1171" w:type="dxa"/>
                  <w:noWrap w:val="0"/>
                  <w:vAlign w:val="center"/>
                </w:tcPr>
                <w:p w14:paraId="78A77E70">
                  <w:pPr>
                    <w:spacing w:line="0" w:lineRule="atLeast"/>
                    <w:jc w:val="center"/>
                    <w:rPr>
                      <w:szCs w:val="21"/>
                    </w:rPr>
                  </w:pPr>
                  <w:r>
                    <w:rPr>
                      <w:szCs w:val="21"/>
                    </w:rPr>
                    <w:t>294037</w:t>
                  </w:r>
                </w:p>
              </w:tc>
              <w:tc>
                <w:tcPr>
                  <w:tcW w:w="2007" w:type="dxa"/>
                  <w:noWrap w:val="0"/>
                  <w:vAlign w:val="top"/>
                </w:tcPr>
                <w:p w14:paraId="393144C7">
                  <w:pPr>
                    <w:spacing w:line="0" w:lineRule="atLeast"/>
                    <w:jc w:val="center"/>
                    <w:rPr>
                      <w:szCs w:val="21"/>
                    </w:rPr>
                  </w:pPr>
                  <w:r>
                    <w:rPr>
                      <w:szCs w:val="21"/>
                    </w:rPr>
                    <w:t>废石在厂区破碎后使用</w:t>
                  </w:r>
                </w:p>
              </w:tc>
            </w:tr>
            <w:tr w14:paraId="5DEDF7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9" w:type="dxa"/>
                  <w:noWrap w:val="0"/>
                  <w:vAlign w:val="top"/>
                </w:tcPr>
                <w:p w14:paraId="774D5230">
                  <w:pPr>
                    <w:spacing w:line="0" w:lineRule="atLeast"/>
                    <w:jc w:val="center"/>
                    <w:rPr>
                      <w:szCs w:val="21"/>
                    </w:rPr>
                  </w:pPr>
                  <w:r>
                    <w:rPr>
                      <w:szCs w:val="21"/>
                    </w:rPr>
                    <w:t>4</w:t>
                  </w:r>
                </w:p>
              </w:tc>
              <w:tc>
                <w:tcPr>
                  <w:tcW w:w="1999" w:type="dxa"/>
                  <w:noWrap w:val="0"/>
                  <w:vAlign w:val="top"/>
                </w:tcPr>
                <w:p w14:paraId="180E2B2C">
                  <w:pPr>
                    <w:spacing w:line="0" w:lineRule="atLeast"/>
                    <w:jc w:val="center"/>
                    <w:rPr>
                      <w:szCs w:val="21"/>
                    </w:rPr>
                  </w:pPr>
                  <w:r>
                    <w:rPr>
                      <w:szCs w:val="21"/>
                    </w:rPr>
                    <w:t>碎石</w:t>
                  </w:r>
                </w:p>
              </w:tc>
              <w:tc>
                <w:tcPr>
                  <w:tcW w:w="1589" w:type="dxa"/>
                  <w:noWrap w:val="0"/>
                  <w:vAlign w:val="top"/>
                </w:tcPr>
                <w:p w14:paraId="791EDF01">
                  <w:pPr>
                    <w:spacing w:line="0" w:lineRule="atLeast"/>
                    <w:jc w:val="center"/>
                    <w:rPr>
                      <w:szCs w:val="21"/>
                    </w:rPr>
                  </w:pPr>
                  <w:r>
                    <w:rPr>
                      <w:szCs w:val="21"/>
                    </w:rPr>
                    <w:t>t/a</w:t>
                  </w:r>
                </w:p>
              </w:tc>
              <w:tc>
                <w:tcPr>
                  <w:tcW w:w="1171" w:type="dxa"/>
                  <w:noWrap w:val="0"/>
                  <w:vAlign w:val="top"/>
                </w:tcPr>
                <w:p w14:paraId="7E1EEA67">
                  <w:pPr>
                    <w:spacing w:line="0" w:lineRule="atLeast"/>
                    <w:jc w:val="center"/>
                    <w:rPr>
                      <w:szCs w:val="21"/>
                    </w:rPr>
                  </w:pPr>
                  <w:r>
                    <w:rPr>
                      <w:szCs w:val="21"/>
                    </w:rPr>
                    <w:t>443310</w:t>
                  </w:r>
                </w:p>
              </w:tc>
              <w:tc>
                <w:tcPr>
                  <w:tcW w:w="2007" w:type="dxa"/>
                  <w:noWrap w:val="0"/>
                  <w:vAlign w:val="top"/>
                </w:tcPr>
                <w:p w14:paraId="4FEF3920">
                  <w:pPr>
                    <w:spacing w:line="0" w:lineRule="atLeast"/>
                    <w:jc w:val="center"/>
                    <w:rPr>
                      <w:szCs w:val="21"/>
                    </w:rPr>
                  </w:pPr>
                  <w:r>
                    <w:rPr>
                      <w:szCs w:val="21"/>
                    </w:rPr>
                    <w:t>外购</w:t>
                  </w:r>
                </w:p>
              </w:tc>
            </w:tr>
            <w:tr w14:paraId="1C3C04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9" w:type="dxa"/>
                  <w:noWrap w:val="0"/>
                  <w:vAlign w:val="top"/>
                </w:tcPr>
                <w:p w14:paraId="4DDDF75D">
                  <w:pPr>
                    <w:spacing w:line="0" w:lineRule="atLeast"/>
                    <w:jc w:val="center"/>
                    <w:rPr>
                      <w:szCs w:val="21"/>
                    </w:rPr>
                  </w:pPr>
                  <w:r>
                    <w:rPr>
                      <w:szCs w:val="21"/>
                    </w:rPr>
                    <w:t>5</w:t>
                  </w:r>
                </w:p>
              </w:tc>
              <w:tc>
                <w:tcPr>
                  <w:tcW w:w="1999" w:type="dxa"/>
                  <w:noWrap w:val="0"/>
                  <w:vAlign w:val="top"/>
                </w:tcPr>
                <w:p w14:paraId="5F3302B2">
                  <w:pPr>
                    <w:spacing w:line="0" w:lineRule="atLeast"/>
                    <w:jc w:val="center"/>
                    <w:rPr>
                      <w:szCs w:val="21"/>
                    </w:rPr>
                  </w:pPr>
                  <w:r>
                    <w:rPr>
                      <w:szCs w:val="21"/>
                    </w:rPr>
                    <w:t>水</w:t>
                  </w:r>
                </w:p>
              </w:tc>
              <w:tc>
                <w:tcPr>
                  <w:tcW w:w="1589" w:type="dxa"/>
                  <w:noWrap w:val="0"/>
                  <w:vAlign w:val="top"/>
                </w:tcPr>
                <w:p w14:paraId="16454A69">
                  <w:pPr>
                    <w:spacing w:line="0" w:lineRule="atLeast"/>
                    <w:jc w:val="center"/>
                    <w:rPr>
                      <w:szCs w:val="21"/>
                    </w:rPr>
                  </w:pPr>
                  <w:r>
                    <w:rPr>
                      <w:szCs w:val="21"/>
                    </w:rPr>
                    <w:t>m</w:t>
                  </w:r>
                  <w:r>
                    <w:rPr>
                      <w:szCs w:val="21"/>
                      <w:vertAlign w:val="superscript"/>
                    </w:rPr>
                    <w:t>3</w:t>
                  </w:r>
                  <w:r>
                    <w:rPr>
                      <w:szCs w:val="21"/>
                    </w:rPr>
                    <w:t>/a</w:t>
                  </w:r>
                </w:p>
              </w:tc>
              <w:tc>
                <w:tcPr>
                  <w:tcW w:w="1171" w:type="dxa"/>
                  <w:noWrap w:val="0"/>
                  <w:vAlign w:val="top"/>
                </w:tcPr>
                <w:p w14:paraId="68C8FDEA">
                  <w:pPr>
                    <w:spacing w:line="0" w:lineRule="atLeast"/>
                    <w:jc w:val="center"/>
                    <w:rPr>
                      <w:szCs w:val="21"/>
                    </w:rPr>
                  </w:pPr>
                  <w:r>
                    <w:rPr>
                      <w:szCs w:val="21"/>
                    </w:rPr>
                    <w:t>68735</w:t>
                  </w:r>
                </w:p>
              </w:tc>
              <w:tc>
                <w:tcPr>
                  <w:tcW w:w="2007" w:type="dxa"/>
                  <w:noWrap w:val="0"/>
                  <w:vAlign w:val="top"/>
                </w:tcPr>
                <w:p w14:paraId="367F5034">
                  <w:pPr>
                    <w:spacing w:line="0" w:lineRule="atLeast"/>
                    <w:jc w:val="center"/>
                    <w:rPr>
                      <w:szCs w:val="21"/>
                    </w:rPr>
                  </w:pPr>
                  <w:r>
                    <w:rPr>
                      <w:szCs w:val="21"/>
                    </w:rPr>
                    <w:t>园区供应</w:t>
                  </w:r>
                </w:p>
              </w:tc>
            </w:tr>
            <w:tr w14:paraId="107825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9" w:type="dxa"/>
                  <w:noWrap w:val="0"/>
                  <w:vAlign w:val="top"/>
                </w:tcPr>
                <w:p w14:paraId="5A1929B7">
                  <w:pPr>
                    <w:spacing w:line="0" w:lineRule="atLeast"/>
                    <w:jc w:val="center"/>
                    <w:rPr>
                      <w:szCs w:val="21"/>
                    </w:rPr>
                  </w:pPr>
                  <w:r>
                    <w:rPr>
                      <w:szCs w:val="21"/>
                    </w:rPr>
                    <w:t>6</w:t>
                  </w:r>
                </w:p>
              </w:tc>
              <w:tc>
                <w:tcPr>
                  <w:tcW w:w="1999" w:type="dxa"/>
                  <w:noWrap w:val="0"/>
                  <w:vAlign w:val="top"/>
                </w:tcPr>
                <w:p w14:paraId="7050430B">
                  <w:pPr>
                    <w:spacing w:line="0" w:lineRule="atLeast"/>
                    <w:jc w:val="center"/>
                    <w:rPr>
                      <w:szCs w:val="21"/>
                    </w:rPr>
                  </w:pPr>
                  <w:r>
                    <w:rPr>
                      <w:szCs w:val="21"/>
                    </w:rPr>
                    <w:t>减水剂</w:t>
                  </w:r>
                </w:p>
              </w:tc>
              <w:tc>
                <w:tcPr>
                  <w:tcW w:w="1589" w:type="dxa"/>
                  <w:noWrap w:val="0"/>
                  <w:vAlign w:val="top"/>
                </w:tcPr>
                <w:p w14:paraId="6E73D65C">
                  <w:pPr>
                    <w:spacing w:line="0" w:lineRule="atLeast"/>
                    <w:jc w:val="center"/>
                    <w:rPr>
                      <w:szCs w:val="21"/>
                    </w:rPr>
                  </w:pPr>
                  <w:r>
                    <w:rPr>
                      <w:szCs w:val="21"/>
                    </w:rPr>
                    <w:t>t/a</w:t>
                  </w:r>
                </w:p>
              </w:tc>
              <w:tc>
                <w:tcPr>
                  <w:tcW w:w="1171" w:type="dxa"/>
                  <w:noWrap w:val="0"/>
                  <w:vAlign w:val="top"/>
                </w:tcPr>
                <w:p w14:paraId="727DABFB">
                  <w:pPr>
                    <w:spacing w:line="0" w:lineRule="atLeast"/>
                    <w:jc w:val="center"/>
                    <w:rPr>
                      <w:szCs w:val="21"/>
                    </w:rPr>
                  </w:pPr>
                  <w:r>
                    <w:rPr>
                      <w:szCs w:val="21"/>
                    </w:rPr>
                    <w:t>800</w:t>
                  </w:r>
                </w:p>
              </w:tc>
              <w:tc>
                <w:tcPr>
                  <w:tcW w:w="2007" w:type="dxa"/>
                  <w:noWrap w:val="0"/>
                  <w:vAlign w:val="top"/>
                </w:tcPr>
                <w:p w14:paraId="64F6CC91">
                  <w:pPr>
                    <w:spacing w:line="0" w:lineRule="atLeast"/>
                    <w:jc w:val="center"/>
                    <w:rPr>
                      <w:szCs w:val="21"/>
                    </w:rPr>
                  </w:pPr>
                  <w:r>
                    <w:rPr>
                      <w:szCs w:val="21"/>
                    </w:rPr>
                    <w:t>外购</w:t>
                  </w:r>
                </w:p>
              </w:tc>
            </w:tr>
            <w:tr w14:paraId="689B02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7945" w:type="dxa"/>
                  <w:gridSpan w:val="5"/>
                  <w:noWrap w:val="0"/>
                  <w:vAlign w:val="top"/>
                </w:tcPr>
                <w:p w14:paraId="2A1D170D">
                  <w:pPr>
                    <w:spacing w:line="0" w:lineRule="atLeast"/>
                    <w:jc w:val="center"/>
                    <w:rPr>
                      <w:rFonts w:hint="default" w:eastAsia="宋体"/>
                      <w:szCs w:val="21"/>
                      <w:lang w:val="en-US" w:eastAsia="zh-CN"/>
                    </w:rPr>
                  </w:pPr>
                  <w:r>
                    <w:rPr>
                      <w:rFonts w:hint="eastAsia"/>
                      <w:szCs w:val="21"/>
                      <w:lang w:val="en-US" w:eastAsia="zh-CN"/>
                    </w:rPr>
                    <w:t>混凝土密度按2.45t/m</w:t>
                  </w:r>
                  <w:r>
                    <w:rPr>
                      <w:rFonts w:hint="eastAsia"/>
                      <w:szCs w:val="21"/>
                      <w:vertAlign w:val="superscript"/>
                      <w:lang w:val="en-US" w:eastAsia="zh-CN"/>
                    </w:rPr>
                    <w:t>3</w:t>
                  </w:r>
                  <w:r>
                    <w:rPr>
                      <w:rFonts w:hint="eastAsia"/>
                      <w:szCs w:val="21"/>
                      <w:vertAlign w:val="baseline"/>
                      <w:lang w:val="en-US" w:eastAsia="zh-CN"/>
                    </w:rPr>
                    <w:t>计算</w:t>
                  </w:r>
                </w:p>
              </w:tc>
            </w:tr>
          </w:tbl>
          <w:p w14:paraId="3D35A6D5">
            <w:pPr>
              <w:adjustRightInd w:val="0"/>
              <w:snapToGrid w:val="0"/>
              <w:spacing w:line="360" w:lineRule="auto"/>
              <w:rPr>
                <w:b/>
                <w:sz w:val="24"/>
              </w:rPr>
            </w:pPr>
            <w:r>
              <w:rPr>
                <w:b/>
                <w:sz w:val="24"/>
              </w:rPr>
              <w:t>5.劳动定员及工作制度</w:t>
            </w:r>
          </w:p>
          <w:p w14:paraId="61FE66D2">
            <w:pPr>
              <w:adjustRightInd w:val="0"/>
              <w:snapToGrid w:val="0"/>
              <w:spacing w:line="360" w:lineRule="auto"/>
              <w:ind w:firstLine="480" w:firstLineChars="200"/>
              <w:rPr>
                <w:bCs/>
                <w:sz w:val="24"/>
              </w:rPr>
            </w:pPr>
            <w:r>
              <w:rPr>
                <w:bCs/>
                <w:sz w:val="24"/>
              </w:rPr>
              <w:t>本项目总劳动定员为80人，其中生产工人为60人，管理人员为20人，每日生产8小时，年生产210天。</w:t>
            </w:r>
          </w:p>
          <w:p w14:paraId="2F103FFE">
            <w:pPr>
              <w:adjustRightInd w:val="0"/>
              <w:snapToGrid w:val="0"/>
              <w:spacing w:line="360" w:lineRule="auto"/>
              <w:rPr>
                <w:b/>
                <w:sz w:val="24"/>
              </w:rPr>
            </w:pPr>
            <w:r>
              <w:rPr>
                <w:b/>
                <w:sz w:val="24"/>
              </w:rPr>
              <w:t>6.公用工程</w:t>
            </w:r>
          </w:p>
          <w:p w14:paraId="020E7A38">
            <w:pPr>
              <w:adjustRightInd w:val="0"/>
              <w:snapToGrid w:val="0"/>
              <w:spacing w:line="360" w:lineRule="auto"/>
              <w:rPr>
                <w:bCs/>
                <w:sz w:val="24"/>
              </w:rPr>
            </w:pPr>
            <w:r>
              <w:rPr>
                <w:bCs/>
                <w:sz w:val="24"/>
              </w:rPr>
              <w:t>（1）供水</w:t>
            </w:r>
          </w:p>
          <w:p w14:paraId="163497FB">
            <w:pPr>
              <w:adjustRightInd w:val="0"/>
              <w:snapToGrid w:val="0"/>
              <w:spacing w:line="360" w:lineRule="auto"/>
              <w:ind w:firstLine="480" w:firstLineChars="200"/>
              <w:rPr>
                <w:bCs/>
                <w:sz w:val="24"/>
              </w:rPr>
            </w:pPr>
            <w:r>
              <w:rPr>
                <w:bCs/>
                <w:sz w:val="24"/>
              </w:rPr>
              <w:t>①生活用水</w:t>
            </w:r>
          </w:p>
          <w:p w14:paraId="47B0E476">
            <w:pPr>
              <w:adjustRightInd w:val="0"/>
              <w:snapToGrid w:val="0"/>
              <w:spacing w:line="360" w:lineRule="auto"/>
              <w:ind w:firstLine="480" w:firstLineChars="200"/>
              <w:rPr>
                <w:bCs/>
                <w:sz w:val="24"/>
              </w:rPr>
            </w:pPr>
            <w:r>
              <w:rPr>
                <w:bCs/>
                <w:sz w:val="24"/>
              </w:rPr>
              <w:t>全厂共80人，参照内蒙古自治区地方标准《行业用水定额》（DB15/T 385-2020），用水定额按60L/d·人计，则全厂生活用水量为4.8m</w:t>
            </w:r>
            <w:r>
              <w:rPr>
                <w:bCs/>
                <w:sz w:val="24"/>
                <w:vertAlign w:val="superscript"/>
              </w:rPr>
              <w:t>3</w:t>
            </w:r>
            <w:r>
              <w:rPr>
                <w:bCs/>
                <w:sz w:val="24"/>
              </w:rPr>
              <w:t>/d（1008m</w:t>
            </w:r>
            <w:r>
              <w:rPr>
                <w:bCs/>
                <w:sz w:val="24"/>
                <w:vertAlign w:val="superscript"/>
              </w:rPr>
              <w:t>3</w:t>
            </w:r>
            <w:r>
              <w:rPr>
                <w:bCs/>
                <w:sz w:val="24"/>
              </w:rPr>
              <w:t>/a），生活用水来自园区自来水管网。</w:t>
            </w:r>
          </w:p>
          <w:p w14:paraId="24D3AFC3">
            <w:pPr>
              <w:adjustRightInd w:val="0"/>
              <w:snapToGrid w:val="0"/>
              <w:spacing w:line="360" w:lineRule="auto"/>
              <w:ind w:firstLine="480" w:firstLineChars="200"/>
              <w:rPr>
                <w:bCs/>
                <w:sz w:val="24"/>
              </w:rPr>
            </w:pPr>
            <w:r>
              <w:rPr>
                <w:bCs/>
                <w:sz w:val="24"/>
              </w:rPr>
              <w:t>②生产用水</w:t>
            </w:r>
          </w:p>
          <w:p w14:paraId="2E84609A">
            <w:pPr>
              <w:adjustRightInd w:val="0"/>
              <w:snapToGrid w:val="0"/>
              <w:spacing w:line="360" w:lineRule="auto"/>
              <w:ind w:firstLine="480" w:firstLineChars="200"/>
              <w:rPr>
                <w:bCs/>
                <w:sz w:val="24"/>
              </w:rPr>
            </w:pPr>
            <w:r>
              <w:rPr>
                <w:bCs/>
                <w:sz w:val="24"/>
              </w:rPr>
              <w:t>生产用水主要为混凝土搅拌用水、厂区抑尘水、设备冲洗水，共</w:t>
            </w:r>
            <w:r>
              <w:rPr>
                <w:sz w:val="24"/>
              </w:rPr>
              <w:t>70100m</w:t>
            </w:r>
            <w:r>
              <w:rPr>
                <w:sz w:val="24"/>
                <w:vertAlign w:val="superscript"/>
              </w:rPr>
              <w:t>3</w:t>
            </w:r>
            <w:r>
              <w:rPr>
                <w:sz w:val="24"/>
              </w:rPr>
              <w:t>/a，来自鄂尔多斯市水投鄂旗水务公司。</w:t>
            </w:r>
          </w:p>
          <w:p w14:paraId="26BB8459">
            <w:pPr>
              <w:adjustRightInd w:val="0"/>
              <w:snapToGrid w:val="0"/>
              <w:spacing w:line="360" w:lineRule="auto"/>
              <w:ind w:firstLine="480" w:firstLineChars="200"/>
              <w:rPr>
                <w:bCs/>
                <w:sz w:val="24"/>
              </w:rPr>
            </w:pPr>
            <w:r>
              <w:rPr>
                <w:bCs/>
                <w:sz w:val="24"/>
              </w:rPr>
              <w:t>A搅拌用水</w:t>
            </w:r>
          </w:p>
          <w:p w14:paraId="662A4F4E">
            <w:pPr>
              <w:pStyle w:val="2"/>
            </w:pPr>
            <w:r>
              <w:rPr>
                <w:bCs/>
              </w:rPr>
              <w:t>混凝土搅拌用水量为68735</w:t>
            </w:r>
            <w:r>
              <w:t>m</w:t>
            </w:r>
            <w:r>
              <w:rPr>
                <w:vertAlign w:val="superscript"/>
              </w:rPr>
              <w:t>3</w:t>
            </w:r>
            <w:r>
              <w:t>/a。</w:t>
            </w:r>
          </w:p>
          <w:p w14:paraId="407008F0">
            <w:pPr>
              <w:adjustRightInd w:val="0"/>
              <w:snapToGrid w:val="0"/>
              <w:spacing w:line="360" w:lineRule="auto"/>
              <w:ind w:firstLine="480" w:firstLineChars="200"/>
              <w:rPr>
                <w:bCs/>
                <w:sz w:val="24"/>
              </w:rPr>
            </w:pPr>
            <w:r>
              <w:rPr>
                <w:bCs/>
                <w:sz w:val="24"/>
              </w:rPr>
              <w:t>B抑尘用水</w:t>
            </w:r>
          </w:p>
          <w:p w14:paraId="27EC3170">
            <w:pPr>
              <w:adjustRightInd w:val="0"/>
              <w:snapToGrid w:val="0"/>
              <w:spacing w:line="360" w:lineRule="auto"/>
              <w:ind w:firstLine="480" w:firstLineChars="200"/>
              <w:rPr>
                <w:bCs/>
                <w:sz w:val="24"/>
              </w:rPr>
            </w:pPr>
            <w:r>
              <w:rPr>
                <w:sz w:val="24"/>
              </w:rPr>
              <w:t>储料</w:t>
            </w:r>
            <w:r>
              <w:rPr>
                <w:rFonts w:hint="eastAsia"/>
                <w:sz w:val="24"/>
                <w:lang w:eastAsia="zh-CN"/>
              </w:rPr>
              <w:t>棚</w:t>
            </w:r>
            <w:r>
              <w:rPr>
                <w:sz w:val="24"/>
              </w:rPr>
              <w:t>占地面积为6300m</w:t>
            </w:r>
            <w:r>
              <w:rPr>
                <w:sz w:val="24"/>
                <w:vertAlign w:val="superscript"/>
              </w:rPr>
              <w:t>2</w:t>
            </w:r>
            <w:r>
              <w:rPr>
                <w:sz w:val="24"/>
              </w:rPr>
              <w:t>，由于原料堆存、装运过程均会产生粉尘，因此须对储料棚进行洒水降尘。洒水量按1L/m</w:t>
            </w:r>
            <w:r>
              <w:rPr>
                <w:sz w:val="24"/>
                <w:vertAlign w:val="superscript"/>
              </w:rPr>
              <w:t>2</w:t>
            </w:r>
            <w:r>
              <w:rPr>
                <w:sz w:val="24"/>
              </w:rPr>
              <w:t>·</w:t>
            </w:r>
            <w:r>
              <w:t>d</w:t>
            </w:r>
            <w:r>
              <w:rPr>
                <w:sz w:val="24"/>
              </w:rPr>
              <w:t>计，年工作210天，则储料场及全封闭储棚洒水用量约为6.3m</w:t>
            </w:r>
            <w:r>
              <w:rPr>
                <w:sz w:val="24"/>
                <w:vertAlign w:val="superscript"/>
              </w:rPr>
              <w:t>3</w:t>
            </w:r>
            <w:r>
              <w:rPr>
                <w:sz w:val="24"/>
              </w:rPr>
              <w:t>/d（1323m</w:t>
            </w:r>
            <w:r>
              <w:rPr>
                <w:sz w:val="24"/>
                <w:vertAlign w:val="superscript"/>
              </w:rPr>
              <w:t>3</w:t>
            </w:r>
            <w:r>
              <w:rPr>
                <w:sz w:val="24"/>
              </w:rPr>
              <w:t>/a），全部蒸发损失，不排放。</w:t>
            </w:r>
          </w:p>
          <w:p w14:paraId="2BEB1BB2">
            <w:pPr>
              <w:adjustRightInd w:val="0"/>
              <w:snapToGrid w:val="0"/>
              <w:spacing w:line="360" w:lineRule="auto"/>
              <w:ind w:firstLine="480" w:firstLineChars="200"/>
              <w:rPr>
                <w:bCs/>
                <w:sz w:val="24"/>
              </w:rPr>
            </w:pPr>
            <w:r>
              <w:rPr>
                <w:bCs/>
                <w:sz w:val="24"/>
              </w:rPr>
              <w:t>C设备清洗用水</w:t>
            </w:r>
          </w:p>
          <w:p w14:paraId="11E65739">
            <w:pPr>
              <w:adjustRightInd w:val="0"/>
              <w:snapToGrid w:val="0"/>
              <w:spacing w:line="360" w:lineRule="auto"/>
              <w:ind w:firstLine="480" w:firstLineChars="200"/>
              <w:rPr>
                <w:bCs/>
                <w:color w:val="auto"/>
                <w:sz w:val="24"/>
              </w:rPr>
            </w:pPr>
            <w:r>
              <w:rPr>
                <w:bCs/>
                <w:sz w:val="24"/>
              </w:rPr>
              <w:t>搅拌机为本项目主要生产设备。搅拌机在暂时停止生产时必须冲洗干净。按搅拌机平均每二天冲洗一次，</w:t>
            </w:r>
            <w:r>
              <w:rPr>
                <w:bCs/>
                <w:color w:val="auto"/>
                <w:sz w:val="24"/>
              </w:rPr>
              <w:t>每次冲洗水2.0</w:t>
            </w:r>
            <w:r>
              <w:rPr>
                <w:rFonts w:hint="eastAsia"/>
                <w:bCs/>
                <w:color w:val="auto"/>
                <w:sz w:val="24"/>
                <w:lang w:val="en-US" w:eastAsia="zh-CN"/>
              </w:rPr>
              <w:t>m</w:t>
            </w:r>
            <w:r>
              <w:rPr>
                <w:rFonts w:hint="eastAsia"/>
                <w:bCs/>
                <w:color w:val="auto"/>
                <w:sz w:val="24"/>
                <w:vertAlign w:val="superscript"/>
                <w:lang w:val="en-US" w:eastAsia="zh-CN"/>
              </w:rPr>
              <w:t>3</w:t>
            </w:r>
            <w:r>
              <w:rPr>
                <w:bCs/>
                <w:color w:val="auto"/>
                <w:sz w:val="24"/>
              </w:rPr>
              <w:t>/次计，搅拌机冲洗水用量为1.0</w:t>
            </w:r>
            <w:r>
              <w:rPr>
                <w:rFonts w:hint="eastAsia"/>
                <w:bCs/>
                <w:color w:val="auto"/>
                <w:sz w:val="24"/>
                <w:lang w:val="en-US" w:eastAsia="zh-CN"/>
              </w:rPr>
              <w:t>m</w:t>
            </w:r>
            <w:r>
              <w:rPr>
                <w:rFonts w:hint="eastAsia"/>
                <w:bCs/>
                <w:color w:val="auto"/>
                <w:sz w:val="24"/>
                <w:vertAlign w:val="superscript"/>
                <w:lang w:val="en-US" w:eastAsia="zh-CN"/>
              </w:rPr>
              <w:t>3</w:t>
            </w:r>
            <w:r>
              <w:rPr>
                <w:bCs/>
                <w:color w:val="auto"/>
                <w:sz w:val="24"/>
              </w:rPr>
              <w:t>/d（210t/a），清洗水全部收集至沉淀池沉淀回用，因此运行过程中实际设备冲洗用水量为水消耗后的补充量，即42</w:t>
            </w:r>
            <w:r>
              <w:rPr>
                <w:rFonts w:hint="eastAsia"/>
                <w:bCs/>
                <w:color w:val="auto"/>
                <w:sz w:val="24"/>
                <w:lang w:val="en-US" w:eastAsia="zh-CN"/>
              </w:rPr>
              <w:t>m</w:t>
            </w:r>
            <w:r>
              <w:rPr>
                <w:rFonts w:hint="eastAsia"/>
                <w:bCs/>
                <w:color w:val="auto"/>
                <w:sz w:val="24"/>
                <w:vertAlign w:val="superscript"/>
                <w:lang w:val="en-US" w:eastAsia="zh-CN"/>
              </w:rPr>
              <w:t>3</w:t>
            </w:r>
            <w:r>
              <w:rPr>
                <w:bCs/>
                <w:color w:val="auto"/>
                <w:sz w:val="24"/>
              </w:rPr>
              <w:t>/a。</w:t>
            </w:r>
          </w:p>
          <w:p w14:paraId="5C44E64A">
            <w:pPr>
              <w:adjustRightInd w:val="0"/>
              <w:snapToGrid w:val="0"/>
              <w:spacing w:line="360" w:lineRule="auto"/>
              <w:rPr>
                <w:bCs/>
                <w:color w:val="auto"/>
                <w:sz w:val="24"/>
              </w:rPr>
            </w:pPr>
            <w:r>
              <w:rPr>
                <w:bCs/>
                <w:color w:val="auto"/>
                <w:sz w:val="24"/>
              </w:rPr>
              <w:t>（2）排水</w:t>
            </w:r>
          </w:p>
          <w:p w14:paraId="5766BB26">
            <w:pPr>
              <w:adjustRightInd w:val="0"/>
              <w:snapToGrid w:val="0"/>
              <w:spacing w:line="360" w:lineRule="auto"/>
              <w:ind w:firstLine="480" w:firstLineChars="200"/>
              <w:rPr>
                <w:rFonts w:hint="default" w:eastAsia="宋体"/>
                <w:color w:val="auto"/>
                <w:sz w:val="24"/>
                <w:lang w:val="en-US" w:eastAsia="zh-CN"/>
              </w:rPr>
            </w:pPr>
            <w:r>
              <w:rPr>
                <w:color w:val="auto"/>
                <w:sz w:val="24"/>
              </w:rPr>
              <w:t>项目生产废水全部回用不外排，生活污水按用水量的80%计，产生量为</w:t>
            </w:r>
            <w:r>
              <w:rPr>
                <w:rFonts w:hint="eastAsia"/>
                <w:color w:val="auto"/>
                <w:sz w:val="24"/>
                <w:lang w:val="en-US" w:eastAsia="zh-CN"/>
              </w:rPr>
              <w:t>3.84</w:t>
            </w:r>
            <w:r>
              <w:rPr>
                <w:color w:val="auto"/>
                <w:sz w:val="24"/>
              </w:rPr>
              <w:t>m</w:t>
            </w:r>
            <w:r>
              <w:rPr>
                <w:color w:val="auto"/>
                <w:sz w:val="24"/>
                <w:vertAlign w:val="superscript"/>
              </w:rPr>
              <w:t>3</w:t>
            </w:r>
            <w:r>
              <w:rPr>
                <w:color w:val="auto"/>
                <w:sz w:val="24"/>
              </w:rPr>
              <w:t>/d（</w:t>
            </w:r>
            <w:r>
              <w:rPr>
                <w:rFonts w:hint="eastAsia"/>
                <w:color w:val="auto"/>
                <w:sz w:val="24"/>
                <w:lang w:val="en-US" w:eastAsia="zh-CN"/>
              </w:rPr>
              <w:t>806.4</w:t>
            </w:r>
            <w:r>
              <w:rPr>
                <w:color w:val="auto"/>
                <w:sz w:val="24"/>
              </w:rPr>
              <w:t>m</w:t>
            </w:r>
            <w:r>
              <w:rPr>
                <w:color w:val="auto"/>
                <w:sz w:val="24"/>
                <w:vertAlign w:val="superscript"/>
              </w:rPr>
              <w:t>3</w:t>
            </w:r>
            <w:r>
              <w:rPr>
                <w:color w:val="auto"/>
                <w:sz w:val="24"/>
              </w:rPr>
              <w:t>/a），通过园区管网排放至园区污水处理厂。</w:t>
            </w:r>
            <w:r>
              <w:rPr>
                <w:rFonts w:hint="eastAsia"/>
                <w:color w:val="auto"/>
                <w:sz w:val="24"/>
                <w:lang w:val="en-US" w:eastAsia="zh-CN"/>
              </w:rPr>
              <w:t>本项目水平衡见下图2-1。</w:t>
            </w:r>
          </w:p>
          <w:p w14:paraId="0C592D9C">
            <w:pPr>
              <w:pStyle w:val="5"/>
              <w:ind w:left="0" w:leftChars="0" w:firstLine="0" w:firstLineChars="0"/>
              <w:jc w:val="center"/>
            </w:pPr>
            <w:r>
              <w:drawing>
                <wp:inline distT="0" distB="0" distL="114300" distR="114300">
                  <wp:extent cx="4378325" cy="4295140"/>
                  <wp:effectExtent l="0" t="0" r="3175" b="1016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9"/>
                          <a:stretch>
                            <a:fillRect/>
                          </a:stretch>
                        </pic:blipFill>
                        <pic:spPr>
                          <a:xfrm>
                            <a:off x="0" y="0"/>
                            <a:ext cx="4378325" cy="4295140"/>
                          </a:xfrm>
                          <a:prstGeom prst="rect">
                            <a:avLst/>
                          </a:prstGeom>
                          <a:noFill/>
                          <a:ln>
                            <a:noFill/>
                          </a:ln>
                        </pic:spPr>
                      </pic:pic>
                    </a:graphicData>
                  </a:graphic>
                </wp:inline>
              </w:drawing>
            </w:r>
          </w:p>
          <w:p w14:paraId="63829879">
            <w:pPr>
              <w:jc w:val="center"/>
              <w:rPr>
                <w:rFonts w:hint="default" w:eastAsia="宋体"/>
                <w:b/>
                <w:bCs/>
                <w:color w:val="auto"/>
                <w:sz w:val="24"/>
                <w:szCs w:val="24"/>
                <w:lang w:val="en-US" w:eastAsia="zh-CN"/>
              </w:rPr>
            </w:pPr>
            <w:r>
              <w:rPr>
                <w:rFonts w:hint="eastAsia"/>
                <w:b/>
                <w:bCs/>
                <w:color w:val="auto"/>
                <w:sz w:val="24"/>
                <w:szCs w:val="24"/>
                <w:lang w:val="en-US" w:eastAsia="zh-CN"/>
              </w:rPr>
              <w:t>图2-1  本项目水平衡图（m</w:t>
            </w:r>
            <w:r>
              <w:rPr>
                <w:rFonts w:hint="eastAsia"/>
                <w:b/>
                <w:bCs/>
                <w:color w:val="auto"/>
                <w:sz w:val="24"/>
                <w:szCs w:val="24"/>
                <w:vertAlign w:val="superscript"/>
                <w:lang w:val="en-US" w:eastAsia="zh-CN"/>
              </w:rPr>
              <w:t>3</w:t>
            </w:r>
            <w:r>
              <w:rPr>
                <w:rFonts w:hint="eastAsia"/>
                <w:b/>
                <w:bCs/>
                <w:color w:val="auto"/>
                <w:sz w:val="24"/>
                <w:szCs w:val="24"/>
                <w:lang w:val="en-US" w:eastAsia="zh-CN"/>
              </w:rPr>
              <w:t>/d）</w:t>
            </w:r>
          </w:p>
          <w:p w14:paraId="5B430D22">
            <w:pPr>
              <w:numPr>
                <w:ilvl w:val="0"/>
                <w:numId w:val="1"/>
              </w:numPr>
              <w:adjustRightInd w:val="0"/>
              <w:snapToGrid w:val="0"/>
              <w:spacing w:line="360" w:lineRule="auto"/>
              <w:rPr>
                <w:bCs/>
                <w:color w:val="auto"/>
                <w:sz w:val="24"/>
              </w:rPr>
            </w:pPr>
            <w:r>
              <w:rPr>
                <w:bCs/>
                <w:color w:val="auto"/>
                <w:sz w:val="24"/>
              </w:rPr>
              <w:t>供电</w:t>
            </w:r>
          </w:p>
          <w:p w14:paraId="70AE9AD3">
            <w:pPr>
              <w:adjustRightInd w:val="0"/>
              <w:snapToGrid w:val="0"/>
              <w:spacing w:line="360" w:lineRule="auto"/>
              <w:ind w:firstLine="480" w:firstLineChars="200"/>
              <w:rPr>
                <w:sz w:val="24"/>
              </w:rPr>
            </w:pPr>
            <w:r>
              <w:rPr>
                <w:sz w:val="24"/>
              </w:rPr>
              <w:t>本项目用电由园区电网供电。</w:t>
            </w:r>
          </w:p>
          <w:p w14:paraId="4D546F87">
            <w:pPr>
              <w:adjustRightInd w:val="0"/>
              <w:snapToGrid w:val="0"/>
              <w:spacing w:line="360" w:lineRule="auto"/>
              <w:rPr>
                <w:bCs/>
                <w:sz w:val="24"/>
              </w:rPr>
            </w:pPr>
            <w:r>
              <w:rPr>
                <w:bCs/>
                <w:sz w:val="24"/>
              </w:rPr>
              <w:t>（4）供热</w:t>
            </w:r>
          </w:p>
          <w:p w14:paraId="2C4E8381">
            <w:pPr>
              <w:adjustRightInd w:val="0"/>
              <w:snapToGrid w:val="0"/>
              <w:spacing w:line="360" w:lineRule="auto"/>
              <w:ind w:firstLine="480" w:firstLineChars="200"/>
              <w:rPr>
                <w:bCs/>
                <w:sz w:val="24"/>
              </w:rPr>
            </w:pPr>
            <w:r>
              <w:rPr>
                <w:bCs/>
                <w:sz w:val="24"/>
              </w:rPr>
              <w:t>本项目供热由园区集中供热。</w:t>
            </w:r>
          </w:p>
          <w:p w14:paraId="12A8123E">
            <w:pPr>
              <w:adjustRightInd w:val="0"/>
              <w:snapToGrid w:val="0"/>
              <w:spacing w:line="360" w:lineRule="auto"/>
              <w:rPr>
                <w:sz w:val="24"/>
              </w:rPr>
            </w:pPr>
            <w:r>
              <w:rPr>
                <w:b/>
                <w:sz w:val="24"/>
              </w:rPr>
              <w:t>7.平面布置</w:t>
            </w:r>
          </w:p>
          <w:p w14:paraId="36CBA6FA">
            <w:pPr>
              <w:adjustRightInd w:val="0"/>
              <w:snapToGrid w:val="0"/>
              <w:spacing w:line="360" w:lineRule="auto"/>
              <w:ind w:firstLine="480" w:firstLineChars="200"/>
            </w:pPr>
            <w:r>
              <w:rPr>
                <w:sz w:val="24"/>
              </w:rPr>
              <w:t>厂区中心设置主厂房，主厂房西侧设置储料棚，东侧设库房，北侧为计量房，南侧为沉淀池，东南侧为办公楼、宿舍楼以及门卫室，详情见附图。</w:t>
            </w:r>
          </w:p>
        </w:tc>
      </w:tr>
      <w:tr w14:paraId="1D5FE0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823" w:type="dxa"/>
            <w:noWrap w:val="0"/>
            <w:vAlign w:val="center"/>
          </w:tcPr>
          <w:p w14:paraId="5DBBAB76">
            <w:pPr>
              <w:pStyle w:val="10"/>
              <w:adjustRightInd w:val="0"/>
              <w:snapToGrid w:val="0"/>
              <w:spacing w:before="0" w:beforeAutospacing="0" w:after="0" w:afterAutospacing="0"/>
              <w:jc w:val="center"/>
              <w:rPr>
                <w:rFonts w:ascii="Times New Roman" w:hAnsi="Times New Roman"/>
                <w:sz w:val="21"/>
                <w:szCs w:val="21"/>
                <w:lang w:val="en-US" w:eastAsia="zh-CN"/>
              </w:rPr>
            </w:pPr>
            <w:r>
              <w:rPr>
                <w:rFonts w:ascii="Times New Roman" w:hAnsi="Times New Roman"/>
                <w:sz w:val="21"/>
                <w:szCs w:val="21"/>
                <w:lang w:val="en-US" w:eastAsia="zh-CN"/>
              </w:rPr>
              <w:t>工艺流程和产排污环节</w:t>
            </w:r>
          </w:p>
        </w:tc>
        <w:tc>
          <w:tcPr>
            <w:tcW w:w="8161" w:type="dxa"/>
            <w:noWrap w:val="0"/>
            <w:vAlign w:val="top"/>
          </w:tcPr>
          <w:p w14:paraId="4404C9C8">
            <w:pPr>
              <w:numPr>
                <w:ilvl w:val="0"/>
                <w:numId w:val="2"/>
              </w:numPr>
              <w:adjustRightInd w:val="0"/>
              <w:snapToGrid w:val="0"/>
              <w:spacing w:line="360" w:lineRule="auto"/>
              <w:rPr>
                <w:b/>
                <w:sz w:val="24"/>
              </w:rPr>
            </w:pPr>
            <w:r>
              <w:rPr>
                <w:b/>
                <w:sz w:val="24"/>
              </w:rPr>
              <w:t>备料工序</w:t>
            </w:r>
          </w:p>
          <w:p w14:paraId="79163B08">
            <w:pPr>
              <w:pStyle w:val="2"/>
              <w:ind w:firstLine="480" w:firstLineChars="200"/>
              <w:rPr>
                <w:bCs/>
              </w:rPr>
            </w:pPr>
            <w:r>
              <w:t>将从园区其他企业购买的废石及碎石拉运至厂区储料棚，产生装卸粉尘及噪声；废石通过机制砂破碎机进行破碎至0.5-3cm备用</w:t>
            </w:r>
            <w:r>
              <w:rPr>
                <w:bCs/>
              </w:rPr>
              <w:t>，砂石料破碎过程产生破碎粉尘及噪声</w:t>
            </w:r>
            <w:r>
              <w:t>；</w:t>
            </w:r>
            <w:r>
              <w:rPr>
                <w:bCs/>
              </w:rPr>
              <w:t>水泥及粉煤灰由专用罐车运输进场，罐车配有压缩机，在罐车中形成压力，在压力的作用下，水泥通过管道输送到筒仓内，整个输送过程全部在封闭的管道中完成，筒仓进出料产生装卸粉尘及噪声。</w:t>
            </w:r>
          </w:p>
          <w:p w14:paraId="6487400E">
            <w:pPr>
              <w:numPr>
                <w:ilvl w:val="0"/>
                <w:numId w:val="2"/>
              </w:numPr>
              <w:spacing w:line="360" w:lineRule="auto"/>
              <w:rPr>
                <w:b/>
                <w:sz w:val="24"/>
              </w:rPr>
            </w:pPr>
            <w:r>
              <w:rPr>
                <w:b/>
                <w:sz w:val="24"/>
              </w:rPr>
              <w:t>配料工序</w:t>
            </w:r>
          </w:p>
          <w:p w14:paraId="40F11B63">
            <w:pPr>
              <w:spacing w:line="360" w:lineRule="auto"/>
              <w:ind w:firstLine="480" w:firstLineChars="200"/>
              <w:rPr>
                <w:bCs/>
                <w:sz w:val="24"/>
              </w:rPr>
            </w:pPr>
            <w:r>
              <w:rPr>
                <w:bCs/>
                <w:sz w:val="24"/>
              </w:rPr>
              <w:t>砂石料由铲车在全封闭原料储库转运至配料仓内，通过全封闭皮带输送到搅拌机内；水泥及粉煤灰由螺旋输送泵输送到粉料秤斗进行计量后</w:t>
            </w:r>
            <w:r>
              <w:rPr>
                <w:sz w:val="24"/>
              </w:rPr>
              <w:t>经皮带</w:t>
            </w:r>
            <w:r>
              <w:rPr>
                <w:bCs/>
                <w:sz w:val="24"/>
              </w:rPr>
              <w:t>输送至混凝土搅拌机内；生产搅拌用水采用压力供水，由水秤斗计量后送入搅拌机进行强制配料。本项目配料过程采用电脑控制，以保证混凝土质量。混凝土中水泥、粉煤灰、水、砂子、碎石常规配比为2:4.6:1:4.1:6.3，同时也根据市场实际需求灵活调整配比。原料在投料工序产生粉尘、噪声。</w:t>
            </w:r>
          </w:p>
          <w:p w14:paraId="6EF75CB1">
            <w:pPr>
              <w:numPr>
                <w:ilvl w:val="0"/>
                <w:numId w:val="2"/>
              </w:numPr>
              <w:spacing w:line="360" w:lineRule="auto"/>
              <w:rPr>
                <w:b/>
                <w:sz w:val="24"/>
              </w:rPr>
            </w:pPr>
            <w:r>
              <w:rPr>
                <w:b/>
                <w:sz w:val="24"/>
              </w:rPr>
              <w:t>搅拌工序</w:t>
            </w:r>
          </w:p>
          <w:p w14:paraId="1CBECAC8">
            <w:pPr>
              <w:spacing w:line="360" w:lineRule="auto"/>
              <w:ind w:firstLine="480" w:firstLineChars="200"/>
              <w:rPr>
                <w:bCs/>
                <w:sz w:val="24"/>
              </w:rPr>
            </w:pPr>
            <w:r>
              <w:rPr>
                <w:bCs/>
                <w:sz w:val="24"/>
              </w:rPr>
              <w:t>经过计量后的各种原料进入搅拌机中进行机械式强制搅拌，本工艺配料、搅拌全部采用电脑自动控制，以保证混凝土质量。混凝土出料后直接由运输车拉走，不在场区内存储。物料在混合、搅拌工序产生粉尘、噪声。</w:t>
            </w:r>
          </w:p>
          <w:p w14:paraId="2F9AA36E">
            <w:pPr>
              <w:spacing w:line="360" w:lineRule="auto"/>
              <w:ind w:firstLine="480" w:firstLineChars="200"/>
              <w:rPr>
                <w:bCs/>
                <w:sz w:val="24"/>
              </w:rPr>
            </w:pPr>
          </w:p>
          <w:p w14:paraId="0E418A6C">
            <w:pPr>
              <w:spacing w:line="360" w:lineRule="auto"/>
              <w:ind w:firstLine="480" w:firstLineChars="200"/>
              <w:rPr>
                <w:bCs/>
                <w:sz w:val="24"/>
              </w:rPr>
            </w:pPr>
          </w:p>
          <w:p w14:paraId="6E3487AB">
            <w:pPr>
              <w:spacing w:line="360" w:lineRule="auto"/>
              <w:ind w:firstLine="480" w:firstLineChars="200"/>
              <w:rPr>
                <w:bCs/>
                <w:sz w:val="24"/>
              </w:rPr>
            </w:pPr>
          </w:p>
          <w:p w14:paraId="4D4FC49E">
            <w:pPr>
              <w:spacing w:line="360" w:lineRule="auto"/>
              <w:ind w:firstLine="480" w:firstLineChars="200"/>
              <w:rPr>
                <w:bCs/>
                <w:sz w:val="24"/>
              </w:rPr>
            </w:pPr>
          </w:p>
          <w:p w14:paraId="6AE3C156">
            <w:pPr>
              <w:spacing w:line="360" w:lineRule="auto"/>
              <w:ind w:firstLine="480" w:firstLineChars="200"/>
              <w:rPr>
                <w:bCs/>
                <w:sz w:val="24"/>
              </w:rPr>
            </w:pPr>
          </w:p>
          <w:p w14:paraId="309A42EC">
            <w:pPr>
              <w:spacing w:line="360" w:lineRule="auto"/>
              <w:ind w:firstLine="480" w:firstLineChars="200"/>
              <w:rPr>
                <w:bCs/>
                <w:sz w:val="24"/>
              </w:rPr>
            </w:pPr>
          </w:p>
          <w:p w14:paraId="11EF7C95">
            <w:pPr>
              <w:spacing w:line="360" w:lineRule="auto"/>
              <w:ind w:firstLine="480" w:firstLineChars="200"/>
              <w:rPr>
                <w:bCs/>
                <w:sz w:val="24"/>
              </w:rPr>
            </w:pPr>
          </w:p>
          <w:p w14:paraId="29CE7402">
            <w:pPr>
              <w:spacing w:line="360" w:lineRule="auto"/>
              <w:ind w:firstLine="480" w:firstLineChars="200"/>
              <w:rPr>
                <w:bCs/>
                <w:sz w:val="24"/>
              </w:rPr>
            </w:pPr>
          </w:p>
          <w:p w14:paraId="2CA38EE4">
            <w:pPr>
              <w:spacing w:line="360" w:lineRule="auto"/>
              <w:ind w:firstLine="480" w:firstLineChars="200"/>
              <w:rPr>
                <w:bCs/>
                <w:sz w:val="24"/>
              </w:rPr>
            </w:pPr>
          </w:p>
          <w:p w14:paraId="45A9CA71">
            <w:pPr>
              <w:spacing w:line="360" w:lineRule="auto"/>
              <w:ind w:firstLine="480" w:firstLineChars="200"/>
              <w:rPr>
                <w:bCs/>
                <w:sz w:val="24"/>
              </w:rPr>
            </w:pPr>
          </w:p>
          <w:p w14:paraId="1B816855">
            <w:pPr>
              <w:spacing w:line="360" w:lineRule="auto"/>
              <w:ind w:firstLine="480" w:firstLineChars="200"/>
              <w:rPr>
                <w:bCs/>
                <w:sz w:val="24"/>
              </w:rPr>
            </w:pPr>
          </w:p>
          <w:p w14:paraId="3A9BEC7D">
            <w:pPr>
              <w:spacing w:line="360" w:lineRule="auto"/>
              <w:ind w:firstLine="482" w:firstLineChars="200"/>
              <w:rPr>
                <w:b/>
                <w:sz w:val="24"/>
              </w:rPr>
            </w:pPr>
          </w:p>
          <w:p w14:paraId="0BAD442E">
            <w:r>
              <w:drawing>
                <wp:inline distT="0" distB="0" distL="114300" distR="114300">
                  <wp:extent cx="5043170" cy="4747260"/>
                  <wp:effectExtent l="9525" t="9525" r="14605" b="2476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10"/>
                          <a:stretch>
                            <a:fillRect/>
                          </a:stretch>
                        </pic:blipFill>
                        <pic:spPr>
                          <a:xfrm>
                            <a:off x="0" y="0"/>
                            <a:ext cx="5043170" cy="4747260"/>
                          </a:xfrm>
                          <a:prstGeom prst="rect">
                            <a:avLst/>
                          </a:prstGeom>
                          <a:solidFill>
                            <a:srgbClr val="000000"/>
                          </a:solidFill>
                          <a:ln w="9525" cap="flat" cmpd="sng">
                            <a:solidFill>
                              <a:srgbClr val="000000"/>
                            </a:solidFill>
                            <a:prstDash val="solid"/>
                            <a:miter/>
                            <a:headEnd type="none" w="med" len="med"/>
                            <a:tailEnd type="none" w="med" len="med"/>
                          </a:ln>
                        </pic:spPr>
                      </pic:pic>
                    </a:graphicData>
                  </a:graphic>
                </wp:inline>
              </w:drawing>
            </w:r>
          </w:p>
          <w:p w14:paraId="52FB89C8">
            <w:pPr>
              <w:pStyle w:val="5"/>
              <w:ind w:firstLine="482"/>
              <w:jc w:val="center"/>
              <w:rPr>
                <w:lang w:val="en-US" w:eastAsia="zh-CN"/>
              </w:rPr>
            </w:pPr>
            <w:r>
              <w:rPr>
                <w:b/>
                <w:bCs/>
                <w:lang w:val="en-US" w:eastAsia="zh-CN"/>
              </w:rPr>
              <w:t>图2-1  本项目工艺流程及排污节点图</w:t>
            </w:r>
          </w:p>
        </w:tc>
      </w:tr>
      <w:tr w14:paraId="6605DC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noWrap w:val="0"/>
            <w:vAlign w:val="center"/>
          </w:tcPr>
          <w:p w14:paraId="01065DD4">
            <w:pPr>
              <w:pStyle w:val="10"/>
              <w:adjustRightInd w:val="0"/>
              <w:snapToGrid w:val="0"/>
              <w:spacing w:before="0" w:beforeAutospacing="0" w:after="0" w:afterAutospacing="0"/>
              <w:jc w:val="center"/>
              <w:rPr>
                <w:rFonts w:ascii="Times New Roman" w:hAnsi="Times New Roman"/>
                <w:sz w:val="21"/>
                <w:szCs w:val="21"/>
                <w:lang w:val="en-US" w:eastAsia="zh-CN"/>
              </w:rPr>
            </w:pPr>
            <w:r>
              <w:rPr>
                <w:rFonts w:ascii="Times New Roman" w:hAnsi="Times New Roman"/>
                <w:bCs/>
                <w:kern w:val="2"/>
                <w:sz w:val="21"/>
                <w:szCs w:val="21"/>
                <w:lang w:val="en-US" w:eastAsia="zh-CN"/>
              </w:rPr>
              <w:t>与项目有关的原有环境污染问题</w:t>
            </w:r>
          </w:p>
        </w:tc>
        <w:tc>
          <w:tcPr>
            <w:tcW w:w="8161" w:type="dxa"/>
            <w:noWrap w:val="0"/>
            <w:vAlign w:val="top"/>
          </w:tcPr>
          <w:p w14:paraId="0B7ED4DC">
            <w:pPr>
              <w:adjustRightInd w:val="0"/>
              <w:snapToGrid w:val="0"/>
              <w:jc w:val="center"/>
              <w:rPr>
                <w:bCs/>
                <w:szCs w:val="21"/>
              </w:rPr>
            </w:pPr>
          </w:p>
          <w:p w14:paraId="136395AB">
            <w:pPr>
              <w:adjustRightInd w:val="0"/>
              <w:snapToGrid w:val="0"/>
              <w:jc w:val="center"/>
              <w:rPr>
                <w:bCs/>
                <w:szCs w:val="21"/>
              </w:rPr>
            </w:pPr>
          </w:p>
          <w:p w14:paraId="4F266B7F">
            <w:pPr>
              <w:adjustRightInd w:val="0"/>
              <w:snapToGrid w:val="0"/>
              <w:jc w:val="center"/>
              <w:rPr>
                <w:bCs/>
                <w:szCs w:val="21"/>
              </w:rPr>
            </w:pPr>
          </w:p>
          <w:p w14:paraId="6C1C628E">
            <w:pPr>
              <w:adjustRightInd w:val="0"/>
              <w:snapToGrid w:val="0"/>
              <w:jc w:val="center"/>
              <w:rPr>
                <w:bCs/>
                <w:szCs w:val="21"/>
              </w:rPr>
            </w:pPr>
          </w:p>
          <w:p w14:paraId="0D2EEEC3">
            <w:pPr>
              <w:adjustRightInd w:val="0"/>
              <w:snapToGrid w:val="0"/>
              <w:jc w:val="center"/>
              <w:rPr>
                <w:bCs/>
                <w:szCs w:val="21"/>
              </w:rPr>
            </w:pPr>
          </w:p>
          <w:p w14:paraId="19B91738">
            <w:pPr>
              <w:adjustRightInd w:val="0"/>
              <w:snapToGrid w:val="0"/>
              <w:jc w:val="center"/>
              <w:rPr>
                <w:bCs/>
                <w:szCs w:val="21"/>
              </w:rPr>
            </w:pPr>
          </w:p>
          <w:p w14:paraId="0073C9B3">
            <w:pPr>
              <w:adjustRightInd w:val="0"/>
              <w:snapToGrid w:val="0"/>
              <w:jc w:val="center"/>
              <w:rPr>
                <w:bCs/>
                <w:szCs w:val="21"/>
              </w:rPr>
            </w:pPr>
          </w:p>
          <w:p w14:paraId="5A30DA46">
            <w:pPr>
              <w:adjustRightInd w:val="0"/>
              <w:snapToGrid w:val="0"/>
              <w:jc w:val="center"/>
              <w:rPr>
                <w:bCs/>
                <w:szCs w:val="21"/>
              </w:rPr>
            </w:pPr>
          </w:p>
          <w:p w14:paraId="479E751E">
            <w:pPr>
              <w:adjustRightInd w:val="0"/>
              <w:snapToGrid w:val="0"/>
              <w:jc w:val="center"/>
              <w:rPr>
                <w:bCs/>
                <w:szCs w:val="21"/>
              </w:rPr>
            </w:pPr>
          </w:p>
          <w:p w14:paraId="6137337C">
            <w:pPr>
              <w:adjustRightInd w:val="0"/>
              <w:snapToGrid w:val="0"/>
              <w:jc w:val="center"/>
              <w:rPr>
                <w:bCs/>
                <w:szCs w:val="21"/>
              </w:rPr>
            </w:pPr>
            <w:r>
              <w:rPr>
                <w:bCs/>
                <w:szCs w:val="21"/>
              </w:rPr>
              <w:t>无</w:t>
            </w:r>
          </w:p>
          <w:p w14:paraId="193139F5">
            <w:pPr>
              <w:adjustRightInd w:val="0"/>
              <w:snapToGrid w:val="0"/>
              <w:jc w:val="center"/>
              <w:rPr>
                <w:bCs/>
                <w:szCs w:val="21"/>
              </w:rPr>
            </w:pPr>
          </w:p>
          <w:p w14:paraId="13227F76">
            <w:pPr>
              <w:adjustRightInd w:val="0"/>
              <w:snapToGrid w:val="0"/>
              <w:jc w:val="center"/>
              <w:rPr>
                <w:bCs/>
                <w:szCs w:val="21"/>
              </w:rPr>
            </w:pPr>
          </w:p>
          <w:p w14:paraId="7C21DC8F">
            <w:pPr>
              <w:adjustRightInd w:val="0"/>
              <w:snapToGrid w:val="0"/>
              <w:jc w:val="center"/>
              <w:rPr>
                <w:bCs/>
                <w:szCs w:val="21"/>
              </w:rPr>
            </w:pPr>
          </w:p>
          <w:p w14:paraId="70CE59D3">
            <w:pPr>
              <w:adjustRightInd w:val="0"/>
              <w:snapToGrid w:val="0"/>
              <w:jc w:val="center"/>
              <w:rPr>
                <w:bCs/>
                <w:szCs w:val="21"/>
              </w:rPr>
            </w:pPr>
          </w:p>
          <w:p w14:paraId="5210F542">
            <w:pPr>
              <w:adjustRightInd w:val="0"/>
              <w:snapToGrid w:val="0"/>
              <w:jc w:val="center"/>
              <w:rPr>
                <w:bCs/>
                <w:szCs w:val="21"/>
              </w:rPr>
            </w:pPr>
          </w:p>
          <w:p w14:paraId="03314BBA">
            <w:pPr>
              <w:adjustRightInd w:val="0"/>
              <w:snapToGrid w:val="0"/>
              <w:jc w:val="center"/>
              <w:rPr>
                <w:bCs/>
                <w:szCs w:val="21"/>
              </w:rPr>
            </w:pPr>
          </w:p>
          <w:p w14:paraId="70A01DF0">
            <w:pPr>
              <w:adjustRightInd w:val="0"/>
              <w:snapToGrid w:val="0"/>
              <w:jc w:val="center"/>
              <w:rPr>
                <w:bCs/>
                <w:szCs w:val="21"/>
              </w:rPr>
            </w:pPr>
          </w:p>
          <w:p w14:paraId="71026FD6">
            <w:pPr>
              <w:adjustRightInd w:val="0"/>
              <w:snapToGrid w:val="0"/>
              <w:jc w:val="center"/>
              <w:rPr>
                <w:bCs/>
                <w:szCs w:val="21"/>
              </w:rPr>
            </w:pPr>
          </w:p>
        </w:tc>
      </w:tr>
    </w:tbl>
    <w:p w14:paraId="316BB6A9">
      <w:pPr>
        <w:pStyle w:val="10"/>
        <w:jc w:val="center"/>
        <w:rPr>
          <w:rFonts w:ascii="Times New Roman" w:hAnsi="Times New Roman"/>
          <w:snapToGrid w:val="0"/>
          <w:sz w:val="36"/>
          <w:szCs w:val="36"/>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1BF1E70B">
      <w:pPr>
        <w:pStyle w:val="10"/>
        <w:adjustRightInd w:val="0"/>
        <w:snapToGrid w:val="0"/>
        <w:spacing w:before="0" w:beforeAutospacing="0" w:after="0" w:afterAutospacing="0" w:line="14" w:lineRule="auto"/>
        <w:jc w:val="center"/>
        <w:outlineLvl w:val="0"/>
        <w:rPr>
          <w:rFonts w:ascii="Times New Roman" w:hAnsi="Times New Roman"/>
          <w:snapToGrid w:val="0"/>
          <w:sz w:val="30"/>
          <w:szCs w:val="30"/>
        </w:rPr>
      </w:pPr>
    </w:p>
    <w:p w14:paraId="3B8AD98F">
      <w:pPr>
        <w:pStyle w:val="10"/>
        <w:jc w:val="center"/>
        <w:outlineLvl w:val="0"/>
        <w:rPr>
          <w:rFonts w:ascii="Times New Roman" w:hAnsi="Times New Roman"/>
          <w:snapToGrid w:val="0"/>
          <w:sz w:val="30"/>
          <w:szCs w:val="30"/>
        </w:rPr>
      </w:pPr>
      <w:r>
        <w:rPr>
          <w:rFonts w:ascii="Times New Roman" w:hAnsi="Times New Roman"/>
          <w:snapToGrid w:val="0"/>
          <w:sz w:val="30"/>
          <w:szCs w:val="30"/>
        </w:rPr>
        <w:t>三、区域环境质量现状、环境保护目标及评价标准</w:t>
      </w:r>
    </w:p>
    <w:tbl>
      <w:tblPr>
        <w:tblStyle w:val="1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403359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noWrap w:val="0"/>
            <w:vAlign w:val="center"/>
          </w:tcPr>
          <w:p w14:paraId="03AD3612">
            <w:pPr>
              <w:adjustRightInd w:val="0"/>
              <w:snapToGrid w:val="0"/>
              <w:jc w:val="center"/>
              <w:rPr>
                <w:kern w:val="0"/>
                <w:szCs w:val="21"/>
              </w:rPr>
            </w:pPr>
            <w:r>
              <w:rPr>
                <w:kern w:val="0"/>
                <w:szCs w:val="21"/>
              </w:rPr>
              <w:t>区域</w:t>
            </w:r>
          </w:p>
          <w:p w14:paraId="46ED0A35">
            <w:pPr>
              <w:adjustRightInd w:val="0"/>
              <w:snapToGrid w:val="0"/>
              <w:jc w:val="center"/>
              <w:rPr>
                <w:kern w:val="0"/>
                <w:szCs w:val="21"/>
              </w:rPr>
            </w:pPr>
            <w:r>
              <w:rPr>
                <w:kern w:val="0"/>
                <w:szCs w:val="21"/>
              </w:rPr>
              <w:t>环境</w:t>
            </w:r>
          </w:p>
          <w:p w14:paraId="7A871BD1">
            <w:pPr>
              <w:adjustRightInd w:val="0"/>
              <w:snapToGrid w:val="0"/>
              <w:jc w:val="center"/>
              <w:rPr>
                <w:kern w:val="0"/>
                <w:szCs w:val="21"/>
              </w:rPr>
            </w:pPr>
            <w:r>
              <w:rPr>
                <w:kern w:val="0"/>
                <w:szCs w:val="21"/>
              </w:rPr>
              <w:t>质量</w:t>
            </w:r>
          </w:p>
          <w:p w14:paraId="7682830C">
            <w:pPr>
              <w:adjustRightInd w:val="0"/>
              <w:snapToGrid w:val="0"/>
              <w:jc w:val="center"/>
              <w:rPr>
                <w:kern w:val="0"/>
                <w:szCs w:val="21"/>
              </w:rPr>
            </w:pPr>
            <w:r>
              <w:rPr>
                <w:kern w:val="0"/>
                <w:szCs w:val="21"/>
              </w:rPr>
              <w:t>现状</w:t>
            </w:r>
          </w:p>
        </w:tc>
        <w:tc>
          <w:tcPr>
            <w:tcW w:w="8190" w:type="dxa"/>
            <w:noWrap w:val="0"/>
            <w:vAlign w:val="center"/>
          </w:tcPr>
          <w:p w14:paraId="1A35D1EF">
            <w:pPr>
              <w:spacing w:line="360" w:lineRule="auto"/>
              <w:jc w:val="left"/>
              <w:rPr>
                <w:b/>
                <w:bCs/>
                <w:color w:val="auto"/>
                <w:kern w:val="0"/>
                <w:sz w:val="24"/>
              </w:rPr>
            </w:pPr>
            <w:r>
              <w:rPr>
                <w:b/>
                <w:bCs/>
                <w:color w:val="auto"/>
                <w:kern w:val="0"/>
                <w:sz w:val="24"/>
              </w:rPr>
              <w:t>1.环境空气质量现状</w:t>
            </w:r>
          </w:p>
          <w:p w14:paraId="24D25C53">
            <w:pPr>
              <w:spacing w:line="360" w:lineRule="auto"/>
              <w:ind w:firstLine="480" w:firstLineChars="200"/>
              <w:jc w:val="left"/>
              <w:rPr>
                <w:color w:val="auto"/>
                <w:kern w:val="0"/>
                <w:sz w:val="24"/>
              </w:rPr>
            </w:pPr>
            <w:r>
              <w:rPr>
                <w:color w:val="auto"/>
                <w:kern w:val="0"/>
                <w:sz w:val="24"/>
              </w:rPr>
              <w:t>（1）基本污染物</w:t>
            </w:r>
          </w:p>
          <w:p w14:paraId="1276A5E0">
            <w:pPr>
              <w:spacing w:line="360" w:lineRule="auto"/>
              <w:ind w:firstLine="480" w:firstLineChars="200"/>
              <w:jc w:val="left"/>
              <w:rPr>
                <w:color w:val="auto"/>
              </w:rPr>
            </w:pPr>
            <w:r>
              <w:rPr>
                <w:color w:val="auto"/>
                <w:sz w:val="24"/>
              </w:rPr>
              <w:t>本项目位于鄂尔多斯市蒙西镇，属于</w:t>
            </w:r>
            <w:r>
              <w:rPr>
                <w:color w:val="auto"/>
                <w:kern w:val="0"/>
                <w:sz w:val="24"/>
              </w:rPr>
              <w:t>乌海及周边区域，根据2022年内蒙古自治区生态环境质量状况公报统计数据，2022年乌海及周边区域环境空气各污染物</w:t>
            </w:r>
            <w:r>
              <w:rPr>
                <w:bCs/>
                <w:color w:val="auto"/>
                <w:sz w:val="24"/>
              </w:rPr>
              <w:t>中SO</w:t>
            </w:r>
            <w:r>
              <w:rPr>
                <w:bCs/>
                <w:color w:val="auto"/>
                <w:sz w:val="24"/>
                <w:vertAlign w:val="subscript"/>
              </w:rPr>
              <w:t>2</w:t>
            </w:r>
            <w:r>
              <w:rPr>
                <w:bCs/>
                <w:color w:val="auto"/>
                <w:sz w:val="24"/>
              </w:rPr>
              <w:t>、NO</w:t>
            </w:r>
            <w:r>
              <w:rPr>
                <w:bCs/>
                <w:color w:val="auto"/>
                <w:sz w:val="24"/>
                <w:vertAlign w:val="subscript"/>
              </w:rPr>
              <w:t>2</w:t>
            </w:r>
            <w:r>
              <w:rPr>
                <w:bCs/>
                <w:color w:val="auto"/>
                <w:sz w:val="24"/>
              </w:rPr>
              <w:t>、PM</w:t>
            </w:r>
            <w:r>
              <w:rPr>
                <w:bCs/>
                <w:color w:val="auto"/>
                <w:sz w:val="24"/>
                <w:vertAlign w:val="subscript"/>
              </w:rPr>
              <w:t>10</w:t>
            </w:r>
            <w:r>
              <w:rPr>
                <w:bCs/>
                <w:color w:val="auto"/>
                <w:sz w:val="24"/>
              </w:rPr>
              <w:t>、PM</w:t>
            </w:r>
            <w:r>
              <w:rPr>
                <w:bCs/>
                <w:color w:val="auto"/>
                <w:sz w:val="24"/>
                <w:vertAlign w:val="subscript"/>
              </w:rPr>
              <w:t>2.5</w:t>
            </w:r>
            <w:r>
              <w:rPr>
                <w:bCs/>
                <w:color w:val="auto"/>
                <w:sz w:val="24"/>
              </w:rPr>
              <w:t>年均浓度分别为23ug/m</w:t>
            </w:r>
            <w:r>
              <w:rPr>
                <w:bCs/>
                <w:color w:val="auto"/>
                <w:sz w:val="24"/>
                <w:vertAlign w:val="superscript"/>
              </w:rPr>
              <w:t>3</w:t>
            </w:r>
            <w:r>
              <w:rPr>
                <w:bCs/>
                <w:color w:val="auto"/>
                <w:sz w:val="24"/>
              </w:rPr>
              <w:t>、28ug/m</w:t>
            </w:r>
            <w:r>
              <w:rPr>
                <w:bCs/>
                <w:color w:val="auto"/>
                <w:sz w:val="24"/>
                <w:vertAlign w:val="superscript"/>
              </w:rPr>
              <w:t>3</w:t>
            </w:r>
            <w:r>
              <w:rPr>
                <w:bCs/>
                <w:color w:val="auto"/>
                <w:sz w:val="24"/>
              </w:rPr>
              <w:t>、79ug/m</w:t>
            </w:r>
            <w:r>
              <w:rPr>
                <w:bCs/>
                <w:color w:val="auto"/>
                <w:sz w:val="24"/>
                <w:vertAlign w:val="superscript"/>
              </w:rPr>
              <w:t>3</w:t>
            </w:r>
            <w:r>
              <w:rPr>
                <w:bCs/>
                <w:color w:val="auto"/>
                <w:sz w:val="24"/>
              </w:rPr>
              <w:t>、29ug/m</w:t>
            </w:r>
            <w:r>
              <w:rPr>
                <w:bCs/>
                <w:color w:val="auto"/>
                <w:sz w:val="24"/>
                <w:vertAlign w:val="superscript"/>
              </w:rPr>
              <w:t>3</w:t>
            </w:r>
            <w:r>
              <w:rPr>
                <w:bCs/>
                <w:color w:val="auto"/>
                <w:sz w:val="24"/>
              </w:rPr>
              <w:t>；CO24小时平均第95百分位数为1.5mg/m</w:t>
            </w:r>
            <w:r>
              <w:rPr>
                <w:bCs/>
                <w:color w:val="auto"/>
                <w:sz w:val="24"/>
                <w:vertAlign w:val="superscript"/>
              </w:rPr>
              <w:t>3</w:t>
            </w:r>
            <w:r>
              <w:rPr>
                <w:bCs/>
                <w:color w:val="auto"/>
                <w:sz w:val="24"/>
              </w:rPr>
              <w:t>，O</w:t>
            </w:r>
            <w:r>
              <w:rPr>
                <w:bCs/>
                <w:color w:val="auto"/>
                <w:sz w:val="24"/>
                <w:vertAlign w:val="subscript"/>
              </w:rPr>
              <w:t>3</w:t>
            </w:r>
            <w:r>
              <w:rPr>
                <w:bCs/>
                <w:color w:val="auto"/>
                <w:sz w:val="24"/>
              </w:rPr>
              <w:t>日最大8小时平均第90百分位数为146ug/m</w:t>
            </w:r>
            <w:r>
              <w:rPr>
                <w:bCs/>
                <w:color w:val="auto"/>
                <w:sz w:val="24"/>
                <w:vertAlign w:val="superscript"/>
              </w:rPr>
              <w:t>3</w:t>
            </w:r>
            <w:r>
              <w:rPr>
                <w:bCs/>
                <w:color w:val="auto"/>
                <w:sz w:val="24"/>
              </w:rPr>
              <w:t>，数据具体见表3-1。</w:t>
            </w:r>
          </w:p>
          <w:p w14:paraId="75A554FF">
            <w:pPr>
              <w:pStyle w:val="19"/>
              <w:spacing w:line="240" w:lineRule="auto"/>
              <w:ind w:firstLine="0" w:firstLineChars="0"/>
              <w:jc w:val="center"/>
              <w:rPr>
                <w:b/>
                <w:bCs/>
                <w:color w:val="auto"/>
                <w:szCs w:val="24"/>
                <w:lang w:val="en-US"/>
              </w:rPr>
            </w:pPr>
            <w:r>
              <w:rPr>
                <w:b/>
                <w:bCs/>
                <w:color w:val="auto"/>
                <w:szCs w:val="24"/>
                <w:lang w:val="en-US"/>
              </w:rPr>
              <w:t>表3-1  环境空气质量数据表</w:t>
            </w:r>
          </w:p>
          <w:tbl>
            <w:tblPr>
              <w:tblStyle w:val="1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1610"/>
              <w:gridCol w:w="1070"/>
              <w:gridCol w:w="1569"/>
              <w:gridCol w:w="1407"/>
              <w:gridCol w:w="1183"/>
            </w:tblGrid>
            <w:tr w14:paraId="6B582D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10" w:type="dxa"/>
                  <w:noWrap w:val="0"/>
                  <w:vAlign w:val="center"/>
                </w:tcPr>
                <w:p w14:paraId="4301297E">
                  <w:pPr>
                    <w:pStyle w:val="17"/>
                    <w:ind w:left="21" w:right="21"/>
                    <w:rPr>
                      <w:b/>
                      <w:bCs/>
                      <w:color w:val="auto"/>
                      <w:szCs w:val="21"/>
                    </w:rPr>
                  </w:pPr>
                  <w:r>
                    <w:rPr>
                      <w:b/>
                      <w:bCs/>
                      <w:color w:val="auto"/>
                      <w:szCs w:val="21"/>
                    </w:rPr>
                    <w:t>环境因素</w:t>
                  </w:r>
                </w:p>
              </w:tc>
              <w:tc>
                <w:tcPr>
                  <w:tcW w:w="2865" w:type="dxa"/>
                  <w:gridSpan w:val="2"/>
                  <w:noWrap w:val="0"/>
                  <w:vAlign w:val="center"/>
                </w:tcPr>
                <w:p w14:paraId="241FEBAE">
                  <w:pPr>
                    <w:pStyle w:val="17"/>
                    <w:ind w:left="21" w:right="21"/>
                    <w:rPr>
                      <w:b/>
                      <w:bCs/>
                      <w:color w:val="auto"/>
                      <w:szCs w:val="21"/>
                    </w:rPr>
                  </w:pPr>
                  <w:r>
                    <w:rPr>
                      <w:b/>
                      <w:bCs/>
                      <w:color w:val="auto"/>
                      <w:szCs w:val="21"/>
                    </w:rPr>
                    <w:t>浓度/</w:t>
                  </w:r>
                  <w:r>
                    <w:rPr>
                      <w:rFonts w:hint="eastAsia"/>
                      <w:b/>
                      <w:bCs/>
                      <w:color w:val="auto"/>
                      <w:szCs w:val="21"/>
                      <w:lang w:eastAsia="zh-CN"/>
                    </w:rPr>
                    <w:t>μg/m3</w:t>
                  </w:r>
                </w:p>
              </w:tc>
              <w:tc>
                <w:tcPr>
                  <w:tcW w:w="1680" w:type="dxa"/>
                  <w:noWrap w:val="0"/>
                  <w:vAlign w:val="center"/>
                </w:tcPr>
                <w:p w14:paraId="3527A332">
                  <w:pPr>
                    <w:pStyle w:val="17"/>
                    <w:ind w:left="21" w:right="21"/>
                    <w:rPr>
                      <w:b/>
                      <w:bCs/>
                      <w:color w:val="auto"/>
                      <w:szCs w:val="21"/>
                    </w:rPr>
                  </w:pPr>
                  <w:r>
                    <w:rPr>
                      <w:b/>
                      <w:bCs/>
                      <w:color w:val="auto"/>
                      <w:szCs w:val="21"/>
                    </w:rPr>
                    <w:t>标准值/</w:t>
                  </w:r>
                  <w:r>
                    <w:rPr>
                      <w:rFonts w:hint="eastAsia"/>
                      <w:b/>
                      <w:bCs/>
                      <w:color w:val="auto"/>
                      <w:szCs w:val="21"/>
                      <w:lang w:eastAsia="zh-CN"/>
                    </w:rPr>
                    <w:t>μg/m3</w:t>
                  </w:r>
                </w:p>
              </w:tc>
              <w:tc>
                <w:tcPr>
                  <w:tcW w:w="1505" w:type="dxa"/>
                  <w:noWrap w:val="0"/>
                  <w:vAlign w:val="center"/>
                </w:tcPr>
                <w:p w14:paraId="19D53E76">
                  <w:pPr>
                    <w:pStyle w:val="17"/>
                    <w:ind w:left="21" w:right="21"/>
                    <w:rPr>
                      <w:b/>
                      <w:bCs/>
                      <w:color w:val="auto"/>
                      <w:szCs w:val="21"/>
                    </w:rPr>
                  </w:pPr>
                  <w:r>
                    <w:rPr>
                      <w:b/>
                      <w:bCs/>
                      <w:color w:val="auto"/>
                      <w:szCs w:val="21"/>
                    </w:rPr>
                    <w:t>占标率P/%</w:t>
                  </w:r>
                </w:p>
              </w:tc>
              <w:tc>
                <w:tcPr>
                  <w:tcW w:w="1262" w:type="dxa"/>
                  <w:noWrap w:val="0"/>
                  <w:vAlign w:val="center"/>
                </w:tcPr>
                <w:p w14:paraId="07AB4701">
                  <w:pPr>
                    <w:pStyle w:val="17"/>
                    <w:ind w:left="21" w:right="21"/>
                    <w:rPr>
                      <w:b/>
                      <w:bCs/>
                      <w:color w:val="auto"/>
                      <w:szCs w:val="21"/>
                    </w:rPr>
                  </w:pPr>
                  <w:r>
                    <w:rPr>
                      <w:b/>
                      <w:bCs/>
                      <w:color w:val="auto"/>
                      <w:szCs w:val="21"/>
                    </w:rPr>
                    <w:t>达标情况</w:t>
                  </w:r>
                </w:p>
              </w:tc>
            </w:tr>
            <w:tr w14:paraId="4D1137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1210" w:type="dxa"/>
                  <w:noWrap w:val="0"/>
                  <w:vAlign w:val="center"/>
                </w:tcPr>
                <w:p w14:paraId="3B07D7DA">
                  <w:pPr>
                    <w:pStyle w:val="17"/>
                    <w:ind w:left="21" w:right="21"/>
                    <w:rPr>
                      <w:color w:val="auto"/>
                      <w:szCs w:val="21"/>
                    </w:rPr>
                  </w:pPr>
                  <w:r>
                    <w:rPr>
                      <w:color w:val="auto"/>
                      <w:szCs w:val="21"/>
                    </w:rPr>
                    <w:t>SO</w:t>
                  </w:r>
                  <w:r>
                    <w:rPr>
                      <w:color w:val="auto"/>
                      <w:szCs w:val="21"/>
                      <w:vertAlign w:val="subscript"/>
                    </w:rPr>
                    <w:t>2</w:t>
                  </w:r>
                </w:p>
              </w:tc>
              <w:tc>
                <w:tcPr>
                  <w:tcW w:w="1725" w:type="dxa"/>
                  <w:noWrap w:val="0"/>
                  <w:vAlign w:val="center"/>
                </w:tcPr>
                <w:p w14:paraId="65F9EBDB">
                  <w:pPr>
                    <w:pStyle w:val="17"/>
                    <w:ind w:left="21" w:right="21"/>
                    <w:rPr>
                      <w:color w:val="auto"/>
                      <w:szCs w:val="21"/>
                    </w:rPr>
                  </w:pPr>
                  <w:r>
                    <w:rPr>
                      <w:color w:val="auto"/>
                      <w:szCs w:val="21"/>
                    </w:rPr>
                    <w:t>年均浓度</w:t>
                  </w:r>
                </w:p>
              </w:tc>
              <w:tc>
                <w:tcPr>
                  <w:tcW w:w="1140" w:type="dxa"/>
                  <w:noWrap w:val="0"/>
                  <w:vAlign w:val="center"/>
                </w:tcPr>
                <w:p w14:paraId="1C4291E9">
                  <w:pPr>
                    <w:pStyle w:val="17"/>
                    <w:ind w:left="21" w:right="21"/>
                    <w:rPr>
                      <w:color w:val="auto"/>
                      <w:szCs w:val="21"/>
                    </w:rPr>
                  </w:pPr>
                  <w:r>
                    <w:rPr>
                      <w:color w:val="auto"/>
                      <w:szCs w:val="21"/>
                    </w:rPr>
                    <w:t>23</w:t>
                  </w:r>
                </w:p>
              </w:tc>
              <w:tc>
                <w:tcPr>
                  <w:tcW w:w="1680" w:type="dxa"/>
                  <w:noWrap w:val="0"/>
                  <w:vAlign w:val="center"/>
                </w:tcPr>
                <w:p w14:paraId="08744FD3">
                  <w:pPr>
                    <w:pStyle w:val="17"/>
                    <w:ind w:left="21" w:right="21"/>
                    <w:rPr>
                      <w:color w:val="auto"/>
                      <w:szCs w:val="21"/>
                    </w:rPr>
                  </w:pPr>
                  <w:r>
                    <w:rPr>
                      <w:color w:val="auto"/>
                      <w:szCs w:val="21"/>
                    </w:rPr>
                    <w:t>60</w:t>
                  </w:r>
                </w:p>
              </w:tc>
              <w:tc>
                <w:tcPr>
                  <w:tcW w:w="1505" w:type="dxa"/>
                  <w:noWrap w:val="0"/>
                  <w:vAlign w:val="center"/>
                </w:tcPr>
                <w:p w14:paraId="27540A0F">
                  <w:pPr>
                    <w:pStyle w:val="17"/>
                    <w:ind w:left="21" w:right="21"/>
                    <w:rPr>
                      <w:color w:val="auto"/>
                      <w:szCs w:val="21"/>
                    </w:rPr>
                  </w:pPr>
                  <w:r>
                    <w:rPr>
                      <w:color w:val="auto"/>
                      <w:szCs w:val="21"/>
                    </w:rPr>
                    <w:t>38.3</w:t>
                  </w:r>
                </w:p>
              </w:tc>
              <w:tc>
                <w:tcPr>
                  <w:tcW w:w="1262" w:type="dxa"/>
                  <w:noWrap w:val="0"/>
                  <w:vAlign w:val="center"/>
                </w:tcPr>
                <w:p w14:paraId="38405D31">
                  <w:pPr>
                    <w:pStyle w:val="17"/>
                    <w:ind w:left="21" w:right="21"/>
                    <w:rPr>
                      <w:color w:val="auto"/>
                      <w:szCs w:val="21"/>
                    </w:rPr>
                  </w:pPr>
                  <w:r>
                    <w:rPr>
                      <w:color w:val="auto"/>
                      <w:szCs w:val="21"/>
                    </w:rPr>
                    <w:t>达标</w:t>
                  </w:r>
                </w:p>
              </w:tc>
            </w:tr>
            <w:tr w14:paraId="0946C0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210" w:type="dxa"/>
                  <w:noWrap w:val="0"/>
                  <w:vAlign w:val="center"/>
                </w:tcPr>
                <w:p w14:paraId="6F66F466">
                  <w:pPr>
                    <w:pStyle w:val="17"/>
                    <w:ind w:left="21" w:right="21"/>
                    <w:rPr>
                      <w:color w:val="auto"/>
                      <w:szCs w:val="21"/>
                    </w:rPr>
                  </w:pPr>
                  <w:r>
                    <w:rPr>
                      <w:color w:val="auto"/>
                      <w:szCs w:val="21"/>
                    </w:rPr>
                    <w:t>NO</w:t>
                  </w:r>
                  <w:r>
                    <w:rPr>
                      <w:color w:val="auto"/>
                      <w:szCs w:val="21"/>
                      <w:vertAlign w:val="subscript"/>
                    </w:rPr>
                    <w:t>2</w:t>
                  </w:r>
                </w:p>
              </w:tc>
              <w:tc>
                <w:tcPr>
                  <w:tcW w:w="1725" w:type="dxa"/>
                  <w:noWrap w:val="0"/>
                  <w:vAlign w:val="center"/>
                </w:tcPr>
                <w:p w14:paraId="2BCEFD42">
                  <w:pPr>
                    <w:pStyle w:val="17"/>
                    <w:ind w:left="21" w:right="21"/>
                    <w:rPr>
                      <w:color w:val="auto"/>
                      <w:szCs w:val="21"/>
                    </w:rPr>
                  </w:pPr>
                  <w:r>
                    <w:rPr>
                      <w:color w:val="auto"/>
                      <w:szCs w:val="21"/>
                    </w:rPr>
                    <w:t>年均浓度</w:t>
                  </w:r>
                </w:p>
              </w:tc>
              <w:tc>
                <w:tcPr>
                  <w:tcW w:w="1140" w:type="dxa"/>
                  <w:noWrap w:val="0"/>
                  <w:vAlign w:val="center"/>
                </w:tcPr>
                <w:p w14:paraId="6FA5F805">
                  <w:pPr>
                    <w:pStyle w:val="17"/>
                    <w:ind w:left="21" w:right="21"/>
                    <w:rPr>
                      <w:color w:val="auto"/>
                      <w:szCs w:val="21"/>
                    </w:rPr>
                  </w:pPr>
                  <w:r>
                    <w:rPr>
                      <w:color w:val="auto"/>
                      <w:szCs w:val="21"/>
                    </w:rPr>
                    <w:t>28</w:t>
                  </w:r>
                </w:p>
              </w:tc>
              <w:tc>
                <w:tcPr>
                  <w:tcW w:w="1680" w:type="dxa"/>
                  <w:noWrap w:val="0"/>
                  <w:vAlign w:val="center"/>
                </w:tcPr>
                <w:p w14:paraId="193573B2">
                  <w:pPr>
                    <w:pStyle w:val="17"/>
                    <w:ind w:left="21" w:right="21"/>
                    <w:rPr>
                      <w:color w:val="auto"/>
                      <w:szCs w:val="21"/>
                    </w:rPr>
                  </w:pPr>
                  <w:r>
                    <w:rPr>
                      <w:color w:val="auto"/>
                      <w:szCs w:val="21"/>
                    </w:rPr>
                    <w:t>40</w:t>
                  </w:r>
                </w:p>
              </w:tc>
              <w:tc>
                <w:tcPr>
                  <w:tcW w:w="1505" w:type="dxa"/>
                  <w:noWrap w:val="0"/>
                  <w:vAlign w:val="center"/>
                </w:tcPr>
                <w:p w14:paraId="40F62ED0">
                  <w:pPr>
                    <w:pStyle w:val="17"/>
                    <w:ind w:left="21" w:right="21"/>
                    <w:rPr>
                      <w:color w:val="auto"/>
                      <w:szCs w:val="21"/>
                    </w:rPr>
                  </w:pPr>
                  <w:r>
                    <w:rPr>
                      <w:color w:val="auto"/>
                      <w:szCs w:val="21"/>
                    </w:rPr>
                    <w:t>70.0</w:t>
                  </w:r>
                </w:p>
              </w:tc>
              <w:tc>
                <w:tcPr>
                  <w:tcW w:w="1262" w:type="dxa"/>
                  <w:noWrap w:val="0"/>
                  <w:vAlign w:val="center"/>
                </w:tcPr>
                <w:p w14:paraId="71B301FD">
                  <w:pPr>
                    <w:pStyle w:val="17"/>
                    <w:ind w:left="21" w:right="21"/>
                    <w:rPr>
                      <w:color w:val="auto"/>
                      <w:szCs w:val="21"/>
                    </w:rPr>
                  </w:pPr>
                  <w:r>
                    <w:rPr>
                      <w:color w:val="auto"/>
                      <w:szCs w:val="21"/>
                    </w:rPr>
                    <w:t>达标</w:t>
                  </w:r>
                </w:p>
              </w:tc>
            </w:tr>
            <w:tr w14:paraId="62979D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1210" w:type="dxa"/>
                  <w:noWrap w:val="0"/>
                  <w:vAlign w:val="center"/>
                </w:tcPr>
                <w:p w14:paraId="79B01F07">
                  <w:pPr>
                    <w:pStyle w:val="17"/>
                    <w:ind w:left="21" w:right="21"/>
                    <w:rPr>
                      <w:color w:val="auto"/>
                      <w:szCs w:val="21"/>
                    </w:rPr>
                  </w:pPr>
                  <w:r>
                    <w:rPr>
                      <w:color w:val="auto"/>
                      <w:szCs w:val="21"/>
                    </w:rPr>
                    <w:t>PM</w:t>
                  </w:r>
                  <w:r>
                    <w:rPr>
                      <w:color w:val="auto"/>
                      <w:szCs w:val="21"/>
                      <w:vertAlign w:val="subscript"/>
                    </w:rPr>
                    <w:t>10</w:t>
                  </w:r>
                </w:p>
              </w:tc>
              <w:tc>
                <w:tcPr>
                  <w:tcW w:w="1725" w:type="dxa"/>
                  <w:noWrap w:val="0"/>
                  <w:vAlign w:val="center"/>
                </w:tcPr>
                <w:p w14:paraId="36756698">
                  <w:pPr>
                    <w:pStyle w:val="17"/>
                    <w:ind w:left="21" w:right="21"/>
                    <w:rPr>
                      <w:color w:val="auto"/>
                      <w:szCs w:val="21"/>
                    </w:rPr>
                  </w:pPr>
                  <w:r>
                    <w:rPr>
                      <w:color w:val="auto"/>
                      <w:szCs w:val="21"/>
                    </w:rPr>
                    <w:t>年均浓度</w:t>
                  </w:r>
                </w:p>
              </w:tc>
              <w:tc>
                <w:tcPr>
                  <w:tcW w:w="1140" w:type="dxa"/>
                  <w:noWrap w:val="0"/>
                  <w:vAlign w:val="center"/>
                </w:tcPr>
                <w:p w14:paraId="42977DA2">
                  <w:pPr>
                    <w:pStyle w:val="17"/>
                    <w:ind w:left="21" w:right="21"/>
                    <w:rPr>
                      <w:color w:val="auto"/>
                      <w:szCs w:val="21"/>
                    </w:rPr>
                  </w:pPr>
                  <w:r>
                    <w:rPr>
                      <w:color w:val="auto"/>
                      <w:szCs w:val="21"/>
                    </w:rPr>
                    <w:t>79</w:t>
                  </w:r>
                </w:p>
              </w:tc>
              <w:tc>
                <w:tcPr>
                  <w:tcW w:w="1680" w:type="dxa"/>
                  <w:noWrap w:val="0"/>
                  <w:vAlign w:val="center"/>
                </w:tcPr>
                <w:p w14:paraId="58D92AA6">
                  <w:pPr>
                    <w:pStyle w:val="17"/>
                    <w:ind w:left="21" w:right="21"/>
                    <w:rPr>
                      <w:color w:val="auto"/>
                      <w:szCs w:val="21"/>
                    </w:rPr>
                  </w:pPr>
                  <w:r>
                    <w:rPr>
                      <w:color w:val="auto"/>
                      <w:szCs w:val="21"/>
                    </w:rPr>
                    <w:t>70</w:t>
                  </w:r>
                </w:p>
              </w:tc>
              <w:tc>
                <w:tcPr>
                  <w:tcW w:w="1505" w:type="dxa"/>
                  <w:noWrap w:val="0"/>
                  <w:vAlign w:val="center"/>
                </w:tcPr>
                <w:p w14:paraId="64B34F90">
                  <w:pPr>
                    <w:pStyle w:val="17"/>
                    <w:ind w:left="21" w:right="21"/>
                    <w:rPr>
                      <w:color w:val="auto"/>
                      <w:szCs w:val="21"/>
                    </w:rPr>
                  </w:pPr>
                  <w:r>
                    <w:rPr>
                      <w:color w:val="auto"/>
                      <w:szCs w:val="21"/>
                    </w:rPr>
                    <w:t>112.9</w:t>
                  </w:r>
                </w:p>
              </w:tc>
              <w:tc>
                <w:tcPr>
                  <w:tcW w:w="1262" w:type="dxa"/>
                  <w:noWrap w:val="0"/>
                  <w:vAlign w:val="center"/>
                </w:tcPr>
                <w:p w14:paraId="2200B90D">
                  <w:pPr>
                    <w:pStyle w:val="17"/>
                    <w:ind w:left="21" w:right="21"/>
                    <w:rPr>
                      <w:color w:val="auto"/>
                      <w:szCs w:val="21"/>
                    </w:rPr>
                  </w:pPr>
                  <w:r>
                    <w:rPr>
                      <w:color w:val="auto"/>
                      <w:szCs w:val="21"/>
                    </w:rPr>
                    <w:t>不达标</w:t>
                  </w:r>
                </w:p>
              </w:tc>
            </w:tr>
            <w:tr w14:paraId="458D26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1210" w:type="dxa"/>
                  <w:noWrap w:val="0"/>
                  <w:vAlign w:val="center"/>
                </w:tcPr>
                <w:p w14:paraId="60F85A9E">
                  <w:pPr>
                    <w:pStyle w:val="17"/>
                    <w:ind w:left="21" w:right="21"/>
                    <w:rPr>
                      <w:color w:val="auto"/>
                      <w:szCs w:val="21"/>
                    </w:rPr>
                  </w:pPr>
                  <w:r>
                    <w:rPr>
                      <w:color w:val="auto"/>
                      <w:szCs w:val="21"/>
                    </w:rPr>
                    <w:t>PM</w:t>
                  </w:r>
                  <w:r>
                    <w:rPr>
                      <w:color w:val="auto"/>
                      <w:szCs w:val="21"/>
                      <w:vertAlign w:val="subscript"/>
                    </w:rPr>
                    <w:t>2.5</w:t>
                  </w:r>
                </w:p>
              </w:tc>
              <w:tc>
                <w:tcPr>
                  <w:tcW w:w="1725" w:type="dxa"/>
                  <w:noWrap w:val="0"/>
                  <w:vAlign w:val="center"/>
                </w:tcPr>
                <w:p w14:paraId="36588E1A">
                  <w:pPr>
                    <w:pStyle w:val="17"/>
                    <w:ind w:left="21" w:right="21"/>
                    <w:rPr>
                      <w:color w:val="auto"/>
                      <w:szCs w:val="21"/>
                    </w:rPr>
                  </w:pPr>
                  <w:r>
                    <w:rPr>
                      <w:color w:val="auto"/>
                      <w:szCs w:val="21"/>
                    </w:rPr>
                    <w:t>年均浓度</w:t>
                  </w:r>
                </w:p>
              </w:tc>
              <w:tc>
                <w:tcPr>
                  <w:tcW w:w="1140" w:type="dxa"/>
                  <w:noWrap w:val="0"/>
                  <w:vAlign w:val="center"/>
                </w:tcPr>
                <w:p w14:paraId="51BA9759">
                  <w:pPr>
                    <w:pStyle w:val="17"/>
                    <w:ind w:left="21" w:right="21"/>
                    <w:rPr>
                      <w:color w:val="auto"/>
                      <w:szCs w:val="21"/>
                    </w:rPr>
                  </w:pPr>
                  <w:r>
                    <w:rPr>
                      <w:color w:val="auto"/>
                      <w:szCs w:val="21"/>
                    </w:rPr>
                    <w:t>29</w:t>
                  </w:r>
                </w:p>
              </w:tc>
              <w:tc>
                <w:tcPr>
                  <w:tcW w:w="1680" w:type="dxa"/>
                  <w:noWrap w:val="0"/>
                  <w:vAlign w:val="center"/>
                </w:tcPr>
                <w:p w14:paraId="677BD0EF">
                  <w:pPr>
                    <w:pStyle w:val="17"/>
                    <w:ind w:left="21" w:right="21"/>
                    <w:rPr>
                      <w:color w:val="auto"/>
                      <w:szCs w:val="21"/>
                    </w:rPr>
                  </w:pPr>
                  <w:r>
                    <w:rPr>
                      <w:color w:val="auto"/>
                      <w:szCs w:val="21"/>
                    </w:rPr>
                    <w:t>35</w:t>
                  </w:r>
                </w:p>
              </w:tc>
              <w:tc>
                <w:tcPr>
                  <w:tcW w:w="1505" w:type="dxa"/>
                  <w:noWrap w:val="0"/>
                  <w:vAlign w:val="center"/>
                </w:tcPr>
                <w:p w14:paraId="2038191C">
                  <w:pPr>
                    <w:pStyle w:val="17"/>
                    <w:ind w:left="21" w:right="21"/>
                    <w:rPr>
                      <w:color w:val="auto"/>
                      <w:szCs w:val="21"/>
                    </w:rPr>
                  </w:pPr>
                  <w:r>
                    <w:rPr>
                      <w:color w:val="auto"/>
                      <w:szCs w:val="21"/>
                    </w:rPr>
                    <w:t>82.9</w:t>
                  </w:r>
                </w:p>
              </w:tc>
              <w:tc>
                <w:tcPr>
                  <w:tcW w:w="1262" w:type="dxa"/>
                  <w:noWrap w:val="0"/>
                  <w:vAlign w:val="center"/>
                </w:tcPr>
                <w:p w14:paraId="7A789591">
                  <w:pPr>
                    <w:pStyle w:val="17"/>
                    <w:ind w:left="21" w:right="21"/>
                    <w:rPr>
                      <w:color w:val="auto"/>
                      <w:szCs w:val="21"/>
                    </w:rPr>
                  </w:pPr>
                  <w:r>
                    <w:rPr>
                      <w:color w:val="auto"/>
                      <w:szCs w:val="21"/>
                    </w:rPr>
                    <w:t>达标</w:t>
                  </w:r>
                </w:p>
              </w:tc>
            </w:tr>
            <w:tr w14:paraId="3740F6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1210" w:type="dxa"/>
                  <w:noWrap w:val="0"/>
                  <w:vAlign w:val="center"/>
                </w:tcPr>
                <w:p w14:paraId="055A234C">
                  <w:pPr>
                    <w:pStyle w:val="17"/>
                    <w:ind w:left="21" w:right="21"/>
                    <w:rPr>
                      <w:color w:val="auto"/>
                      <w:szCs w:val="21"/>
                    </w:rPr>
                  </w:pPr>
                  <w:r>
                    <w:rPr>
                      <w:color w:val="auto"/>
                      <w:szCs w:val="21"/>
                    </w:rPr>
                    <w:t>CO</w:t>
                  </w:r>
                </w:p>
              </w:tc>
              <w:tc>
                <w:tcPr>
                  <w:tcW w:w="1725" w:type="dxa"/>
                  <w:noWrap w:val="0"/>
                  <w:vAlign w:val="center"/>
                </w:tcPr>
                <w:p w14:paraId="6A7F21B0">
                  <w:pPr>
                    <w:pStyle w:val="17"/>
                    <w:ind w:left="21" w:right="21"/>
                    <w:rPr>
                      <w:color w:val="auto"/>
                      <w:szCs w:val="21"/>
                    </w:rPr>
                  </w:pPr>
                  <w:r>
                    <w:rPr>
                      <w:color w:val="auto"/>
                      <w:szCs w:val="21"/>
                    </w:rPr>
                    <w:t>24小时平均第95百分位数</w:t>
                  </w:r>
                </w:p>
              </w:tc>
              <w:tc>
                <w:tcPr>
                  <w:tcW w:w="1140" w:type="dxa"/>
                  <w:noWrap w:val="0"/>
                  <w:vAlign w:val="center"/>
                </w:tcPr>
                <w:p w14:paraId="05E3BB29">
                  <w:pPr>
                    <w:pStyle w:val="17"/>
                    <w:ind w:left="21" w:right="21"/>
                    <w:rPr>
                      <w:color w:val="auto"/>
                      <w:szCs w:val="21"/>
                    </w:rPr>
                  </w:pPr>
                  <w:r>
                    <w:rPr>
                      <w:color w:val="auto"/>
                      <w:szCs w:val="21"/>
                    </w:rPr>
                    <w:t>1.5mg/m</w:t>
                  </w:r>
                  <w:r>
                    <w:rPr>
                      <w:color w:val="auto"/>
                      <w:szCs w:val="21"/>
                      <w:vertAlign w:val="superscript"/>
                    </w:rPr>
                    <w:t>3</w:t>
                  </w:r>
                </w:p>
              </w:tc>
              <w:tc>
                <w:tcPr>
                  <w:tcW w:w="1680" w:type="dxa"/>
                  <w:noWrap w:val="0"/>
                  <w:vAlign w:val="center"/>
                </w:tcPr>
                <w:p w14:paraId="6771BEC4">
                  <w:pPr>
                    <w:pStyle w:val="17"/>
                    <w:ind w:left="21" w:right="21"/>
                    <w:rPr>
                      <w:color w:val="auto"/>
                      <w:szCs w:val="21"/>
                    </w:rPr>
                  </w:pPr>
                  <w:r>
                    <w:rPr>
                      <w:color w:val="auto"/>
                      <w:szCs w:val="21"/>
                    </w:rPr>
                    <w:t>4mg/m</w:t>
                  </w:r>
                  <w:r>
                    <w:rPr>
                      <w:color w:val="auto"/>
                      <w:szCs w:val="21"/>
                      <w:vertAlign w:val="superscript"/>
                    </w:rPr>
                    <w:t>3</w:t>
                  </w:r>
                </w:p>
              </w:tc>
              <w:tc>
                <w:tcPr>
                  <w:tcW w:w="1505" w:type="dxa"/>
                  <w:noWrap w:val="0"/>
                  <w:vAlign w:val="center"/>
                </w:tcPr>
                <w:p w14:paraId="21FCB1B9">
                  <w:pPr>
                    <w:pStyle w:val="17"/>
                    <w:ind w:left="21" w:right="21"/>
                    <w:rPr>
                      <w:color w:val="auto"/>
                      <w:szCs w:val="21"/>
                    </w:rPr>
                  </w:pPr>
                  <w:r>
                    <w:rPr>
                      <w:color w:val="auto"/>
                      <w:szCs w:val="21"/>
                    </w:rPr>
                    <w:t>37.5</w:t>
                  </w:r>
                </w:p>
              </w:tc>
              <w:tc>
                <w:tcPr>
                  <w:tcW w:w="1262" w:type="dxa"/>
                  <w:noWrap w:val="0"/>
                  <w:vAlign w:val="center"/>
                </w:tcPr>
                <w:p w14:paraId="03353BFC">
                  <w:pPr>
                    <w:pStyle w:val="17"/>
                    <w:ind w:left="21" w:right="21"/>
                    <w:rPr>
                      <w:color w:val="auto"/>
                      <w:szCs w:val="21"/>
                    </w:rPr>
                  </w:pPr>
                  <w:r>
                    <w:rPr>
                      <w:color w:val="auto"/>
                      <w:szCs w:val="21"/>
                    </w:rPr>
                    <w:t>达标</w:t>
                  </w:r>
                </w:p>
              </w:tc>
            </w:tr>
            <w:tr w14:paraId="19EB04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210" w:type="dxa"/>
                  <w:noWrap w:val="0"/>
                  <w:vAlign w:val="center"/>
                </w:tcPr>
                <w:p w14:paraId="7514C058">
                  <w:pPr>
                    <w:pStyle w:val="17"/>
                    <w:ind w:left="21" w:right="21"/>
                    <w:rPr>
                      <w:color w:val="auto"/>
                      <w:szCs w:val="21"/>
                    </w:rPr>
                  </w:pPr>
                  <w:r>
                    <w:rPr>
                      <w:color w:val="auto"/>
                      <w:szCs w:val="21"/>
                    </w:rPr>
                    <w:t>O</w:t>
                  </w:r>
                  <w:r>
                    <w:rPr>
                      <w:color w:val="auto"/>
                      <w:szCs w:val="21"/>
                      <w:vertAlign w:val="subscript"/>
                    </w:rPr>
                    <w:t>3</w:t>
                  </w:r>
                </w:p>
              </w:tc>
              <w:tc>
                <w:tcPr>
                  <w:tcW w:w="1725" w:type="dxa"/>
                  <w:noWrap w:val="0"/>
                  <w:vAlign w:val="center"/>
                </w:tcPr>
                <w:p w14:paraId="2316ACB9">
                  <w:pPr>
                    <w:pStyle w:val="17"/>
                    <w:ind w:left="21" w:right="21"/>
                    <w:rPr>
                      <w:color w:val="auto"/>
                      <w:szCs w:val="21"/>
                    </w:rPr>
                  </w:pPr>
                  <w:r>
                    <w:rPr>
                      <w:color w:val="auto"/>
                      <w:szCs w:val="21"/>
                    </w:rPr>
                    <w:t>最大8小时平均第90百分位数</w:t>
                  </w:r>
                </w:p>
              </w:tc>
              <w:tc>
                <w:tcPr>
                  <w:tcW w:w="1140" w:type="dxa"/>
                  <w:noWrap w:val="0"/>
                  <w:vAlign w:val="center"/>
                </w:tcPr>
                <w:p w14:paraId="7DEC3275">
                  <w:pPr>
                    <w:pStyle w:val="17"/>
                    <w:ind w:left="21" w:right="21"/>
                    <w:rPr>
                      <w:color w:val="auto"/>
                      <w:szCs w:val="21"/>
                    </w:rPr>
                  </w:pPr>
                  <w:r>
                    <w:rPr>
                      <w:color w:val="auto"/>
                      <w:szCs w:val="21"/>
                    </w:rPr>
                    <w:t>146</w:t>
                  </w:r>
                </w:p>
              </w:tc>
              <w:tc>
                <w:tcPr>
                  <w:tcW w:w="1680" w:type="dxa"/>
                  <w:noWrap w:val="0"/>
                  <w:vAlign w:val="center"/>
                </w:tcPr>
                <w:p w14:paraId="6601560D">
                  <w:pPr>
                    <w:pStyle w:val="17"/>
                    <w:ind w:left="21" w:right="21"/>
                    <w:rPr>
                      <w:color w:val="auto"/>
                      <w:szCs w:val="21"/>
                    </w:rPr>
                  </w:pPr>
                  <w:r>
                    <w:rPr>
                      <w:color w:val="auto"/>
                      <w:szCs w:val="21"/>
                    </w:rPr>
                    <w:t>160</w:t>
                  </w:r>
                </w:p>
              </w:tc>
              <w:tc>
                <w:tcPr>
                  <w:tcW w:w="1505" w:type="dxa"/>
                  <w:noWrap w:val="0"/>
                  <w:vAlign w:val="center"/>
                </w:tcPr>
                <w:p w14:paraId="4AC5522C">
                  <w:pPr>
                    <w:pStyle w:val="17"/>
                    <w:ind w:left="21" w:right="21"/>
                    <w:rPr>
                      <w:color w:val="auto"/>
                      <w:szCs w:val="21"/>
                    </w:rPr>
                  </w:pPr>
                  <w:r>
                    <w:rPr>
                      <w:color w:val="auto"/>
                      <w:szCs w:val="21"/>
                    </w:rPr>
                    <w:t>91.3</w:t>
                  </w:r>
                </w:p>
              </w:tc>
              <w:tc>
                <w:tcPr>
                  <w:tcW w:w="1262" w:type="dxa"/>
                  <w:noWrap w:val="0"/>
                  <w:vAlign w:val="center"/>
                </w:tcPr>
                <w:p w14:paraId="006650CA">
                  <w:pPr>
                    <w:pStyle w:val="17"/>
                    <w:ind w:left="21" w:right="21"/>
                    <w:rPr>
                      <w:color w:val="auto"/>
                      <w:szCs w:val="21"/>
                    </w:rPr>
                  </w:pPr>
                  <w:r>
                    <w:rPr>
                      <w:color w:val="auto"/>
                      <w:szCs w:val="21"/>
                    </w:rPr>
                    <w:t>达标</w:t>
                  </w:r>
                </w:p>
              </w:tc>
            </w:tr>
          </w:tbl>
          <w:p w14:paraId="1AB48927">
            <w:pPr>
              <w:spacing w:line="360" w:lineRule="auto"/>
              <w:ind w:firstLine="480" w:firstLineChars="200"/>
              <w:jc w:val="left"/>
              <w:rPr>
                <w:color w:val="auto"/>
                <w:kern w:val="0"/>
                <w:sz w:val="24"/>
              </w:rPr>
            </w:pPr>
            <w:r>
              <w:rPr>
                <w:color w:val="auto"/>
                <w:kern w:val="0"/>
                <w:sz w:val="24"/>
              </w:rPr>
              <w:t>PM</w:t>
            </w:r>
            <w:r>
              <w:rPr>
                <w:color w:val="auto"/>
                <w:kern w:val="0"/>
                <w:sz w:val="24"/>
                <w:vertAlign w:val="subscript"/>
              </w:rPr>
              <w:t>10</w:t>
            </w:r>
            <w:r>
              <w:rPr>
                <w:color w:val="auto"/>
                <w:kern w:val="0"/>
                <w:sz w:val="24"/>
              </w:rPr>
              <w:t>超过《环境空气质量标准》（GB3095-2012）中二级标准限值，故，本项目所在区域属于不达标区。</w:t>
            </w:r>
          </w:p>
          <w:p w14:paraId="7796D283">
            <w:pPr>
              <w:spacing w:line="360" w:lineRule="auto"/>
              <w:ind w:firstLine="480" w:firstLineChars="200"/>
              <w:jc w:val="left"/>
              <w:rPr>
                <w:color w:val="auto"/>
                <w:kern w:val="0"/>
                <w:sz w:val="24"/>
                <w:szCs w:val="21"/>
              </w:rPr>
            </w:pPr>
            <w:r>
              <w:rPr>
                <w:color w:val="auto"/>
                <w:kern w:val="0"/>
                <w:sz w:val="24"/>
                <w:szCs w:val="21"/>
              </w:rPr>
              <w:t>（2）其他污染物</w:t>
            </w:r>
          </w:p>
          <w:p w14:paraId="1436D876">
            <w:pPr>
              <w:spacing w:line="360" w:lineRule="auto"/>
              <w:ind w:firstLine="480" w:firstLineChars="200"/>
              <w:jc w:val="left"/>
              <w:rPr>
                <w:color w:val="auto"/>
                <w:kern w:val="0"/>
                <w:sz w:val="24"/>
                <w:szCs w:val="21"/>
              </w:rPr>
            </w:pPr>
            <w:r>
              <w:rPr>
                <w:color w:val="auto"/>
                <w:kern w:val="0"/>
                <w:sz w:val="24"/>
                <w:szCs w:val="21"/>
              </w:rPr>
              <w:t>本项目中涉及的</w:t>
            </w:r>
            <w:r>
              <w:rPr>
                <w:rFonts w:hint="eastAsia"/>
                <w:color w:val="auto"/>
                <w:kern w:val="0"/>
                <w:sz w:val="24"/>
                <w:szCs w:val="21"/>
                <w:lang w:val="en-US" w:eastAsia="zh-CN"/>
              </w:rPr>
              <w:t>特征</w:t>
            </w:r>
            <w:r>
              <w:rPr>
                <w:color w:val="auto"/>
                <w:kern w:val="0"/>
                <w:sz w:val="24"/>
                <w:szCs w:val="21"/>
              </w:rPr>
              <w:t>污染物主要为TSP，本项目在下风向1.5km处布设1个监测点位。委托内蒙古润埊环境技术有限公司开展为期3天的现状监测，监测时间为2024年3月15日</w:t>
            </w:r>
            <w:r>
              <w:rPr>
                <w:rFonts w:hint="eastAsia"/>
                <w:color w:val="auto"/>
                <w:kern w:val="0"/>
                <w:sz w:val="24"/>
                <w:szCs w:val="21"/>
                <w:lang w:eastAsia="zh-CN"/>
              </w:rPr>
              <w:t>～</w:t>
            </w:r>
            <w:r>
              <w:rPr>
                <w:color w:val="auto"/>
                <w:kern w:val="0"/>
                <w:sz w:val="24"/>
                <w:szCs w:val="21"/>
              </w:rPr>
              <w:t>2024年3月18日，监测结果见下表。</w:t>
            </w:r>
          </w:p>
          <w:p w14:paraId="39402BA5">
            <w:pPr>
              <w:spacing w:line="360" w:lineRule="auto"/>
              <w:ind w:firstLine="482" w:firstLineChars="200"/>
              <w:jc w:val="center"/>
              <w:rPr>
                <w:b/>
                <w:bCs/>
                <w:color w:val="auto"/>
                <w:kern w:val="0"/>
                <w:sz w:val="24"/>
                <w:szCs w:val="21"/>
              </w:rPr>
            </w:pPr>
            <w:r>
              <w:rPr>
                <w:b/>
                <w:bCs/>
                <w:color w:val="auto"/>
                <w:kern w:val="0"/>
                <w:sz w:val="24"/>
                <w:szCs w:val="21"/>
              </w:rPr>
              <w:t>表3-2  TSP监测结果表</w:t>
            </w:r>
          </w:p>
          <w:tbl>
            <w:tblPr>
              <w:tblStyle w:val="11"/>
              <w:tblW w:w="0" w:type="auto"/>
              <w:tblInd w:w="5"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89"/>
              <w:gridCol w:w="986"/>
              <w:gridCol w:w="986"/>
              <w:gridCol w:w="1218"/>
              <w:gridCol w:w="1188"/>
              <w:gridCol w:w="888"/>
              <w:gridCol w:w="852"/>
              <w:gridCol w:w="812"/>
            </w:tblGrid>
            <w:tr w14:paraId="57D8E60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989" w:type="dxa"/>
                  <w:noWrap w:val="0"/>
                  <w:vAlign w:val="center"/>
                </w:tcPr>
                <w:p w14:paraId="7A04BB95">
                  <w:pPr>
                    <w:pStyle w:val="2"/>
                    <w:spacing w:line="240" w:lineRule="auto"/>
                    <w:ind w:firstLine="0"/>
                    <w:jc w:val="center"/>
                    <w:rPr>
                      <w:bCs/>
                      <w:color w:val="auto"/>
                      <w:sz w:val="21"/>
                      <w:szCs w:val="21"/>
                    </w:rPr>
                  </w:pPr>
                  <w:r>
                    <w:rPr>
                      <w:bCs/>
                      <w:color w:val="auto"/>
                      <w:sz w:val="21"/>
                      <w:szCs w:val="21"/>
                    </w:rPr>
                    <w:t>监测</w:t>
                  </w:r>
                </w:p>
                <w:p w14:paraId="7DF17DD2">
                  <w:pPr>
                    <w:pStyle w:val="2"/>
                    <w:spacing w:line="240" w:lineRule="auto"/>
                    <w:ind w:firstLine="0"/>
                    <w:jc w:val="center"/>
                    <w:rPr>
                      <w:bCs/>
                      <w:color w:val="auto"/>
                      <w:sz w:val="21"/>
                      <w:szCs w:val="21"/>
                    </w:rPr>
                  </w:pPr>
                  <w:r>
                    <w:rPr>
                      <w:bCs/>
                      <w:color w:val="auto"/>
                      <w:sz w:val="21"/>
                      <w:szCs w:val="21"/>
                    </w:rPr>
                    <w:t>点位</w:t>
                  </w:r>
                </w:p>
              </w:tc>
              <w:tc>
                <w:tcPr>
                  <w:tcW w:w="986" w:type="dxa"/>
                  <w:noWrap w:val="0"/>
                  <w:vAlign w:val="center"/>
                </w:tcPr>
                <w:p w14:paraId="5095C595">
                  <w:pPr>
                    <w:pStyle w:val="2"/>
                    <w:spacing w:line="240" w:lineRule="auto"/>
                    <w:ind w:firstLine="0"/>
                    <w:jc w:val="center"/>
                    <w:rPr>
                      <w:bCs/>
                      <w:color w:val="auto"/>
                      <w:sz w:val="21"/>
                      <w:szCs w:val="21"/>
                    </w:rPr>
                  </w:pPr>
                  <w:r>
                    <w:rPr>
                      <w:bCs/>
                      <w:color w:val="auto"/>
                      <w:sz w:val="21"/>
                      <w:szCs w:val="21"/>
                    </w:rPr>
                    <w:t>污染物</w:t>
                  </w:r>
                </w:p>
              </w:tc>
              <w:tc>
                <w:tcPr>
                  <w:tcW w:w="986" w:type="dxa"/>
                  <w:noWrap w:val="0"/>
                  <w:vAlign w:val="center"/>
                </w:tcPr>
                <w:p w14:paraId="08AE3E6D">
                  <w:pPr>
                    <w:pStyle w:val="2"/>
                    <w:spacing w:line="240" w:lineRule="auto"/>
                    <w:ind w:firstLine="0"/>
                    <w:jc w:val="center"/>
                    <w:rPr>
                      <w:bCs/>
                      <w:color w:val="auto"/>
                      <w:sz w:val="21"/>
                      <w:szCs w:val="21"/>
                    </w:rPr>
                  </w:pPr>
                  <w:r>
                    <w:rPr>
                      <w:bCs/>
                      <w:color w:val="auto"/>
                      <w:sz w:val="21"/>
                      <w:szCs w:val="21"/>
                    </w:rPr>
                    <w:t>平均</w:t>
                  </w:r>
                </w:p>
                <w:p w14:paraId="4AE1F3AB">
                  <w:pPr>
                    <w:pStyle w:val="2"/>
                    <w:spacing w:line="240" w:lineRule="auto"/>
                    <w:ind w:firstLine="0"/>
                    <w:jc w:val="center"/>
                    <w:rPr>
                      <w:bCs/>
                      <w:color w:val="auto"/>
                      <w:sz w:val="21"/>
                      <w:szCs w:val="21"/>
                    </w:rPr>
                  </w:pPr>
                  <w:r>
                    <w:rPr>
                      <w:bCs/>
                      <w:color w:val="auto"/>
                      <w:sz w:val="21"/>
                      <w:szCs w:val="21"/>
                    </w:rPr>
                    <w:t>时间</w:t>
                  </w:r>
                </w:p>
              </w:tc>
              <w:tc>
                <w:tcPr>
                  <w:tcW w:w="1218" w:type="dxa"/>
                  <w:noWrap w:val="0"/>
                  <w:vAlign w:val="center"/>
                </w:tcPr>
                <w:p w14:paraId="45864F70">
                  <w:pPr>
                    <w:pStyle w:val="2"/>
                    <w:spacing w:line="240" w:lineRule="auto"/>
                    <w:ind w:firstLine="0"/>
                    <w:jc w:val="center"/>
                    <w:rPr>
                      <w:bCs/>
                      <w:color w:val="auto"/>
                      <w:sz w:val="21"/>
                      <w:szCs w:val="21"/>
                    </w:rPr>
                  </w:pPr>
                  <w:r>
                    <w:rPr>
                      <w:bCs/>
                      <w:color w:val="auto"/>
                      <w:sz w:val="21"/>
                      <w:szCs w:val="21"/>
                    </w:rPr>
                    <w:t>评价</w:t>
                  </w:r>
                </w:p>
                <w:p w14:paraId="79084CDC">
                  <w:pPr>
                    <w:pStyle w:val="2"/>
                    <w:spacing w:line="240" w:lineRule="auto"/>
                    <w:ind w:firstLine="0"/>
                    <w:jc w:val="center"/>
                    <w:rPr>
                      <w:bCs/>
                      <w:color w:val="auto"/>
                      <w:sz w:val="21"/>
                      <w:szCs w:val="21"/>
                    </w:rPr>
                  </w:pPr>
                  <w:r>
                    <w:rPr>
                      <w:bCs/>
                      <w:color w:val="auto"/>
                      <w:sz w:val="21"/>
                      <w:szCs w:val="21"/>
                    </w:rPr>
                    <w:t>标准（mg/m³）</w:t>
                  </w:r>
                </w:p>
              </w:tc>
              <w:tc>
                <w:tcPr>
                  <w:tcW w:w="1188" w:type="dxa"/>
                  <w:noWrap w:val="0"/>
                  <w:vAlign w:val="center"/>
                </w:tcPr>
                <w:p w14:paraId="45C0033A">
                  <w:pPr>
                    <w:pStyle w:val="2"/>
                    <w:spacing w:line="240" w:lineRule="auto"/>
                    <w:ind w:firstLine="0"/>
                    <w:jc w:val="center"/>
                    <w:rPr>
                      <w:bCs/>
                      <w:color w:val="auto"/>
                      <w:sz w:val="21"/>
                      <w:szCs w:val="21"/>
                    </w:rPr>
                  </w:pPr>
                  <w:r>
                    <w:rPr>
                      <w:bCs/>
                      <w:color w:val="auto"/>
                      <w:sz w:val="21"/>
                      <w:szCs w:val="21"/>
                    </w:rPr>
                    <w:t>监测浓度  范围       （mg/m³）</w:t>
                  </w:r>
                </w:p>
              </w:tc>
              <w:tc>
                <w:tcPr>
                  <w:tcW w:w="888" w:type="dxa"/>
                  <w:noWrap w:val="0"/>
                  <w:vAlign w:val="center"/>
                </w:tcPr>
                <w:p w14:paraId="44133663">
                  <w:pPr>
                    <w:pStyle w:val="2"/>
                    <w:spacing w:line="240" w:lineRule="auto"/>
                    <w:ind w:firstLine="0"/>
                    <w:jc w:val="center"/>
                    <w:rPr>
                      <w:bCs/>
                      <w:color w:val="auto"/>
                      <w:sz w:val="21"/>
                      <w:szCs w:val="21"/>
                    </w:rPr>
                  </w:pPr>
                  <w:r>
                    <w:rPr>
                      <w:bCs/>
                      <w:color w:val="auto"/>
                      <w:sz w:val="21"/>
                      <w:szCs w:val="21"/>
                    </w:rPr>
                    <w:t>最大浓度占标率（％）</w:t>
                  </w:r>
                </w:p>
              </w:tc>
              <w:tc>
                <w:tcPr>
                  <w:tcW w:w="852" w:type="dxa"/>
                  <w:noWrap w:val="0"/>
                  <w:vAlign w:val="center"/>
                </w:tcPr>
                <w:p w14:paraId="21B1B71C">
                  <w:pPr>
                    <w:pStyle w:val="2"/>
                    <w:spacing w:line="240" w:lineRule="auto"/>
                    <w:ind w:firstLine="0"/>
                    <w:jc w:val="center"/>
                    <w:rPr>
                      <w:bCs/>
                      <w:color w:val="auto"/>
                      <w:sz w:val="21"/>
                      <w:szCs w:val="21"/>
                    </w:rPr>
                  </w:pPr>
                  <w:r>
                    <w:rPr>
                      <w:bCs/>
                      <w:color w:val="auto"/>
                      <w:sz w:val="21"/>
                      <w:szCs w:val="21"/>
                    </w:rPr>
                    <w:t>超标率（％）</w:t>
                  </w:r>
                </w:p>
              </w:tc>
              <w:tc>
                <w:tcPr>
                  <w:tcW w:w="812" w:type="dxa"/>
                  <w:noWrap w:val="0"/>
                  <w:vAlign w:val="center"/>
                </w:tcPr>
                <w:p w14:paraId="79380423">
                  <w:pPr>
                    <w:pStyle w:val="2"/>
                    <w:spacing w:line="240" w:lineRule="auto"/>
                    <w:ind w:firstLine="0"/>
                    <w:jc w:val="center"/>
                    <w:rPr>
                      <w:bCs/>
                      <w:color w:val="auto"/>
                      <w:sz w:val="21"/>
                      <w:szCs w:val="21"/>
                    </w:rPr>
                  </w:pPr>
                  <w:r>
                    <w:rPr>
                      <w:bCs/>
                      <w:color w:val="auto"/>
                      <w:sz w:val="21"/>
                      <w:szCs w:val="21"/>
                    </w:rPr>
                    <w:t>达标</w:t>
                  </w:r>
                </w:p>
                <w:p w14:paraId="04ED1CB8">
                  <w:pPr>
                    <w:pStyle w:val="2"/>
                    <w:spacing w:line="240" w:lineRule="auto"/>
                    <w:ind w:firstLine="0"/>
                    <w:jc w:val="center"/>
                    <w:rPr>
                      <w:bCs/>
                      <w:color w:val="auto"/>
                      <w:sz w:val="21"/>
                      <w:szCs w:val="21"/>
                    </w:rPr>
                  </w:pPr>
                  <w:r>
                    <w:rPr>
                      <w:bCs/>
                      <w:color w:val="auto"/>
                      <w:sz w:val="21"/>
                      <w:szCs w:val="21"/>
                    </w:rPr>
                    <w:t>情况</w:t>
                  </w:r>
                </w:p>
              </w:tc>
            </w:tr>
            <w:tr w14:paraId="05AEAAC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989" w:type="dxa"/>
                  <w:noWrap w:val="0"/>
                  <w:vAlign w:val="center"/>
                </w:tcPr>
                <w:p w14:paraId="61A8C7EE">
                  <w:pPr>
                    <w:pStyle w:val="2"/>
                    <w:spacing w:line="240" w:lineRule="auto"/>
                    <w:ind w:firstLine="0"/>
                    <w:jc w:val="center"/>
                    <w:rPr>
                      <w:bCs/>
                      <w:color w:val="auto"/>
                      <w:sz w:val="21"/>
                      <w:szCs w:val="21"/>
                    </w:rPr>
                  </w:pPr>
                  <w:r>
                    <w:rPr>
                      <w:bCs/>
                      <w:color w:val="auto"/>
                      <w:sz w:val="21"/>
                      <w:szCs w:val="21"/>
                    </w:rPr>
                    <w:t>下风向</w:t>
                  </w:r>
                  <w:r>
                    <w:rPr>
                      <w:rFonts w:hint="eastAsia"/>
                      <w:bCs/>
                      <w:color w:val="auto"/>
                      <w:sz w:val="21"/>
                      <w:szCs w:val="21"/>
                      <w:lang w:val="en-US" w:eastAsia="zh-CN"/>
                    </w:rPr>
                    <w:t>1.5</w:t>
                  </w:r>
                  <w:r>
                    <w:rPr>
                      <w:bCs/>
                      <w:color w:val="auto"/>
                      <w:sz w:val="21"/>
                      <w:szCs w:val="21"/>
                    </w:rPr>
                    <w:t>km处</w:t>
                  </w:r>
                </w:p>
              </w:tc>
              <w:tc>
                <w:tcPr>
                  <w:tcW w:w="986" w:type="dxa"/>
                  <w:noWrap w:val="0"/>
                  <w:vAlign w:val="center"/>
                </w:tcPr>
                <w:p w14:paraId="2F902ED3">
                  <w:pPr>
                    <w:pStyle w:val="2"/>
                    <w:spacing w:line="240" w:lineRule="auto"/>
                    <w:ind w:firstLine="0"/>
                    <w:jc w:val="center"/>
                    <w:rPr>
                      <w:bCs/>
                      <w:color w:val="auto"/>
                      <w:sz w:val="21"/>
                      <w:szCs w:val="21"/>
                    </w:rPr>
                  </w:pPr>
                  <w:r>
                    <w:rPr>
                      <w:bCs/>
                      <w:color w:val="auto"/>
                      <w:sz w:val="21"/>
                      <w:szCs w:val="21"/>
                    </w:rPr>
                    <w:t>TSP</w:t>
                  </w:r>
                </w:p>
              </w:tc>
              <w:tc>
                <w:tcPr>
                  <w:tcW w:w="986" w:type="dxa"/>
                  <w:noWrap w:val="0"/>
                  <w:vAlign w:val="center"/>
                </w:tcPr>
                <w:p w14:paraId="01961446">
                  <w:pPr>
                    <w:pStyle w:val="2"/>
                    <w:spacing w:line="240" w:lineRule="auto"/>
                    <w:ind w:firstLine="0"/>
                    <w:jc w:val="center"/>
                    <w:rPr>
                      <w:bCs/>
                      <w:color w:val="auto"/>
                      <w:sz w:val="21"/>
                      <w:szCs w:val="21"/>
                    </w:rPr>
                  </w:pPr>
                  <w:r>
                    <w:rPr>
                      <w:bCs/>
                      <w:color w:val="auto"/>
                      <w:sz w:val="21"/>
                      <w:szCs w:val="21"/>
                    </w:rPr>
                    <w:t>24h平均</w:t>
                  </w:r>
                </w:p>
              </w:tc>
              <w:tc>
                <w:tcPr>
                  <w:tcW w:w="1218" w:type="dxa"/>
                  <w:noWrap w:val="0"/>
                  <w:vAlign w:val="center"/>
                </w:tcPr>
                <w:p w14:paraId="6813F6F8">
                  <w:pPr>
                    <w:pStyle w:val="2"/>
                    <w:spacing w:line="240" w:lineRule="auto"/>
                    <w:ind w:firstLine="0"/>
                    <w:jc w:val="center"/>
                    <w:rPr>
                      <w:bCs/>
                      <w:color w:val="auto"/>
                      <w:sz w:val="21"/>
                      <w:szCs w:val="21"/>
                    </w:rPr>
                  </w:pPr>
                  <w:r>
                    <w:rPr>
                      <w:bCs/>
                      <w:color w:val="auto"/>
                      <w:sz w:val="21"/>
                      <w:szCs w:val="21"/>
                    </w:rPr>
                    <w:t>0.3</w:t>
                  </w:r>
                </w:p>
              </w:tc>
              <w:tc>
                <w:tcPr>
                  <w:tcW w:w="1188" w:type="dxa"/>
                  <w:noWrap w:val="0"/>
                  <w:vAlign w:val="center"/>
                </w:tcPr>
                <w:p w14:paraId="392A3C67">
                  <w:pPr>
                    <w:pStyle w:val="2"/>
                    <w:spacing w:line="240" w:lineRule="auto"/>
                    <w:ind w:firstLine="0"/>
                    <w:jc w:val="center"/>
                    <w:rPr>
                      <w:bCs/>
                      <w:color w:val="auto"/>
                      <w:sz w:val="21"/>
                      <w:szCs w:val="21"/>
                    </w:rPr>
                  </w:pPr>
                  <w:r>
                    <w:rPr>
                      <w:bCs/>
                      <w:color w:val="auto"/>
                      <w:sz w:val="21"/>
                      <w:szCs w:val="21"/>
                    </w:rPr>
                    <w:t>0.245-0.255</w:t>
                  </w:r>
                </w:p>
              </w:tc>
              <w:tc>
                <w:tcPr>
                  <w:tcW w:w="888" w:type="dxa"/>
                  <w:noWrap w:val="0"/>
                  <w:vAlign w:val="center"/>
                </w:tcPr>
                <w:p w14:paraId="4298EF2E">
                  <w:pPr>
                    <w:pStyle w:val="2"/>
                    <w:spacing w:line="240" w:lineRule="auto"/>
                    <w:ind w:firstLine="0"/>
                    <w:jc w:val="center"/>
                    <w:rPr>
                      <w:bCs/>
                      <w:color w:val="auto"/>
                      <w:sz w:val="21"/>
                      <w:szCs w:val="21"/>
                    </w:rPr>
                  </w:pPr>
                  <w:r>
                    <w:rPr>
                      <w:bCs/>
                      <w:color w:val="auto"/>
                      <w:sz w:val="21"/>
                      <w:szCs w:val="21"/>
                    </w:rPr>
                    <w:t>85</w:t>
                  </w:r>
                </w:p>
              </w:tc>
              <w:tc>
                <w:tcPr>
                  <w:tcW w:w="852" w:type="dxa"/>
                  <w:noWrap w:val="0"/>
                  <w:vAlign w:val="center"/>
                </w:tcPr>
                <w:p w14:paraId="6A575ACD">
                  <w:pPr>
                    <w:pStyle w:val="2"/>
                    <w:spacing w:line="240" w:lineRule="auto"/>
                    <w:ind w:firstLine="0"/>
                    <w:jc w:val="center"/>
                    <w:rPr>
                      <w:bCs/>
                      <w:color w:val="auto"/>
                      <w:sz w:val="21"/>
                      <w:szCs w:val="21"/>
                    </w:rPr>
                  </w:pPr>
                  <w:r>
                    <w:rPr>
                      <w:bCs/>
                      <w:color w:val="auto"/>
                      <w:sz w:val="21"/>
                      <w:szCs w:val="21"/>
                    </w:rPr>
                    <w:t>0</w:t>
                  </w:r>
                </w:p>
              </w:tc>
              <w:tc>
                <w:tcPr>
                  <w:tcW w:w="812" w:type="dxa"/>
                  <w:noWrap w:val="0"/>
                  <w:vAlign w:val="center"/>
                </w:tcPr>
                <w:p w14:paraId="3355E8B7">
                  <w:pPr>
                    <w:pStyle w:val="2"/>
                    <w:spacing w:line="240" w:lineRule="auto"/>
                    <w:ind w:firstLine="0"/>
                    <w:jc w:val="center"/>
                    <w:rPr>
                      <w:bCs/>
                      <w:color w:val="auto"/>
                      <w:sz w:val="21"/>
                      <w:szCs w:val="21"/>
                    </w:rPr>
                  </w:pPr>
                  <w:r>
                    <w:rPr>
                      <w:bCs/>
                      <w:color w:val="auto"/>
                      <w:sz w:val="21"/>
                      <w:szCs w:val="21"/>
                    </w:rPr>
                    <w:t>达标</w:t>
                  </w:r>
                </w:p>
              </w:tc>
            </w:tr>
          </w:tbl>
          <w:p w14:paraId="330F0C47">
            <w:pPr>
              <w:spacing w:line="520" w:lineRule="exact"/>
              <w:ind w:right="-225" w:rightChars="-107" w:firstLine="480" w:firstLineChars="200"/>
              <w:jc w:val="left"/>
              <w:rPr>
                <w:b/>
                <w:bCs/>
                <w:color w:val="auto"/>
                <w:kern w:val="0"/>
                <w:sz w:val="24"/>
                <w:szCs w:val="21"/>
              </w:rPr>
            </w:pPr>
            <w:r>
              <w:rPr>
                <w:bCs/>
                <w:color w:val="auto"/>
                <w:sz w:val="24"/>
              </w:rPr>
              <w:t>监测结果表明，TSP能够满足</w:t>
            </w:r>
            <w:r>
              <w:rPr>
                <w:color w:val="auto"/>
                <w:sz w:val="24"/>
              </w:rPr>
              <w:t>《环境空气质量标准》</w:t>
            </w:r>
            <w:r>
              <w:rPr>
                <w:color w:val="auto"/>
                <w:kern w:val="0"/>
                <w:sz w:val="24"/>
              </w:rPr>
              <w:t>（GB3095-2012）</w:t>
            </w:r>
            <w:r>
              <w:rPr>
                <w:rFonts w:hint="eastAsia"/>
                <w:color w:val="auto"/>
                <w:kern w:val="0"/>
                <w:sz w:val="24"/>
                <w:lang w:val="en-US" w:eastAsia="zh-CN"/>
              </w:rPr>
              <w:t>及修改单</w:t>
            </w:r>
            <w:r>
              <w:rPr>
                <w:color w:val="auto"/>
                <w:kern w:val="0"/>
                <w:sz w:val="24"/>
              </w:rPr>
              <w:t>中二级标准限值要求</w:t>
            </w:r>
            <w:r>
              <w:rPr>
                <w:bCs/>
                <w:color w:val="auto"/>
                <w:sz w:val="24"/>
              </w:rPr>
              <w:t>。</w:t>
            </w:r>
          </w:p>
          <w:p w14:paraId="2EF50436">
            <w:pPr>
              <w:spacing w:line="360" w:lineRule="auto"/>
              <w:jc w:val="left"/>
              <w:rPr>
                <w:b/>
                <w:bCs/>
                <w:color w:val="auto"/>
                <w:kern w:val="0"/>
                <w:sz w:val="24"/>
              </w:rPr>
            </w:pPr>
            <w:r>
              <w:rPr>
                <w:b/>
                <w:bCs/>
                <w:color w:val="auto"/>
                <w:kern w:val="0"/>
                <w:sz w:val="24"/>
              </w:rPr>
              <w:t>2.声环境质量</w:t>
            </w:r>
          </w:p>
          <w:p w14:paraId="30963745">
            <w:pPr>
              <w:pStyle w:val="5"/>
              <w:spacing w:line="360" w:lineRule="auto"/>
              <w:ind w:left="0" w:leftChars="0" w:firstLine="480"/>
              <w:rPr>
                <w:color w:val="auto"/>
                <w:szCs w:val="24"/>
                <w:lang w:val="en-US" w:eastAsia="zh-CN"/>
              </w:rPr>
            </w:pPr>
            <w:r>
              <w:rPr>
                <w:color w:val="auto"/>
                <w:szCs w:val="24"/>
                <w:lang w:val="en-US" w:eastAsia="zh-CN"/>
              </w:rPr>
              <w:t>本项目位于</w:t>
            </w:r>
            <w:r>
              <w:rPr>
                <w:color w:val="auto"/>
                <w:szCs w:val="24"/>
                <w:shd w:val="clear" w:color="auto" w:fill="FFFFFF"/>
                <w:lang w:val="en-US" w:eastAsia="zh-CN"/>
              </w:rPr>
              <w:t>蒙西高新技术工业园区内，依照</w:t>
            </w:r>
            <w:r>
              <w:rPr>
                <w:bCs/>
                <w:color w:val="auto"/>
                <w:szCs w:val="24"/>
                <w:lang w:val="en-US" w:eastAsia="zh-CN"/>
              </w:rPr>
              <w:t>《建设项目环境影响报告表编制技术指南（污染影响类）》（试行）</w:t>
            </w:r>
            <w:r>
              <w:rPr>
                <w:color w:val="auto"/>
                <w:szCs w:val="24"/>
                <w:shd w:val="clear" w:color="auto" w:fill="FFFFFF"/>
                <w:lang w:val="en-US" w:eastAsia="zh-CN"/>
              </w:rPr>
              <w:t>，厂界范围内50米范围内不存在声环境保护目标，故未进行声环境质量监测。</w:t>
            </w:r>
          </w:p>
          <w:p w14:paraId="2147394B">
            <w:pPr>
              <w:pStyle w:val="5"/>
              <w:ind w:left="0" w:leftChars="0" w:firstLine="0" w:firstLineChars="0"/>
              <w:rPr>
                <w:b/>
                <w:bCs/>
                <w:color w:val="auto"/>
                <w:szCs w:val="24"/>
                <w:lang w:val="en-US" w:eastAsia="zh-CN"/>
              </w:rPr>
            </w:pPr>
            <w:r>
              <w:rPr>
                <w:b/>
                <w:bCs/>
                <w:color w:val="auto"/>
                <w:szCs w:val="24"/>
                <w:lang w:val="en-US" w:eastAsia="zh-CN"/>
              </w:rPr>
              <w:t>3.地下水、土壤质量现状</w:t>
            </w:r>
          </w:p>
          <w:p w14:paraId="3F8E5DC9">
            <w:pPr>
              <w:pStyle w:val="5"/>
              <w:spacing w:line="360" w:lineRule="auto"/>
              <w:ind w:left="0" w:leftChars="0" w:firstLine="480" w:firstLineChars="200"/>
              <w:rPr>
                <w:rFonts w:hint="eastAsia" w:ascii="Times New Roman" w:hAnsi="Times New Roman" w:eastAsia="宋体" w:cs="Times New Roman"/>
                <w:bCs/>
                <w:color w:val="auto"/>
                <w:kern w:val="2"/>
                <w:sz w:val="24"/>
                <w:szCs w:val="24"/>
                <w:lang w:val="en-US" w:eastAsia="zh-CN" w:bidi="ar-SA"/>
              </w:rPr>
            </w:pPr>
            <w:r>
              <w:rPr>
                <w:rFonts w:hint="eastAsia" w:ascii="Times New Roman" w:hAnsi="Times New Roman" w:eastAsia="宋体" w:cs="Times New Roman"/>
                <w:bCs/>
                <w:color w:val="auto"/>
                <w:kern w:val="2"/>
                <w:sz w:val="24"/>
                <w:szCs w:val="24"/>
                <w:lang w:val="en-US" w:eastAsia="zh-CN" w:bidi="ar-SA"/>
              </w:rPr>
              <w:t>地下水环境质量现状监测数据引用内蒙古长达监测有限公司于2024年4月29日编制的《内蒙古美力坚科技化工有限公司30000吨/年多功能化学助剂项目环境现状检测》，检测报告中共有7个地下水水质监测点位，6号点位（园区绿化水井5#）与本项目同属同一水文地质单元，引用监测数据可以反映拟建项目周围地下水环境现状，且引用数据符合3年时效性要求，监测数据是可行且有效。</w:t>
            </w:r>
          </w:p>
          <w:p w14:paraId="6DB9D4AF">
            <w:pPr>
              <w:pStyle w:val="5"/>
              <w:spacing w:line="360" w:lineRule="auto"/>
              <w:ind w:left="0" w:leftChars="0" w:firstLine="0" w:firstLineChars="0"/>
              <w:jc w:val="center"/>
              <w:rPr>
                <w:rFonts w:hint="eastAsia" w:ascii="Times New Roman" w:hAnsi="Times New Roman" w:eastAsia="宋体" w:cs="Times New Roman"/>
                <w:b/>
                <w:bCs w:val="0"/>
                <w:color w:val="auto"/>
                <w:kern w:val="2"/>
                <w:sz w:val="24"/>
                <w:szCs w:val="24"/>
                <w:lang w:val="en-US" w:eastAsia="zh-CN" w:bidi="ar-SA"/>
              </w:rPr>
            </w:pPr>
            <w:r>
              <w:rPr>
                <w:rFonts w:hint="eastAsia" w:ascii="Times New Roman" w:hAnsi="Times New Roman" w:eastAsia="宋体" w:cs="Times New Roman"/>
                <w:b/>
                <w:bCs w:val="0"/>
                <w:color w:val="auto"/>
                <w:kern w:val="2"/>
                <w:sz w:val="24"/>
                <w:szCs w:val="24"/>
                <w:lang w:val="en-US" w:eastAsia="zh-CN" w:bidi="ar-SA"/>
              </w:rPr>
              <w:t>表3-3  地下水监测结果</w:t>
            </w:r>
          </w:p>
          <w:tbl>
            <w:tblPr>
              <w:tblStyle w:val="12"/>
              <w:tblW w:w="80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9"/>
              <w:gridCol w:w="854"/>
              <w:gridCol w:w="3203"/>
              <w:gridCol w:w="1592"/>
              <w:gridCol w:w="930"/>
            </w:tblGrid>
            <w:tr w14:paraId="5C101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2333" w:type="dxa"/>
                  <w:gridSpan w:val="2"/>
                  <w:tcBorders>
                    <w:tl2br w:val="nil"/>
                    <w:tr2bl w:val="nil"/>
                  </w:tcBorders>
                  <w:noWrap w:val="0"/>
                  <w:vAlign w:val="center"/>
                </w:tcPr>
                <w:p w14:paraId="17E2819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监测点位</w:t>
                  </w:r>
                </w:p>
              </w:tc>
              <w:tc>
                <w:tcPr>
                  <w:tcW w:w="3203" w:type="dxa"/>
                  <w:tcBorders>
                    <w:tl2br w:val="nil"/>
                    <w:tr2bl w:val="nil"/>
                  </w:tcBorders>
                  <w:noWrap w:val="0"/>
                  <w:vAlign w:val="center"/>
                </w:tcPr>
                <w:p w14:paraId="0E79FCA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bCs/>
                      <w:color w:val="auto"/>
                      <w:kern w:val="2"/>
                      <w:sz w:val="21"/>
                      <w:szCs w:val="21"/>
                      <w:lang w:val="en-US" w:eastAsia="zh-CN" w:bidi="ar-SA"/>
                    </w:rPr>
                    <w:t>园区绿化水井5#</w:t>
                  </w:r>
                </w:p>
              </w:tc>
              <w:tc>
                <w:tcPr>
                  <w:tcW w:w="1592" w:type="dxa"/>
                  <w:vMerge w:val="restart"/>
                  <w:tcBorders>
                    <w:tl2br w:val="nil"/>
                    <w:tr2bl w:val="nil"/>
                  </w:tcBorders>
                  <w:noWrap w:val="0"/>
                  <w:vAlign w:val="center"/>
                </w:tcPr>
                <w:p w14:paraId="664CF190">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参考限值</w:t>
                  </w:r>
                </w:p>
              </w:tc>
              <w:tc>
                <w:tcPr>
                  <w:tcW w:w="930" w:type="dxa"/>
                  <w:vMerge w:val="restart"/>
                  <w:tcBorders>
                    <w:tl2br w:val="nil"/>
                    <w:tr2bl w:val="nil"/>
                  </w:tcBorders>
                  <w:noWrap w:val="0"/>
                  <w:vAlign w:val="center"/>
                </w:tcPr>
                <w:p w14:paraId="7549A35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达标情况</w:t>
                  </w:r>
                </w:p>
              </w:tc>
            </w:tr>
            <w:tr w14:paraId="5A665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49BB9F3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监测项目</w:t>
                  </w:r>
                </w:p>
              </w:tc>
              <w:tc>
                <w:tcPr>
                  <w:tcW w:w="854" w:type="dxa"/>
                  <w:tcBorders>
                    <w:tl2br w:val="nil"/>
                    <w:tr2bl w:val="nil"/>
                  </w:tcBorders>
                  <w:noWrap w:val="0"/>
                  <w:vAlign w:val="center"/>
                </w:tcPr>
                <w:p w14:paraId="41811CFF">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3203" w:type="dxa"/>
                  <w:tcBorders>
                    <w:tl2br w:val="nil"/>
                    <w:tr2bl w:val="nil"/>
                  </w:tcBorders>
                  <w:noWrap w:val="0"/>
                  <w:vAlign w:val="center"/>
                </w:tcPr>
                <w:p w14:paraId="32B8852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监测结果</w:t>
                  </w:r>
                </w:p>
              </w:tc>
              <w:tc>
                <w:tcPr>
                  <w:tcW w:w="1592" w:type="dxa"/>
                  <w:vMerge w:val="continue"/>
                  <w:tcBorders>
                    <w:tl2br w:val="nil"/>
                    <w:tr2bl w:val="nil"/>
                  </w:tcBorders>
                  <w:noWrap w:val="0"/>
                  <w:vAlign w:val="center"/>
                </w:tcPr>
                <w:p w14:paraId="595E1C5B">
                  <w:pPr>
                    <w:keepNext w:val="0"/>
                    <w:keepLines w:val="0"/>
                    <w:pageBreakBefore w:val="0"/>
                    <w:widowControl/>
                    <w:kinsoku/>
                    <w:wordWrap/>
                    <w:overflowPunct/>
                    <w:topLinePunct w:val="0"/>
                    <w:autoSpaceDE/>
                    <w:autoSpaceDN/>
                    <w:bidi w:val="0"/>
                    <w:adjustRightInd/>
                    <w:snapToGrid/>
                    <w:spacing w:line="240" w:lineRule="auto"/>
                    <w:rPr>
                      <w:rFonts w:hint="default" w:ascii="Times New Roman" w:hAnsi="Times New Roman" w:eastAsia="宋体" w:cs="Times New Roman"/>
                      <w:color w:val="auto"/>
                      <w:sz w:val="21"/>
                      <w:szCs w:val="21"/>
                    </w:rPr>
                  </w:pPr>
                </w:p>
              </w:tc>
              <w:tc>
                <w:tcPr>
                  <w:tcW w:w="930" w:type="dxa"/>
                  <w:vMerge w:val="continue"/>
                  <w:tcBorders>
                    <w:tl2br w:val="nil"/>
                    <w:tr2bl w:val="nil"/>
                  </w:tcBorders>
                  <w:noWrap w:val="0"/>
                  <w:vAlign w:val="center"/>
                </w:tcPr>
                <w:p w14:paraId="34718133">
                  <w:pPr>
                    <w:keepNext w:val="0"/>
                    <w:keepLines w:val="0"/>
                    <w:pageBreakBefore w:val="0"/>
                    <w:widowControl/>
                    <w:kinsoku/>
                    <w:wordWrap/>
                    <w:overflowPunct/>
                    <w:topLinePunct w:val="0"/>
                    <w:autoSpaceDE/>
                    <w:autoSpaceDN/>
                    <w:bidi w:val="0"/>
                    <w:adjustRightInd/>
                    <w:snapToGrid/>
                    <w:spacing w:line="240" w:lineRule="auto"/>
                    <w:rPr>
                      <w:rFonts w:hint="default" w:ascii="Times New Roman" w:hAnsi="Times New Roman" w:eastAsia="宋体" w:cs="Times New Roman"/>
                      <w:color w:val="auto"/>
                      <w:sz w:val="21"/>
                      <w:szCs w:val="21"/>
                    </w:rPr>
                  </w:pPr>
                </w:p>
              </w:tc>
            </w:tr>
            <w:tr w14:paraId="11F4E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3702B3A0">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色度</w:t>
                  </w:r>
                </w:p>
              </w:tc>
              <w:tc>
                <w:tcPr>
                  <w:tcW w:w="854" w:type="dxa"/>
                  <w:tcBorders>
                    <w:tl2br w:val="nil"/>
                    <w:tr2bl w:val="nil"/>
                  </w:tcBorders>
                  <w:noWrap w:val="0"/>
                  <w:vAlign w:val="center"/>
                </w:tcPr>
                <w:p w14:paraId="2AED88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度</w:t>
                  </w:r>
                </w:p>
              </w:tc>
              <w:tc>
                <w:tcPr>
                  <w:tcW w:w="3203" w:type="dxa"/>
                  <w:tcBorders>
                    <w:tl2br w:val="nil"/>
                    <w:tr2bl w:val="nil"/>
                  </w:tcBorders>
                  <w:noWrap w:val="0"/>
                  <w:vAlign w:val="center"/>
                </w:tcPr>
                <w:p w14:paraId="4612C1F4">
                  <w:pPr>
                    <w:keepNext w:val="0"/>
                    <w:keepLines w:val="0"/>
                    <w:pageBreakBefore w:val="0"/>
                    <w:widowControl/>
                    <w:tabs>
                      <w:tab w:val="left" w:pos="667"/>
                      <w:tab w:val="center" w:pos="1674"/>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b w:val="0"/>
                      <w:bCs/>
                      <w:color w:val="auto"/>
                      <w:kern w:val="2"/>
                      <w:sz w:val="21"/>
                      <w:szCs w:val="21"/>
                      <w:highlight w:val="none"/>
                      <w:lang w:val="en-US" w:eastAsia="zh-CN" w:bidi="ar-SA"/>
                    </w:rPr>
                    <w:t>&lt;5</w:t>
                  </w:r>
                </w:p>
              </w:tc>
              <w:tc>
                <w:tcPr>
                  <w:tcW w:w="1592" w:type="dxa"/>
                  <w:tcBorders>
                    <w:tl2br w:val="nil"/>
                    <w:tr2bl w:val="nil"/>
                  </w:tcBorders>
                  <w:noWrap w:val="0"/>
                  <w:vAlign w:val="center"/>
                </w:tcPr>
                <w:p w14:paraId="249C644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930" w:type="dxa"/>
                  <w:tcBorders>
                    <w:tl2br w:val="nil"/>
                    <w:tr2bl w:val="nil"/>
                  </w:tcBorders>
                  <w:noWrap w:val="0"/>
                  <w:vAlign w:val="center"/>
                </w:tcPr>
                <w:p w14:paraId="4C68A8F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7DBF3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479" w:type="dxa"/>
                  <w:tcBorders>
                    <w:tl2br w:val="nil"/>
                    <w:tr2bl w:val="nil"/>
                  </w:tcBorders>
                  <w:noWrap w:val="0"/>
                  <w:vAlign w:val="center"/>
                </w:tcPr>
                <w:p w14:paraId="17D09E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嗅和味</w:t>
                  </w:r>
                </w:p>
              </w:tc>
              <w:tc>
                <w:tcPr>
                  <w:tcW w:w="854" w:type="dxa"/>
                  <w:tcBorders>
                    <w:tl2br w:val="nil"/>
                    <w:tr2bl w:val="nil"/>
                  </w:tcBorders>
                  <w:noWrap w:val="0"/>
                  <w:vAlign w:val="center"/>
                </w:tcPr>
                <w:p w14:paraId="29121E0A">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w:t>
                  </w:r>
                </w:p>
              </w:tc>
              <w:tc>
                <w:tcPr>
                  <w:tcW w:w="3203" w:type="dxa"/>
                  <w:tcBorders>
                    <w:tl2br w:val="nil"/>
                    <w:tr2bl w:val="nil"/>
                  </w:tcBorders>
                  <w:noWrap w:val="0"/>
                  <w:vAlign w:val="center"/>
                </w:tcPr>
                <w:p w14:paraId="771ABA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b w:val="0"/>
                      <w:bCs/>
                      <w:color w:val="auto"/>
                      <w:kern w:val="2"/>
                      <w:sz w:val="21"/>
                      <w:szCs w:val="21"/>
                      <w:highlight w:val="none"/>
                      <w:lang w:val="en-US" w:eastAsia="zh-CN" w:bidi="ar-SA"/>
                    </w:rPr>
                    <w:t>无</w:t>
                  </w:r>
                </w:p>
              </w:tc>
              <w:tc>
                <w:tcPr>
                  <w:tcW w:w="1592" w:type="dxa"/>
                  <w:tcBorders>
                    <w:tl2br w:val="nil"/>
                    <w:tr2bl w:val="nil"/>
                  </w:tcBorders>
                  <w:noWrap w:val="0"/>
                  <w:vAlign w:val="center"/>
                </w:tcPr>
                <w:p w14:paraId="23F5B18F">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w:t>
                  </w:r>
                </w:p>
              </w:tc>
              <w:tc>
                <w:tcPr>
                  <w:tcW w:w="930" w:type="dxa"/>
                  <w:tcBorders>
                    <w:tl2br w:val="nil"/>
                    <w:tr2bl w:val="nil"/>
                  </w:tcBorders>
                  <w:noWrap w:val="0"/>
                  <w:vAlign w:val="center"/>
                </w:tcPr>
                <w:p w14:paraId="0F226AC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61E6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479" w:type="dxa"/>
                  <w:tcBorders>
                    <w:tl2br w:val="nil"/>
                    <w:tr2bl w:val="nil"/>
                  </w:tcBorders>
                  <w:noWrap w:val="0"/>
                  <w:vAlign w:val="center"/>
                </w:tcPr>
                <w:p w14:paraId="46490E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浊度</w:t>
                  </w:r>
                </w:p>
              </w:tc>
              <w:tc>
                <w:tcPr>
                  <w:tcW w:w="854" w:type="dxa"/>
                  <w:tcBorders>
                    <w:tl2br w:val="nil"/>
                    <w:tr2bl w:val="nil"/>
                  </w:tcBorders>
                  <w:noWrap w:val="0"/>
                  <w:vAlign w:val="center"/>
                </w:tcPr>
                <w:p w14:paraId="760D9C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color w:val="auto"/>
                      <w:sz w:val="21"/>
                      <w:szCs w:val="21"/>
                    </w:rPr>
                  </w:pPr>
                  <w:r>
                    <w:rPr>
                      <w:rFonts w:hint="eastAsia" w:eastAsia="宋体" w:cs="Times New Roman"/>
                      <w:bCs/>
                      <w:color w:val="auto"/>
                      <w:sz w:val="21"/>
                      <w:szCs w:val="21"/>
                      <w:lang w:val="en-US" w:eastAsia="zh-CN"/>
                    </w:rPr>
                    <w:t>NTU</w:t>
                  </w:r>
                </w:p>
              </w:tc>
              <w:tc>
                <w:tcPr>
                  <w:tcW w:w="3203" w:type="dxa"/>
                  <w:tcBorders>
                    <w:tl2br w:val="nil"/>
                    <w:tr2bl w:val="nil"/>
                  </w:tcBorders>
                  <w:noWrap w:val="0"/>
                  <w:vAlign w:val="center"/>
                </w:tcPr>
                <w:p w14:paraId="0605D1F1">
                  <w:pPr>
                    <w:keepNext w:val="0"/>
                    <w:keepLines w:val="0"/>
                    <w:pageBreakBefore w:val="0"/>
                    <w:widowControl/>
                    <w:tabs>
                      <w:tab w:val="left" w:pos="667"/>
                      <w:tab w:val="center" w:pos="1674"/>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b w:val="0"/>
                      <w:bCs/>
                      <w:color w:val="auto"/>
                      <w:kern w:val="2"/>
                      <w:sz w:val="21"/>
                      <w:szCs w:val="21"/>
                      <w:highlight w:val="none"/>
                      <w:lang w:val="en-US" w:eastAsia="zh-CN" w:bidi="ar-SA"/>
                    </w:rPr>
                    <w:t>1.3</w:t>
                  </w:r>
                </w:p>
              </w:tc>
              <w:tc>
                <w:tcPr>
                  <w:tcW w:w="1592" w:type="dxa"/>
                  <w:tcBorders>
                    <w:tl2br w:val="nil"/>
                    <w:tr2bl w:val="nil"/>
                  </w:tcBorders>
                  <w:noWrap w:val="0"/>
                  <w:vAlign w:val="center"/>
                </w:tcPr>
                <w:p w14:paraId="490DDCA2">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w:t>
                  </w:r>
                </w:p>
              </w:tc>
              <w:tc>
                <w:tcPr>
                  <w:tcW w:w="930" w:type="dxa"/>
                  <w:tcBorders>
                    <w:tl2br w:val="nil"/>
                    <w:tr2bl w:val="nil"/>
                  </w:tcBorders>
                  <w:noWrap w:val="0"/>
                  <w:vAlign w:val="center"/>
                </w:tcPr>
                <w:p w14:paraId="339141F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1489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479" w:type="dxa"/>
                  <w:tcBorders>
                    <w:tl2br w:val="nil"/>
                    <w:tr2bl w:val="nil"/>
                  </w:tcBorders>
                  <w:noWrap w:val="0"/>
                  <w:vAlign w:val="center"/>
                </w:tcPr>
                <w:p w14:paraId="12F33D61">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肉眼可见物</w:t>
                  </w:r>
                </w:p>
              </w:tc>
              <w:tc>
                <w:tcPr>
                  <w:tcW w:w="854" w:type="dxa"/>
                  <w:tcBorders>
                    <w:tl2br w:val="nil"/>
                    <w:tr2bl w:val="nil"/>
                  </w:tcBorders>
                  <w:noWrap w:val="0"/>
                  <w:vAlign w:val="center"/>
                </w:tcPr>
                <w:p w14:paraId="0F8F89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w:t>
                  </w:r>
                </w:p>
              </w:tc>
              <w:tc>
                <w:tcPr>
                  <w:tcW w:w="3203" w:type="dxa"/>
                  <w:tcBorders>
                    <w:tl2br w:val="nil"/>
                    <w:tr2bl w:val="nil"/>
                  </w:tcBorders>
                  <w:noWrap w:val="0"/>
                  <w:vAlign w:val="center"/>
                </w:tcPr>
                <w:p w14:paraId="31B21E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b w:val="0"/>
                      <w:bCs/>
                      <w:color w:val="auto"/>
                      <w:kern w:val="2"/>
                      <w:sz w:val="21"/>
                      <w:szCs w:val="21"/>
                      <w:highlight w:val="none"/>
                      <w:lang w:val="en-US" w:eastAsia="zh-CN" w:bidi="ar-SA"/>
                    </w:rPr>
                    <w:t>无</w:t>
                  </w:r>
                </w:p>
              </w:tc>
              <w:tc>
                <w:tcPr>
                  <w:tcW w:w="1592" w:type="dxa"/>
                  <w:tcBorders>
                    <w:tl2br w:val="nil"/>
                    <w:tr2bl w:val="nil"/>
                  </w:tcBorders>
                  <w:noWrap w:val="0"/>
                  <w:vAlign w:val="center"/>
                </w:tcPr>
                <w:p w14:paraId="1204312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无</w:t>
                  </w:r>
                </w:p>
              </w:tc>
              <w:tc>
                <w:tcPr>
                  <w:tcW w:w="930" w:type="dxa"/>
                  <w:tcBorders>
                    <w:tl2br w:val="nil"/>
                    <w:tr2bl w:val="nil"/>
                  </w:tcBorders>
                  <w:noWrap w:val="0"/>
                  <w:vAlign w:val="center"/>
                </w:tcPr>
                <w:p w14:paraId="4524C33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1C965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479" w:type="dxa"/>
                  <w:tcBorders>
                    <w:tl2br w:val="nil"/>
                    <w:tr2bl w:val="nil"/>
                  </w:tcBorders>
                  <w:noWrap w:val="0"/>
                  <w:vAlign w:val="center"/>
                </w:tcPr>
                <w:p w14:paraId="0203879C">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pH</w:t>
                  </w:r>
                  <w:r>
                    <w:rPr>
                      <w:rFonts w:hint="eastAsia" w:eastAsia="宋体" w:cs="Times New Roman"/>
                      <w:b w:val="0"/>
                      <w:bCs/>
                      <w:color w:val="auto"/>
                      <w:sz w:val="21"/>
                      <w:szCs w:val="21"/>
                      <w:highlight w:val="none"/>
                      <w:lang w:val="en-US" w:eastAsia="zh-CN"/>
                    </w:rPr>
                    <w:t>值</w:t>
                  </w:r>
                </w:p>
              </w:tc>
              <w:tc>
                <w:tcPr>
                  <w:tcW w:w="854" w:type="dxa"/>
                  <w:tcBorders>
                    <w:tl2br w:val="nil"/>
                    <w:tr2bl w:val="nil"/>
                  </w:tcBorders>
                  <w:noWrap w:val="0"/>
                  <w:vAlign w:val="center"/>
                </w:tcPr>
                <w:p w14:paraId="1530CC6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eastAsia" w:ascii="宋体" w:hAnsi="宋体" w:eastAsia="宋体" w:cs="宋体"/>
                      <w:color w:val="auto"/>
                      <w:sz w:val="21"/>
                      <w:szCs w:val="21"/>
                      <w:highlight w:val="none"/>
                      <w:lang w:val="en-US" w:eastAsia="zh-CN"/>
                    </w:rPr>
                    <w:t>——</w:t>
                  </w:r>
                </w:p>
              </w:tc>
              <w:tc>
                <w:tcPr>
                  <w:tcW w:w="3203" w:type="dxa"/>
                  <w:tcBorders>
                    <w:tl2br w:val="nil"/>
                    <w:tr2bl w:val="nil"/>
                  </w:tcBorders>
                  <w:noWrap w:val="0"/>
                  <w:vAlign w:val="center"/>
                </w:tcPr>
                <w:p w14:paraId="4C5BA0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eastAsia="宋体" w:cs="Times New Roman"/>
                      <w:b w:val="0"/>
                      <w:bCs/>
                      <w:color w:val="auto"/>
                      <w:sz w:val="21"/>
                      <w:szCs w:val="21"/>
                      <w:highlight w:val="none"/>
                      <w:lang w:val="en-US" w:eastAsia="zh-CN"/>
                    </w:rPr>
                    <w:t>7.7</w:t>
                  </w:r>
                </w:p>
              </w:tc>
              <w:tc>
                <w:tcPr>
                  <w:tcW w:w="1592" w:type="dxa"/>
                  <w:tcBorders>
                    <w:tl2br w:val="nil"/>
                    <w:tr2bl w:val="nil"/>
                  </w:tcBorders>
                  <w:noWrap w:val="0"/>
                  <w:vAlign w:val="center"/>
                </w:tcPr>
                <w:p w14:paraId="3986B46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6.5≤pH≤8.5</w:t>
                  </w:r>
                </w:p>
              </w:tc>
              <w:tc>
                <w:tcPr>
                  <w:tcW w:w="930" w:type="dxa"/>
                  <w:tcBorders>
                    <w:tl2br w:val="nil"/>
                    <w:tr2bl w:val="nil"/>
                  </w:tcBorders>
                  <w:noWrap w:val="0"/>
                  <w:vAlign w:val="center"/>
                </w:tcPr>
                <w:p w14:paraId="66E6D26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5EC44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0236E04C">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Cs/>
                      <w:color w:val="auto"/>
                      <w:sz w:val="21"/>
                      <w:szCs w:val="21"/>
                    </w:rPr>
                  </w:pPr>
                  <w:r>
                    <w:rPr>
                      <w:rFonts w:hint="eastAsia" w:eastAsia="宋体" w:cs="Times New Roman"/>
                      <w:b w:val="0"/>
                      <w:bCs/>
                      <w:color w:val="auto"/>
                      <w:kern w:val="2"/>
                      <w:sz w:val="21"/>
                      <w:szCs w:val="21"/>
                      <w:lang w:val="en-US" w:eastAsia="zh-CN" w:bidi="ar-SA"/>
                    </w:rPr>
                    <w:t>HCO</w:t>
                  </w:r>
                  <w:r>
                    <w:rPr>
                      <w:rFonts w:hint="eastAsia" w:eastAsia="宋体" w:cs="Times New Roman"/>
                      <w:b w:val="0"/>
                      <w:bCs/>
                      <w:color w:val="auto"/>
                      <w:kern w:val="2"/>
                      <w:sz w:val="21"/>
                      <w:szCs w:val="21"/>
                      <w:vertAlign w:val="subscript"/>
                      <w:lang w:val="en-US" w:eastAsia="zh-CN" w:bidi="ar-SA"/>
                    </w:rPr>
                    <w:t>3</w:t>
                  </w:r>
                  <w:r>
                    <w:rPr>
                      <w:rFonts w:hint="eastAsia" w:eastAsia="宋体" w:cs="Times New Roman"/>
                      <w:b w:val="0"/>
                      <w:bCs/>
                      <w:color w:val="auto"/>
                      <w:kern w:val="2"/>
                      <w:sz w:val="21"/>
                      <w:szCs w:val="21"/>
                      <w:vertAlign w:val="superscript"/>
                      <w:lang w:val="en-US" w:eastAsia="zh-CN" w:bidi="ar-SA"/>
                    </w:rPr>
                    <w:t>-</w:t>
                  </w:r>
                </w:p>
              </w:tc>
              <w:tc>
                <w:tcPr>
                  <w:tcW w:w="854" w:type="dxa"/>
                  <w:tcBorders>
                    <w:tl2br w:val="nil"/>
                    <w:tr2bl w:val="nil"/>
                  </w:tcBorders>
                  <w:noWrap w:val="0"/>
                  <w:vAlign w:val="center"/>
                </w:tcPr>
                <w:p w14:paraId="230563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41595F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b w:val="0"/>
                      <w:bCs/>
                      <w:color w:val="auto"/>
                      <w:sz w:val="21"/>
                      <w:szCs w:val="21"/>
                      <w:highlight w:val="none"/>
                      <w:lang w:val="en-US" w:eastAsia="zh-CN"/>
                    </w:rPr>
                    <w:t>84.5</w:t>
                  </w:r>
                </w:p>
              </w:tc>
              <w:tc>
                <w:tcPr>
                  <w:tcW w:w="1592" w:type="dxa"/>
                  <w:tcBorders>
                    <w:tl2br w:val="nil"/>
                    <w:tr2bl w:val="nil"/>
                  </w:tcBorders>
                  <w:noWrap w:val="0"/>
                  <w:vAlign w:val="center"/>
                </w:tcPr>
                <w:p w14:paraId="05FB9F9C">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30" w:type="dxa"/>
                  <w:tcBorders>
                    <w:tl2br w:val="nil"/>
                    <w:tr2bl w:val="nil"/>
                  </w:tcBorders>
                  <w:noWrap w:val="0"/>
                  <w:vAlign w:val="center"/>
                </w:tcPr>
                <w:p w14:paraId="7A41981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2FBDA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0731841A">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Cs/>
                      <w:color w:val="auto"/>
                      <w:sz w:val="21"/>
                      <w:szCs w:val="21"/>
                    </w:rPr>
                  </w:pPr>
                  <w:r>
                    <w:rPr>
                      <w:rFonts w:hint="eastAsia" w:eastAsia="宋体" w:cs="Times New Roman"/>
                      <w:b w:val="0"/>
                      <w:bCs/>
                      <w:color w:val="auto"/>
                      <w:kern w:val="2"/>
                      <w:sz w:val="21"/>
                      <w:szCs w:val="21"/>
                      <w:lang w:val="en-US" w:eastAsia="zh-CN" w:bidi="ar-SA"/>
                    </w:rPr>
                    <w:t>CO</w:t>
                  </w:r>
                  <w:r>
                    <w:rPr>
                      <w:rFonts w:hint="eastAsia" w:eastAsia="宋体" w:cs="Times New Roman"/>
                      <w:b w:val="0"/>
                      <w:bCs/>
                      <w:color w:val="auto"/>
                      <w:kern w:val="2"/>
                      <w:sz w:val="21"/>
                      <w:szCs w:val="21"/>
                      <w:vertAlign w:val="subscript"/>
                      <w:lang w:val="en-US" w:eastAsia="zh-CN" w:bidi="ar-SA"/>
                    </w:rPr>
                    <w:t>3</w:t>
                  </w:r>
                  <w:r>
                    <w:rPr>
                      <w:rFonts w:hint="eastAsia" w:eastAsia="宋体" w:cs="Times New Roman"/>
                      <w:b w:val="0"/>
                      <w:bCs/>
                      <w:color w:val="auto"/>
                      <w:kern w:val="2"/>
                      <w:sz w:val="21"/>
                      <w:szCs w:val="21"/>
                      <w:vertAlign w:val="superscript"/>
                      <w:lang w:val="en-US" w:eastAsia="zh-CN" w:bidi="ar-SA"/>
                    </w:rPr>
                    <w:t>2-</w:t>
                  </w:r>
                </w:p>
              </w:tc>
              <w:tc>
                <w:tcPr>
                  <w:tcW w:w="854" w:type="dxa"/>
                  <w:tcBorders>
                    <w:tl2br w:val="nil"/>
                    <w:tr2bl w:val="nil"/>
                  </w:tcBorders>
                  <w:noWrap w:val="0"/>
                  <w:vAlign w:val="center"/>
                </w:tcPr>
                <w:p w14:paraId="679EF7D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14D098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b w:val="0"/>
                      <w:bCs/>
                      <w:color w:val="auto"/>
                      <w:sz w:val="21"/>
                      <w:szCs w:val="21"/>
                      <w:highlight w:val="none"/>
                      <w:lang w:val="en-US" w:eastAsia="zh-CN"/>
                    </w:rPr>
                    <w:t>0.0</w:t>
                  </w:r>
                </w:p>
              </w:tc>
              <w:tc>
                <w:tcPr>
                  <w:tcW w:w="1592" w:type="dxa"/>
                  <w:tcBorders>
                    <w:tl2br w:val="nil"/>
                    <w:tr2bl w:val="nil"/>
                  </w:tcBorders>
                  <w:noWrap w:val="0"/>
                  <w:vAlign w:val="center"/>
                </w:tcPr>
                <w:p w14:paraId="1326DC10">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30" w:type="dxa"/>
                  <w:tcBorders>
                    <w:tl2br w:val="nil"/>
                    <w:tr2bl w:val="nil"/>
                  </w:tcBorders>
                  <w:noWrap w:val="0"/>
                  <w:vAlign w:val="center"/>
                </w:tcPr>
                <w:p w14:paraId="22BBC2D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FCFD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23643737">
                  <w:pPr>
                    <w:pStyle w:val="16"/>
                    <w:keepNext w:val="0"/>
                    <w:keepLines w:val="0"/>
                    <w:pageBreakBefore w:val="0"/>
                    <w:kinsoku/>
                    <w:wordWrap/>
                    <w:overflowPunct/>
                    <w:topLinePunct w:val="0"/>
                    <w:autoSpaceDE/>
                    <w:autoSpaceDN/>
                    <w:bidi w:val="0"/>
                    <w:adjustRightInd/>
                    <w:snapToGrid/>
                    <w:spacing w:before="0" w:beforeLines="0" w:after="0" w:afterLines="0" w:line="240" w:lineRule="auto"/>
                    <w:jc w:val="center"/>
                    <w:textAlignment w:val="auto"/>
                    <w:outlineLvl w:val="9"/>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eastAsia="zh-CN"/>
                    </w:rPr>
                    <w:t>溶解性总固体</w:t>
                  </w:r>
                </w:p>
              </w:tc>
              <w:tc>
                <w:tcPr>
                  <w:tcW w:w="854" w:type="dxa"/>
                  <w:tcBorders>
                    <w:tl2br w:val="nil"/>
                    <w:tr2bl w:val="nil"/>
                  </w:tcBorders>
                  <w:noWrap w:val="0"/>
                  <w:vAlign w:val="center"/>
                </w:tcPr>
                <w:p w14:paraId="53B0FA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12ACF6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b w:val="0"/>
                      <w:bCs/>
                      <w:color w:val="auto"/>
                      <w:sz w:val="21"/>
                      <w:szCs w:val="21"/>
                      <w:highlight w:val="none"/>
                      <w:lang w:val="en-US" w:eastAsia="zh-CN"/>
                    </w:rPr>
                    <w:t>976</w:t>
                  </w:r>
                </w:p>
              </w:tc>
              <w:tc>
                <w:tcPr>
                  <w:tcW w:w="1592" w:type="dxa"/>
                  <w:tcBorders>
                    <w:tl2br w:val="nil"/>
                    <w:tr2bl w:val="nil"/>
                  </w:tcBorders>
                  <w:noWrap w:val="0"/>
                  <w:vAlign w:val="center"/>
                </w:tcPr>
                <w:p w14:paraId="1D9388E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1000</w:t>
                  </w:r>
                </w:p>
              </w:tc>
              <w:tc>
                <w:tcPr>
                  <w:tcW w:w="930" w:type="dxa"/>
                  <w:tcBorders>
                    <w:tl2br w:val="nil"/>
                    <w:tr2bl w:val="nil"/>
                  </w:tcBorders>
                  <w:noWrap w:val="0"/>
                  <w:vAlign w:val="center"/>
                </w:tcPr>
                <w:p w14:paraId="487D438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704D1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9" w:type="dxa"/>
                  <w:tcBorders>
                    <w:tl2br w:val="nil"/>
                    <w:tr2bl w:val="nil"/>
                  </w:tcBorders>
                  <w:noWrap w:val="0"/>
                  <w:vAlign w:val="center"/>
                </w:tcPr>
                <w:p w14:paraId="549C8721">
                  <w:pPr>
                    <w:pStyle w:val="16"/>
                    <w:keepNext w:val="0"/>
                    <w:keepLines w:val="0"/>
                    <w:pageBreakBefore w:val="0"/>
                    <w:kinsoku/>
                    <w:wordWrap/>
                    <w:overflowPunct/>
                    <w:topLinePunct w:val="0"/>
                    <w:autoSpaceDE/>
                    <w:autoSpaceDN/>
                    <w:bidi w:val="0"/>
                    <w:adjustRightInd/>
                    <w:snapToGrid/>
                    <w:spacing w:before="0" w:beforeLines="0" w:after="0" w:afterLines="0" w:line="240" w:lineRule="auto"/>
                    <w:jc w:val="center"/>
                    <w:textAlignment w:val="auto"/>
                    <w:outlineLvl w:val="9"/>
                    <w:rPr>
                      <w:rFonts w:hint="default" w:ascii="Times New Roman" w:hAnsi="Times New Roman" w:eastAsia="宋体" w:cs="Times New Roman"/>
                      <w:bCs/>
                      <w:color w:val="auto"/>
                      <w:sz w:val="21"/>
                      <w:szCs w:val="21"/>
                    </w:rPr>
                  </w:pPr>
                  <w:r>
                    <w:rPr>
                      <w:rFonts w:hint="eastAsia" w:eastAsia="宋体" w:cs="Times New Roman"/>
                      <w:b w:val="0"/>
                      <w:bCs/>
                      <w:color w:val="auto"/>
                      <w:sz w:val="21"/>
                      <w:szCs w:val="21"/>
                      <w:highlight w:val="none"/>
                      <w:lang w:val="en-US" w:eastAsia="zh-CN"/>
                    </w:rPr>
                    <w:t>总硬度</w:t>
                  </w:r>
                </w:p>
              </w:tc>
              <w:tc>
                <w:tcPr>
                  <w:tcW w:w="854" w:type="dxa"/>
                  <w:tcBorders>
                    <w:tl2br w:val="nil"/>
                    <w:tr2bl w:val="nil"/>
                  </w:tcBorders>
                  <w:noWrap w:val="0"/>
                  <w:vAlign w:val="center"/>
                </w:tcPr>
                <w:p w14:paraId="4A78DD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0EBE39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b w:val="0"/>
                      <w:bCs/>
                      <w:color w:val="auto"/>
                      <w:sz w:val="21"/>
                      <w:szCs w:val="21"/>
                      <w:highlight w:val="none"/>
                      <w:lang w:val="en-US" w:eastAsia="zh-CN"/>
                    </w:rPr>
                    <w:t>397</w:t>
                  </w:r>
                </w:p>
              </w:tc>
              <w:tc>
                <w:tcPr>
                  <w:tcW w:w="1592" w:type="dxa"/>
                  <w:tcBorders>
                    <w:tl2br w:val="nil"/>
                    <w:tr2bl w:val="nil"/>
                  </w:tcBorders>
                  <w:noWrap w:val="0"/>
                  <w:vAlign w:val="center"/>
                </w:tcPr>
                <w:p w14:paraId="2D9BB69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450</w:t>
                  </w:r>
                </w:p>
              </w:tc>
              <w:tc>
                <w:tcPr>
                  <w:tcW w:w="930" w:type="dxa"/>
                  <w:tcBorders>
                    <w:tl2br w:val="nil"/>
                    <w:tr2bl w:val="nil"/>
                  </w:tcBorders>
                  <w:noWrap w:val="0"/>
                  <w:vAlign w:val="center"/>
                </w:tcPr>
                <w:p w14:paraId="18F2708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2597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693F1B16">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kern w:val="0"/>
                      <w:sz w:val="21"/>
                      <w:szCs w:val="21"/>
                      <w:highlight w:val="none"/>
                      <w:lang w:val="en-US" w:eastAsia="zh-CN"/>
                    </w:rPr>
                    <w:t>高锰酸盐指数</w:t>
                  </w:r>
                </w:p>
              </w:tc>
              <w:tc>
                <w:tcPr>
                  <w:tcW w:w="854" w:type="dxa"/>
                  <w:tcBorders>
                    <w:tl2br w:val="nil"/>
                    <w:tr2bl w:val="nil"/>
                  </w:tcBorders>
                  <w:noWrap w:val="0"/>
                  <w:vAlign w:val="center"/>
                </w:tcPr>
                <w:p w14:paraId="7DA1C7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7EA0F2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eastAsia="宋体" w:cs="Times New Roman"/>
                      <w:b w:val="0"/>
                      <w:bCs/>
                      <w:color w:val="auto"/>
                      <w:sz w:val="21"/>
                      <w:szCs w:val="21"/>
                      <w:highlight w:val="none"/>
                      <w:lang w:val="en-US" w:eastAsia="zh-CN"/>
                    </w:rPr>
                    <w:t>0.7</w:t>
                  </w:r>
                </w:p>
              </w:tc>
              <w:tc>
                <w:tcPr>
                  <w:tcW w:w="1592" w:type="dxa"/>
                  <w:tcBorders>
                    <w:tl2br w:val="nil"/>
                    <w:tr2bl w:val="nil"/>
                  </w:tcBorders>
                  <w:noWrap w:val="0"/>
                  <w:vAlign w:val="center"/>
                </w:tcPr>
                <w:p w14:paraId="5BAB6DA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930" w:type="dxa"/>
                  <w:tcBorders>
                    <w:tl2br w:val="nil"/>
                    <w:tr2bl w:val="nil"/>
                  </w:tcBorders>
                  <w:noWrap w:val="0"/>
                  <w:vAlign w:val="center"/>
                </w:tcPr>
                <w:p w14:paraId="6344C68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2C089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54063AE7">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highlight w:val="none"/>
                      <w:lang w:eastAsia="zh-CN"/>
                    </w:rPr>
                    <w:t>氰化物</w:t>
                  </w:r>
                </w:p>
              </w:tc>
              <w:tc>
                <w:tcPr>
                  <w:tcW w:w="854" w:type="dxa"/>
                  <w:tcBorders>
                    <w:tl2br w:val="nil"/>
                    <w:tr2bl w:val="nil"/>
                  </w:tcBorders>
                  <w:noWrap w:val="0"/>
                  <w:vAlign w:val="center"/>
                </w:tcPr>
                <w:p w14:paraId="702B49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1CDAECB7">
                  <w:pPr>
                    <w:keepNext w:val="0"/>
                    <w:keepLines w:val="0"/>
                    <w:pageBreakBefore w:val="0"/>
                    <w:widowControl/>
                    <w:tabs>
                      <w:tab w:val="left" w:pos="667"/>
                      <w:tab w:val="center" w:pos="1674"/>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b w:val="0"/>
                      <w:bCs/>
                      <w:color w:val="auto"/>
                      <w:sz w:val="21"/>
                      <w:szCs w:val="21"/>
                      <w:highlight w:val="none"/>
                      <w:lang w:val="en-US" w:eastAsia="zh-CN"/>
                    </w:rPr>
                    <w:t>0.002L</w:t>
                  </w:r>
                </w:p>
              </w:tc>
              <w:tc>
                <w:tcPr>
                  <w:tcW w:w="1592" w:type="dxa"/>
                  <w:tcBorders>
                    <w:tl2br w:val="nil"/>
                    <w:tr2bl w:val="nil"/>
                  </w:tcBorders>
                  <w:noWrap w:val="0"/>
                  <w:vAlign w:val="center"/>
                </w:tcPr>
                <w:p w14:paraId="480B578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930" w:type="dxa"/>
                  <w:tcBorders>
                    <w:tl2br w:val="nil"/>
                    <w:tr2bl w:val="nil"/>
                  </w:tcBorders>
                  <w:noWrap w:val="0"/>
                  <w:vAlign w:val="center"/>
                </w:tcPr>
                <w:p w14:paraId="5B2E814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485C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63A1DBC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Cs/>
                      <w:color w:val="auto"/>
                      <w:sz w:val="21"/>
                      <w:szCs w:val="21"/>
                      <w:highlight w:val="none"/>
                    </w:rPr>
                    <w:t>硫化物</w:t>
                  </w:r>
                </w:p>
              </w:tc>
              <w:tc>
                <w:tcPr>
                  <w:tcW w:w="854" w:type="dxa"/>
                  <w:tcBorders>
                    <w:tl2br w:val="nil"/>
                    <w:tr2bl w:val="nil"/>
                  </w:tcBorders>
                  <w:noWrap w:val="0"/>
                  <w:vAlign w:val="center"/>
                </w:tcPr>
                <w:p w14:paraId="1037A4D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mg/L</w:t>
                  </w:r>
                </w:p>
              </w:tc>
              <w:tc>
                <w:tcPr>
                  <w:tcW w:w="3203" w:type="dxa"/>
                  <w:tcBorders>
                    <w:tl2br w:val="nil"/>
                    <w:tr2bl w:val="nil"/>
                  </w:tcBorders>
                  <w:noWrap w:val="0"/>
                  <w:vAlign w:val="center"/>
                </w:tcPr>
                <w:p w14:paraId="4EB571B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0.003L</w:t>
                  </w:r>
                </w:p>
              </w:tc>
              <w:tc>
                <w:tcPr>
                  <w:tcW w:w="1592" w:type="dxa"/>
                  <w:tcBorders>
                    <w:tl2br w:val="nil"/>
                    <w:tr2bl w:val="nil"/>
                  </w:tcBorders>
                  <w:noWrap w:val="0"/>
                  <w:vAlign w:val="center"/>
                </w:tcPr>
                <w:p w14:paraId="478B7808">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≤0.0</w:t>
                  </w:r>
                  <w:r>
                    <w:rPr>
                      <w:rFonts w:hint="eastAsia" w:ascii="Times New Roman" w:hAnsi="Times New Roman" w:eastAsia="宋体" w:cs="Times New Roman"/>
                      <w:color w:val="auto"/>
                      <w:sz w:val="21"/>
                      <w:szCs w:val="21"/>
                      <w:lang w:val="en-US" w:eastAsia="zh-CN"/>
                    </w:rPr>
                    <w:t>2</w:t>
                  </w:r>
                </w:p>
              </w:tc>
              <w:tc>
                <w:tcPr>
                  <w:tcW w:w="930" w:type="dxa"/>
                  <w:tcBorders>
                    <w:tl2br w:val="nil"/>
                    <w:tr2bl w:val="nil"/>
                  </w:tcBorders>
                  <w:noWrap w:val="0"/>
                  <w:vAlign w:val="center"/>
                </w:tcPr>
                <w:p w14:paraId="432F79A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780D4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2B80AE78">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highlight w:val="none"/>
                    </w:rPr>
                    <w:t>挥发酚</w:t>
                  </w:r>
                </w:p>
              </w:tc>
              <w:tc>
                <w:tcPr>
                  <w:tcW w:w="854" w:type="dxa"/>
                  <w:tcBorders>
                    <w:tl2br w:val="nil"/>
                    <w:tr2bl w:val="nil"/>
                  </w:tcBorders>
                  <w:noWrap w:val="0"/>
                  <w:vAlign w:val="center"/>
                </w:tcPr>
                <w:p w14:paraId="3E47363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295473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0.0003L</w:t>
                  </w:r>
                </w:p>
              </w:tc>
              <w:tc>
                <w:tcPr>
                  <w:tcW w:w="1592" w:type="dxa"/>
                  <w:tcBorders>
                    <w:tl2br w:val="nil"/>
                    <w:tr2bl w:val="nil"/>
                  </w:tcBorders>
                  <w:noWrap w:val="0"/>
                  <w:vAlign w:val="center"/>
                </w:tcPr>
                <w:p w14:paraId="6E818EC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0.002</w:t>
                  </w:r>
                </w:p>
              </w:tc>
              <w:tc>
                <w:tcPr>
                  <w:tcW w:w="930" w:type="dxa"/>
                  <w:tcBorders>
                    <w:tl2br w:val="nil"/>
                    <w:tr2bl w:val="nil"/>
                  </w:tcBorders>
                  <w:noWrap w:val="0"/>
                  <w:vAlign w:val="center"/>
                </w:tcPr>
                <w:p w14:paraId="2704E660">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BEC5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1874A78D">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highlight w:val="none"/>
                    </w:rPr>
                    <w:t>铬</w:t>
                  </w:r>
                  <w:r>
                    <w:rPr>
                      <w:rFonts w:hint="eastAsia" w:ascii="Times New Roman" w:hAnsi="Times New Roman" w:eastAsia="宋体" w:cs="Times New Roman"/>
                      <w:b w:val="0"/>
                      <w:bCs/>
                      <w:color w:val="auto"/>
                      <w:sz w:val="21"/>
                      <w:szCs w:val="21"/>
                      <w:highlight w:val="none"/>
                      <w:lang w:eastAsia="zh-CN"/>
                    </w:rPr>
                    <w:t>（</w:t>
                  </w:r>
                  <w:r>
                    <w:rPr>
                      <w:rFonts w:hint="default" w:ascii="Times New Roman" w:hAnsi="Times New Roman" w:eastAsia="宋体" w:cs="Times New Roman"/>
                      <w:b w:val="0"/>
                      <w:bCs/>
                      <w:color w:val="auto"/>
                      <w:sz w:val="21"/>
                      <w:szCs w:val="21"/>
                      <w:highlight w:val="none"/>
                    </w:rPr>
                    <w:t>六价</w:t>
                  </w:r>
                  <w:r>
                    <w:rPr>
                      <w:rFonts w:hint="eastAsia" w:ascii="Times New Roman" w:hAnsi="Times New Roman" w:eastAsia="宋体" w:cs="Times New Roman"/>
                      <w:b w:val="0"/>
                      <w:bCs/>
                      <w:color w:val="auto"/>
                      <w:sz w:val="21"/>
                      <w:szCs w:val="21"/>
                      <w:highlight w:val="none"/>
                      <w:lang w:eastAsia="zh-CN"/>
                    </w:rPr>
                    <w:t>）</w:t>
                  </w:r>
                </w:p>
              </w:tc>
              <w:tc>
                <w:tcPr>
                  <w:tcW w:w="854" w:type="dxa"/>
                  <w:tcBorders>
                    <w:tl2br w:val="nil"/>
                    <w:tr2bl w:val="nil"/>
                  </w:tcBorders>
                  <w:noWrap w:val="0"/>
                  <w:vAlign w:val="center"/>
                </w:tcPr>
                <w:p w14:paraId="7FEF5D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6DBD8E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0.006L</w:t>
                  </w:r>
                </w:p>
              </w:tc>
              <w:tc>
                <w:tcPr>
                  <w:tcW w:w="1592" w:type="dxa"/>
                  <w:tcBorders>
                    <w:tl2br w:val="nil"/>
                    <w:tr2bl w:val="nil"/>
                  </w:tcBorders>
                  <w:noWrap w:val="0"/>
                  <w:vAlign w:val="center"/>
                </w:tcPr>
                <w:p w14:paraId="412165B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0.05</w:t>
                  </w:r>
                </w:p>
              </w:tc>
              <w:tc>
                <w:tcPr>
                  <w:tcW w:w="930" w:type="dxa"/>
                  <w:tcBorders>
                    <w:tl2br w:val="nil"/>
                    <w:tr2bl w:val="nil"/>
                  </w:tcBorders>
                  <w:noWrap w:val="0"/>
                  <w:vAlign w:val="center"/>
                </w:tcPr>
                <w:p w14:paraId="4F01307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3D4C4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479" w:type="dxa"/>
                  <w:tcBorders>
                    <w:tl2br w:val="nil"/>
                    <w:tr2bl w:val="nil"/>
                  </w:tcBorders>
                  <w:noWrap w:val="0"/>
                  <w:vAlign w:val="center"/>
                </w:tcPr>
                <w:p w14:paraId="001A552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auto"/>
                      <w:sz w:val="21"/>
                      <w:szCs w:val="21"/>
                    </w:rPr>
                  </w:pPr>
                  <w:r>
                    <w:rPr>
                      <w:rFonts w:hint="eastAsia" w:ascii="宋体" w:hAnsi="宋体" w:eastAsia="宋体" w:cs="宋体"/>
                      <w:b w:val="0"/>
                      <w:bCs/>
                      <w:color w:val="auto"/>
                      <w:sz w:val="21"/>
                      <w:szCs w:val="21"/>
                      <w:highlight w:val="none"/>
                      <w:lang w:val="en-US" w:eastAsia="zh-CN"/>
                    </w:rPr>
                    <w:t>铝</w:t>
                  </w:r>
                </w:p>
              </w:tc>
              <w:tc>
                <w:tcPr>
                  <w:tcW w:w="854" w:type="dxa"/>
                  <w:tcBorders>
                    <w:tl2br w:val="nil"/>
                    <w:tr2bl w:val="nil"/>
                  </w:tcBorders>
                  <w:noWrap w:val="0"/>
                  <w:vAlign w:val="center"/>
                </w:tcPr>
                <w:p w14:paraId="60F889D0">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rPr>
                  </w:pPr>
                  <w:r>
                    <w:rPr>
                      <w:rFonts w:eastAsia="宋体" w:cs="Times New Roman"/>
                      <w:bCs/>
                      <w:color w:val="auto"/>
                      <w:sz w:val="21"/>
                      <w:szCs w:val="21"/>
                    </w:rPr>
                    <w:t>mg</w:t>
                  </w:r>
                  <w:r>
                    <w:rPr>
                      <w:rFonts w:hint="default" w:ascii="Times New Roman" w:hAnsi="Times New Roman" w:eastAsia="宋体" w:cs="Times New Roman"/>
                      <w:b w:val="0"/>
                      <w:bCs/>
                      <w:color w:val="auto"/>
                      <w:sz w:val="21"/>
                      <w:szCs w:val="21"/>
                      <w:highlight w:val="none"/>
                      <w:lang w:val="en-US" w:eastAsia="zh-CN"/>
                    </w:rPr>
                    <w:t>/L</w:t>
                  </w:r>
                </w:p>
              </w:tc>
              <w:tc>
                <w:tcPr>
                  <w:tcW w:w="3203" w:type="dxa"/>
                  <w:tcBorders>
                    <w:tl2br w:val="nil"/>
                    <w:tr2bl w:val="nil"/>
                  </w:tcBorders>
                  <w:noWrap w:val="0"/>
                  <w:vAlign w:val="center"/>
                </w:tcPr>
                <w:p w14:paraId="59F4AC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lang w:val="en-US" w:eastAsia="zh-CN"/>
                    </w:rPr>
                  </w:pPr>
                  <w:r>
                    <w:rPr>
                      <w:rFonts w:hint="eastAsia" w:eastAsia="宋体" w:cs="Times New Roman"/>
                      <w:color w:val="auto"/>
                      <w:sz w:val="21"/>
                      <w:szCs w:val="21"/>
                      <w:highlight w:val="none"/>
                      <w:lang w:val="en-US" w:eastAsia="zh-CN"/>
                    </w:rPr>
                    <w:t>0.02L</w:t>
                  </w:r>
                </w:p>
              </w:tc>
              <w:tc>
                <w:tcPr>
                  <w:tcW w:w="1592" w:type="dxa"/>
                  <w:tcBorders>
                    <w:tl2br w:val="nil"/>
                    <w:tr2bl w:val="nil"/>
                  </w:tcBorders>
                  <w:noWrap w:val="0"/>
                  <w:vAlign w:val="center"/>
                </w:tcPr>
                <w:p w14:paraId="4DFF78A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0.2</w:t>
                  </w:r>
                </w:p>
              </w:tc>
              <w:tc>
                <w:tcPr>
                  <w:tcW w:w="930" w:type="dxa"/>
                  <w:tcBorders>
                    <w:tl2br w:val="nil"/>
                    <w:tr2bl w:val="nil"/>
                  </w:tcBorders>
                  <w:noWrap w:val="0"/>
                  <w:vAlign w:val="center"/>
                </w:tcPr>
                <w:p w14:paraId="38C262F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83C8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28AED037">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rPr>
                    <w:t>铅</w:t>
                  </w:r>
                </w:p>
              </w:tc>
              <w:tc>
                <w:tcPr>
                  <w:tcW w:w="854" w:type="dxa"/>
                  <w:tcBorders>
                    <w:tl2br w:val="nil"/>
                    <w:tr2bl w:val="nil"/>
                  </w:tcBorders>
                  <w:noWrap w:val="0"/>
                  <w:vAlign w:val="center"/>
                </w:tcPr>
                <w:p w14:paraId="324131E6">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µg/L</w:t>
                  </w:r>
                </w:p>
              </w:tc>
              <w:tc>
                <w:tcPr>
                  <w:tcW w:w="3203" w:type="dxa"/>
                  <w:tcBorders>
                    <w:tl2br w:val="nil"/>
                    <w:tr2bl w:val="nil"/>
                  </w:tcBorders>
                  <w:noWrap w:val="0"/>
                  <w:vAlign w:val="center"/>
                </w:tcPr>
                <w:p w14:paraId="179F539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eastAsia="宋体" w:cs="Times New Roman"/>
                      <w:color w:val="auto"/>
                      <w:sz w:val="21"/>
                      <w:szCs w:val="21"/>
                      <w:highlight w:val="none"/>
                      <w:lang w:val="en-US" w:eastAsia="zh-CN"/>
                    </w:rPr>
                    <w:t>1L</w:t>
                  </w:r>
                </w:p>
              </w:tc>
              <w:tc>
                <w:tcPr>
                  <w:tcW w:w="1592" w:type="dxa"/>
                  <w:tcBorders>
                    <w:tl2br w:val="nil"/>
                    <w:tr2bl w:val="nil"/>
                  </w:tcBorders>
                  <w:noWrap w:val="0"/>
                  <w:vAlign w:val="center"/>
                </w:tcPr>
                <w:p w14:paraId="4C3699A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10</w:t>
                  </w:r>
                </w:p>
              </w:tc>
              <w:tc>
                <w:tcPr>
                  <w:tcW w:w="930" w:type="dxa"/>
                  <w:tcBorders>
                    <w:tl2br w:val="nil"/>
                    <w:tr2bl w:val="nil"/>
                  </w:tcBorders>
                  <w:noWrap w:val="0"/>
                  <w:vAlign w:val="center"/>
                </w:tcPr>
                <w:p w14:paraId="0B41778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14B42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2530E993">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rPr>
                    <w:t>镉</w:t>
                  </w:r>
                </w:p>
              </w:tc>
              <w:tc>
                <w:tcPr>
                  <w:tcW w:w="854" w:type="dxa"/>
                  <w:tcBorders>
                    <w:tl2br w:val="nil"/>
                    <w:tr2bl w:val="nil"/>
                  </w:tcBorders>
                  <w:noWrap w:val="0"/>
                  <w:vAlign w:val="center"/>
                </w:tcPr>
                <w:p w14:paraId="3E397AED">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µg/L</w:t>
                  </w:r>
                </w:p>
              </w:tc>
              <w:tc>
                <w:tcPr>
                  <w:tcW w:w="3203" w:type="dxa"/>
                  <w:tcBorders>
                    <w:tl2br w:val="nil"/>
                    <w:tr2bl w:val="nil"/>
                  </w:tcBorders>
                  <w:noWrap w:val="0"/>
                  <w:vAlign w:val="center"/>
                </w:tcPr>
                <w:p w14:paraId="5AC963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eastAsia="宋体" w:cs="Times New Roman"/>
                      <w:color w:val="auto"/>
                      <w:sz w:val="21"/>
                      <w:szCs w:val="21"/>
                      <w:highlight w:val="none"/>
                      <w:lang w:val="en-US" w:eastAsia="zh-CN"/>
                    </w:rPr>
                    <w:t>0.1L</w:t>
                  </w:r>
                </w:p>
              </w:tc>
              <w:tc>
                <w:tcPr>
                  <w:tcW w:w="1592" w:type="dxa"/>
                  <w:tcBorders>
                    <w:tl2br w:val="nil"/>
                    <w:tr2bl w:val="nil"/>
                  </w:tcBorders>
                  <w:noWrap w:val="0"/>
                  <w:vAlign w:val="center"/>
                </w:tcPr>
                <w:p w14:paraId="0D6AE8B6">
                  <w:pPr>
                    <w:keepNext w:val="0"/>
                    <w:keepLines w:val="0"/>
                    <w:pageBreakBefore w:val="0"/>
                    <w:kinsoku/>
                    <w:wordWrap/>
                    <w:overflowPunct/>
                    <w:topLinePunct w:val="0"/>
                    <w:autoSpaceDE/>
                    <w:autoSpaceDN/>
                    <w:bidi w:val="0"/>
                    <w:adjustRightInd/>
                    <w:snapToGrid/>
                    <w:spacing w:line="240" w:lineRule="auto"/>
                    <w:jc w:val="center"/>
                    <w:textAlignment w:val="bottom"/>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5</w:t>
                  </w:r>
                </w:p>
              </w:tc>
              <w:tc>
                <w:tcPr>
                  <w:tcW w:w="930" w:type="dxa"/>
                  <w:tcBorders>
                    <w:tl2br w:val="nil"/>
                    <w:tr2bl w:val="nil"/>
                  </w:tcBorders>
                  <w:noWrap w:val="0"/>
                  <w:vAlign w:val="center"/>
                </w:tcPr>
                <w:p w14:paraId="4F8BD16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3C053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1D322C4D">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rPr>
                    <w:t>铁</w:t>
                  </w:r>
                </w:p>
              </w:tc>
              <w:tc>
                <w:tcPr>
                  <w:tcW w:w="854" w:type="dxa"/>
                  <w:tcBorders>
                    <w:tl2br w:val="nil"/>
                    <w:tr2bl w:val="nil"/>
                  </w:tcBorders>
                  <w:noWrap w:val="0"/>
                  <w:vAlign w:val="center"/>
                </w:tcPr>
                <w:p w14:paraId="2FF587E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453156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0.03L</w:t>
                  </w:r>
                </w:p>
              </w:tc>
              <w:tc>
                <w:tcPr>
                  <w:tcW w:w="1592" w:type="dxa"/>
                  <w:tcBorders>
                    <w:tl2br w:val="nil"/>
                    <w:tr2bl w:val="nil"/>
                  </w:tcBorders>
                  <w:noWrap w:val="0"/>
                  <w:vAlign w:val="center"/>
                </w:tcPr>
                <w:p w14:paraId="26746D8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0.3</w:t>
                  </w:r>
                </w:p>
              </w:tc>
              <w:tc>
                <w:tcPr>
                  <w:tcW w:w="930" w:type="dxa"/>
                  <w:tcBorders>
                    <w:tl2br w:val="nil"/>
                    <w:tr2bl w:val="nil"/>
                  </w:tcBorders>
                  <w:noWrap w:val="0"/>
                  <w:vAlign w:val="center"/>
                </w:tcPr>
                <w:p w14:paraId="0D477FE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349AE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39C08913">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rPr>
                    <w:t>锰</w:t>
                  </w:r>
                </w:p>
              </w:tc>
              <w:tc>
                <w:tcPr>
                  <w:tcW w:w="854" w:type="dxa"/>
                  <w:tcBorders>
                    <w:tl2br w:val="nil"/>
                    <w:tr2bl w:val="nil"/>
                  </w:tcBorders>
                  <w:noWrap w:val="0"/>
                  <w:vAlign w:val="center"/>
                </w:tcPr>
                <w:p w14:paraId="5D675A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4B772D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eastAsia="宋体" w:cs="Times New Roman"/>
                      <w:color w:val="auto"/>
                      <w:sz w:val="21"/>
                      <w:szCs w:val="21"/>
                      <w:highlight w:val="none"/>
                      <w:lang w:val="en-US" w:eastAsia="zh-CN"/>
                    </w:rPr>
                    <w:t>0.01L</w:t>
                  </w:r>
                </w:p>
              </w:tc>
              <w:tc>
                <w:tcPr>
                  <w:tcW w:w="1592" w:type="dxa"/>
                  <w:tcBorders>
                    <w:tl2br w:val="nil"/>
                    <w:tr2bl w:val="nil"/>
                  </w:tcBorders>
                  <w:noWrap w:val="0"/>
                  <w:vAlign w:val="center"/>
                </w:tcPr>
                <w:p w14:paraId="17873294">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0.10</w:t>
                  </w:r>
                </w:p>
              </w:tc>
              <w:tc>
                <w:tcPr>
                  <w:tcW w:w="930" w:type="dxa"/>
                  <w:tcBorders>
                    <w:tl2br w:val="nil"/>
                    <w:tr2bl w:val="nil"/>
                  </w:tcBorders>
                  <w:noWrap w:val="0"/>
                  <w:vAlign w:val="center"/>
                </w:tcPr>
                <w:p w14:paraId="1020083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3FDE0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3B27F29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铜</w:t>
                  </w:r>
                </w:p>
              </w:tc>
              <w:tc>
                <w:tcPr>
                  <w:tcW w:w="854" w:type="dxa"/>
                  <w:tcBorders>
                    <w:tl2br w:val="nil"/>
                    <w:tr2bl w:val="nil"/>
                  </w:tcBorders>
                  <w:noWrap w:val="0"/>
                  <w:vAlign w:val="center"/>
                </w:tcPr>
                <w:p w14:paraId="4A86CAD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mg/L</w:t>
                  </w:r>
                </w:p>
              </w:tc>
              <w:tc>
                <w:tcPr>
                  <w:tcW w:w="3203" w:type="dxa"/>
                  <w:tcBorders>
                    <w:tl2br w:val="nil"/>
                    <w:tr2bl w:val="nil"/>
                  </w:tcBorders>
                  <w:noWrap w:val="0"/>
                  <w:vAlign w:val="center"/>
                </w:tcPr>
                <w:p w14:paraId="353D53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eastAsia="宋体" w:cs="Times New Roman"/>
                      <w:color w:val="auto"/>
                      <w:sz w:val="21"/>
                      <w:szCs w:val="21"/>
                      <w:highlight w:val="none"/>
                      <w:lang w:val="en-US" w:eastAsia="zh-CN"/>
                    </w:rPr>
                    <w:t>0.05L</w:t>
                  </w:r>
                </w:p>
              </w:tc>
              <w:tc>
                <w:tcPr>
                  <w:tcW w:w="1592" w:type="dxa"/>
                  <w:tcBorders>
                    <w:tl2br w:val="nil"/>
                    <w:tr2bl w:val="nil"/>
                  </w:tcBorders>
                  <w:noWrap w:val="0"/>
                  <w:vAlign w:val="center"/>
                </w:tcPr>
                <w:p w14:paraId="0050BB3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1.00</w:t>
                  </w:r>
                </w:p>
              </w:tc>
              <w:tc>
                <w:tcPr>
                  <w:tcW w:w="930" w:type="dxa"/>
                  <w:tcBorders>
                    <w:tl2br w:val="nil"/>
                    <w:tr2bl w:val="nil"/>
                  </w:tcBorders>
                  <w:noWrap w:val="0"/>
                  <w:vAlign w:val="center"/>
                </w:tcPr>
                <w:p w14:paraId="41F4EBF0">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2F382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49FC640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Cs/>
                      <w:color w:val="auto"/>
                      <w:sz w:val="21"/>
                      <w:szCs w:val="21"/>
                    </w:rPr>
                    <w:t>锌</w:t>
                  </w:r>
                </w:p>
              </w:tc>
              <w:tc>
                <w:tcPr>
                  <w:tcW w:w="854" w:type="dxa"/>
                  <w:tcBorders>
                    <w:tl2br w:val="nil"/>
                    <w:tr2bl w:val="nil"/>
                  </w:tcBorders>
                  <w:noWrap w:val="0"/>
                  <w:vAlign w:val="center"/>
                </w:tcPr>
                <w:p w14:paraId="5D82914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Cs/>
                      <w:color w:val="auto"/>
                      <w:sz w:val="21"/>
                      <w:szCs w:val="21"/>
                    </w:rPr>
                    <w:t>mg/L</w:t>
                  </w:r>
                </w:p>
              </w:tc>
              <w:tc>
                <w:tcPr>
                  <w:tcW w:w="3203" w:type="dxa"/>
                  <w:tcBorders>
                    <w:tl2br w:val="nil"/>
                    <w:tr2bl w:val="nil"/>
                  </w:tcBorders>
                  <w:noWrap w:val="0"/>
                  <w:vAlign w:val="center"/>
                </w:tcPr>
                <w:p w14:paraId="55D38C1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eastAsia="宋体" w:cs="Times New Roman"/>
                      <w:color w:val="auto"/>
                      <w:kern w:val="2"/>
                      <w:sz w:val="21"/>
                      <w:szCs w:val="21"/>
                      <w:highlight w:val="none"/>
                      <w:lang w:val="en-US" w:eastAsia="zh-CN" w:bidi="ar-SA"/>
                    </w:rPr>
                    <w:t>0.05L</w:t>
                  </w:r>
                </w:p>
              </w:tc>
              <w:tc>
                <w:tcPr>
                  <w:tcW w:w="1592" w:type="dxa"/>
                  <w:tcBorders>
                    <w:tl2br w:val="nil"/>
                    <w:tr2bl w:val="nil"/>
                  </w:tcBorders>
                  <w:noWrap w:val="0"/>
                  <w:vAlign w:val="center"/>
                </w:tcPr>
                <w:p w14:paraId="2904ACA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1.00</w:t>
                  </w:r>
                </w:p>
              </w:tc>
              <w:tc>
                <w:tcPr>
                  <w:tcW w:w="930" w:type="dxa"/>
                  <w:tcBorders>
                    <w:tl2br w:val="nil"/>
                    <w:tr2bl w:val="nil"/>
                  </w:tcBorders>
                  <w:noWrap w:val="0"/>
                  <w:vAlign w:val="center"/>
                </w:tcPr>
                <w:p w14:paraId="5B9E9F8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D7D9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189DCD3F">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Cs/>
                      <w:color w:val="auto"/>
                      <w:sz w:val="21"/>
                      <w:szCs w:val="21"/>
                    </w:rPr>
                  </w:pPr>
                  <w:r>
                    <w:rPr>
                      <w:rFonts w:hint="eastAsia" w:eastAsia="宋体" w:cs="Times New Roman"/>
                      <w:b w:val="0"/>
                      <w:bCs/>
                      <w:color w:val="auto"/>
                      <w:sz w:val="21"/>
                      <w:szCs w:val="21"/>
                      <w:highlight w:val="none"/>
                      <w:lang w:val="en-US" w:eastAsia="zh-CN"/>
                    </w:rPr>
                    <w:t>钙</w:t>
                  </w:r>
                </w:p>
              </w:tc>
              <w:tc>
                <w:tcPr>
                  <w:tcW w:w="854" w:type="dxa"/>
                  <w:tcBorders>
                    <w:tl2br w:val="nil"/>
                    <w:tr2bl w:val="nil"/>
                  </w:tcBorders>
                  <w:noWrap w:val="0"/>
                  <w:vAlign w:val="center"/>
                </w:tcPr>
                <w:p w14:paraId="7ED0E8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0F62966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eastAsia="宋体" w:cs="Times New Roman"/>
                      <w:color w:val="auto"/>
                      <w:sz w:val="21"/>
                      <w:szCs w:val="21"/>
                      <w:highlight w:val="none"/>
                      <w:lang w:val="en-US" w:eastAsia="zh-CN"/>
                    </w:rPr>
                    <w:t>90.1</w:t>
                  </w:r>
                </w:p>
              </w:tc>
              <w:tc>
                <w:tcPr>
                  <w:tcW w:w="1592" w:type="dxa"/>
                  <w:tcBorders>
                    <w:tl2br w:val="nil"/>
                    <w:tr2bl w:val="nil"/>
                  </w:tcBorders>
                  <w:noWrap w:val="0"/>
                  <w:vAlign w:val="center"/>
                </w:tcPr>
                <w:p w14:paraId="65893497">
                  <w:pPr>
                    <w:keepNext w:val="0"/>
                    <w:keepLines w:val="0"/>
                    <w:pageBreakBefore w:val="0"/>
                    <w:kinsoku/>
                    <w:wordWrap/>
                    <w:overflowPunct/>
                    <w:topLinePunct w:val="0"/>
                    <w:autoSpaceDE/>
                    <w:autoSpaceDN/>
                    <w:bidi w:val="0"/>
                    <w:adjustRightInd/>
                    <w:snapToGrid/>
                    <w:spacing w:line="240" w:lineRule="auto"/>
                    <w:jc w:val="center"/>
                    <w:textAlignment w:val="bottom"/>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30" w:type="dxa"/>
                  <w:tcBorders>
                    <w:tl2br w:val="nil"/>
                    <w:tr2bl w:val="nil"/>
                  </w:tcBorders>
                  <w:noWrap w:val="0"/>
                  <w:vAlign w:val="center"/>
                </w:tcPr>
                <w:p w14:paraId="4CF9DBF4">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6383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294445D6">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
                      <w:bCs/>
                      <w:color w:val="auto"/>
                      <w:sz w:val="21"/>
                      <w:szCs w:val="21"/>
                    </w:rPr>
                  </w:pPr>
                  <w:r>
                    <w:rPr>
                      <w:rFonts w:hint="eastAsia" w:eastAsia="宋体" w:cs="Times New Roman"/>
                      <w:b w:val="0"/>
                      <w:bCs/>
                      <w:color w:val="auto"/>
                      <w:sz w:val="21"/>
                      <w:szCs w:val="21"/>
                      <w:highlight w:val="none"/>
                      <w:lang w:val="en-US" w:eastAsia="zh-CN"/>
                    </w:rPr>
                    <w:t>镁</w:t>
                  </w:r>
                </w:p>
              </w:tc>
              <w:tc>
                <w:tcPr>
                  <w:tcW w:w="854" w:type="dxa"/>
                  <w:tcBorders>
                    <w:tl2br w:val="nil"/>
                    <w:tr2bl w:val="nil"/>
                  </w:tcBorders>
                  <w:noWrap w:val="0"/>
                  <w:vAlign w:val="center"/>
                </w:tcPr>
                <w:p w14:paraId="5329D17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35907B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eastAsia="宋体" w:cs="Times New Roman"/>
                      <w:color w:val="auto"/>
                      <w:sz w:val="21"/>
                      <w:szCs w:val="21"/>
                      <w:highlight w:val="none"/>
                      <w:lang w:val="en-US" w:eastAsia="zh-CN"/>
                    </w:rPr>
                    <w:t>42.5</w:t>
                  </w:r>
                </w:p>
              </w:tc>
              <w:tc>
                <w:tcPr>
                  <w:tcW w:w="1592" w:type="dxa"/>
                  <w:tcBorders>
                    <w:tl2br w:val="nil"/>
                    <w:tr2bl w:val="nil"/>
                  </w:tcBorders>
                  <w:noWrap w:val="0"/>
                  <w:vAlign w:val="center"/>
                </w:tcPr>
                <w:p w14:paraId="7C4D8A5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30" w:type="dxa"/>
                  <w:tcBorders>
                    <w:tl2br w:val="nil"/>
                    <w:tr2bl w:val="nil"/>
                  </w:tcBorders>
                  <w:noWrap w:val="0"/>
                  <w:vAlign w:val="center"/>
                </w:tcPr>
                <w:p w14:paraId="0EAB8C41">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5FDE2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44C1462B">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Cs/>
                      <w:color w:val="auto"/>
                      <w:sz w:val="21"/>
                      <w:szCs w:val="21"/>
                    </w:rPr>
                  </w:pPr>
                  <w:r>
                    <w:rPr>
                      <w:rFonts w:hint="eastAsia" w:eastAsia="宋体" w:cs="Times New Roman"/>
                      <w:b w:val="0"/>
                      <w:bCs/>
                      <w:color w:val="auto"/>
                      <w:sz w:val="21"/>
                      <w:szCs w:val="21"/>
                      <w:highlight w:val="none"/>
                      <w:lang w:val="en-US" w:eastAsia="zh-CN"/>
                    </w:rPr>
                    <w:t>钾</w:t>
                  </w:r>
                </w:p>
              </w:tc>
              <w:tc>
                <w:tcPr>
                  <w:tcW w:w="854" w:type="dxa"/>
                  <w:tcBorders>
                    <w:tl2br w:val="nil"/>
                    <w:tr2bl w:val="nil"/>
                  </w:tcBorders>
                  <w:noWrap w:val="0"/>
                  <w:vAlign w:val="center"/>
                </w:tcPr>
                <w:p w14:paraId="27FDFA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265CD7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2.81</w:t>
                  </w:r>
                </w:p>
              </w:tc>
              <w:tc>
                <w:tcPr>
                  <w:tcW w:w="1592" w:type="dxa"/>
                  <w:tcBorders>
                    <w:tl2br w:val="nil"/>
                    <w:tr2bl w:val="nil"/>
                  </w:tcBorders>
                  <w:noWrap w:val="0"/>
                  <w:vAlign w:val="center"/>
                </w:tcPr>
                <w:p w14:paraId="2526DE0D">
                  <w:pPr>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930" w:type="dxa"/>
                  <w:tcBorders>
                    <w:tl2br w:val="nil"/>
                    <w:tr2bl w:val="nil"/>
                  </w:tcBorders>
                  <w:noWrap w:val="0"/>
                  <w:vAlign w:val="center"/>
                </w:tcPr>
                <w:p w14:paraId="765F4608">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361E3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6F3710D5">
                  <w:pPr>
                    <w:pStyle w:val="16"/>
                    <w:keepNext w:val="0"/>
                    <w:keepLines w:val="0"/>
                    <w:pageBreakBefore w:val="0"/>
                    <w:kinsoku/>
                    <w:wordWrap/>
                    <w:overflowPunct/>
                    <w:topLinePunct w:val="0"/>
                    <w:autoSpaceDE/>
                    <w:autoSpaceDN/>
                    <w:bidi w:val="0"/>
                    <w:adjustRightInd/>
                    <w:snapToGrid/>
                    <w:spacing w:before="0" w:beforeLines="0" w:after="0" w:afterLines="0" w:line="240" w:lineRule="auto"/>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钠</w:t>
                  </w:r>
                </w:p>
              </w:tc>
              <w:tc>
                <w:tcPr>
                  <w:tcW w:w="854" w:type="dxa"/>
                  <w:tcBorders>
                    <w:tl2br w:val="nil"/>
                    <w:tr2bl w:val="nil"/>
                  </w:tcBorders>
                  <w:noWrap w:val="0"/>
                  <w:vAlign w:val="center"/>
                </w:tcPr>
                <w:p w14:paraId="42A9A1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633F02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eastAsia="zh-CN"/>
                    </w:rPr>
                  </w:pPr>
                  <w:r>
                    <w:rPr>
                      <w:rFonts w:hint="eastAsia" w:eastAsia="宋体" w:cs="Times New Roman"/>
                      <w:color w:val="auto"/>
                      <w:sz w:val="21"/>
                      <w:szCs w:val="21"/>
                      <w:highlight w:val="none"/>
                      <w:lang w:val="en-US" w:eastAsia="zh-CN"/>
                    </w:rPr>
                    <w:t>233</w:t>
                  </w:r>
                </w:p>
              </w:tc>
              <w:tc>
                <w:tcPr>
                  <w:tcW w:w="1592" w:type="dxa"/>
                  <w:tcBorders>
                    <w:tl2br w:val="nil"/>
                    <w:tr2bl w:val="nil"/>
                  </w:tcBorders>
                  <w:noWrap w:val="0"/>
                  <w:vAlign w:val="center"/>
                </w:tcPr>
                <w:p w14:paraId="5594387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930" w:type="dxa"/>
                  <w:tcBorders>
                    <w:tl2br w:val="nil"/>
                    <w:tr2bl w:val="nil"/>
                  </w:tcBorders>
                  <w:noWrap w:val="0"/>
                  <w:vAlign w:val="center"/>
                </w:tcPr>
                <w:p w14:paraId="40551853">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未</w:t>
                  </w:r>
                  <w:r>
                    <w:rPr>
                      <w:rFonts w:hint="default" w:ascii="Times New Roman" w:hAnsi="Times New Roman" w:eastAsia="宋体" w:cs="Times New Roman"/>
                      <w:color w:val="auto"/>
                      <w:sz w:val="21"/>
                      <w:szCs w:val="21"/>
                    </w:rPr>
                    <w:t>达标</w:t>
                  </w:r>
                </w:p>
              </w:tc>
            </w:tr>
            <w:tr w14:paraId="56D6E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9" w:type="dxa"/>
                  <w:tcBorders>
                    <w:tl2br w:val="nil"/>
                    <w:tr2bl w:val="nil"/>
                  </w:tcBorders>
                  <w:noWrap w:val="0"/>
                  <w:vAlign w:val="center"/>
                </w:tcPr>
                <w:p w14:paraId="372FB3D5">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rPr>
                    <w:t>亚硝酸盐</w:t>
                  </w:r>
                  <w:r>
                    <w:rPr>
                      <w:rFonts w:hint="default" w:ascii="Times New Roman" w:hAnsi="Times New Roman" w:eastAsia="宋体" w:cs="Times New Roman"/>
                      <w:b w:val="0"/>
                      <w:bCs/>
                      <w:color w:val="auto"/>
                      <w:sz w:val="21"/>
                      <w:szCs w:val="21"/>
                      <w:highlight w:val="none"/>
                      <w:lang w:eastAsia="zh-CN"/>
                    </w:rPr>
                    <w:t>氮</w:t>
                  </w:r>
                </w:p>
              </w:tc>
              <w:tc>
                <w:tcPr>
                  <w:tcW w:w="854" w:type="dxa"/>
                  <w:tcBorders>
                    <w:tl2br w:val="nil"/>
                    <w:tr2bl w:val="nil"/>
                  </w:tcBorders>
                  <w:noWrap w:val="0"/>
                  <w:vAlign w:val="center"/>
                </w:tcPr>
                <w:p w14:paraId="5412A1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4A6730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0.003L</w:t>
                  </w:r>
                </w:p>
              </w:tc>
              <w:tc>
                <w:tcPr>
                  <w:tcW w:w="1592" w:type="dxa"/>
                  <w:tcBorders>
                    <w:tl2br w:val="nil"/>
                    <w:tr2bl w:val="nil"/>
                  </w:tcBorders>
                  <w:noWrap w:val="0"/>
                  <w:vAlign w:val="center"/>
                </w:tcPr>
                <w:p w14:paraId="0AA167C2">
                  <w:pPr>
                    <w:keepNext w:val="0"/>
                    <w:keepLines w:val="0"/>
                    <w:pageBreakBefore w:val="0"/>
                    <w:kinsoku/>
                    <w:wordWrap/>
                    <w:overflowPunct/>
                    <w:topLinePunct w:val="0"/>
                    <w:autoSpaceDE/>
                    <w:autoSpaceDN/>
                    <w:bidi w:val="0"/>
                    <w:adjustRightInd/>
                    <w:snapToGrid/>
                    <w:spacing w:line="240" w:lineRule="auto"/>
                    <w:jc w:val="center"/>
                    <w:textAlignment w:val="bottom"/>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930" w:type="dxa"/>
                  <w:tcBorders>
                    <w:tl2br w:val="nil"/>
                    <w:tr2bl w:val="nil"/>
                  </w:tcBorders>
                  <w:noWrap w:val="0"/>
                  <w:vAlign w:val="center"/>
                </w:tcPr>
                <w:p w14:paraId="2B91522D">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2542F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1C279FDE">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rPr>
                    <w:t>氨氮</w:t>
                  </w:r>
                </w:p>
              </w:tc>
              <w:tc>
                <w:tcPr>
                  <w:tcW w:w="854" w:type="dxa"/>
                  <w:tcBorders>
                    <w:tl2br w:val="nil"/>
                    <w:tr2bl w:val="nil"/>
                  </w:tcBorders>
                  <w:noWrap w:val="0"/>
                  <w:vAlign w:val="center"/>
                </w:tcPr>
                <w:p w14:paraId="23E775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177A5FE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eastAsia="宋体" w:cs="Times New Roman"/>
                      <w:color w:val="auto"/>
                      <w:sz w:val="21"/>
                      <w:szCs w:val="21"/>
                      <w:highlight w:val="none"/>
                      <w:lang w:val="en-US" w:eastAsia="zh-CN"/>
                    </w:rPr>
                    <w:t>0.101</w:t>
                  </w:r>
                </w:p>
              </w:tc>
              <w:tc>
                <w:tcPr>
                  <w:tcW w:w="1592" w:type="dxa"/>
                  <w:tcBorders>
                    <w:tl2br w:val="nil"/>
                    <w:tr2bl w:val="nil"/>
                  </w:tcBorders>
                  <w:noWrap w:val="0"/>
                  <w:vAlign w:val="center"/>
                </w:tcPr>
                <w:p w14:paraId="1A2AC3E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930" w:type="dxa"/>
                  <w:tcBorders>
                    <w:tl2br w:val="nil"/>
                    <w:tr2bl w:val="nil"/>
                  </w:tcBorders>
                  <w:noWrap w:val="0"/>
                  <w:vAlign w:val="center"/>
                </w:tcPr>
                <w:p w14:paraId="714B16F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1C2A6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479" w:type="dxa"/>
                  <w:tcBorders>
                    <w:tl2br w:val="nil"/>
                    <w:tr2bl w:val="nil"/>
                  </w:tcBorders>
                  <w:noWrap w:val="0"/>
                  <w:vAlign w:val="center"/>
                </w:tcPr>
                <w:p w14:paraId="2ABB0F1C">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eastAsia="zh-CN"/>
                    </w:rPr>
                    <w:t>砷</w:t>
                  </w:r>
                </w:p>
              </w:tc>
              <w:tc>
                <w:tcPr>
                  <w:tcW w:w="854" w:type="dxa"/>
                  <w:tcBorders>
                    <w:tl2br w:val="nil"/>
                    <w:tr2bl w:val="nil"/>
                  </w:tcBorders>
                  <w:noWrap w:val="0"/>
                  <w:vAlign w:val="center"/>
                </w:tcPr>
                <w:p w14:paraId="5C974E9B">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 w:val="0"/>
                      <w:bCs/>
                      <w:color w:val="auto"/>
                      <w:sz w:val="21"/>
                      <w:szCs w:val="21"/>
                      <w:highlight w:val="none"/>
                      <w:lang w:val="en-US" w:eastAsia="zh-CN"/>
                    </w:rPr>
                    <w:t>µg/L</w:t>
                  </w:r>
                </w:p>
              </w:tc>
              <w:tc>
                <w:tcPr>
                  <w:tcW w:w="3203" w:type="dxa"/>
                  <w:tcBorders>
                    <w:tl2br w:val="nil"/>
                    <w:tr2bl w:val="nil"/>
                  </w:tcBorders>
                  <w:noWrap w:val="0"/>
                  <w:vAlign w:val="center"/>
                </w:tcPr>
                <w:p w14:paraId="3E63C1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eastAsia="宋体" w:cs="Times New Roman"/>
                      <w:color w:val="auto"/>
                      <w:sz w:val="21"/>
                      <w:szCs w:val="21"/>
                      <w:highlight w:val="none"/>
                      <w:lang w:val="en-US" w:eastAsia="zh-CN"/>
                    </w:rPr>
                    <w:t>2.1</w:t>
                  </w:r>
                </w:p>
              </w:tc>
              <w:tc>
                <w:tcPr>
                  <w:tcW w:w="1592" w:type="dxa"/>
                  <w:tcBorders>
                    <w:tl2br w:val="nil"/>
                    <w:tr2bl w:val="nil"/>
                  </w:tcBorders>
                  <w:noWrap w:val="0"/>
                  <w:vAlign w:val="center"/>
                </w:tcPr>
                <w:p w14:paraId="487E9D5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930" w:type="dxa"/>
                  <w:tcBorders>
                    <w:tl2br w:val="nil"/>
                    <w:tr2bl w:val="nil"/>
                  </w:tcBorders>
                  <w:noWrap w:val="0"/>
                  <w:vAlign w:val="center"/>
                </w:tcPr>
                <w:p w14:paraId="450ADA0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9F05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1479" w:type="dxa"/>
                  <w:tcBorders>
                    <w:tl2br w:val="nil"/>
                    <w:tr2bl w:val="nil"/>
                  </w:tcBorders>
                  <w:noWrap w:val="0"/>
                  <w:vAlign w:val="center"/>
                </w:tcPr>
                <w:p w14:paraId="2DEADDA8">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highlight w:val="none"/>
                      <w:lang w:eastAsia="zh-CN"/>
                    </w:rPr>
                    <w:t>汞</w:t>
                  </w:r>
                </w:p>
              </w:tc>
              <w:tc>
                <w:tcPr>
                  <w:tcW w:w="854" w:type="dxa"/>
                  <w:tcBorders>
                    <w:tl2br w:val="nil"/>
                    <w:tr2bl w:val="nil"/>
                  </w:tcBorders>
                  <w:noWrap w:val="0"/>
                  <w:vAlign w:val="center"/>
                </w:tcPr>
                <w:p w14:paraId="1A85BD18">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highlight w:val="yellow"/>
                    </w:rPr>
                  </w:pPr>
                  <w:r>
                    <w:rPr>
                      <w:rFonts w:hint="default" w:ascii="Times New Roman" w:hAnsi="Times New Roman" w:eastAsia="宋体" w:cs="Times New Roman"/>
                      <w:b w:val="0"/>
                      <w:bCs/>
                      <w:color w:val="auto"/>
                      <w:sz w:val="21"/>
                      <w:szCs w:val="21"/>
                      <w:highlight w:val="none"/>
                      <w:lang w:val="en-US" w:eastAsia="zh-CN"/>
                    </w:rPr>
                    <w:t>µg/L</w:t>
                  </w:r>
                </w:p>
              </w:tc>
              <w:tc>
                <w:tcPr>
                  <w:tcW w:w="3203" w:type="dxa"/>
                  <w:tcBorders>
                    <w:tl2br w:val="nil"/>
                    <w:tr2bl w:val="nil"/>
                  </w:tcBorders>
                  <w:noWrap w:val="0"/>
                  <w:vAlign w:val="center"/>
                </w:tcPr>
                <w:p w14:paraId="124022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eastAsia" w:eastAsia="宋体" w:cs="Times New Roman"/>
                      <w:color w:val="auto"/>
                      <w:sz w:val="21"/>
                      <w:szCs w:val="21"/>
                      <w:highlight w:val="none"/>
                      <w:lang w:val="en-US" w:eastAsia="zh-CN"/>
                    </w:rPr>
                    <w:t>0.04L</w:t>
                  </w:r>
                </w:p>
              </w:tc>
              <w:tc>
                <w:tcPr>
                  <w:tcW w:w="1592" w:type="dxa"/>
                  <w:tcBorders>
                    <w:tl2br w:val="nil"/>
                    <w:tr2bl w:val="nil"/>
                  </w:tcBorders>
                  <w:noWrap w:val="0"/>
                  <w:vAlign w:val="center"/>
                </w:tcPr>
                <w:p w14:paraId="3B5290A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0.001</w:t>
                  </w:r>
                </w:p>
              </w:tc>
              <w:tc>
                <w:tcPr>
                  <w:tcW w:w="930" w:type="dxa"/>
                  <w:tcBorders>
                    <w:tl2br w:val="nil"/>
                    <w:tr2bl w:val="nil"/>
                  </w:tcBorders>
                  <w:noWrap w:val="0"/>
                  <w:vAlign w:val="center"/>
                </w:tcPr>
                <w:p w14:paraId="42FA0C7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76B66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479" w:type="dxa"/>
                  <w:tcBorders>
                    <w:tl2br w:val="nil"/>
                    <w:tr2bl w:val="nil"/>
                  </w:tcBorders>
                  <w:noWrap w:val="0"/>
                  <w:vAlign w:val="center"/>
                </w:tcPr>
                <w:p w14:paraId="6F6C548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color w:val="auto"/>
                      <w:sz w:val="21"/>
                      <w:szCs w:val="21"/>
                    </w:rPr>
                  </w:pPr>
                  <w:r>
                    <w:rPr>
                      <w:rFonts w:hint="eastAsia" w:eastAsia="宋体" w:cs="Times New Roman"/>
                      <w:bCs/>
                      <w:color w:val="auto"/>
                      <w:sz w:val="21"/>
                      <w:szCs w:val="21"/>
                    </w:rPr>
                    <w:t>硒</w:t>
                  </w:r>
                </w:p>
              </w:tc>
              <w:tc>
                <w:tcPr>
                  <w:tcW w:w="854" w:type="dxa"/>
                  <w:tcBorders>
                    <w:tl2br w:val="nil"/>
                    <w:tr2bl w:val="nil"/>
                  </w:tcBorders>
                  <w:noWrap w:val="0"/>
                  <w:vAlign w:val="center"/>
                </w:tcPr>
                <w:p w14:paraId="6C0D147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highlight w:val="yellow"/>
                    </w:rPr>
                  </w:pPr>
                  <w:r>
                    <w:rPr>
                      <w:rFonts w:eastAsia="宋体" w:cs="Times New Roman"/>
                      <w:bCs/>
                      <w:color w:val="auto"/>
                      <w:sz w:val="21"/>
                      <w:szCs w:val="21"/>
                    </w:rPr>
                    <w:t>µg/L</w:t>
                  </w:r>
                </w:p>
              </w:tc>
              <w:tc>
                <w:tcPr>
                  <w:tcW w:w="3203" w:type="dxa"/>
                  <w:tcBorders>
                    <w:tl2br w:val="nil"/>
                    <w:tr2bl w:val="nil"/>
                  </w:tcBorders>
                  <w:noWrap w:val="0"/>
                  <w:vAlign w:val="center"/>
                </w:tcPr>
                <w:p w14:paraId="57DB03F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0.4L</w:t>
                  </w:r>
                </w:p>
              </w:tc>
              <w:tc>
                <w:tcPr>
                  <w:tcW w:w="1592" w:type="dxa"/>
                  <w:tcBorders>
                    <w:tl2br w:val="nil"/>
                    <w:tr2bl w:val="nil"/>
                  </w:tcBorders>
                  <w:noWrap w:val="0"/>
                  <w:vAlign w:val="center"/>
                </w:tcPr>
                <w:p w14:paraId="490BC48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0.01</w:t>
                  </w:r>
                </w:p>
              </w:tc>
              <w:tc>
                <w:tcPr>
                  <w:tcW w:w="930" w:type="dxa"/>
                  <w:tcBorders>
                    <w:tl2br w:val="nil"/>
                    <w:tr2bl w:val="nil"/>
                  </w:tcBorders>
                  <w:noWrap w:val="0"/>
                  <w:vAlign w:val="center"/>
                </w:tcPr>
                <w:p w14:paraId="08A2C7FA">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CF90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479" w:type="dxa"/>
                  <w:tcBorders>
                    <w:tl2br w:val="nil"/>
                    <w:tr2bl w:val="nil"/>
                  </w:tcBorders>
                  <w:noWrap w:val="0"/>
                  <w:vAlign w:val="center"/>
                </w:tcPr>
                <w:p w14:paraId="44F33480">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highlight w:val="none"/>
                      <w:lang w:eastAsia="zh-CN"/>
                    </w:rPr>
                    <w:t>硫酸盐</w:t>
                  </w:r>
                </w:p>
              </w:tc>
              <w:tc>
                <w:tcPr>
                  <w:tcW w:w="854" w:type="dxa"/>
                  <w:tcBorders>
                    <w:tl2br w:val="nil"/>
                    <w:tr2bl w:val="nil"/>
                  </w:tcBorders>
                  <w:noWrap w:val="0"/>
                  <w:vAlign w:val="center"/>
                </w:tcPr>
                <w:p w14:paraId="577B3C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yellow"/>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2938435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kern w:val="2"/>
                      <w:sz w:val="21"/>
                      <w:szCs w:val="21"/>
                      <w:highlight w:val="none"/>
                      <w:lang w:val="en-US" w:eastAsia="zh-CN" w:bidi="ar-SA"/>
                    </w:rPr>
                    <w:t>291</w:t>
                  </w:r>
                </w:p>
              </w:tc>
              <w:tc>
                <w:tcPr>
                  <w:tcW w:w="1592" w:type="dxa"/>
                  <w:tcBorders>
                    <w:tl2br w:val="nil"/>
                    <w:tr2bl w:val="nil"/>
                  </w:tcBorders>
                  <w:noWrap w:val="0"/>
                  <w:vAlign w:val="center"/>
                </w:tcPr>
                <w:p w14:paraId="657AAD95">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250</w:t>
                  </w:r>
                </w:p>
              </w:tc>
              <w:tc>
                <w:tcPr>
                  <w:tcW w:w="930" w:type="dxa"/>
                  <w:tcBorders>
                    <w:tl2br w:val="nil"/>
                    <w:tr2bl w:val="nil"/>
                  </w:tcBorders>
                  <w:noWrap w:val="0"/>
                  <w:vAlign w:val="center"/>
                </w:tcPr>
                <w:p w14:paraId="137527A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未</w:t>
                  </w:r>
                  <w:r>
                    <w:rPr>
                      <w:rFonts w:hint="default" w:ascii="Times New Roman" w:hAnsi="Times New Roman" w:eastAsia="宋体" w:cs="Times New Roman"/>
                      <w:color w:val="auto"/>
                      <w:sz w:val="21"/>
                      <w:szCs w:val="21"/>
                    </w:rPr>
                    <w:t>达标</w:t>
                  </w:r>
                </w:p>
              </w:tc>
            </w:tr>
            <w:tr w14:paraId="31B99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479" w:type="dxa"/>
                  <w:tcBorders>
                    <w:tl2br w:val="nil"/>
                    <w:tr2bl w:val="nil"/>
                  </w:tcBorders>
                  <w:noWrap w:val="0"/>
                  <w:vAlign w:val="center"/>
                </w:tcPr>
                <w:p w14:paraId="6FC6DE52">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highlight w:val="none"/>
                    </w:rPr>
                    <w:t>硝酸盐</w:t>
                  </w:r>
                  <w:r>
                    <w:rPr>
                      <w:rFonts w:hint="default" w:ascii="Times New Roman" w:hAnsi="Times New Roman" w:eastAsia="宋体" w:cs="Times New Roman"/>
                      <w:b w:val="0"/>
                      <w:bCs w:val="0"/>
                      <w:color w:val="auto"/>
                      <w:sz w:val="21"/>
                      <w:szCs w:val="21"/>
                      <w:highlight w:val="none"/>
                      <w:lang w:val="en-US" w:eastAsia="zh-CN"/>
                    </w:rPr>
                    <w:t>氮</w:t>
                  </w:r>
                </w:p>
              </w:tc>
              <w:tc>
                <w:tcPr>
                  <w:tcW w:w="854" w:type="dxa"/>
                  <w:tcBorders>
                    <w:tl2br w:val="nil"/>
                    <w:tr2bl w:val="nil"/>
                  </w:tcBorders>
                  <w:noWrap w:val="0"/>
                  <w:vAlign w:val="center"/>
                </w:tcPr>
                <w:p w14:paraId="1949B2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yellow"/>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7D362CD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8.51</w:t>
                  </w:r>
                </w:p>
              </w:tc>
              <w:tc>
                <w:tcPr>
                  <w:tcW w:w="1592" w:type="dxa"/>
                  <w:tcBorders>
                    <w:tl2br w:val="nil"/>
                    <w:tr2bl w:val="nil"/>
                  </w:tcBorders>
                  <w:noWrap w:val="0"/>
                  <w:vAlign w:val="center"/>
                </w:tcPr>
                <w:p w14:paraId="0968121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930" w:type="dxa"/>
                  <w:tcBorders>
                    <w:tl2br w:val="nil"/>
                    <w:tr2bl w:val="nil"/>
                  </w:tcBorders>
                  <w:noWrap w:val="0"/>
                  <w:vAlign w:val="center"/>
                </w:tcPr>
                <w:p w14:paraId="20F56EA2">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A1DF3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479" w:type="dxa"/>
                  <w:tcBorders>
                    <w:tl2br w:val="nil"/>
                    <w:tr2bl w:val="nil"/>
                  </w:tcBorders>
                  <w:noWrap w:val="0"/>
                  <w:vAlign w:val="center"/>
                </w:tcPr>
                <w:p w14:paraId="092B0BC9">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highlight w:val="none"/>
                      <w:lang w:eastAsia="zh-CN"/>
                    </w:rPr>
                    <w:t>氯化物</w:t>
                  </w:r>
                </w:p>
              </w:tc>
              <w:tc>
                <w:tcPr>
                  <w:tcW w:w="854" w:type="dxa"/>
                  <w:tcBorders>
                    <w:tl2br w:val="nil"/>
                    <w:tr2bl w:val="nil"/>
                  </w:tcBorders>
                  <w:noWrap w:val="0"/>
                  <w:vAlign w:val="center"/>
                </w:tcPr>
                <w:p w14:paraId="0E372F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yellow"/>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0DBDB8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410</w:t>
                  </w:r>
                </w:p>
              </w:tc>
              <w:tc>
                <w:tcPr>
                  <w:tcW w:w="1592" w:type="dxa"/>
                  <w:tcBorders>
                    <w:tl2br w:val="nil"/>
                    <w:tr2bl w:val="nil"/>
                  </w:tcBorders>
                  <w:noWrap w:val="0"/>
                  <w:vAlign w:val="center"/>
                </w:tcPr>
                <w:p w14:paraId="2278127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w:t>
                  </w:r>
                </w:p>
              </w:tc>
              <w:tc>
                <w:tcPr>
                  <w:tcW w:w="930" w:type="dxa"/>
                  <w:tcBorders>
                    <w:tl2br w:val="nil"/>
                    <w:tr2bl w:val="nil"/>
                  </w:tcBorders>
                  <w:noWrap w:val="0"/>
                  <w:vAlign w:val="center"/>
                </w:tcPr>
                <w:p w14:paraId="4183647B">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未</w:t>
                  </w:r>
                  <w:r>
                    <w:rPr>
                      <w:rFonts w:hint="default" w:ascii="Times New Roman" w:hAnsi="Times New Roman" w:eastAsia="宋体" w:cs="Times New Roman"/>
                      <w:color w:val="auto"/>
                      <w:sz w:val="21"/>
                      <w:szCs w:val="21"/>
                    </w:rPr>
                    <w:t>达标</w:t>
                  </w:r>
                </w:p>
              </w:tc>
            </w:tr>
            <w:tr w14:paraId="7DEF8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479" w:type="dxa"/>
                  <w:tcBorders>
                    <w:tl2br w:val="nil"/>
                    <w:tr2bl w:val="nil"/>
                  </w:tcBorders>
                  <w:noWrap w:val="0"/>
                  <w:vAlign w:val="center"/>
                </w:tcPr>
                <w:p w14:paraId="6E24E197">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highlight w:val="none"/>
                      <w:lang w:eastAsia="zh-CN"/>
                    </w:rPr>
                    <w:t>氟化物</w:t>
                  </w:r>
                </w:p>
              </w:tc>
              <w:tc>
                <w:tcPr>
                  <w:tcW w:w="854" w:type="dxa"/>
                  <w:tcBorders>
                    <w:tl2br w:val="nil"/>
                    <w:tr2bl w:val="nil"/>
                  </w:tcBorders>
                  <w:noWrap w:val="0"/>
                  <w:vAlign w:val="center"/>
                </w:tcPr>
                <w:p w14:paraId="796076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sz w:val="21"/>
                      <w:szCs w:val="21"/>
                      <w:highlight w:val="yellow"/>
                    </w:rPr>
                  </w:pPr>
                  <w:r>
                    <w:rPr>
                      <w:rFonts w:hint="default" w:ascii="Times New Roman" w:hAnsi="Times New Roman" w:eastAsia="宋体" w:cs="Times New Roman"/>
                      <w:b w:val="0"/>
                      <w:bCs/>
                      <w:color w:val="auto"/>
                      <w:sz w:val="21"/>
                      <w:szCs w:val="21"/>
                      <w:highlight w:val="none"/>
                      <w:lang w:val="en-US" w:eastAsia="zh-CN"/>
                    </w:rPr>
                    <w:t>mg/L</w:t>
                  </w:r>
                </w:p>
              </w:tc>
              <w:tc>
                <w:tcPr>
                  <w:tcW w:w="3203" w:type="dxa"/>
                  <w:tcBorders>
                    <w:tl2br w:val="nil"/>
                    <w:tr2bl w:val="nil"/>
                  </w:tcBorders>
                  <w:noWrap w:val="0"/>
                  <w:vAlign w:val="center"/>
                </w:tcPr>
                <w:p w14:paraId="394B42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1.23</w:t>
                  </w:r>
                </w:p>
              </w:tc>
              <w:tc>
                <w:tcPr>
                  <w:tcW w:w="1592" w:type="dxa"/>
                  <w:tcBorders>
                    <w:tl2br w:val="nil"/>
                    <w:tr2bl w:val="nil"/>
                  </w:tcBorders>
                  <w:noWrap w:val="0"/>
                  <w:vAlign w:val="center"/>
                </w:tcPr>
                <w:p w14:paraId="0B9E892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930" w:type="dxa"/>
                  <w:tcBorders>
                    <w:tl2br w:val="nil"/>
                    <w:tr2bl w:val="nil"/>
                  </w:tcBorders>
                  <w:noWrap w:val="0"/>
                  <w:vAlign w:val="center"/>
                </w:tcPr>
                <w:p w14:paraId="13477D5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未</w:t>
                  </w:r>
                  <w:r>
                    <w:rPr>
                      <w:rFonts w:hint="default" w:ascii="Times New Roman" w:hAnsi="Times New Roman" w:eastAsia="宋体" w:cs="Times New Roman"/>
                      <w:color w:val="auto"/>
                      <w:sz w:val="21"/>
                      <w:szCs w:val="21"/>
                    </w:rPr>
                    <w:t>达标</w:t>
                  </w:r>
                </w:p>
              </w:tc>
            </w:tr>
            <w:tr w14:paraId="66FEC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479" w:type="dxa"/>
                  <w:tcBorders>
                    <w:tl2br w:val="nil"/>
                    <w:tr2bl w:val="nil"/>
                  </w:tcBorders>
                  <w:noWrap w:val="0"/>
                  <w:vAlign w:val="center"/>
                </w:tcPr>
                <w:p w14:paraId="6A3C79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color w:val="auto"/>
                      <w:sz w:val="21"/>
                      <w:szCs w:val="21"/>
                    </w:rPr>
                  </w:pPr>
                  <w:r>
                    <w:rPr>
                      <w:rFonts w:hint="eastAsia" w:ascii="宋体" w:hAnsi="宋体" w:eastAsia="宋体" w:cs="宋体"/>
                      <w:bCs/>
                      <w:color w:val="auto"/>
                      <w:sz w:val="21"/>
                      <w:szCs w:val="21"/>
                    </w:rPr>
                    <w:t>碘化物</w:t>
                  </w:r>
                </w:p>
              </w:tc>
              <w:tc>
                <w:tcPr>
                  <w:tcW w:w="854" w:type="dxa"/>
                  <w:tcBorders>
                    <w:tl2br w:val="nil"/>
                    <w:tr2bl w:val="nil"/>
                  </w:tcBorders>
                  <w:noWrap w:val="0"/>
                  <w:vAlign w:val="center"/>
                </w:tcPr>
                <w:p w14:paraId="6A5EE9A2">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highlight w:val="yellow"/>
                    </w:rPr>
                  </w:pPr>
                  <w:r>
                    <w:rPr>
                      <w:rFonts w:eastAsia="宋体" w:cs="Times New Roman"/>
                      <w:bCs/>
                      <w:color w:val="auto"/>
                      <w:sz w:val="21"/>
                      <w:szCs w:val="21"/>
                    </w:rPr>
                    <w:t>mg/L</w:t>
                  </w:r>
                </w:p>
              </w:tc>
              <w:tc>
                <w:tcPr>
                  <w:tcW w:w="3203" w:type="dxa"/>
                  <w:tcBorders>
                    <w:tl2br w:val="nil"/>
                    <w:tr2bl w:val="nil"/>
                  </w:tcBorders>
                  <w:noWrap w:val="0"/>
                  <w:vAlign w:val="center"/>
                </w:tcPr>
                <w:p w14:paraId="76367E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kern w:val="2"/>
                      <w:sz w:val="21"/>
                      <w:szCs w:val="21"/>
                      <w:highlight w:val="none"/>
                      <w:lang w:val="en-US" w:eastAsia="zh-CN" w:bidi="ar-SA"/>
                    </w:rPr>
                    <w:t>0.002L</w:t>
                  </w:r>
                </w:p>
              </w:tc>
              <w:tc>
                <w:tcPr>
                  <w:tcW w:w="1592" w:type="dxa"/>
                  <w:tcBorders>
                    <w:tl2br w:val="nil"/>
                    <w:tr2bl w:val="nil"/>
                  </w:tcBorders>
                  <w:noWrap w:val="0"/>
                  <w:vAlign w:val="center"/>
                </w:tcPr>
                <w:p w14:paraId="03EC4B3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0.08</w:t>
                  </w:r>
                </w:p>
              </w:tc>
              <w:tc>
                <w:tcPr>
                  <w:tcW w:w="930" w:type="dxa"/>
                  <w:tcBorders>
                    <w:tl2br w:val="nil"/>
                    <w:tr2bl w:val="nil"/>
                  </w:tcBorders>
                  <w:noWrap w:val="0"/>
                  <w:vAlign w:val="center"/>
                </w:tcPr>
                <w:p w14:paraId="7DC82F29">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11F70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479" w:type="dxa"/>
                  <w:tcBorders>
                    <w:tl2br w:val="nil"/>
                    <w:tr2bl w:val="nil"/>
                  </w:tcBorders>
                  <w:noWrap w:val="0"/>
                  <w:vAlign w:val="center"/>
                </w:tcPr>
                <w:p w14:paraId="6CE19085">
                  <w:pPr>
                    <w:keepNext w:val="0"/>
                    <w:keepLines w:val="0"/>
                    <w:pageBreakBefore w:val="0"/>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b w:val="0"/>
                      <w:bCs/>
                      <w:color w:val="auto"/>
                      <w:sz w:val="21"/>
                      <w:szCs w:val="21"/>
                    </w:rPr>
                  </w:pPr>
                  <w:r>
                    <w:rPr>
                      <w:rFonts w:hint="eastAsia" w:ascii="宋体" w:hAnsi="宋体" w:eastAsia="宋体" w:cs="宋体"/>
                      <w:bCs/>
                      <w:color w:val="auto"/>
                      <w:sz w:val="21"/>
                      <w:szCs w:val="21"/>
                    </w:rPr>
                    <w:t>阴离子表面活性剂</w:t>
                  </w:r>
                </w:p>
              </w:tc>
              <w:tc>
                <w:tcPr>
                  <w:tcW w:w="854" w:type="dxa"/>
                  <w:tcBorders>
                    <w:tl2br w:val="nil"/>
                    <w:tr2bl w:val="nil"/>
                  </w:tcBorders>
                  <w:noWrap w:val="0"/>
                  <w:vAlign w:val="center"/>
                </w:tcPr>
                <w:p w14:paraId="3B81DF9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highlight w:val="yellow"/>
                    </w:rPr>
                  </w:pPr>
                  <w:r>
                    <w:rPr>
                      <w:rFonts w:eastAsia="宋体" w:cs="Times New Roman"/>
                      <w:bCs/>
                      <w:color w:val="auto"/>
                      <w:sz w:val="21"/>
                      <w:szCs w:val="21"/>
                    </w:rPr>
                    <w:t>mg/L</w:t>
                  </w:r>
                </w:p>
              </w:tc>
              <w:tc>
                <w:tcPr>
                  <w:tcW w:w="3203" w:type="dxa"/>
                  <w:tcBorders>
                    <w:tl2br w:val="nil"/>
                    <w:tr2bl w:val="nil"/>
                  </w:tcBorders>
                  <w:noWrap w:val="0"/>
                  <w:vAlign w:val="center"/>
                </w:tcPr>
                <w:p w14:paraId="01D44A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0.07</w:t>
                  </w:r>
                </w:p>
              </w:tc>
              <w:tc>
                <w:tcPr>
                  <w:tcW w:w="1592" w:type="dxa"/>
                  <w:tcBorders>
                    <w:tl2br w:val="nil"/>
                    <w:tr2bl w:val="nil"/>
                  </w:tcBorders>
                  <w:noWrap w:val="0"/>
                  <w:vAlign w:val="center"/>
                </w:tcPr>
                <w:p w14:paraId="30E8F68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0.3</w:t>
                  </w:r>
                </w:p>
              </w:tc>
              <w:tc>
                <w:tcPr>
                  <w:tcW w:w="930" w:type="dxa"/>
                  <w:tcBorders>
                    <w:tl2br w:val="nil"/>
                    <w:tr2bl w:val="nil"/>
                  </w:tcBorders>
                  <w:noWrap w:val="0"/>
                  <w:vAlign w:val="center"/>
                </w:tcPr>
                <w:p w14:paraId="5E0785E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2E5F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479" w:type="dxa"/>
                  <w:tcBorders>
                    <w:tl2br w:val="nil"/>
                    <w:tr2bl w:val="nil"/>
                  </w:tcBorders>
                  <w:noWrap w:val="0"/>
                  <w:vAlign w:val="center"/>
                </w:tcPr>
                <w:p w14:paraId="10BEF4E5">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 w:val="0"/>
                      <w:bCs/>
                      <w:color w:val="auto"/>
                      <w:sz w:val="21"/>
                      <w:szCs w:val="21"/>
                    </w:rPr>
                  </w:pPr>
                  <w:r>
                    <w:rPr>
                      <w:rFonts w:hint="eastAsia" w:eastAsia="宋体" w:cs="Times New Roman"/>
                      <w:b w:val="0"/>
                      <w:bCs/>
                      <w:color w:val="auto"/>
                      <w:sz w:val="21"/>
                      <w:szCs w:val="21"/>
                      <w:highlight w:val="none"/>
                      <w:lang w:val="en-US" w:eastAsia="zh-CN"/>
                    </w:rPr>
                    <w:t>总大肠菌群</w:t>
                  </w:r>
                </w:p>
              </w:tc>
              <w:tc>
                <w:tcPr>
                  <w:tcW w:w="854" w:type="dxa"/>
                  <w:tcBorders>
                    <w:tl2br w:val="nil"/>
                    <w:tr2bl w:val="nil"/>
                  </w:tcBorders>
                  <w:noWrap w:val="0"/>
                  <w:vAlign w:val="center"/>
                </w:tcPr>
                <w:p w14:paraId="03A23AE9">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highlight w:val="yellow"/>
                    </w:rPr>
                  </w:pPr>
                  <w:r>
                    <w:rPr>
                      <w:rFonts w:hint="eastAsia" w:eastAsia="宋体" w:cs="Times New Roman"/>
                      <w:b w:val="0"/>
                      <w:bCs/>
                      <w:color w:val="auto"/>
                      <w:sz w:val="21"/>
                      <w:szCs w:val="21"/>
                      <w:highlight w:val="none"/>
                      <w:lang w:val="en-US" w:eastAsia="zh-CN"/>
                    </w:rPr>
                    <w:t>MPN/L</w:t>
                  </w:r>
                </w:p>
              </w:tc>
              <w:tc>
                <w:tcPr>
                  <w:tcW w:w="3203" w:type="dxa"/>
                  <w:tcBorders>
                    <w:tl2br w:val="nil"/>
                    <w:tr2bl w:val="nil"/>
                  </w:tcBorders>
                  <w:noWrap w:val="0"/>
                  <w:vAlign w:val="center"/>
                </w:tcPr>
                <w:p w14:paraId="1E9AB51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10L</w:t>
                  </w:r>
                </w:p>
              </w:tc>
              <w:tc>
                <w:tcPr>
                  <w:tcW w:w="1592" w:type="dxa"/>
                  <w:tcBorders>
                    <w:tl2br w:val="nil"/>
                    <w:tr2bl w:val="nil"/>
                  </w:tcBorders>
                  <w:noWrap w:val="0"/>
                  <w:vAlign w:val="center"/>
                </w:tcPr>
                <w:p w14:paraId="1847AD30">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30</w:t>
                  </w:r>
                </w:p>
              </w:tc>
              <w:tc>
                <w:tcPr>
                  <w:tcW w:w="930" w:type="dxa"/>
                  <w:tcBorders>
                    <w:tl2br w:val="nil"/>
                    <w:tr2bl w:val="nil"/>
                  </w:tcBorders>
                  <w:noWrap w:val="0"/>
                  <w:vAlign w:val="center"/>
                </w:tcPr>
                <w:p w14:paraId="0AF8DE31">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2D1F3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479" w:type="dxa"/>
                  <w:tcBorders>
                    <w:tl2br w:val="nil"/>
                    <w:tr2bl w:val="nil"/>
                  </w:tcBorders>
                  <w:noWrap w:val="0"/>
                  <w:vAlign w:val="center"/>
                </w:tcPr>
                <w:p w14:paraId="1B3F5609">
                  <w:pPr>
                    <w:pStyle w:val="16"/>
                    <w:keepNext w:val="0"/>
                    <w:keepLines w:val="0"/>
                    <w:pageBreakBefore w:val="0"/>
                    <w:kinsoku/>
                    <w:wordWrap/>
                    <w:overflowPunct/>
                    <w:topLinePunct w:val="0"/>
                    <w:autoSpaceDE/>
                    <w:autoSpaceDN/>
                    <w:bidi w:val="0"/>
                    <w:adjustRightInd/>
                    <w:snapToGrid/>
                    <w:spacing w:before="0" w:beforeLines="0" w:after="0" w:afterLines="0" w:line="240" w:lineRule="auto"/>
                    <w:rPr>
                      <w:rFonts w:hint="default" w:ascii="Times New Roman" w:hAnsi="Times New Roman" w:eastAsia="宋体" w:cs="Times New Roman"/>
                      <w:b w:val="0"/>
                      <w:bCs/>
                      <w:color w:val="auto"/>
                      <w:sz w:val="21"/>
                      <w:szCs w:val="21"/>
                    </w:rPr>
                  </w:pPr>
                  <w:r>
                    <w:rPr>
                      <w:rFonts w:hint="eastAsia" w:eastAsia="宋体" w:cs="Times New Roman"/>
                      <w:b w:val="0"/>
                      <w:bCs/>
                      <w:color w:val="auto"/>
                      <w:sz w:val="21"/>
                      <w:szCs w:val="21"/>
                      <w:highlight w:val="none"/>
                      <w:lang w:val="en-US" w:eastAsia="zh-CN"/>
                    </w:rPr>
                    <w:t>菌落总数</w:t>
                  </w:r>
                </w:p>
              </w:tc>
              <w:tc>
                <w:tcPr>
                  <w:tcW w:w="854" w:type="dxa"/>
                  <w:tcBorders>
                    <w:tl2br w:val="nil"/>
                    <w:tr2bl w:val="nil"/>
                  </w:tcBorders>
                  <w:noWrap w:val="0"/>
                  <w:vAlign w:val="center"/>
                </w:tcPr>
                <w:p w14:paraId="7DA53DC5">
                  <w:pPr>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highlight w:val="yellow"/>
                    </w:rPr>
                  </w:pPr>
                  <w:r>
                    <w:rPr>
                      <w:rFonts w:hint="eastAsia" w:eastAsia="宋体" w:cs="Times New Roman"/>
                      <w:b w:val="0"/>
                      <w:bCs/>
                      <w:color w:val="auto"/>
                      <w:sz w:val="21"/>
                      <w:szCs w:val="21"/>
                      <w:highlight w:val="none"/>
                      <w:lang w:val="en-US" w:eastAsia="zh-CN"/>
                    </w:rPr>
                    <w:t>CFU/mL</w:t>
                  </w:r>
                </w:p>
              </w:tc>
              <w:tc>
                <w:tcPr>
                  <w:tcW w:w="3203" w:type="dxa"/>
                  <w:tcBorders>
                    <w:tl2br w:val="nil"/>
                    <w:tr2bl w:val="nil"/>
                  </w:tcBorders>
                  <w:noWrap w:val="0"/>
                  <w:vAlign w:val="center"/>
                </w:tcPr>
                <w:p w14:paraId="4B0892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24</w:t>
                  </w:r>
                </w:p>
              </w:tc>
              <w:tc>
                <w:tcPr>
                  <w:tcW w:w="1592" w:type="dxa"/>
                  <w:tcBorders>
                    <w:tl2br w:val="nil"/>
                    <w:tr2bl w:val="nil"/>
                  </w:tcBorders>
                  <w:noWrap w:val="0"/>
                  <w:vAlign w:val="center"/>
                </w:tcPr>
                <w:p w14:paraId="528A313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100</w:t>
                  </w:r>
                </w:p>
              </w:tc>
              <w:tc>
                <w:tcPr>
                  <w:tcW w:w="930" w:type="dxa"/>
                  <w:tcBorders>
                    <w:tl2br w:val="nil"/>
                    <w:tr2bl w:val="nil"/>
                  </w:tcBorders>
                  <w:noWrap w:val="0"/>
                  <w:vAlign w:val="center"/>
                </w:tcPr>
                <w:p w14:paraId="6DFD6636">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13BCB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479" w:type="dxa"/>
                  <w:tcBorders>
                    <w:tl2br w:val="nil"/>
                    <w:tr2bl w:val="nil"/>
                  </w:tcBorders>
                  <w:noWrap w:val="0"/>
                  <w:vAlign w:val="center"/>
                </w:tcPr>
                <w:p w14:paraId="783E073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color w:val="auto"/>
                      <w:sz w:val="21"/>
                      <w:szCs w:val="21"/>
                    </w:rPr>
                  </w:pPr>
                  <w:r>
                    <w:rPr>
                      <w:rFonts w:hint="eastAsia" w:eastAsia="宋体" w:cs="Times New Roman"/>
                      <w:bCs/>
                      <w:color w:val="auto"/>
                      <w:sz w:val="21"/>
                      <w:szCs w:val="21"/>
                      <w:highlight w:val="none"/>
                      <w:lang w:val="en-US" w:eastAsia="zh-CN"/>
                    </w:rPr>
                    <w:t>石油类</w:t>
                  </w:r>
                </w:p>
              </w:tc>
              <w:tc>
                <w:tcPr>
                  <w:tcW w:w="854" w:type="dxa"/>
                  <w:tcBorders>
                    <w:tl2br w:val="nil"/>
                    <w:tr2bl w:val="nil"/>
                  </w:tcBorders>
                  <w:noWrap w:val="0"/>
                  <w:vAlign w:val="center"/>
                </w:tcPr>
                <w:p w14:paraId="07A7B07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highlight w:val="yellow"/>
                    </w:rPr>
                  </w:pPr>
                  <w:r>
                    <w:rPr>
                      <w:rFonts w:eastAsia="宋体" w:cs="Times New Roman"/>
                      <w:bCs/>
                      <w:color w:val="auto"/>
                      <w:sz w:val="21"/>
                      <w:szCs w:val="21"/>
                    </w:rPr>
                    <w:t>mg</w:t>
                  </w:r>
                  <w:r>
                    <w:rPr>
                      <w:rFonts w:hint="default" w:ascii="Times New Roman" w:hAnsi="Times New Roman" w:eastAsia="宋体" w:cs="Times New Roman"/>
                      <w:b w:val="0"/>
                      <w:bCs/>
                      <w:color w:val="auto"/>
                      <w:sz w:val="21"/>
                      <w:szCs w:val="21"/>
                      <w:highlight w:val="none"/>
                      <w:lang w:val="en-US" w:eastAsia="zh-CN"/>
                    </w:rPr>
                    <w:t>/L</w:t>
                  </w:r>
                </w:p>
              </w:tc>
              <w:tc>
                <w:tcPr>
                  <w:tcW w:w="3203" w:type="dxa"/>
                  <w:tcBorders>
                    <w:tl2br w:val="nil"/>
                    <w:tr2bl w:val="nil"/>
                  </w:tcBorders>
                  <w:noWrap w:val="0"/>
                  <w:vAlign w:val="center"/>
                </w:tcPr>
                <w:p w14:paraId="66F9115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0.01L</w:t>
                  </w:r>
                </w:p>
              </w:tc>
              <w:tc>
                <w:tcPr>
                  <w:tcW w:w="1592" w:type="dxa"/>
                  <w:tcBorders>
                    <w:tl2br w:val="nil"/>
                    <w:tr2bl w:val="nil"/>
                  </w:tcBorders>
                  <w:noWrap w:val="0"/>
                  <w:vAlign w:val="center"/>
                </w:tcPr>
                <w:p w14:paraId="2AB52B0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≤0.05</w:t>
                  </w:r>
                </w:p>
              </w:tc>
              <w:tc>
                <w:tcPr>
                  <w:tcW w:w="930" w:type="dxa"/>
                  <w:tcBorders>
                    <w:tl2br w:val="nil"/>
                    <w:tr2bl w:val="nil"/>
                  </w:tcBorders>
                  <w:noWrap w:val="0"/>
                  <w:vAlign w:val="center"/>
                </w:tcPr>
                <w:p w14:paraId="4B4011F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6BE0D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479" w:type="dxa"/>
                  <w:tcBorders>
                    <w:tl2br w:val="nil"/>
                    <w:tr2bl w:val="nil"/>
                  </w:tcBorders>
                  <w:noWrap w:val="0"/>
                  <w:vAlign w:val="center"/>
                </w:tcPr>
                <w:p w14:paraId="55F3C12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color w:val="auto"/>
                      <w:sz w:val="21"/>
                      <w:szCs w:val="21"/>
                    </w:rPr>
                  </w:pPr>
                  <w:r>
                    <w:rPr>
                      <w:rFonts w:hint="eastAsia" w:ascii="宋体" w:hAnsi="宋体" w:eastAsia="宋体" w:cs="宋体"/>
                      <w:bCs/>
                      <w:color w:val="auto"/>
                      <w:sz w:val="21"/>
                      <w:szCs w:val="21"/>
                    </w:rPr>
                    <w:t>三氯甲烷</w:t>
                  </w:r>
                </w:p>
              </w:tc>
              <w:tc>
                <w:tcPr>
                  <w:tcW w:w="854" w:type="dxa"/>
                  <w:tcBorders>
                    <w:tl2br w:val="nil"/>
                    <w:tr2bl w:val="nil"/>
                  </w:tcBorders>
                  <w:noWrap w:val="0"/>
                  <w:vAlign w:val="center"/>
                </w:tcPr>
                <w:p w14:paraId="44BF93B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highlight w:val="yellow"/>
                    </w:rPr>
                  </w:pPr>
                  <w:r>
                    <w:rPr>
                      <w:rFonts w:eastAsia="宋体" w:cs="Times New Roman"/>
                      <w:bCs/>
                      <w:color w:val="auto"/>
                      <w:sz w:val="21"/>
                      <w:szCs w:val="21"/>
                    </w:rPr>
                    <w:t>µg/L</w:t>
                  </w:r>
                </w:p>
              </w:tc>
              <w:tc>
                <w:tcPr>
                  <w:tcW w:w="3203" w:type="dxa"/>
                  <w:tcBorders>
                    <w:tl2br w:val="nil"/>
                    <w:tr2bl w:val="nil"/>
                  </w:tcBorders>
                  <w:noWrap w:val="0"/>
                  <w:vAlign w:val="center"/>
                </w:tcPr>
                <w:p w14:paraId="27009A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1.4L</w:t>
                  </w:r>
                </w:p>
              </w:tc>
              <w:tc>
                <w:tcPr>
                  <w:tcW w:w="1592" w:type="dxa"/>
                  <w:tcBorders>
                    <w:tl2br w:val="nil"/>
                    <w:tr2bl w:val="nil"/>
                  </w:tcBorders>
                  <w:noWrap w:val="0"/>
                  <w:vAlign w:val="center"/>
                </w:tcPr>
                <w:p w14:paraId="1F45FFF5">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60</w:t>
                  </w:r>
                </w:p>
              </w:tc>
              <w:tc>
                <w:tcPr>
                  <w:tcW w:w="930" w:type="dxa"/>
                  <w:tcBorders>
                    <w:tl2br w:val="nil"/>
                    <w:tr2bl w:val="nil"/>
                  </w:tcBorders>
                  <w:noWrap w:val="0"/>
                  <w:vAlign w:val="center"/>
                </w:tcPr>
                <w:p w14:paraId="2871305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017D7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1479" w:type="dxa"/>
                  <w:tcBorders>
                    <w:tl2br w:val="nil"/>
                    <w:tr2bl w:val="nil"/>
                  </w:tcBorders>
                  <w:noWrap w:val="0"/>
                  <w:vAlign w:val="center"/>
                </w:tcPr>
                <w:p w14:paraId="166EF5F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val="0"/>
                      <w:bCs/>
                      <w:color w:val="auto"/>
                      <w:sz w:val="21"/>
                      <w:szCs w:val="21"/>
                    </w:rPr>
                  </w:pPr>
                  <w:r>
                    <w:rPr>
                      <w:rFonts w:hint="eastAsia" w:ascii="宋体" w:hAnsi="宋体" w:eastAsia="宋体" w:cs="宋体"/>
                      <w:bCs/>
                      <w:color w:val="auto"/>
                      <w:sz w:val="21"/>
                      <w:szCs w:val="21"/>
                    </w:rPr>
                    <w:t>四氯化碳</w:t>
                  </w:r>
                </w:p>
              </w:tc>
              <w:tc>
                <w:tcPr>
                  <w:tcW w:w="854" w:type="dxa"/>
                  <w:tcBorders>
                    <w:tl2br w:val="nil"/>
                    <w:tr2bl w:val="nil"/>
                  </w:tcBorders>
                  <w:noWrap w:val="0"/>
                  <w:vAlign w:val="center"/>
                </w:tcPr>
                <w:p w14:paraId="0AAEB27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highlight w:val="yellow"/>
                    </w:rPr>
                  </w:pPr>
                  <w:r>
                    <w:rPr>
                      <w:rFonts w:eastAsia="宋体" w:cs="Times New Roman"/>
                      <w:bCs/>
                      <w:color w:val="auto"/>
                      <w:sz w:val="21"/>
                      <w:szCs w:val="21"/>
                    </w:rPr>
                    <w:t>µg/L</w:t>
                  </w:r>
                </w:p>
              </w:tc>
              <w:tc>
                <w:tcPr>
                  <w:tcW w:w="3203" w:type="dxa"/>
                  <w:tcBorders>
                    <w:tl2br w:val="nil"/>
                    <w:tr2bl w:val="nil"/>
                  </w:tcBorders>
                  <w:noWrap w:val="0"/>
                  <w:vAlign w:val="center"/>
                </w:tcPr>
                <w:p w14:paraId="0F6119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1.5L</w:t>
                  </w:r>
                </w:p>
              </w:tc>
              <w:tc>
                <w:tcPr>
                  <w:tcW w:w="1592" w:type="dxa"/>
                  <w:tcBorders>
                    <w:tl2br w:val="nil"/>
                    <w:tr2bl w:val="nil"/>
                  </w:tcBorders>
                  <w:noWrap w:val="0"/>
                  <w:vAlign w:val="center"/>
                </w:tcPr>
                <w:p w14:paraId="07BD1E0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2.0</w:t>
                  </w:r>
                </w:p>
              </w:tc>
              <w:tc>
                <w:tcPr>
                  <w:tcW w:w="930" w:type="dxa"/>
                  <w:tcBorders>
                    <w:tl2br w:val="nil"/>
                    <w:tr2bl w:val="nil"/>
                  </w:tcBorders>
                  <w:noWrap w:val="0"/>
                  <w:vAlign w:val="center"/>
                </w:tcPr>
                <w:p w14:paraId="7B1CFD67">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5F5C7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9" w:type="dxa"/>
                  <w:tcBorders>
                    <w:tl2br w:val="nil"/>
                    <w:tr2bl w:val="nil"/>
                  </w:tcBorders>
                  <w:noWrap w:val="0"/>
                  <w:vAlign w:val="center"/>
                </w:tcPr>
                <w:p w14:paraId="10BF0D7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苯</w:t>
                  </w:r>
                </w:p>
              </w:tc>
              <w:tc>
                <w:tcPr>
                  <w:tcW w:w="854" w:type="dxa"/>
                  <w:tcBorders>
                    <w:tl2br w:val="nil"/>
                    <w:tr2bl w:val="nil"/>
                  </w:tcBorders>
                  <w:noWrap w:val="0"/>
                  <w:vAlign w:val="center"/>
                </w:tcPr>
                <w:p w14:paraId="1B92C89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highlight w:val="yellow"/>
                    </w:rPr>
                  </w:pPr>
                  <w:r>
                    <w:rPr>
                      <w:rFonts w:eastAsia="宋体" w:cs="Times New Roman"/>
                      <w:bCs/>
                      <w:color w:val="auto"/>
                      <w:sz w:val="21"/>
                      <w:szCs w:val="21"/>
                    </w:rPr>
                    <w:t>µg/L</w:t>
                  </w:r>
                </w:p>
              </w:tc>
              <w:tc>
                <w:tcPr>
                  <w:tcW w:w="3203" w:type="dxa"/>
                  <w:tcBorders>
                    <w:tl2br w:val="nil"/>
                    <w:tr2bl w:val="nil"/>
                  </w:tcBorders>
                  <w:noWrap w:val="0"/>
                  <w:vAlign w:val="center"/>
                </w:tcPr>
                <w:p w14:paraId="651F7D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1.4L</w:t>
                  </w:r>
                </w:p>
              </w:tc>
              <w:tc>
                <w:tcPr>
                  <w:tcW w:w="1592" w:type="dxa"/>
                  <w:tcBorders>
                    <w:tl2br w:val="nil"/>
                    <w:tr2bl w:val="nil"/>
                  </w:tcBorders>
                  <w:noWrap w:val="0"/>
                  <w:vAlign w:val="center"/>
                </w:tcPr>
                <w:p w14:paraId="490FCDA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10.0</w:t>
                  </w:r>
                </w:p>
              </w:tc>
              <w:tc>
                <w:tcPr>
                  <w:tcW w:w="930" w:type="dxa"/>
                  <w:tcBorders>
                    <w:tl2br w:val="nil"/>
                    <w:tr2bl w:val="nil"/>
                  </w:tcBorders>
                  <w:noWrap w:val="0"/>
                  <w:vAlign w:val="center"/>
                </w:tcPr>
                <w:p w14:paraId="3B93E35C">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5E95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1479" w:type="dxa"/>
                  <w:tcBorders>
                    <w:tl2br w:val="nil"/>
                    <w:tr2bl w:val="nil"/>
                  </w:tcBorders>
                  <w:noWrap w:val="0"/>
                  <w:vAlign w:val="center"/>
                </w:tcPr>
                <w:p w14:paraId="6DA3058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bCs/>
                      <w:color w:val="auto"/>
                      <w:sz w:val="21"/>
                      <w:szCs w:val="21"/>
                    </w:rPr>
                  </w:pPr>
                  <w:r>
                    <w:rPr>
                      <w:rFonts w:hint="eastAsia" w:ascii="宋体" w:hAnsi="宋体" w:eastAsia="宋体" w:cs="宋体"/>
                      <w:bCs/>
                      <w:color w:val="auto"/>
                      <w:sz w:val="21"/>
                      <w:szCs w:val="21"/>
                    </w:rPr>
                    <w:t>甲苯</w:t>
                  </w:r>
                </w:p>
              </w:tc>
              <w:tc>
                <w:tcPr>
                  <w:tcW w:w="854" w:type="dxa"/>
                  <w:tcBorders>
                    <w:tl2br w:val="nil"/>
                    <w:tr2bl w:val="nil"/>
                  </w:tcBorders>
                  <w:noWrap w:val="0"/>
                  <w:vAlign w:val="center"/>
                </w:tcPr>
                <w:p w14:paraId="7DF2696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auto"/>
                      <w:sz w:val="21"/>
                      <w:szCs w:val="21"/>
                      <w:highlight w:val="yellow"/>
                    </w:rPr>
                  </w:pPr>
                  <w:r>
                    <w:rPr>
                      <w:rFonts w:eastAsia="宋体" w:cs="Times New Roman"/>
                      <w:bCs/>
                      <w:color w:val="auto"/>
                      <w:sz w:val="21"/>
                      <w:szCs w:val="21"/>
                    </w:rPr>
                    <w:t>µg/L</w:t>
                  </w:r>
                </w:p>
              </w:tc>
              <w:tc>
                <w:tcPr>
                  <w:tcW w:w="3203" w:type="dxa"/>
                  <w:tcBorders>
                    <w:tl2br w:val="nil"/>
                    <w:tr2bl w:val="nil"/>
                  </w:tcBorders>
                  <w:noWrap w:val="0"/>
                  <w:vAlign w:val="center"/>
                </w:tcPr>
                <w:p w14:paraId="23AE8A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1.4L</w:t>
                  </w:r>
                </w:p>
              </w:tc>
              <w:tc>
                <w:tcPr>
                  <w:tcW w:w="1592" w:type="dxa"/>
                  <w:tcBorders>
                    <w:tl2br w:val="nil"/>
                    <w:tr2bl w:val="nil"/>
                  </w:tcBorders>
                  <w:noWrap w:val="0"/>
                  <w:vAlign w:val="center"/>
                </w:tcPr>
                <w:p w14:paraId="21EDA01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700</w:t>
                  </w:r>
                </w:p>
              </w:tc>
              <w:tc>
                <w:tcPr>
                  <w:tcW w:w="930" w:type="dxa"/>
                  <w:tcBorders>
                    <w:tl2br w:val="nil"/>
                    <w:tr2bl w:val="nil"/>
                  </w:tcBorders>
                  <w:noWrap w:val="0"/>
                  <w:vAlign w:val="center"/>
                </w:tcPr>
                <w:p w14:paraId="5FFF405E">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92AB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7" w:hRule="atLeast"/>
                <w:jc w:val="center"/>
              </w:trPr>
              <w:tc>
                <w:tcPr>
                  <w:tcW w:w="8058" w:type="dxa"/>
                  <w:gridSpan w:val="5"/>
                  <w:tcBorders>
                    <w:tl2br w:val="nil"/>
                    <w:tr2bl w:val="nil"/>
                  </w:tcBorders>
                  <w:noWrap w:val="0"/>
                  <w:vAlign w:val="center"/>
                </w:tcPr>
                <w:p w14:paraId="0D051465">
                  <w:pPr>
                    <w:keepNext w:val="0"/>
                    <w:keepLines w:val="0"/>
                    <w:pageBreakBefore w:val="0"/>
                    <w:widowControl/>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石油类执行《地表水环境质量标准》（GB3838-2002）中Ⅲ类标准；其余因子执行《地下水质量标准》（GB/T14848—2017）Ⅲ类标准。</w:t>
                  </w:r>
                </w:p>
              </w:tc>
            </w:tr>
          </w:tbl>
          <w:p w14:paraId="019C1FC9">
            <w:pPr>
              <w:rPr>
                <w:rFonts w:hint="default"/>
                <w:color w:val="auto"/>
                <w:lang w:val="en-US" w:eastAsia="zh-CN"/>
              </w:rPr>
            </w:pPr>
          </w:p>
          <w:p w14:paraId="5AD5CEF1">
            <w:pPr>
              <w:pStyle w:val="5"/>
              <w:spacing w:line="360" w:lineRule="auto"/>
              <w:ind w:left="0" w:leftChars="0" w:firstLine="480" w:firstLineChars="200"/>
              <w:rPr>
                <w:rFonts w:hint="eastAsia" w:ascii="Times New Roman" w:hAnsi="Times New Roman" w:eastAsia="宋体" w:cs="Times New Roman"/>
                <w:b w:val="0"/>
                <w:bCs/>
                <w:color w:val="auto"/>
                <w:kern w:val="2"/>
                <w:sz w:val="24"/>
                <w:szCs w:val="24"/>
                <w:lang w:val="en-US" w:eastAsia="zh-CN" w:bidi="ar-SA"/>
              </w:rPr>
            </w:pPr>
            <w:r>
              <w:rPr>
                <w:rFonts w:hint="eastAsia" w:ascii="Times New Roman" w:hAnsi="Times New Roman" w:eastAsia="宋体" w:cs="Times New Roman"/>
                <w:b w:val="0"/>
                <w:bCs/>
                <w:color w:val="auto"/>
                <w:kern w:val="2"/>
                <w:sz w:val="24"/>
                <w:szCs w:val="24"/>
                <w:lang w:val="en-US" w:eastAsia="zh-CN" w:bidi="ar-SA"/>
              </w:rPr>
              <w:t>石油类符合</w:t>
            </w:r>
            <w:r>
              <w:rPr>
                <w:rFonts w:hint="default" w:ascii="Times New Roman" w:hAnsi="Times New Roman" w:eastAsia="宋体" w:cs="Times New Roman"/>
                <w:color w:val="auto"/>
                <w:sz w:val="24"/>
                <w:szCs w:val="24"/>
              </w:rPr>
              <w:t>《地表水环境质量标准》（GB3838-2002）中Ⅲ类标准</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b w:val="0"/>
                <w:bCs/>
                <w:color w:val="auto"/>
                <w:kern w:val="2"/>
                <w:sz w:val="24"/>
                <w:szCs w:val="24"/>
                <w:lang w:val="en-US" w:eastAsia="zh-CN" w:bidi="ar-SA"/>
              </w:rPr>
              <w:t>根据本项目所在地区相关水文地质资料分析，氟化物、氯化物超标主要与当地水文地质条件有关，钠离子超标是由于地下水的矿化度较高，其他因子均符合</w:t>
            </w:r>
            <w:r>
              <w:rPr>
                <w:rFonts w:hint="default" w:ascii="Times New Roman" w:hAnsi="Times New Roman" w:eastAsia="宋体" w:cs="Times New Roman"/>
                <w:color w:val="auto"/>
                <w:sz w:val="24"/>
                <w:szCs w:val="24"/>
              </w:rPr>
              <w:t>《地下水质量标准》（GB/T14848—2017）Ⅲ类标准</w:t>
            </w:r>
            <w:r>
              <w:rPr>
                <w:rFonts w:hint="eastAsia" w:ascii="Times New Roman" w:hAnsi="Times New Roman" w:eastAsia="宋体" w:cs="Times New Roman"/>
                <w:b w:val="0"/>
                <w:bCs/>
                <w:color w:val="auto"/>
                <w:kern w:val="2"/>
                <w:sz w:val="24"/>
                <w:szCs w:val="24"/>
                <w:lang w:val="en-US" w:eastAsia="zh-CN" w:bidi="ar-SA"/>
              </w:rPr>
              <w:t>。</w:t>
            </w:r>
          </w:p>
          <w:p w14:paraId="3E04D2CD">
            <w:pPr>
              <w:pStyle w:val="5"/>
              <w:spacing w:line="360" w:lineRule="auto"/>
              <w:ind w:left="0" w:leftChars="0" w:firstLine="0" w:firstLineChars="0"/>
              <w:rPr>
                <w:rFonts w:hint="default" w:ascii="Times New Roman" w:hAnsi="Times New Roman" w:eastAsia="宋体" w:cs="Times New Roman"/>
                <w:b/>
                <w:bCs w:val="0"/>
                <w:color w:val="auto"/>
                <w:kern w:val="2"/>
                <w:sz w:val="24"/>
                <w:szCs w:val="24"/>
                <w:lang w:val="en-US" w:eastAsia="zh-CN" w:bidi="ar-SA"/>
              </w:rPr>
            </w:pPr>
            <w:r>
              <w:rPr>
                <w:rFonts w:hint="eastAsia" w:ascii="Times New Roman" w:hAnsi="Times New Roman" w:eastAsia="宋体" w:cs="Times New Roman"/>
                <w:b/>
                <w:bCs w:val="0"/>
                <w:color w:val="auto"/>
                <w:kern w:val="2"/>
                <w:sz w:val="24"/>
                <w:szCs w:val="24"/>
                <w:lang w:val="en-US" w:eastAsia="zh-CN" w:bidi="ar-SA"/>
              </w:rPr>
              <w:t>4.土壤环境质量现状</w:t>
            </w:r>
          </w:p>
          <w:p w14:paraId="29F9BF88">
            <w:pPr>
              <w:pStyle w:val="2"/>
              <w:ind w:firstLine="480" w:firstLineChars="200"/>
              <w:rPr>
                <w:b/>
                <w:bCs/>
                <w:color w:val="auto"/>
              </w:rPr>
            </w:pPr>
            <w:r>
              <w:rPr>
                <w:bCs/>
                <w:color w:val="auto"/>
              </w:rPr>
              <w:t>依照《建设项目环境影响报告表编制技术指南（污染影响类）》（试行）“地下水、土壤环境原则上不开展环境质量现状调查。建设项目存在土壤、地下水污染途径的，应结合污染源、保护目标分布情况开展现状调查以留作背景值”。</w:t>
            </w:r>
            <w:r>
              <w:rPr>
                <w:rFonts w:hint="eastAsia"/>
                <w:bCs/>
                <w:color w:val="auto"/>
                <w:lang w:val="en-US" w:eastAsia="zh-CN"/>
              </w:rPr>
              <w:t>本项目</w:t>
            </w:r>
            <w:r>
              <w:rPr>
                <w:bCs/>
                <w:color w:val="auto"/>
              </w:rPr>
              <w:t>厂界外50m范围内无土壤环境保护目标。项目采取分区域防渗，危废暂存库为重点防渗区，按照重点防渗区要求进行防渗，渗透系数≤10</w:t>
            </w:r>
            <w:r>
              <w:rPr>
                <w:bCs/>
                <w:color w:val="auto"/>
                <w:vertAlign w:val="superscript"/>
              </w:rPr>
              <w:t>-10</w:t>
            </w:r>
            <w:r>
              <w:rPr>
                <w:bCs/>
                <w:color w:val="auto"/>
              </w:rPr>
              <w:t>cm/s</w:t>
            </w:r>
            <w:r>
              <w:rPr>
                <w:rFonts w:hint="eastAsia"/>
                <w:bCs/>
                <w:color w:val="auto"/>
                <w:lang w:eastAsia="zh-CN"/>
              </w:rPr>
              <w:t>；</w:t>
            </w:r>
            <w:r>
              <w:rPr>
                <w:bCs/>
                <w:color w:val="auto"/>
              </w:rPr>
              <w:t xml:space="preserve">沉淀池为一般防渗区，按照一般防渗区要求进行防渗，渗透系数≤10 </w:t>
            </w:r>
            <w:r>
              <w:rPr>
                <w:bCs/>
                <w:color w:val="auto"/>
                <w:vertAlign w:val="superscript"/>
              </w:rPr>
              <w:t>-7</w:t>
            </w:r>
            <w:r>
              <w:rPr>
                <w:bCs/>
                <w:color w:val="auto"/>
              </w:rPr>
              <w:t>cm/s。其他区域为简单防渗区，地面全部进行硬化处理。故本项目未开展土壤环境现状监测</w:t>
            </w:r>
            <w:r>
              <w:rPr>
                <w:rFonts w:hint="eastAsia"/>
                <w:bCs/>
                <w:color w:val="auto"/>
                <w:lang w:eastAsia="zh-CN"/>
              </w:rPr>
              <w:t>。</w:t>
            </w:r>
          </w:p>
        </w:tc>
      </w:tr>
      <w:tr w14:paraId="7BA38C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50" w:hRule="atLeast"/>
          <w:jc w:val="center"/>
        </w:trPr>
        <w:tc>
          <w:tcPr>
            <w:tcW w:w="800" w:type="dxa"/>
            <w:noWrap w:val="0"/>
            <w:vAlign w:val="center"/>
          </w:tcPr>
          <w:p w14:paraId="1D9EAD51">
            <w:pPr>
              <w:adjustRightInd w:val="0"/>
              <w:snapToGrid w:val="0"/>
              <w:jc w:val="center"/>
              <w:rPr>
                <w:kern w:val="0"/>
                <w:szCs w:val="21"/>
              </w:rPr>
            </w:pPr>
            <w:r>
              <w:rPr>
                <w:kern w:val="0"/>
                <w:szCs w:val="21"/>
              </w:rPr>
              <w:t>环境</w:t>
            </w:r>
          </w:p>
          <w:p w14:paraId="0FB9BCF2">
            <w:pPr>
              <w:adjustRightInd w:val="0"/>
              <w:snapToGrid w:val="0"/>
              <w:jc w:val="center"/>
              <w:rPr>
                <w:kern w:val="0"/>
                <w:szCs w:val="21"/>
              </w:rPr>
            </w:pPr>
            <w:r>
              <w:rPr>
                <w:kern w:val="0"/>
                <w:szCs w:val="21"/>
              </w:rPr>
              <w:t>保护</w:t>
            </w:r>
          </w:p>
          <w:p w14:paraId="48C4A086">
            <w:pPr>
              <w:adjustRightInd w:val="0"/>
              <w:snapToGrid w:val="0"/>
              <w:jc w:val="center"/>
              <w:rPr>
                <w:kern w:val="0"/>
                <w:szCs w:val="21"/>
              </w:rPr>
            </w:pPr>
            <w:r>
              <w:rPr>
                <w:kern w:val="0"/>
                <w:szCs w:val="21"/>
              </w:rPr>
              <w:t>目标</w:t>
            </w:r>
          </w:p>
        </w:tc>
        <w:tc>
          <w:tcPr>
            <w:tcW w:w="8190" w:type="dxa"/>
            <w:noWrap w:val="0"/>
            <w:vAlign w:val="center"/>
          </w:tcPr>
          <w:p w14:paraId="06BAC0B8">
            <w:pPr>
              <w:adjustRightInd w:val="0"/>
              <w:snapToGrid w:val="0"/>
              <w:spacing w:line="360" w:lineRule="auto"/>
              <w:ind w:firstLine="480" w:firstLineChars="200"/>
              <w:rPr>
                <w:bCs/>
                <w:color w:val="auto"/>
                <w:sz w:val="24"/>
              </w:rPr>
            </w:pPr>
            <w:r>
              <w:rPr>
                <w:bCs/>
                <w:color w:val="auto"/>
                <w:sz w:val="24"/>
              </w:rPr>
              <w:t>项目位于蒙西高新技术工业园区内，项目周边无自然保护区、风景名胜区、居住区、文物保护单位及水源地保护区，详情见下表3-3。</w:t>
            </w:r>
          </w:p>
          <w:p w14:paraId="588D3B28">
            <w:pPr>
              <w:spacing w:line="360" w:lineRule="auto"/>
              <w:ind w:firstLine="482" w:firstLineChars="200"/>
              <w:jc w:val="center"/>
              <w:rPr>
                <w:b/>
                <w:bCs/>
                <w:color w:val="auto"/>
                <w:kern w:val="0"/>
                <w:sz w:val="24"/>
                <w:szCs w:val="21"/>
              </w:rPr>
            </w:pPr>
            <w:r>
              <w:rPr>
                <w:b/>
                <w:bCs/>
                <w:color w:val="auto"/>
                <w:kern w:val="0"/>
                <w:sz w:val="24"/>
                <w:szCs w:val="21"/>
              </w:rPr>
              <w:t>表3-3  主要环境保护目标</w:t>
            </w:r>
          </w:p>
          <w:tbl>
            <w:tblPr>
              <w:tblStyle w:val="11"/>
              <w:tblW w:w="4998" w:type="pct"/>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14"/>
              <w:gridCol w:w="881"/>
              <w:gridCol w:w="1148"/>
              <w:gridCol w:w="1161"/>
              <w:gridCol w:w="510"/>
              <w:gridCol w:w="513"/>
              <w:gridCol w:w="3244"/>
            </w:tblGrid>
            <w:tr w14:paraId="4581DD9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21" w:hRule="atLeast"/>
                <w:tblHeader/>
                <w:jc w:val="center"/>
              </w:trPr>
              <w:tc>
                <w:tcPr>
                  <w:tcW w:w="322" w:type="pct"/>
                  <w:vMerge w:val="restart"/>
                  <w:noWrap w:val="0"/>
                  <w:vAlign w:val="center"/>
                </w:tcPr>
                <w:p w14:paraId="3B94BC87">
                  <w:pPr>
                    <w:ind w:left="-105" w:leftChars="-50" w:right="-105" w:rightChars="-50"/>
                    <w:jc w:val="center"/>
                    <w:rPr>
                      <w:color w:val="auto"/>
                      <w:szCs w:val="21"/>
                    </w:rPr>
                  </w:pPr>
                  <w:r>
                    <w:rPr>
                      <w:color w:val="auto"/>
                      <w:szCs w:val="21"/>
                    </w:rPr>
                    <w:t>环境要素</w:t>
                  </w:r>
                </w:p>
              </w:tc>
              <w:tc>
                <w:tcPr>
                  <w:tcW w:w="552" w:type="pct"/>
                  <w:vMerge w:val="restart"/>
                  <w:noWrap w:val="0"/>
                  <w:vAlign w:val="center"/>
                </w:tcPr>
                <w:p w14:paraId="2BEE1613">
                  <w:pPr>
                    <w:ind w:left="-105" w:leftChars="-50" w:right="-105" w:rightChars="-50"/>
                    <w:jc w:val="center"/>
                    <w:rPr>
                      <w:color w:val="auto"/>
                      <w:szCs w:val="21"/>
                    </w:rPr>
                  </w:pPr>
                  <w:r>
                    <w:rPr>
                      <w:color w:val="auto"/>
                      <w:szCs w:val="21"/>
                    </w:rPr>
                    <w:t>名称</w:t>
                  </w:r>
                </w:p>
              </w:tc>
              <w:tc>
                <w:tcPr>
                  <w:tcW w:w="1448" w:type="pct"/>
                  <w:gridSpan w:val="2"/>
                  <w:noWrap w:val="0"/>
                  <w:vAlign w:val="center"/>
                </w:tcPr>
                <w:p w14:paraId="146B7E51">
                  <w:pPr>
                    <w:ind w:left="-105" w:leftChars="-50" w:right="-105" w:rightChars="-50"/>
                    <w:jc w:val="center"/>
                    <w:rPr>
                      <w:color w:val="auto"/>
                      <w:szCs w:val="21"/>
                    </w:rPr>
                  </w:pPr>
                  <w:r>
                    <w:rPr>
                      <w:color w:val="auto"/>
                      <w:szCs w:val="21"/>
                    </w:rPr>
                    <w:t>坐标</w:t>
                  </w:r>
                </w:p>
              </w:tc>
              <w:tc>
                <w:tcPr>
                  <w:tcW w:w="320" w:type="pct"/>
                  <w:vMerge w:val="restart"/>
                  <w:noWrap w:val="0"/>
                  <w:vAlign w:val="center"/>
                </w:tcPr>
                <w:p w14:paraId="642C703C">
                  <w:pPr>
                    <w:ind w:left="-105" w:leftChars="-50" w:right="-105" w:rightChars="-50"/>
                    <w:jc w:val="center"/>
                    <w:rPr>
                      <w:color w:val="auto"/>
                      <w:szCs w:val="21"/>
                    </w:rPr>
                  </w:pPr>
                  <w:r>
                    <w:rPr>
                      <w:color w:val="auto"/>
                      <w:szCs w:val="21"/>
                    </w:rPr>
                    <w:t>保护对象</w:t>
                  </w:r>
                </w:p>
              </w:tc>
              <w:tc>
                <w:tcPr>
                  <w:tcW w:w="321" w:type="pct"/>
                  <w:vMerge w:val="restart"/>
                  <w:noWrap w:val="0"/>
                  <w:vAlign w:val="center"/>
                </w:tcPr>
                <w:p w14:paraId="2B8D004C">
                  <w:pPr>
                    <w:ind w:left="-105" w:leftChars="-50" w:right="-105" w:rightChars="-50"/>
                    <w:jc w:val="center"/>
                    <w:rPr>
                      <w:color w:val="auto"/>
                      <w:szCs w:val="21"/>
                    </w:rPr>
                  </w:pPr>
                  <w:r>
                    <w:rPr>
                      <w:color w:val="auto"/>
                      <w:szCs w:val="21"/>
                    </w:rPr>
                    <w:t>保护内容</w:t>
                  </w:r>
                </w:p>
              </w:tc>
              <w:tc>
                <w:tcPr>
                  <w:tcW w:w="2034" w:type="pct"/>
                  <w:vMerge w:val="restart"/>
                  <w:noWrap w:val="0"/>
                  <w:vAlign w:val="center"/>
                </w:tcPr>
                <w:p w14:paraId="1FCF0D0A">
                  <w:pPr>
                    <w:ind w:left="-105" w:leftChars="-50" w:right="-105" w:rightChars="-50"/>
                    <w:jc w:val="center"/>
                    <w:rPr>
                      <w:color w:val="auto"/>
                      <w:szCs w:val="21"/>
                    </w:rPr>
                  </w:pPr>
                  <w:r>
                    <w:rPr>
                      <w:color w:val="auto"/>
                      <w:szCs w:val="21"/>
                    </w:rPr>
                    <w:t>环境功能区</w:t>
                  </w:r>
                </w:p>
              </w:tc>
            </w:tr>
            <w:tr w14:paraId="50AA8E8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21" w:hRule="atLeast"/>
                <w:tblHeader/>
                <w:jc w:val="center"/>
              </w:trPr>
              <w:tc>
                <w:tcPr>
                  <w:tcW w:w="322" w:type="pct"/>
                  <w:vMerge w:val="continue"/>
                  <w:noWrap w:val="0"/>
                  <w:vAlign w:val="center"/>
                </w:tcPr>
                <w:p w14:paraId="7C057DF9">
                  <w:pPr>
                    <w:ind w:left="-105" w:leftChars="-50" w:right="-105" w:rightChars="-50"/>
                    <w:jc w:val="center"/>
                    <w:rPr>
                      <w:color w:val="auto"/>
                      <w:szCs w:val="21"/>
                    </w:rPr>
                  </w:pPr>
                </w:p>
              </w:tc>
              <w:tc>
                <w:tcPr>
                  <w:tcW w:w="552" w:type="pct"/>
                  <w:vMerge w:val="continue"/>
                  <w:noWrap w:val="0"/>
                  <w:vAlign w:val="center"/>
                </w:tcPr>
                <w:p w14:paraId="625CE379">
                  <w:pPr>
                    <w:ind w:left="-105" w:leftChars="-50" w:right="-105" w:rightChars="-50"/>
                    <w:jc w:val="center"/>
                    <w:rPr>
                      <w:color w:val="auto"/>
                      <w:szCs w:val="21"/>
                    </w:rPr>
                  </w:pPr>
                </w:p>
              </w:tc>
              <w:tc>
                <w:tcPr>
                  <w:tcW w:w="720" w:type="pct"/>
                  <w:noWrap w:val="0"/>
                  <w:vAlign w:val="center"/>
                </w:tcPr>
                <w:p w14:paraId="16FD3F6E">
                  <w:pPr>
                    <w:ind w:left="-105" w:leftChars="-50" w:right="-105" w:rightChars="-50"/>
                    <w:jc w:val="center"/>
                    <w:rPr>
                      <w:color w:val="auto"/>
                      <w:szCs w:val="21"/>
                    </w:rPr>
                  </w:pPr>
                  <w:r>
                    <w:rPr>
                      <w:color w:val="auto"/>
                      <w:szCs w:val="21"/>
                    </w:rPr>
                    <w:t>X</w:t>
                  </w:r>
                </w:p>
              </w:tc>
              <w:tc>
                <w:tcPr>
                  <w:tcW w:w="728" w:type="pct"/>
                  <w:noWrap w:val="0"/>
                  <w:vAlign w:val="center"/>
                </w:tcPr>
                <w:p w14:paraId="65368E01">
                  <w:pPr>
                    <w:ind w:left="-105" w:leftChars="-50" w:right="-105" w:rightChars="-50"/>
                    <w:jc w:val="center"/>
                    <w:rPr>
                      <w:color w:val="auto"/>
                      <w:szCs w:val="21"/>
                    </w:rPr>
                  </w:pPr>
                  <w:r>
                    <w:rPr>
                      <w:color w:val="auto"/>
                      <w:szCs w:val="21"/>
                    </w:rPr>
                    <w:t>Y</w:t>
                  </w:r>
                </w:p>
              </w:tc>
              <w:tc>
                <w:tcPr>
                  <w:tcW w:w="320" w:type="pct"/>
                  <w:vMerge w:val="continue"/>
                  <w:noWrap w:val="0"/>
                  <w:vAlign w:val="center"/>
                </w:tcPr>
                <w:p w14:paraId="44D8F46A">
                  <w:pPr>
                    <w:ind w:left="-105" w:leftChars="-50" w:right="-105" w:rightChars="-50"/>
                    <w:jc w:val="center"/>
                    <w:rPr>
                      <w:color w:val="auto"/>
                      <w:szCs w:val="21"/>
                    </w:rPr>
                  </w:pPr>
                </w:p>
              </w:tc>
              <w:tc>
                <w:tcPr>
                  <w:tcW w:w="321" w:type="pct"/>
                  <w:vMerge w:val="continue"/>
                  <w:noWrap w:val="0"/>
                  <w:vAlign w:val="center"/>
                </w:tcPr>
                <w:p w14:paraId="2F565191">
                  <w:pPr>
                    <w:ind w:left="-105" w:leftChars="-50" w:right="-105" w:rightChars="-50"/>
                    <w:jc w:val="center"/>
                    <w:rPr>
                      <w:color w:val="auto"/>
                      <w:szCs w:val="21"/>
                    </w:rPr>
                  </w:pPr>
                </w:p>
              </w:tc>
              <w:tc>
                <w:tcPr>
                  <w:tcW w:w="2034" w:type="pct"/>
                  <w:vMerge w:val="continue"/>
                  <w:noWrap w:val="0"/>
                  <w:vAlign w:val="center"/>
                </w:tcPr>
                <w:p w14:paraId="3BF2A1CC">
                  <w:pPr>
                    <w:ind w:left="-105" w:leftChars="-50" w:right="-105" w:rightChars="-50"/>
                    <w:jc w:val="center"/>
                    <w:rPr>
                      <w:color w:val="auto"/>
                      <w:szCs w:val="21"/>
                    </w:rPr>
                  </w:pPr>
                </w:p>
              </w:tc>
            </w:tr>
            <w:tr w14:paraId="6CDD0D1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00" w:hRule="atLeast"/>
                <w:jc w:val="center"/>
              </w:trPr>
              <w:tc>
                <w:tcPr>
                  <w:tcW w:w="322" w:type="pct"/>
                  <w:noWrap w:val="0"/>
                  <w:vAlign w:val="center"/>
                </w:tcPr>
                <w:p w14:paraId="4A6B1578">
                  <w:pPr>
                    <w:ind w:left="-105" w:leftChars="-50" w:right="-105" w:rightChars="-50"/>
                    <w:jc w:val="center"/>
                    <w:rPr>
                      <w:color w:val="auto"/>
                      <w:szCs w:val="21"/>
                    </w:rPr>
                  </w:pPr>
                  <w:r>
                    <w:rPr>
                      <w:color w:val="auto"/>
                      <w:szCs w:val="21"/>
                    </w:rPr>
                    <w:t>环境</w:t>
                  </w:r>
                </w:p>
                <w:p w14:paraId="6D787C4A">
                  <w:pPr>
                    <w:ind w:left="-105" w:leftChars="-50" w:right="-105" w:rightChars="-50"/>
                    <w:jc w:val="center"/>
                    <w:rPr>
                      <w:color w:val="auto"/>
                      <w:szCs w:val="21"/>
                    </w:rPr>
                  </w:pPr>
                  <w:r>
                    <w:rPr>
                      <w:color w:val="auto"/>
                      <w:szCs w:val="21"/>
                    </w:rPr>
                    <w:t>空气</w:t>
                  </w:r>
                </w:p>
              </w:tc>
              <w:tc>
                <w:tcPr>
                  <w:tcW w:w="2642" w:type="pct"/>
                  <w:gridSpan w:val="5"/>
                  <w:noWrap w:val="0"/>
                  <w:vAlign w:val="center"/>
                </w:tcPr>
                <w:p w14:paraId="6890EEAA">
                  <w:pPr>
                    <w:ind w:left="-105" w:leftChars="-50" w:right="-105" w:rightChars="-50"/>
                    <w:jc w:val="center"/>
                    <w:rPr>
                      <w:color w:val="auto"/>
                      <w:szCs w:val="21"/>
                    </w:rPr>
                  </w:pPr>
                  <w:r>
                    <w:rPr>
                      <w:color w:val="auto"/>
                      <w:szCs w:val="21"/>
                    </w:rPr>
                    <w:t>场界外500m范围内无大气环境敏感目标</w:t>
                  </w:r>
                </w:p>
              </w:tc>
              <w:tc>
                <w:tcPr>
                  <w:tcW w:w="2034" w:type="pct"/>
                  <w:noWrap w:val="0"/>
                  <w:vAlign w:val="center"/>
                </w:tcPr>
                <w:p w14:paraId="4E44B36A">
                  <w:pPr>
                    <w:ind w:left="-105" w:leftChars="-50" w:right="-105" w:rightChars="-50"/>
                    <w:jc w:val="center"/>
                    <w:rPr>
                      <w:color w:val="auto"/>
                      <w:szCs w:val="21"/>
                    </w:rPr>
                  </w:pPr>
                  <w:r>
                    <w:rPr>
                      <w:color w:val="auto"/>
                      <w:szCs w:val="21"/>
                    </w:rPr>
                    <w:t>《环境空气质量标准》（GB3095-2012）二级标准</w:t>
                  </w:r>
                </w:p>
              </w:tc>
            </w:tr>
            <w:tr w14:paraId="4EE615B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00" w:hRule="atLeast"/>
                <w:jc w:val="center"/>
              </w:trPr>
              <w:tc>
                <w:tcPr>
                  <w:tcW w:w="322" w:type="pct"/>
                  <w:noWrap w:val="0"/>
                  <w:vAlign w:val="center"/>
                </w:tcPr>
                <w:p w14:paraId="0D2A9441">
                  <w:pPr>
                    <w:ind w:left="-105" w:leftChars="-50" w:right="-105" w:rightChars="-50"/>
                    <w:jc w:val="center"/>
                    <w:rPr>
                      <w:color w:val="auto"/>
                      <w:szCs w:val="21"/>
                    </w:rPr>
                  </w:pPr>
                  <w:r>
                    <w:rPr>
                      <w:color w:val="auto"/>
                      <w:szCs w:val="21"/>
                    </w:rPr>
                    <w:t>声环境</w:t>
                  </w:r>
                </w:p>
              </w:tc>
              <w:tc>
                <w:tcPr>
                  <w:tcW w:w="2642" w:type="pct"/>
                  <w:gridSpan w:val="5"/>
                  <w:noWrap w:val="0"/>
                  <w:vAlign w:val="center"/>
                </w:tcPr>
                <w:p w14:paraId="5F1DA32C">
                  <w:pPr>
                    <w:ind w:left="-105" w:leftChars="-50" w:right="-105" w:rightChars="-50"/>
                    <w:jc w:val="center"/>
                    <w:rPr>
                      <w:color w:val="auto"/>
                      <w:szCs w:val="21"/>
                    </w:rPr>
                  </w:pPr>
                  <w:r>
                    <w:rPr>
                      <w:rStyle w:val="15"/>
                      <w:color w:val="auto"/>
                      <w:szCs w:val="21"/>
                    </w:rPr>
                    <w:t>场界外50m范围内无声环境敏感目标</w:t>
                  </w:r>
                </w:p>
              </w:tc>
              <w:tc>
                <w:tcPr>
                  <w:tcW w:w="2034" w:type="pct"/>
                  <w:noWrap w:val="0"/>
                  <w:vAlign w:val="center"/>
                </w:tcPr>
                <w:p w14:paraId="3D8DA5D0">
                  <w:pPr>
                    <w:ind w:left="-105" w:leftChars="-50" w:right="-105" w:rightChars="-50"/>
                    <w:jc w:val="center"/>
                    <w:rPr>
                      <w:color w:val="auto"/>
                      <w:szCs w:val="21"/>
                    </w:rPr>
                  </w:pPr>
                  <w:r>
                    <w:rPr>
                      <w:color w:val="auto"/>
                      <w:szCs w:val="21"/>
                    </w:rPr>
                    <w:t>《声环境质量标准》（GB3096-2008）</w:t>
                  </w:r>
                </w:p>
                <w:p w14:paraId="3CBC8BFA">
                  <w:pPr>
                    <w:ind w:left="-105" w:leftChars="-50" w:right="-105" w:rightChars="-50"/>
                    <w:jc w:val="center"/>
                    <w:rPr>
                      <w:color w:val="auto"/>
                      <w:szCs w:val="21"/>
                    </w:rPr>
                  </w:pPr>
                  <w:r>
                    <w:rPr>
                      <w:color w:val="auto"/>
                      <w:szCs w:val="21"/>
                    </w:rPr>
                    <w:t>2类标准</w:t>
                  </w:r>
                </w:p>
              </w:tc>
            </w:tr>
            <w:tr w14:paraId="0438097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00" w:hRule="atLeast"/>
                <w:jc w:val="center"/>
              </w:trPr>
              <w:tc>
                <w:tcPr>
                  <w:tcW w:w="322" w:type="pct"/>
                  <w:noWrap w:val="0"/>
                  <w:vAlign w:val="center"/>
                </w:tcPr>
                <w:p w14:paraId="414A3298">
                  <w:pPr>
                    <w:ind w:left="-105" w:leftChars="-50" w:right="-105" w:rightChars="-50"/>
                    <w:jc w:val="center"/>
                    <w:rPr>
                      <w:color w:val="auto"/>
                      <w:szCs w:val="21"/>
                    </w:rPr>
                  </w:pPr>
                  <w:r>
                    <w:rPr>
                      <w:color w:val="auto"/>
                      <w:szCs w:val="21"/>
                    </w:rPr>
                    <w:t>地下水环境</w:t>
                  </w:r>
                </w:p>
              </w:tc>
              <w:tc>
                <w:tcPr>
                  <w:tcW w:w="2642" w:type="pct"/>
                  <w:gridSpan w:val="5"/>
                  <w:noWrap w:val="0"/>
                  <w:vAlign w:val="center"/>
                </w:tcPr>
                <w:p w14:paraId="2BE22690">
                  <w:pPr>
                    <w:jc w:val="center"/>
                    <w:rPr>
                      <w:color w:val="auto"/>
                      <w:szCs w:val="21"/>
                    </w:rPr>
                  </w:pPr>
                  <w:r>
                    <w:rPr>
                      <w:color w:val="auto"/>
                      <w:szCs w:val="21"/>
                    </w:rPr>
                    <w:t>场界外 500 米范围内无地下水集中式饮用水水源和热水、矿泉水、温泉等特殊地下水资源</w:t>
                  </w:r>
                </w:p>
              </w:tc>
              <w:tc>
                <w:tcPr>
                  <w:tcW w:w="2034" w:type="pct"/>
                  <w:noWrap w:val="0"/>
                  <w:vAlign w:val="center"/>
                </w:tcPr>
                <w:p w14:paraId="7E8BF690">
                  <w:pPr>
                    <w:ind w:left="-105" w:leftChars="-50" w:right="-105" w:rightChars="-50"/>
                    <w:jc w:val="center"/>
                    <w:rPr>
                      <w:color w:val="auto"/>
                      <w:szCs w:val="21"/>
                    </w:rPr>
                  </w:pPr>
                  <w:r>
                    <w:rPr>
                      <w:color w:val="auto"/>
                      <w:szCs w:val="21"/>
                    </w:rPr>
                    <w:t>《地下水质量标准》（GB/T14848-2017）中Ⅲ类标准</w:t>
                  </w:r>
                </w:p>
              </w:tc>
            </w:tr>
            <w:tr w14:paraId="15B16BF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300" w:hRule="atLeast"/>
                <w:jc w:val="center"/>
              </w:trPr>
              <w:tc>
                <w:tcPr>
                  <w:tcW w:w="322" w:type="pct"/>
                  <w:noWrap w:val="0"/>
                  <w:vAlign w:val="center"/>
                </w:tcPr>
                <w:p w14:paraId="19E079AC">
                  <w:pPr>
                    <w:ind w:left="-105" w:leftChars="-50" w:right="-105" w:rightChars="-50"/>
                    <w:jc w:val="center"/>
                    <w:rPr>
                      <w:color w:val="auto"/>
                      <w:szCs w:val="21"/>
                    </w:rPr>
                  </w:pPr>
                  <w:r>
                    <w:rPr>
                      <w:color w:val="auto"/>
                      <w:szCs w:val="21"/>
                    </w:rPr>
                    <w:t>土壤环境</w:t>
                  </w:r>
                </w:p>
              </w:tc>
              <w:tc>
                <w:tcPr>
                  <w:tcW w:w="2642" w:type="pct"/>
                  <w:gridSpan w:val="5"/>
                  <w:noWrap w:val="0"/>
                  <w:vAlign w:val="center"/>
                </w:tcPr>
                <w:p w14:paraId="38F8E93F">
                  <w:pPr>
                    <w:jc w:val="center"/>
                    <w:rPr>
                      <w:color w:val="auto"/>
                      <w:szCs w:val="21"/>
                    </w:rPr>
                  </w:pPr>
                  <w:r>
                    <w:rPr>
                      <w:rStyle w:val="15"/>
                      <w:color w:val="auto"/>
                      <w:szCs w:val="21"/>
                    </w:rPr>
                    <w:t>界外50m范围内无土壤环境敏感目标</w:t>
                  </w:r>
                </w:p>
              </w:tc>
              <w:tc>
                <w:tcPr>
                  <w:tcW w:w="2034" w:type="pct"/>
                  <w:noWrap w:val="0"/>
                  <w:vAlign w:val="center"/>
                </w:tcPr>
                <w:p w14:paraId="49E29381">
                  <w:pPr>
                    <w:ind w:left="-105" w:leftChars="-50" w:right="-105" w:rightChars="-50"/>
                    <w:jc w:val="center"/>
                    <w:rPr>
                      <w:color w:val="auto"/>
                      <w:szCs w:val="21"/>
                    </w:rPr>
                  </w:pPr>
                  <w:r>
                    <w:rPr>
                      <w:color w:val="auto"/>
                      <w:szCs w:val="21"/>
                    </w:rPr>
                    <w:t>《土壤环境质量 建设用地土壤污染风险管控标准（试行）》（GB36600-2018）表1中的第二类用地的筛选值</w:t>
                  </w:r>
                </w:p>
              </w:tc>
            </w:tr>
          </w:tbl>
          <w:p w14:paraId="7B2C8D36">
            <w:pPr>
              <w:pStyle w:val="5"/>
              <w:ind w:left="0" w:leftChars="0" w:firstLine="0" w:firstLineChars="0"/>
              <w:rPr>
                <w:bCs/>
                <w:color w:val="auto"/>
                <w:kern w:val="2"/>
                <w:szCs w:val="24"/>
                <w:lang w:val="en-US" w:eastAsia="zh-CN"/>
              </w:rPr>
            </w:pPr>
          </w:p>
        </w:tc>
      </w:tr>
      <w:tr w14:paraId="35B5B5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0" w:type="dxa"/>
            <w:noWrap w:val="0"/>
            <w:tcMar>
              <w:left w:w="28" w:type="dxa"/>
              <w:right w:w="28" w:type="dxa"/>
            </w:tcMar>
            <w:vAlign w:val="center"/>
          </w:tcPr>
          <w:p w14:paraId="2B7C257C">
            <w:pPr>
              <w:adjustRightInd w:val="0"/>
              <w:snapToGrid w:val="0"/>
              <w:jc w:val="center"/>
              <w:rPr>
                <w:kern w:val="0"/>
                <w:szCs w:val="21"/>
              </w:rPr>
            </w:pPr>
            <w:r>
              <w:rPr>
                <w:kern w:val="0"/>
                <w:szCs w:val="21"/>
              </w:rPr>
              <w:t>污染</w:t>
            </w:r>
          </w:p>
          <w:p w14:paraId="18E197E9">
            <w:pPr>
              <w:adjustRightInd w:val="0"/>
              <w:snapToGrid w:val="0"/>
              <w:jc w:val="center"/>
              <w:rPr>
                <w:kern w:val="0"/>
                <w:szCs w:val="21"/>
              </w:rPr>
            </w:pPr>
            <w:r>
              <w:rPr>
                <w:kern w:val="0"/>
                <w:szCs w:val="21"/>
              </w:rPr>
              <w:t>物排</w:t>
            </w:r>
          </w:p>
          <w:p w14:paraId="6204DA5D">
            <w:pPr>
              <w:adjustRightInd w:val="0"/>
              <w:snapToGrid w:val="0"/>
              <w:jc w:val="center"/>
              <w:rPr>
                <w:kern w:val="0"/>
                <w:szCs w:val="21"/>
              </w:rPr>
            </w:pPr>
            <w:r>
              <w:rPr>
                <w:kern w:val="0"/>
                <w:szCs w:val="21"/>
              </w:rPr>
              <w:t>放控</w:t>
            </w:r>
          </w:p>
          <w:p w14:paraId="074AA446">
            <w:pPr>
              <w:adjustRightInd w:val="0"/>
              <w:snapToGrid w:val="0"/>
              <w:jc w:val="center"/>
              <w:rPr>
                <w:kern w:val="0"/>
                <w:szCs w:val="21"/>
              </w:rPr>
            </w:pPr>
            <w:r>
              <w:rPr>
                <w:kern w:val="0"/>
                <w:szCs w:val="21"/>
              </w:rPr>
              <w:t>制标</w:t>
            </w:r>
          </w:p>
          <w:p w14:paraId="5E6268F8">
            <w:pPr>
              <w:adjustRightInd w:val="0"/>
              <w:snapToGrid w:val="0"/>
              <w:jc w:val="center"/>
              <w:rPr>
                <w:kern w:val="0"/>
                <w:szCs w:val="21"/>
              </w:rPr>
            </w:pPr>
            <w:r>
              <w:rPr>
                <w:kern w:val="0"/>
                <w:szCs w:val="21"/>
              </w:rPr>
              <w:t>准</w:t>
            </w:r>
          </w:p>
        </w:tc>
        <w:tc>
          <w:tcPr>
            <w:tcW w:w="8190" w:type="dxa"/>
            <w:noWrap w:val="0"/>
            <w:vAlign w:val="center"/>
          </w:tcPr>
          <w:p w14:paraId="635B0A88">
            <w:pPr>
              <w:adjustRightInd w:val="0"/>
              <w:snapToGrid w:val="0"/>
              <w:spacing w:line="360" w:lineRule="auto"/>
              <w:rPr>
                <w:b/>
                <w:sz w:val="24"/>
              </w:rPr>
            </w:pPr>
            <w:r>
              <w:rPr>
                <w:b/>
                <w:sz w:val="24"/>
              </w:rPr>
              <w:t>1.废气</w:t>
            </w:r>
          </w:p>
          <w:p w14:paraId="602EDD91">
            <w:pPr>
              <w:adjustRightInd w:val="0"/>
              <w:snapToGrid w:val="0"/>
              <w:spacing w:line="360" w:lineRule="auto"/>
              <w:ind w:firstLine="480" w:firstLineChars="200"/>
              <w:rPr>
                <w:bCs/>
                <w:color w:val="auto"/>
                <w:sz w:val="24"/>
              </w:rPr>
            </w:pPr>
            <w:r>
              <w:rPr>
                <w:bCs/>
                <w:sz w:val="24"/>
              </w:rPr>
              <w:t>施工期颗粒物执行《大气污染物综合排放标准》（GB16297-1996）表2中无组织排放监控浓度限值；水泥筒仓有组织粉尘（颗粒物）运营期执行《水泥工业大气污染物排放标准》（GB4915-2013）表2中大气污染物特别排放限值，粉煤灰筒仓及机制砂破碎机产生的有组织粉尘（颗粒物）运营期执行《大气污染物综合排放标准》（GB16297-1996）表2中排放浓度限</w:t>
            </w:r>
            <w:r>
              <w:rPr>
                <w:bCs/>
                <w:color w:val="auto"/>
                <w:sz w:val="24"/>
              </w:rPr>
              <w:t>值；厂界无组织粉尘运营期执行《大气污染物综合排放标准》（GB16297-1996）表2中</w:t>
            </w:r>
            <w:r>
              <w:rPr>
                <w:rFonts w:hint="eastAsia"/>
                <w:bCs/>
                <w:color w:val="auto"/>
                <w:sz w:val="24"/>
                <w:lang w:val="en-US" w:eastAsia="zh-CN"/>
              </w:rPr>
              <w:t>无组织</w:t>
            </w:r>
            <w:r>
              <w:rPr>
                <w:bCs/>
                <w:color w:val="auto"/>
                <w:sz w:val="24"/>
              </w:rPr>
              <w:t>排放浓度限值，具体标准见表3-4、表3-5、表3-6。</w:t>
            </w:r>
          </w:p>
          <w:p w14:paraId="1E1B3D66">
            <w:pPr>
              <w:spacing w:before="120" w:beforeLines="50" w:line="360" w:lineRule="auto"/>
              <w:jc w:val="center"/>
              <w:rPr>
                <w:b/>
                <w:bCs/>
                <w:kern w:val="0"/>
                <w:sz w:val="24"/>
              </w:rPr>
            </w:pPr>
            <w:r>
              <w:rPr>
                <w:b/>
                <w:bCs/>
                <w:sz w:val="24"/>
              </w:rPr>
              <w:t>表3-4  施工期大气污染物排放标准</w:t>
            </w:r>
          </w:p>
          <w:tbl>
            <w:tblPr>
              <w:tblStyle w:val="11"/>
              <w:tblW w:w="4998" w:type="pct"/>
              <w:tblInd w:w="17"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93"/>
              <w:gridCol w:w="1467"/>
              <w:gridCol w:w="1432"/>
              <w:gridCol w:w="3679"/>
            </w:tblGrid>
            <w:tr w14:paraId="767F6C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3" w:type="pct"/>
                  <w:vMerge w:val="restart"/>
                  <w:noWrap w:val="0"/>
                  <w:vAlign w:val="center"/>
                </w:tcPr>
                <w:p w14:paraId="1C727C9A">
                  <w:pPr>
                    <w:tabs>
                      <w:tab w:val="left" w:pos="605"/>
                    </w:tabs>
                    <w:jc w:val="center"/>
                    <w:rPr>
                      <w:bCs/>
                      <w:kern w:val="0"/>
                      <w:szCs w:val="21"/>
                    </w:rPr>
                  </w:pPr>
                  <w:r>
                    <w:rPr>
                      <w:bCs/>
                      <w:szCs w:val="21"/>
                    </w:rPr>
                    <w:t>污染物</w:t>
                  </w:r>
                </w:p>
              </w:tc>
              <w:tc>
                <w:tcPr>
                  <w:tcW w:w="1818" w:type="pct"/>
                  <w:gridSpan w:val="2"/>
                  <w:noWrap w:val="0"/>
                  <w:vAlign w:val="center"/>
                </w:tcPr>
                <w:p w14:paraId="2B95B305">
                  <w:pPr>
                    <w:tabs>
                      <w:tab w:val="left" w:pos="605"/>
                    </w:tabs>
                    <w:jc w:val="center"/>
                    <w:rPr>
                      <w:bCs/>
                      <w:kern w:val="0"/>
                      <w:szCs w:val="21"/>
                    </w:rPr>
                  </w:pPr>
                  <w:r>
                    <w:rPr>
                      <w:bCs/>
                      <w:szCs w:val="21"/>
                    </w:rPr>
                    <w:t>无组织监控浓度限值</w:t>
                  </w:r>
                </w:p>
              </w:tc>
              <w:tc>
                <w:tcPr>
                  <w:tcW w:w="2308" w:type="pct"/>
                  <w:vMerge w:val="restart"/>
                  <w:noWrap w:val="0"/>
                  <w:vAlign w:val="center"/>
                </w:tcPr>
                <w:p w14:paraId="22F7525C">
                  <w:pPr>
                    <w:tabs>
                      <w:tab w:val="left" w:pos="605"/>
                    </w:tabs>
                    <w:jc w:val="center"/>
                    <w:rPr>
                      <w:bCs/>
                      <w:kern w:val="0"/>
                      <w:szCs w:val="21"/>
                    </w:rPr>
                  </w:pPr>
                  <w:r>
                    <w:rPr>
                      <w:bCs/>
                      <w:szCs w:val="21"/>
                    </w:rPr>
                    <w:t>标准来源</w:t>
                  </w:r>
                </w:p>
              </w:tc>
            </w:tr>
            <w:tr w14:paraId="00AC3F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3" w:type="pct"/>
                  <w:vMerge w:val="continue"/>
                  <w:noWrap w:val="0"/>
                  <w:vAlign w:val="center"/>
                </w:tcPr>
                <w:p w14:paraId="11E077A4">
                  <w:pPr>
                    <w:tabs>
                      <w:tab w:val="left" w:pos="605"/>
                    </w:tabs>
                    <w:jc w:val="center"/>
                    <w:rPr>
                      <w:b/>
                      <w:kern w:val="0"/>
                      <w:szCs w:val="21"/>
                    </w:rPr>
                  </w:pPr>
                </w:p>
              </w:tc>
              <w:tc>
                <w:tcPr>
                  <w:tcW w:w="920" w:type="pct"/>
                  <w:noWrap w:val="0"/>
                  <w:vAlign w:val="center"/>
                </w:tcPr>
                <w:p w14:paraId="7DC31B56">
                  <w:pPr>
                    <w:tabs>
                      <w:tab w:val="left" w:pos="605"/>
                    </w:tabs>
                    <w:jc w:val="center"/>
                    <w:rPr>
                      <w:bCs/>
                      <w:kern w:val="0"/>
                      <w:szCs w:val="21"/>
                    </w:rPr>
                  </w:pPr>
                  <w:r>
                    <w:rPr>
                      <w:bCs/>
                      <w:szCs w:val="21"/>
                    </w:rPr>
                    <w:t>监测点</w:t>
                  </w:r>
                </w:p>
              </w:tc>
              <w:tc>
                <w:tcPr>
                  <w:tcW w:w="898" w:type="pct"/>
                  <w:noWrap w:val="0"/>
                  <w:vAlign w:val="center"/>
                </w:tcPr>
                <w:p w14:paraId="430014E7">
                  <w:pPr>
                    <w:tabs>
                      <w:tab w:val="left" w:pos="605"/>
                    </w:tabs>
                    <w:jc w:val="center"/>
                    <w:rPr>
                      <w:bCs/>
                      <w:kern w:val="0"/>
                      <w:szCs w:val="21"/>
                    </w:rPr>
                  </w:pPr>
                  <w:r>
                    <w:rPr>
                      <w:bCs/>
                      <w:szCs w:val="21"/>
                    </w:rPr>
                    <w:t>浓度（mg/m</w:t>
                  </w:r>
                  <w:r>
                    <w:rPr>
                      <w:bCs/>
                      <w:szCs w:val="21"/>
                      <w:vertAlign w:val="superscript"/>
                    </w:rPr>
                    <w:t>3</w:t>
                  </w:r>
                  <w:r>
                    <w:rPr>
                      <w:bCs/>
                      <w:szCs w:val="21"/>
                    </w:rPr>
                    <w:t>）</w:t>
                  </w:r>
                </w:p>
              </w:tc>
              <w:tc>
                <w:tcPr>
                  <w:tcW w:w="2308" w:type="pct"/>
                  <w:vMerge w:val="continue"/>
                  <w:noWrap w:val="0"/>
                  <w:vAlign w:val="center"/>
                </w:tcPr>
                <w:p w14:paraId="1DF7F496">
                  <w:pPr>
                    <w:tabs>
                      <w:tab w:val="left" w:pos="605"/>
                    </w:tabs>
                    <w:jc w:val="center"/>
                    <w:rPr>
                      <w:b/>
                      <w:kern w:val="0"/>
                      <w:szCs w:val="21"/>
                    </w:rPr>
                  </w:pPr>
                </w:p>
              </w:tc>
            </w:tr>
            <w:tr w14:paraId="42AB31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3" w:type="pct"/>
                  <w:noWrap w:val="0"/>
                  <w:vAlign w:val="center"/>
                </w:tcPr>
                <w:p w14:paraId="4AE109EB">
                  <w:pPr>
                    <w:tabs>
                      <w:tab w:val="left" w:pos="605"/>
                    </w:tabs>
                    <w:jc w:val="center"/>
                    <w:rPr>
                      <w:bCs/>
                      <w:kern w:val="0"/>
                      <w:szCs w:val="21"/>
                    </w:rPr>
                  </w:pPr>
                  <w:r>
                    <w:rPr>
                      <w:bCs/>
                      <w:szCs w:val="21"/>
                    </w:rPr>
                    <w:t>颗粒物</w:t>
                  </w:r>
                </w:p>
              </w:tc>
              <w:tc>
                <w:tcPr>
                  <w:tcW w:w="920" w:type="pct"/>
                  <w:noWrap w:val="0"/>
                  <w:vAlign w:val="center"/>
                </w:tcPr>
                <w:p w14:paraId="33D11BA1">
                  <w:pPr>
                    <w:tabs>
                      <w:tab w:val="left" w:pos="605"/>
                    </w:tabs>
                    <w:jc w:val="center"/>
                    <w:rPr>
                      <w:bCs/>
                      <w:kern w:val="0"/>
                      <w:szCs w:val="21"/>
                    </w:rPr>
                  </w:pPr>
                  <w:r>
                    <w:rPr>
                      <w:bCs/>
                      <w:szCs w:val="21"/>
                    </w:rPr>
                    <w:t>周界外浓度最高点</w:t>
                  </w:r>
                </w:p>
              </w:tc>
              <w:tc>
                <w:tcPr>
                  <w:tcW w:w="898" w:type="pct"/>
                  <w:noWrap w:val="0"/>
                  <w:vAlign w:val="center"/>
                </w:tcPr>
                <w:p w14:paraId="1B49C33F">
                  <w:pPr>
                    <w:tabs>
                      <w:tab w:val="left" w:pos="605"/>
                    </w:tabs>
                    <w:jc w:val="center"/>
                    <w:rPr>
                      <w:bCs/>
                      <w:kern w:val="0"/>
                      <w:szCs w:val="21"/>
                    </w:rPr>
                  </w:pPr>
                  <w:r>
                    <w:rPr>
                      <w:bCs/>
                      <w:kern w:val="0"/>
                      <w:szCs w:val="21"/>
                    </w:rPr>
                    <w:t>1.0</w:t>
                  </w:r>
                </w:p>
              </w:tc>
              <w:tc>
                <w:tcPr>
                  <w:tcW w:w="2308" w:type="pct"/>
                  <w:noWrap w:val="0"/>
                  <w:vAlign w:val="center"/>
                </w:tcPr>
                <w:p w14:paraId="3ED60CA7">
                  <w:pPr>
                    <w:tabs>
                      <w:tab w:val="left" w:pos="605"/>
                    </w:tabs>
                    <w:jc w:val="center"/>
                    <w:rPr>
                      <w:bCs/>
                      <w:kern w:val="0"/>
                      <w:szCs w:val="21"/>
                    </w:rPr>
                  </w:pPr>
                  <w:r>
                    <w:rPr>
                      <w:bCs/>
                      <w:kern w:val="0"/>
                      <w:szCs w:val="21"/>
                    </w:rPr>
                    <w:t>《大气污染物综合排放标准》（GB16297-1996）表2中无组织排放监控浓度限值</w:t>
                  </w:r>
                </w:p>
              </w:tc>
            </w:tr>
          </w:tbl>
          <w:p w14:paraId="030BC719">
            <w:pPr>
              <w:spacing w:before="120" w:beforeLines="50" w:line="360" w:lineRule="auto"/>
              <w:jc w:val="center"/>
              <w:rPr>
                <w:b/>
                <w:bCs/>
                <w:sz w:val="24"/>
              </w:rPr>
            </w:pPr>
            <w:r>
              <w:rPr>
                <w:b/>
                <w:bCs/>
                <w:sz w:val="24"/>
              </w:rPr>
              <w:t>表3-5  运营期有组织颗粒物排放标准</w:t>
            </w:r>
          </w:p>
          <w:tbl>
            <w:tblPr>
              <w:tblStyle w:val="11"/>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90"/>
              <w:gridCol w:w="2349"/>
              <w:gridCol w:w="1094"/>
              <w:gridCol w:w="1154"/>
              <w:gridCol w:w="2484"/>
            </w:tblGrid>
            <w:tr w14:paraId="45C669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88" w:type="dxa"/>
                  <w:noWrap w:val="0"/>
                  <w:vAlign w:val="center"/>
                </w:tcPr>
                <w:p w14:paraId="4BC146F0">
                  <w:pPr>
                    <w:tabs>
                      <w:tab w:val="left" w:pos="605"/>
                    </w:tabs>
                    <w:jc w:val="center"/>
                    <w:rPr>
                      <w:szCs w:val="21"/>
                    </w:rPr>
                  </w:pPr>
                  <w:r>
                    <w:rPr>
                      <w:bCs/>
                      <w:szCs w:val="21"/>
                    </w:rPr>
                    <w:t>污染物</w:t>
                  </w:r>
                </w:p>
              </w:tc>
              <w:tc>
                <w:tcPr>
                  <w:tcW w:w="2346" w:type="dxa"/>
                  <w:noWrap w:val="0"/>
                  <w:vAlign w:val="center"/>
                </w:tcPr>
                <w:p w14:paraId="1DBD20C1">
                  <w:pPr>
                    <w:tabs>
                      <w:tab w:val="left" w:pos="605"/>
                    </w:tabs>
                    <w:jc w:val="center"/>
                    <w:rPr>
                      <w:szCs w:val="21"/>
                    </w:rPr>
                  </w:pPr>
                  <w:r>
                    <w:rPr>
                      <w:bCs/>
                      <w:szCs w:val="21"/>
                    </w:rPr>
                    <w:t>监测点</w:t>
                  </w:r>
                </w:p>
              </w:tc>
              <w:tc>
                <w:tcPr>
                  <w:tcW w:w="1093" w:type="dxa"/>
                  <w:noWrap w:val="0"/>
                  <w:vAlign w:val="center"/>
                </w:tcPr>
                <w:p w14:paraId="060A797B">
                  <w:pPr>
                    <w:jc w:val="center"/>
                  </w:pPr>
                  <w:r>
                    <w:t>排放浓度</w:t>
                  </w:r>
                </w:p>
                <w:p w14:paraId="1DC81DEF">
                  <w:pPr>
                    <w:pStyle w:val="9"/>
                    <w:ind w:left="0" w:leftChars="0" w:firstLine="0" w:firstLineChars="0"/>
                    <w:jc w:val="left"/>
                  </w:pPr>
                  <w:r>
                    <w:rPr>
                      <w:bCs/>
                      <w:szCs w:val="21"/>
                    </w:rPr>
                    <w:t>（mg/m</w:t>
                  </w:r>
                  <w:r>
                    <w:rPr>
                      <w:bCs/>
                      <w:szCs w:val="21"/>
                      <w:vertAlign w:val="superscript"/>
                    </w:rPr>
                    <w:t>3</w:t>
                  </w:r>
                  <w:r>
                    <w:rPr>
                      <w:bCs/>
                      <w:szCs w:val="21"/>
                    </w:rPr>
                    <w:t>）</w:t>
                  </w:r>
                </w:p>
              </w:tc>
              <w:tc>
                <w:tcPr>
                  <w:tcW w:w="1153" w:type="dxa"/>
                  <w:noWrap w:val="0"/>
                  <w:vAlign w:val="center"/>
                </w:tcPr>
                <w:p w14:paraId="707CAADB">
                  <w:pPr>
                    <w:jc w:val="center"/>
                  </w:pPr>
                  <w:r>
                    <w:t>排放速率</w:t>
                  </w:r>
                </w:p>
                <w:p w14:paraId="2B89FE23">
                  <w:pPr>
                    <w:pStyle w:val="9"/>
                    <w:ind w:left="0" w:leftChars="0" w:firstLine="210" w:firstLineChars="100"/>
                  </w:pPr>
                  <w:r>
                    <w:rPr>
                      <w:szCs w:val="21"/>
                    </w:rPr>
                    <w:t>（kg/h）</w:t>
                  </w:r>
                </w:p>
              </w:tc>
              <w:tc>
                <w:tcPr>
                  <w:tcW w:w="2481" w:type="dxa"/>
                  <w:noWrap w:val="0"/>
                  <w:vAlign w:val="center"/>
                </w:tcPr>
                <w:p w14:paraId="5190A650">
                  <w:pPr>
                    <w:jc w:val="center"/>
                    <w:rPr>
                      <w:szCs w:val="21"/>
                    </w:rPr>
                  </w:pPr>
                  <w:r>
                    <w:rPr>
                      <w:bCs/>
                      <w:szCs w:val="21"/>
                    </w:rPr>
                    <w:t>标准来源</w:t>
                  </w:r>
                </w:p>
              </w:tc>
            </w:tr>
            <w:tr w14:paraId="528CE2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88" w:type="dxa"/>
                  <w:vMerge w:val="restart"/>
                  <w:noWrap w:val="0"/>
                  <w:vAlign w:val="center"/>
                </w:tcPr>
                <w:p w14:paraId="049CBBBE">
                  <w:pPr>
                    <w:jc w:val="center"/>
                    <w:rPr>
                      <w:szCs w:val="21"/>
                    </w:rPr>
                  </w:pPr>
                  <w:r>
                    <w:rPr>
                      <w:szCs w:val="21"/>
                    </w:rPr>
                    <w:t>颗粒物</w:t>
                  </w:r>
                </w:p>
              </w:tc>
              <w:tc>
                <w:tcPr>
                  <w:tcW w:w="2346" w:type="dxa"/>
                  <w:noWrap w:val="0"/>
                  <w:vAlign w:val="center"/>
                </w:tcPr>
                <w:p w14:paraId="320B7FB3">
                  <w:pPr>
                    <w:jc w:val="left"/>
                    <w:rPr>
                      <w:szCs w:val="21"/>
                    </w:rPr>
                  </w:pPr>
                  <w:r>
                    <w:rPr>
                      <w:szCs w:val="21"/>
                    </w:rPr>
                    <w:t>水泥筒仓15m高排气筒出口（P2-P5）</w:t>
                  </w:r>
                </w:p>
              </w:tc>
              <w:tc>
                <w:tcPr>
                  <w:tcW w:w="1093" w:type="dxa"/>
                  <w:noWrap w:val="0"/>
                  <w:vAlign w:val="center"/>
                </w:tcPr>
                <w:p w14:paraId="34E45809">
                  <w:pPr>
                    <w:jc w:val="center"/>
                    <w:rPr>
                      <w:szCs w:val="21"/>
                    </w:rPr>
                  </w:pPr>
                  <w:r>
                    <w:rPr>
                      <w:szCs w:val="21"/>
                    </w:rPr>
                    <w:t>10</w:t>
                  </w:r>
                </w:p>
              </w:tc>
              <w:tc>
                <w:tcPr>
                  <w:tcW w:w="1153" w:type="dxa"/>
                  <w:noWrap w:val="0"/>
                  <w:vAlign w:val="center"/>
                </w:tcPr>
                <w:p w14:paraId="3EC29DAA">
                  <w:pPr>
                    <w:jc w:val="center"/>
                    <w:rPr>
                      <w:szCs w:val="21"/>
                    </w:rPr>
                  </w:pPr>
                  <w:r>
                    <w:rPr>
                      <w:szCs w:val="21"/>
                    </w:rPr>
                    <w:t>/</w:t>
                  </w:r>
                </w:p>
              </w:tc>
              <w:tc>
                <w:tcPr>
                  <w:tcW w:w="2481" w:type="dxa"/>
                  <w:noWrap w:val="0"/>
                  <w:vAlign w:val="center"/>
                </w:tcPr>
                <w:p w14:paraId="69D751FE">
                  <w:pPr>
                    <w:jc w:val="center"/>
                    <w:rPr>
                      <w:szCs w:val="21"/>
                    </w:rPr>
                  </w:pPr>
                  <w:r>
                    <w:rPr>
                      <w:szCs w:val="21"/>
                    </w:rPr>
                    <w:t>《水泥工业大气污染物排放标准》（GB4915-2013）表2中大气污染物特别排放限值</w:t>
                  </w:r>
                </w:p>
              </w:tc>
            </w:tr>
            <w:tr w14:paraId="04630E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12" w:hRule="atLeast"/>
                <w:jc w:val="center"/>
              </w:trPr>
              <w:tc>
                <w:tcPr>
                  <w:tcW w:w="888" w:type="dxa"/>
                  <w:vMerge w:val="continue"/>
                  <w:noWrap w:val="0"/>
                  <w:vAlign w:val="center"/>
                </w:tcPr>
                <w:p w14:paraId="2DD58D31">
                  <w:pPr>
                    <w:jc w:val="center"/>
                    <w:rPr>
                      <w:spacing w:val="-20"/>
                      <w:szCs w:val="21"/>
                    </w:rPr>
                  </w:pPr>
                </w:p>
              </w:tc>
              <w:tc>
                <w:tcPr>
                  <w:tcW w:w="2346" w:type="dxa"/>
                  <w:noWrap w:val="0"/>
                  <w:vAlign w:val="center"/>
                </w:tcPr>
                <w:p w14:paraId="4F1DF910">
                  <w:pPr>
                    <w:jc w:val="left"/>
                    <w:rPr>
                      <w:spacing w:val="-20"/>
                      <w:szCs w:val="21"/>
                    </w:rPr>
                  </w:pPr>
                  <w:r>
                    <w:rPr>
                      <w:szCs w:val="21"/>
                    </w:rPr>
                    <w:t>粉煤灰筒仓15m高排气筒出口（P6-P9）</w:t>
                  </w:r>
                </w:p>
              </w:tc>
              <w:tc>
                <w:tcPr>
                  <w:tcW w:w="1093" w:type="dxa"/>
                  <w:vMerge w:val="restart"/>
                  <w:noWrap w:val="0"/>
                  <w:vAlign w:val="center"/>
                </w:tcPr>
                <w:p w14:paraId="0DEFA506">
                  <w:pPr>
                    <w:jc w:val="center"/>
                    <w:rPr>
                      <w:szCs w:val="21"/>
                    </w:rPr>
                  </w:pPr>
                  <w:r>
                    <w:rPr>
                      <w:szCs w:val="21"/>
                    </w:rPr>
                    <w:t>120</w:t>
                  </w:r>
                </w:p>
              </w:tc>
              <w:tc>
                <w:tcPr>
                  <w:tcW w:w="1153" w:type="dxa"/>
                  <w:vMerge w:val="restart"/>
                  <w:noWrap w:val="0"/>
                  <w:vAlign w:val="center"/>
                </w:tcPr>
                <w:p w14:paraId="6AFDA7CE">
                  <w:pPr>
                    <w:jc w:val="center"/>
                    <w:rPr>
                      <w:szCs w:val="21"/>
                    </w:rPr>
                  </w:pPr>
                  <w:r>
                    <w:rPr>
                      <w:szCs w:val="21"/>
                    </w:rPr>
                    <w:t>3.5</w:t>
                  </w:r>
                </w:p>
              </w:tc>
              <w:tc>
                <w:tcPr>
                  <w:tcW w:w="2481" w:type="dxa"/>
                  <w:vMerge w:val="restart"/>
                  <w:noWrap w:val="0"/>
                  <w:vAlign w:val="center"/>
                </w:tcPr>
                <w:p w14:paraId="40919643">
                  <w:pPr>
                    <w:jc w:val="center"/>
                    <w:rPr>
                      <w:szCs w:val="21"/>
                    </w:rPr>
                  </w:pPr>
                  <w:r>
                    <w:rPr>
                      <w:bCs/>
                      <w:kern w:val="0"/>
                      <w:szCs w:val="21"/>
                    </w:rPr>
                    <w:t>《大气污染物综合排放标准》（GB16297-1996）表2中排放浓度限值</w:t>
                  </w:r>
                </w:p>
              </w:tc>
            </w:tr>
            <w:tr w14:paraId="5EFDD2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88" w:type="dxa"/>
                  <w:vMerge w:val="continue"/>
                  <w:noWrap w:val="0"/>
                  <w:vAlign w:val="center"/>
                </w:tcPr>
                <w:p w14:paraId="47D70ED2">
                  <w:pPr>
                    <w:jc w:val="center"/>
                    <w:rPr>
                      <w:spacing w:val="-20"/>
                      <w:szCs w:val="21"/>
                    </w:rPr>
                  </w:pPr>
                </w:p>
              </w:tc>
              <w:tc>
                <w:tcPr>
                  <w:tcW w:w="2346" w:type="dxa"/>
                  <w:noWrap w:val="0"/>
                  <w:vAlign w:val="center"/>
                </w:tcPr>
                <w:p w14:paraId="1D5BEAF7">
                  <w:pPr>
                    <w:tabs>
                      <w:tab w:val="left" w:pos="605"/>
                    </w:tabs>
                    <w:rPr>
                      <w:spacing w:val="-20"/>
                      <w:szCs w:val="21"/>
                    </w:rPr>
                  </w:pPr>
                  <w:r>
                    <w:t>制砂破碎机15m高</w:t>
                  </w:r>
                  <w:r>
                    <w:rPr>
                      <w:bCs/>
                      <w:szCs w:val="21"/>
                    </w:rPr>
                    <w:t>排气筒出口（P1）</w:t>
                  </w:r>
                </w:p>
              </w:tc>
              <w:tc>
                <w:tcPr>
                  <w:tcW w:w="1093" w:type="dxa"/>
                  <w:vMerge w:val="continue"/>
                  <w:noWrap w:val="0"/>
                  <w:vAlign w:val="center"/>
                </w:tcPr>
                <w:p w14:paraId="67C8081D">
                  <w:pPr>
                    <w:jc w:val="center"/>
                    <w:rPr>
                      <w:szCs w:val="21"/>
                    </w:rPr>
                  </w:pPr>
                </w:p>
              </w:tc>
              <w:tc>
                <w:tcPr>
                  <w:tcW w:w="1153" w:type="dxa"/>
                  <w:vMerge w:val="continue"/>
                  <w:noWrap w:val="0"/>
                  <w:vAlign w:val="center"/>
                </w:tcPr>
                <w:p w14:paraId="46437092">
                  <w:pPr>
                    <w:jc w:val="center"/>
                    <w:rPr>
                      <w:szCs w:val="21"/>
                    </w:rPr>
                  </w:pPr>
                </w:p>
              </w:tc>
              <w:tc>
                <w:tcPr>
                  <w:tcW w:w="2481" w:type="dxa"/>
                  <w:vMerge w:val="continue"/>
                  <w:noWrap w:val="0"/>
                  <w:vAlign w:val="center"/>
                </w:tcPr>
                <w:p w14:paraId="447CDCCA">
                  <w:pPr>
                    <w:jc w:val="center"/>
                    <w:rPr>
                      <w:szCs w:val="21"/>
                    </w:rPr>
                  </w:pPr>
                </w:p>
              </w:tc>
            </w:tr>
          </w:tbl>
          <w:p w14:paraId="60C56216">
            <w:pPr>
              <w:spacing w:before="120" w:beforeLines="50" w:line="360" w:lineRule="auto"/>
              <w:jc w:val="center"/>
              <w:rPr>
                <w:b/>
                <w:bCs/>
                <w:kern w:val="0"/>
                <w:sz w:val="24"/>
              </w:rPr>
            </w:pPr>
            <w:r>
              <w:rPr>
                <w:b/>
                <w:bCs/>
                <w:sz w:val="24"/>
              </w:rPr>
              <w:t>表3-6  运营期无组织颗粒物排放标准</w:t>
            </w:r>
          </w:p>
          <w:tbl>
            <w:tblPr>
              <w:tblStyle w:val="11"/>
              <w:tblW w:w="4998"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36"/>
              <w:gridCol w:w="1478"/>
              <w:gridCol w:w="1534"/>
              <w:gridCol w:w="3423"/>
            </w:tblGrid>
            <w:tr w14:paraId="13CA6C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7" w:hRule="atLeast"/>
              </w:trPr>
              <w:tc>
                <w:tcPr>
                  <w:tcW w:w="963" w:type="pct"/>
                  <w:noWrap w:val="0"/>
                  <w:vAlign w:val="center"/>
                </w:tcPr>
                <w:p w14:paraId="16B45950">
                  <w:pPr>
                    <w:tabs>
                      <w:tab w:val="left" w:pos="605"/>
                    </w:tabs>
                    <w:jc w:val="center"/>
                    <w:rPr>
                      <w:bCs/>
                      <w:kern w:val="0"/>
                      <w:szCs w:val="21"/>
                    </w:rPr>
                  </w:pPr>
                  <w:r>
                    <w:rPr>
                      <w:bCs/>
                      <w:szCs w:val="21"/>
                    </w:rPr>
                    <w:t>污染物</w:t>
                  </w:r>
                </w:p>
              </w:tc>
              <w:tc>
                <w:tcPr>
                  <w:tcW w:w="927" w:type="pct"/>
                  <w:noWrap w:val="0"/>
                  <w:vAlign w:val="center"/>
                </w:tcPr>
                <w:p w14:paraId="40D7ACF3">
                  <w:pPr>
                    <w:tabs>
                      <w:tab w:val="left" w:pos="605"/>
                    </w:tabs>
                    <w:jc w:val="center"/>
                    <w:rPr>
                      <w:bCs/>
                      <w:kern w:val="0"/>
                      <w:szCs w:val="21"/>
                    </w:rPr>
                  </w:pPr>
                  <w:r>
                    <w:rPr>
                      <w:bCs/>
                      <w:szCs w:val="21"/>
                    </w:rPr>
                    <w:t>监测点</w:t>
                  </w:r>
                </w:p>
              </w:tc>
              <w:tc>
                <w:tcPr>
                  <w:tcW w:w="962" w:type="pct"/>
                  <w:noWrap w:val="0"/>
                  <w:vAlign w:val="center"/>
                </w:tcPr>
                <w:p w14:paraId="11CFA8ED">
                  <w:pPr>
                    <w:tabs>
                      <w:tab w:val="left" w:pos="605"/>
                    </w:tabs>
                    <w:jc w:val="center"/>
                    <w:rPr>
                      <w:bCs/>
                      <w:kern w:val="0"/>
                      <w:szCs w:val="21"/>
                    </w:rPr>
                  </w:pPr>
                  <w:r>
                    <w:rPr>
                      <w:bCs/>
                      <w:szCs w:val="21"/>
                    </w:rPr>
                    <w:t>排放浓度（mg/m</w:t>
                  </w:r>
                  <w:r>
                    <w:rPr>
                      <w:bCs/>
                      <w:szCs w:val="21"/>
                      <w:vertAlign w:val="superscript"/>
                    </w:rPr>
                    <w:t>3</w:t>
                  </w:r>
                  <w:r>
                    <w:rPr>
                      <w:bCs/>
                      <w:szCs w:val="21"/>
                    </w:rPr>
                    <w:t>）</w:t>
                  </w:r>
                </w:p>
              </w:tc>
              <w:tc>
                <w:tcPr>
                  <w:tcW w:w="2146" w:type="pct"/>
                  <w:noWrap w:val="0"/>
                  <w:vAlign w:val="center"/>
                </w:tcPr>
                <w:p w14:paraId="04D1C277">
                  <w:pPr>
                    <w:tabs>
                      <w:tab w:val="left" w:pos="605"/>
                    </w:tabs>
                    <w:jc w:val="center"/>
                    <w:rPr>
                      <w:bCs/>
                      <w:kern w:val="0"/>
                      <w:szCs w:val="21"/>
                    </w:rPr>
                  </w:pPr>
                  <w:r>
                    <w:rPr>
                      <w:bCs/>
                      <w:szCs w:val="21"/>
                    </w:rPr>
                    <w:t>标准来源</w:t>
                  </w:r>
                </w:p>
              </w:tc>
            </w:tr>
            <w:tr w14:paraId="62AE30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963" w:type="pct"/>
                  <w:noWrap w:val="0"/>
                  <w:vAlign w:val="center"/>
                </w:tcPr>
                <w:p w14:paraId="54320304">
                  <w:pPr>
                    <w:tabs>
                      <w:tab w:val="left" w:pos="605"/>
                    </w:tabs>
                    <w:rPr>
                      <w:bCs/>
                      <w:kern w:val="0"/>
                      <w:szCs w:val="21"/>
                    </w:rPr>
                  </w:pPr>
                  <w:r>
                    <w:rPr>
                      <w:bCs/>
                      <w:kern w:val="0"/>
                      <w:szCs w:val="21"/>
                    </w:rPr>
                    <w:t>无组织颗粒物</w:t>
                  </w:r>
                </w:p>
              </w:tc>
              <w:tc>
                <w:tcPr>
                  <w:tcW w:w="927" w:type="pct"/>
                  <w:noWrap w:val="0"/>
                  <w:vAlign w:val="center"/>
                </w:tcPr>
                <w:p w14:paraId="28210E6B">
                  <w:pPr>
                    <w:tabs>
                      <w:tab w:val="left" w:pos="605"/>
                    </w:tabs>
                    <w:jc w:val="center"/>
                    <w:rPr>
                      <w:bCs/>
                      <w:kern w:val="0"/>
                      <w:szCs w:val="21"/>
                    </w:rPr>
                  </w:pPr>
                  <w:r>
                    <w:rPr>
                      <w:bCs/>
                      <w:kern w:val="0"/>
                      <w:szCs w:val="21"/>
                    </w:rPr>
                    <w:t>周界外浓度最高点</w:t>
                  </w:r>
                </w:p>
              </w:tc>
              <w:tc>
                <w:tcPr>
                  <w:tcW w:w="962" w:type="pct"/>
                  <w:noWrap w:val="0"/>
                  <w:vAlign w:val="center"/>
                </w:tcPr>
                <w:p w14:paraId="32BB2669">
                  <w:pPr>
                    <w:tabs>
                      <w:tab w:val="left" w:pos="605"/>
                    </w:tabs>
                    <w:jc w:val="center"/>
                    <w:rPr>
                      <w:bCs/>
                      <w:kern w:val="0"/>
                      <w:szCs w:val="21"/>
                    </w:rPr>
                  </w:pPr>
                  <w:r>
                    <w:rPr>
                      <w:bCs/>
                      <w:kern w:val="0"/>
                      <w:szCs w:val="21"/>
                    </w:rPr>
                    <w:t>1.0</w:t>
                  </w:r>
                </w:p>
              </w:tc>
              <w:tc>
                <w:tcPr>
                  <w:tcW w:w="2146" w:type="pct"/>
                  <w:noWrap w:val="0"/>
                  <w:vAlign w:val="center"/>
                </w:tcPr>
                <w:p w14:paraId="1C22E815">
                  <w:pPr>
                    <w:tabs>
                      <w:tab w:val="left" w:pos="605"/>
                    </w:tabs>
                    <w:jc w:val="center"/>
                    <w:rPr>
                      <w:bCs/>
                      <w:kern w:val="0"/>
                      <w:szCs w:val="21"/>
                    </w:rPr>
                  </w:pPr>
                  <w:r>
                    <w:rPr>
                      <w:bCs/>
                      <w:kern w:val="0"/>
                      <w:szCs w:val="21"/>
                    </w:rPr>
                    <w:t>《大气污染物综合排放标准》（GB16297-1996）表2中排放浓度限值</w:t>
                  </w:r>
                </w:p>
              </w:tc>
            </w:tr>
          </w:tbl>
          <w:p w14:paraId="2B2A4594">
            <w:pPr>
              <w:tabs>
                <w:tab w:val="left" w:pos="605"/>
              </w:tabs>
              <w:spacing w:before="120" w:beforeLines="50" w:line="520" w:lineRule="exact"/>
            </w:pPr>
            <w:r>
              <w:rPr>
                <w:b/>
                <w:bCs/>
                <w:kern w:val="0"/>
                <w:sz w:val="24"/>
                <w:szCs w:val="21"/>
              </w:rPr>
              <w:t>2.噪声排放标准</w:t>
            </w:r>
          </w:p>
          <w:p w14:paraId="34A45949">
            <w:pPr>
              <w:spacing w:line="520" w:lineRule="exact"/>
              <w:ind w:firstLine="480" w:firstLineChars="200"/>
              <w:rPr>
                <w:bCs/>
                <w:sz w:val="24"/>
              </w:rPr>
            </w:pPr>
            <w:r>
              <w:rPr>
                <w:kern w:val="0"/>
                <w:sz w:val="24"/>
              </w:rPr>
              <w:t>施工噪声执行《建筑施工场界环境噪声排放标准》（GB12523-2011）的标准限值；运营期厂界噪声执行《工业企业厂界环境噪声排放标准》（GB12348-2008）中3类标准限值，具体指标见表3-7。</w:t>
            </w:r>
          </w:p>
          <w:p w14:paraId="66BBD02D">
            <w:pPr>
              <w:spacing w:before="120" w:beforeLines="50" w:line="360" w:lineRule="auto"/>
              <w:jc w:val="center"/>
              <w:rPr>
                <w:b/>
                <w:bCs/>
                <w:sz w:val="24"/>
              </w:rPr>
            </w:pPr>
            <w:r>
              <w:rPr>
                <w:b/>
                <w:bCs/>
                <w:sz w:val="24"/>
              </w:rPr>
              <w:t>表3-7  噪声排放标准一览表</w:t>
            </w:r>
          </w:p>
          <w:tbl>
            <w:tblPr>
              <w:tblStyle w:val="11"/>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53"/>
              <w:gridCol w:w="1386"/>
              <w:gridCol w:w="1385"/>
              <w:gridCol w:w="3447"/>
            </w:tblGrid>
            <w:tr w14:paraId="3CDA09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9" w:type="pct"/>
                  <w:vMerge w:val="restart"/>
                  <w:noWrap w:val="0"/>
                  <w:vAlign w:val="center"/>
                </w:tcPr>
                <w:p w14:paraId="40C1F7AE">
                  <w:pPr>
                    <w:widowControl/>
                    <w:jc w:val="center"/>
                    <w:rPr>
                      <w:kern w:val="0"/>
                      <w:szCs w:val="21"/>
                    </w:rPr>
                  </w:pPr>
                  <w:r>
                    <w:rPr>
                      <w:kern w:val="0"/>
                      <w:szCs w:val="21"/>
                    </w:rPr>
                    <w:t>时期</w:t>
                  </w:r>
                </w:p>
              </w:tc>
              <w:tc>
                <w:tcPr>
                  <w:tcW w:w="1738" w:type="pct"/>
                  <w:gridSpan w:val="2"/>
                  <w:noWrap w:val="0"/>
                  <w:vAlign w:val="center"/>
                </w:tcPr>
                <w:p w14:paraId="16499159">
                  <w:pPr>
                    <w:spacing w:line="240" w:lineRule="exact"/>
                    <w:jc w:val="center"/>
                    <w:rPr>
                      <w:kern w:val="0"/>
                      <w:szCs w:val="21"/>
                    </w:rPr>
                  </w:pPr>
                  <w:r>
                    <w:rPr>
                      <w:kern w:val="0"/>
                      <w:szCs w:val="21"/>
                    </w:rPr>
                    <w:t>噪声限值Leq [dB（A）]</w:t>
                  </w:r>
                </w:p>
              </w:tc>
              <w:tc>
                <w:tcPr>
                  <w:tcW w:w="2161" w:type="pct"/>
                  <w:vMerge w:val="restart"/>
                  <w:noWrap w:val="0"/>
                  <w:vAlign w:val="center"/>
                </w:tcPr>
                <w:p w14:paraId="164480B8">
                  <w:pPr>
                    <w:spacing w:line="240" w:lineRule="exact"/>
                    <w:jc w:val="center"/>
                    <w:rPr>
                      <w:kern w:val="0"/>
                      <w:szCs w:val="21"/>
                    </w:rPr>
                  </w:pPr>
                  <w:r>
                    <w:rPr>
                      <w:kern w:val="0"/>
                      <w:szCs w:val="21"/>
                    </w:rPr>
                    <w:t>标准来源</w:t>
                  </w:r>
                </w:p>
              </w:tc>
            </w:tr>
            <w:tr w14:paraId="6266A3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9" w:type="pct"/>
                  <w:vMerge w:val="continue"/>
                  <w:noWrap w:val="0"/>
                  <w:vAlign w:val="center"/>
                </w:tcPr>
                <w:p w14:paraId="2C45C58E">
                  <w:pPr>
                    <w:widowControl/>
                    <w:jc w:val="center"/>
                    <w:rPr>
                      <w:b/>
                      <w:bCs/>
                      <w:kern w:val="0"/>
                      <w:szCs w:val="21"/>
                    </w:rPr>
                  </w:pPr>
                </w:p>
              </w:tc>
              <w:tc>
                <w:tcPr>
                  <w:tcW w:w="869" w:type="pct"/>
                  <w:noWrap w:val="0"/>
                  <w:vAlign w:val="center"/>
                </w:tcPr>
                <w:p w14:paraId="6A4A91ED">
                  <w:pPr>
                    <w:spacing w:line="240" w:lineRule="exact"/>
                    <w:jc w:val="center"/>
                    <w:rPr>
                      <w:kern w:val="0"/>
                      <w:szCs w:val="21"/>
                    </w:rPr>
                  </w:pPr>
                  <w:r>
                    <w:rPr>
                      <w:kern w:val="0"/>
                      <w:szCs w:val="21"/>
                    </w:rPr>
                    <w:t>昼间</w:t>
                  </w:r>
                </w:p>
              </w:tc>
              <w:tc>
                <w:tcPr>
                  <w:tcW w:w="869" w:type="pct"/>
                  <w:noWrap w:val="0"/>
                  <w:vAlign w:val="center"/>
                </w:tcPr>
                <w:p w14:paraId="7507C9FA">
                  <w:pPr>
                    <w:widowControl/>
                    <w:spacing w:line="240" w:lineRule="exact"/>
                    <w:jc w:val="center"/>
                    <w:rPr>
                      <w:kern w:val="0"/>
                      <w:szCs w:val="21"/>
                    </w:rPr>
                  </w:pPr>
                  <w:r>
                    <w:rPr>
                      <w:kern w:val="0"/>
                      <w:szCs w:val="21"/>
                    </w:rPr>
                    <w:t>夜间</w:t>
                  </w:r>
                </w:p>
              </w:tc>
              <w:tc>
                <w:tcPr>
                  <w:tcW w:w="2161" w:type="pct"/>
                  <w:vMerge w:val="continue"/>
                  <w:noWrap w:val="0"/>
                  <w:vAlign w:val="center"/>
                </w:tcPr>
                <w:p w14:paraId="5792EEB5">
                  <w:pPr>
                    <w:widowControl/>
                    <w:spacing w:line="240" w:lineRule="exact"/>
                    <w:jc w:val="center"/>
                    <w:rPr>
                      <w:b/>
                      <w:bCs/>
                      <w:kern w:val="0"/>
                      <w:szCs w:val="21"/>
                    </w:rPr>
                  </w:pPr>
                </w:p>
              </w:tc>
            </w:tr>
            <w:tr w14:paraId="1739FA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5" w:hRule="atLeast"/>
                <w:jc w:val="center"/>
              </w:trPr>
              <w:tc>
                <w:tcPr>
                  <w:tcW w:w="1099" w:type="pct"/>
                  <w:noWrap w:val="0"/>
                  <w:vAlign w:val="center"/>
                </w:tcPr>
                <w:p w14:paraId="6FF730C8">
                  <w:pPr>
                    <w:widowControl/>
                    <w:jc w:val="center"/>
                    <w:rPr>
                      <w:kern w:val="0"/>
                      <w:szCs w:val="21"/>
                    </w:rPr>
                  </w:pPr>
                  <w:r>
                    <w:rPr>
                      <w:kern w:val="0"/>
                      <w:szCs w:val="21"/>
                    </w:rPr>
                    <w:t>施工期</w:t>
                  </w:r>
                </w:p>
              </w:tc>
              <w:tc>
                <w:tcPr>
                  <w:tcW w:w="869" w:type="pct"/>
                  <w:noWrap w:val="0"/>
                  <w:vAlign w:val="center"/>
                </w:tcPr>
                <w:p w14:paraId="7E2B3BC4">
                  <w:pPr>
                    <w:spacing w:line="240" w:lineRule="exact"/>
                    <w:jc w:val="center"/>
                    <w:rPr>
                      <w:kern w:val="0"/>
                      <w:szCs w:val="21"/>
                    </w:rPr>
                  </w:pPr>
                  <w:r>
                    <w:rPr>
                      <w:kern w:val="0"/>
                      <w:szCs w:val="21"/>
                    </w:rPr>
                    <w:t>70</w:t>
                  </w:r>
                </w:p>
              </w:tc>
              <w:tc>
                <w:tcPr>
                  <w:tcW w:w="869" w:type="pct"/>
                  <w:noWrap w:val="0"/>
                  <w:vAlign w:val="center"/>
                </w:tcPr>
                <w:p w14:paraId="571EE4CA">
                  <w:pPr>
                    <w:widowControl/>
                    <w:spacing w:line="240" w:lineRule="exact"/>
                    <w:jc w:val="center"/>
                    <w:rPr>
                      <w:kern w:val="0"/>
                      <w:szCs w:val="21"/>
                    </w:rPr>
                  </w:pPr>
                  <w:r>
                    <w:rPr>
                      <w:kern w:val="0"/>
                      <w:szCs w:val="21"/>
                    </w:rPr>
                    <w:t>55</w:t>
                  </w:r>
                </w:p>
              </w:tc>
              <w:tc>
                <w:tcPr>
                  <w:tcW w:w="2161" w:type="pct"/>
                  <w:noWrap w:val="0"/>
                  <w:vAlign w:val="center"/>
                </w:tcPr>
                <w:p w14:paraId="398D3E3B">
                  <w:pPr>
                    <w:widowControl/>
                    <w:spacing w:line="240" w:lineRule="exact"/>
                    <w:jc w:val="center"/>
                    <w:rPr>
                      <w:kern w:val="0"/>
                      <w:szCs w:val="21"/>
                    </w:rPr>
                  </w:pPr>
                  <w:r>
                    <w:rPr>
                      <w:rFonts w:hint="eastAsia"/>
                      <w:kern w:val="0"/>
                      <w:szCs w:val="21"/>
                      <w:lang w:eastAsia="zh-CN"/>
                    </w:rPr>
                    <w:t>《</w:t>
                  </w:r>
                  <w:r>
                    <w:rPr>
                      <w:kern w:val="0"/>
                      <w:szCs w:val="21"/>
                    </w:rPr>
                    <w:t>建筑施工场界环境噪声排放标准》（GB12523-2011）</w:t>
                  </w:r>
                </w:p>
              </w:tc>
            </w:tr>
            <w:tr w14:paraId="12385B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1099" w:type="pct"/>
                  <w:noWrap w:val="0"/>
                  <w:vAlign w:val="center"/>
                </w:tcPr>
                <w:p w14:paraId="4BEA482B">
                  <w:pPr>
                    <w:jc w:val="center"/>
                    <w:rPr>
                      <w:kern w:val="0"/>
                      <w:szCs w:val="21"/>
                    </w:rPr>
                  </w:pPr>
                  <w:r>
                    <w:rPr>
                      <w:kern w:val="0"/>
                      <w:szCs w:val="21"/>
                    </w:rPr>
                    <w:t>运营期</w:t>
                  </w:r>
                </w:p>
              </w:tc>
              <w:tc>
                <w:tcPr>
                  <w:tcW w:w="869" w:type="pct"/>
                  <w:noWrap w:val="0"/>
                  <w:vAlign w:val="center"/>
                </w:tcPr>
                <w:p w14:paraId="283A826D">
                  <w:pPr>
                    <w:spacing w:line="240" w:lineRule="exact"/>
                    <w:jc w:val="center"/>
                    <w:rPr>
                      <w:kern w:val="0"/>
                      <w:szCs w:val="21"/>
                    </w:rPr>
                  </w:pPr>
                  <w:r>
                    <w:rPr>
                      <w:kern w:val="0"/>
                      <w:szCs w:val="21"/>
                    </w:rPr>
                    <w:t>65</w:t>
                  </w:r>
                </w:p>
              </w:tc>
              <w:tc>
                <w:tcPr>
                  <w:tcW w:w="869" w:type="pct"/>
                  <w:noWrap w:val="0"/>
                  <w:vAlign w:val="center"/>
                </w:tcPr>
                <w:p w14:paraId="369FF23E">
                  <w:pPr>
                    <w:spacing w:line="240" w:lineRule="exact"/>
                    <w:jc w:val="center"/>
                    <w:rPr>
                      <w:kern w:val="0"/>
                      <w:szCs w:val="21"/>
                    </w:rPr>
                  </w:pPr>
                  <w:r>
                    <w:rPr>
                      <w:kern w:val="0"/>
                      <w:szCs w:val="21"/>
                    </w:rPr>
                    <w:t>55</w:t>
                  </w:r>
                </w:p>
              </w:tc>
              <w:tc>
                <w:tcPr>
                  <w:tcW w:w="2161" w:type="pct"/>
                  <w:noWrap w:val="0"/>
                  <w:vAlign w:val="center"/>
                </w:tcPr>
                <w:p w14:paraId="4E4743AE">
                  <w:pPr>
                    <w:spacing w:line="240" w:lineRule="exact"/>
                    <w:jc w:val="center"/>
                    <w:rPr>
                      <w:kern w:val="0"/>
                      <w:szCs w:val="21"/>
                    </w:rPr>
                  </w:pPr>
                  <w:r>
                    <w:rPr>
                      <w:kern w:val="0"/>
                      <w:szCs w:val="21"/>
                    </w:rPr>
                    <w:t>《工业</w:t>
                  </w:r>
                  <w:r>
                    <w:rPr>
                      <w:color w:val="auto"/>
                      <w:kern w:val="0"/>
                      <w:szCs w:val="21"/>
                    </w:rPr>
                    <w:t>企业</w:t>
                  </w:r>
                  <w:r>
                    <w:rPr>
                      <w:rFonts w:hint="eastAsia"/>
                      <w:color w:val="auto"/>
                      <w:kern w:val="0"/>
                      <w:szCs w:val="21"/>
                      <w:lang w:val="en-US" w:eastAsia="zh-CN"/>
                    </w:rPr>
                    <w:t>厂界</w:t>
                  </w:r>
                  <w:r>
                    <w:rPr>
                      <w:color w:val="auto"/>
                      <w:kern w:val="0"/>
                      <w:szCs w:val="21"/>
                    </w:rPr>
                    <w:t>环境噪</w:t>
                  </w:r>
                  <w:r>
                    <w:rPr>
                      <w:kern w:val="0"/>
                      <w:szCs w:val="21"/>
                    </w:rPr>
                    <w:t>声排放标准》（GB12348-2008）中3类标准</w:t>
                  </w:r>
                </w:p>
              </w:tc>
            </w:tr>
          </w:tbl>
          <w:p w14:paraId="722FF080">
            <w:pPr>
              <w:tabs>
                <w:tab w:val="left" w:pos="605"/>
              </w:tabs>
              <w:spacing w:before="120" w:beforeLines="50" w:line="520" w:lineRule="exact"/>
              <w:rPr>
                <w:b/>
                <w:bCs/>
                <w:kern w:val="0"/>
                <w:sz w:val="24"/>
                <w:szCs w:val="21"/>
              </w:rPr>
            </w:pPr>
            <w:r>
              <w:rPr>
                <w:b/>
                <w:bCs/>
                <w:kern w:val="0"/>
                <w:sz w:val="24"/>
                <w:szCs w:val="21"/>
              </w:rPr>
              <w:t>3.固体废物标准</w:t>
            </w:r>
          </w:p>
          <w:p w14:paraId="6DAA4298">
            <w:pPr>
              <w:tabs>
                <w:tab w:val="left" w:pos="605"/>
              </w:tabs>
              <w:spacing w:before="120" w:beforeLines="50" w:line="520" w:lineRule="exact"/>
              <w:ind w:firstLine="480" w:firstLineChars="200"/>
            </w:pPr>
            <w:r>
              <w:rPr>
                <w:kern w:val="0"/>
                <w:sz w:val="24"/>
                <w:szCs w:val="21"/>
              </w:rPr>
              <w:t>《一般工业固体废物贮存和填埋污染控制标准》（GB 18599-2020）及修改单，《危险废物贮存污染控制标准》（GB18597-2023）。</w:t>
            </w:r>
          </w:p>
        </w:tc>
      </w:tr>
      <w:tr w14:paraId="1CCC32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noWrap w:val="0"/>
            <w:vAlign w:val="center"/>
          </w:tcPr>
          <w:p w14:paraId="0A1DAB2E">
            <w:pPr>
              <w:adjustRightInd w:val="0"/>
              <w:snapToGrid w:val="0"/>
              <w:jc w:val="center"/>
              <w:rPr>
                <w:kern w:val="0"/>
                <w:szCs w:val="21"/>
              </w:rPr>
            </w:pPr>
            <w:r>
              <w:rPr>
                <w:kern w:val="0"/>
                <w:szCs w:val="21"/>
              </w:rPr>
              <w:t>总量</w:t>
            </w:r>
          </w:p>
          <w:p w14:paraId="0BC9511B">
            <w:pPr>
              <w:adjustRightInd w:val="0"/>
              <w:snapToGrid w:val="0"/>
              <w:jc w:val="center"/>
              <w:rPr>
                <w:kern w:val="0"/>
                <w:szCs w:val="21"/>
              </w:rPr>
            </w:pPr>
            <w:r>
              <w:rPr>
                <w:kern w:val="0"/>
                <w:szCs w:val="21"/>
              </w:rPr>
              <w:t>控制</w:t>
            </w:r>
          </w:p>
          <w:p w14:paraId="43601FEB">
            <w:pPr>
              <w:adjustRightInd w:val="0"/>
              <w:snapToGrid w:val="0"/>
              <w:jc w:val="center"/>
              <w:rPr>
                <w:kern w:val="0"/>
                <w:szCs w:val="21"/>
              </w:rPr>
            </w:pPr>
            <w:r>
              <w:rPr>
                <w:kern w:val="0"/>
                <w:szCs w:val="21"/>
              </w:rPr>
              <w:t>指标</w:t>
            </w:r>
          </w:p>
        </w:tc>
        <w:tc>
          <w:tcPr>
            <w:tcW w:w="8190" w:type="dxa"/>
            <w:noWrap w:val="0"/>
            <w:vAlign w:val="center"/>
          </w:tcPr>
          <w:p w14:paraId="2D6A7708">
            <w:pPr>
              <w:adjustRightInd w:val="0"/>
              <w:snapToGrid w:val="0"/>
              <w:jc w:val="center"/>
              <w:rPr>
                <w:kern w:val="0"/>
                <w:szCs w:val="21"/>
              </w:rPr>
            </w:pPr>
          </w:p>
          <w:p w14:paraId="25DED2B7">
            <w:pPr>
              <w:adjustRightInd w:val="0"/>
              <w:snapToGrid w:val="0"/>
              <w:jc w:val="center"/>
              <w:rPr>
                <w:kern w:val="0"/>
                <w:szCs w:val="21"/>
              </w:rPr>
            </w:pPr>
          </w:p>
          <w:p w14:paraId="3B5C7093">
            <w:pPr>
              <w:adjustRightInd w:val="0"/>
              <w:snapToGrid w:val="0"/>
              <w:jc w:val="center"/>
              <w:rPr>
                <w:kern w:val="0"/>
                <w:szCs w:val="21"/>
              </w:rPr>
            </w:pPr>
          </w:p>
          <w:p w14:paraId="259269C4">
            <w:pPr>
              <w:adjustRightInd w:val="0"/>
              <w:snapToGrid w:val="0"/>
              <w:jc w:val="center"/>
              <w:rPr>
                <w:kern w:val="0"/>
                <w:szCs w:val="21"/>
              </w:rPr>
            </w:pPr>
          </w:p>
          <w:p w14:paraId="06C264C2">
            <w:pPr>
              <w:adjustRightInd w:val="0"/>
              <w:snapToGrid w:val="0"/>
              <w:jc w:val="center"/>
              <w:rPr>
                <w:kern w:val="0"/>
                <w:szCs w:val="21"/>
              </w:rPr>
            </w:pPr>
          </w:p>
          <w:p w14:paraId="4CB1BC62">
            <w:pPr>
              <w:adjustRightInd w:val="0"/>
              <w:snapToGrid w:val="0"/>
              <w:jc w:val="center"/>
              <w:rPr>
                <w:kern w:val="0"/>
                <w:szCs w:val="21"/>
              </w:rPr>
            </w:pPr>
          </w:p>
          <w:p w14:paraId="2CE91476">
            <w:pPr>
              <w:adjustRightInd w:val="0"/>
              <w:snapToGrid w:val="0"/>
              <w:jc w:val="center"/>
              <w:rPr>
                <w:kern w:val="0"/>
                <w:szCs w:val="21"/>
              </w:rPr>
            </w:pPr>
          </w:p>
          <w:p w14:paraId="6189A305">
            <w:pPr>
              <w:adjustRightInd w:val="0"/>
              <w:snapToGrid w:val="0"/>
              <w:jc w:val="center"/>
              <w:rPr>
                <w:kern w:val="0"/>
                <w:szCs w:val="21"/>
              </w:rPr>
            </w:pPr>
          </w:p>
          <w:p w14:paraId="30BC848A">
            <w:pPr>
              <w:adjustRightInd w:val="0"/>
              <w:snapToGrid w:val="0"/>
              <w:jc w:val="center"/>
              <w:rPr>
                <w:kern w:val="0"/>
                <w:szCs w:val="21"/>
              </w:rPr>
            </w:pPr>
          </w:p>
          <w:p w14:paraId="1E5B43A3">
            <w:pPr>
              <w:adjustRightInd w:val="0"/>
              <w:snapToGrid w:val="0"/>
              <w:jc w:val="center"/>
              <w:rPr>
                <w:kern w:val="0"/>
                <w:szCs w:val="21"/>
              </w:rPr>
            </w:pPr>
          </w:p>
          <w:p w14:paraId="601614F3">
            <w:pPr>
              <w:adjustRightInd w:val="0"/>
              <w:snapToGrid w:val="0"/>
              <w:jc w:val="center"/>
              <w:rPr>
                <w:kern w:val="0"/>
                <w:szCs w:val="21"/>
              </w:rPr>
            </w:pPr>
          </w:p>
          <w:p w14:paraId="7682FECD">
            <w:pPr>
              <w:adjustRightInd w:val="0"/>
              <w:snapToGrid w:val="0"/>
              <w:jc w:val="center"/>
              <w:rPr>
                <w:kern w:val="0"/>
                <w:szCs w:val="21"/>
              </w:rPr>
            </w:pPr>
          </w:p>
          <w:p w14:paraId="233381B7">
            <w:pPr>
              <w:adjustRightInd w:val="0"/>
              <w:snapToGrid w:val="0"/>
              <w:jc w:val="center"/>
              <w:rPr>
                <w:kern w:val="0"/>
                <w:szCs w:val="21"/>
              </w:rPr>
            </w:pPr>
          </w:p>
          <w:p w14:paraId="172C4AA6">
            <w:pPr>
              <w:adjustRightInd w:val="0"/>
              <w:snapToGrid w:val="0"/>
              <w:jc w:val="center"/>
              <w:rPr>
                <w:kern w:val="0"/>
                <w:szCs w:val="21"/>
              </w:rPr>
            </w:pPr>
          </w:p>
          <w:p w14:paraId="0AFE7FEA">
            <w:pPr>
              <w:adjustRightInd w:val="0"/>
              <w:snapToGrid w:val="0"/>
              <w:jc w:val="center"/>
              <w:rPr>
                <w:kern w:val="0"/>
                <w:szCs w:val="21"/>
              </w:rPr>
            </w:pPr>
            <w:r>
              <w:rPr>
                <w:kern w:val="0"/>
                <w:szCs w:val="21"/>
              </w:rPr>
              <w:t>无</w:t>
            </w:r>
          </w:p>
          <w:p w14:paraId="7F03E341">
            <w:pPr>
              <w:adjustRightInd w:val="0"/>
              <w:snapToGrid w:val="0"/>
              <w:jc w:val="center"/>
              <w:rPr>
                <w:kern w:val="0"/>
                <w:szCs w:val="21"/>
              </w:rPr>
            </w:pPr>
          </w:p>
          <w:p w14:paraId="521CE73A">
            <w:pPr>
              <w:adjustRightInd w:val="0"/>
              <w:snapToGrid w:val="0"/>
              <w:jc w:val="center"/>
              <w:rPr>
                <w:kern w:val="0"/>
                <w:szCs w:val="21"/>
              </w:rPr>
            </w:pPr>
          </w:p>
          <w:p w14:paraId="74A15976">
            <w:pPr>
              <w:adjustRightInd w:val="0"/>
              <w:snapToGrid w:val="0"/>
              <w:jc w:val="center"/>
              <w:rPr>
                <w:kern w:val="0"/>
                <w:szCs w:val="21"/>
              </w:rPr>
            </w:pPr>
          </w:p>
          <w:p w14:paraId="43DE6D6F">
            <w:pPr>
              <w:adjustRightInd w:val="0"/>
              <w:snapToGrid w:val="0"/>
              <w:jc w:val="center"/>
              <w:rPr>
                <w:kern w:val="0"/>
                <w:szCs w:val="21"/>
              </w:rPr>
            </w:pPr>
          </w:p>
          <w:p w14:paraId="3B023ABB">
            <w:pPr>
              <w:adjustRightInd w:val="0"/>
              <w:snapToGrid w:val="0"/>
              <w:jc w:val="center"/>
              <w:rPr>
                <w:kern w:val="0"/>
                <w:szCs w:val="21"/>
              </w:rPr>
            </w:pPr>
          </w:p>
          <w:p w14:paraId="6B9185D9">
            <w:pPr>
              <w:adjustRightInd w:val="0"/>
              <w:snapToGrid w:val="0"/>
              <w:jc w:val="center"/>
              <w:rPr>
                <w:kern w:val="0"/>
                <w:szCs w:val="21"/>
              </w:rPr>
            </w:pPr>
          </w:p>
          <w:p w14:paraId="11F8DA17">
            <w:pPr>
              <w:adjustRightInd w:val="0"/>
              <w:snapToGrid w:val="0"/>
              <w:jc w:val="center"/>
              <w:rPr>
                <w:kern w:val="0"/>
                <w:szCs w:val="21"/>
              </w:rPr>
            </w:pPr>
          </w:p>
          <w:p w14:paraId="20F3230D">
            <w:pPr>
              <w:adjustRightInd w:val="0"/>
              <w:snapToGrid w:val="0"/>
              <w:jc w:val="center"/>
              <w:rPr>
                <w:rFonts w:hint="eastAsia" w:eastAsia="宋体"/>
                <w:kern w:val="0"/>
                <w:szCs w:val="21"/>
                <w:lang w:val="en-US" w:eastAsia="zh-CN"/>
              </w:rPr>
            </w:pPr>
          </w:p>
          <w:p w14:paraId="58CBD34A">
            <w:pPr>
              <w:adjustRightInd w:val="0"/>
              <w:snapToGrid w:val="0"/>
              <w:jc w:val="center"/>
              <w:rPr>
                <w:kern w:val="0"/>
                <w:szCs w:val="21"/>
              </w:rPr>
            </w:pPr>
          </w:p>
          <w:p w14:paraId="1A9C0E90">
            <w:pPr>
              <w:adjustRightInd w:val="0"/>
              <w:snapToGrid w:val="0"/>
              <w:jc w:val="center"/>
              <w:rPr>
                <w:kern w:val="0"/>
                <w:szCs w:val="21"/>
              </w:rPr>
            </w:pPr>
          </w:p>
          <w:p w14:paraId="3B4946FB">
            <w:pPr>
              <w:adjustRightInd w:val="0"/>
              <w:snapToGrid w:val="0"/>
              <w:jc w:val="center"/>
              <w:rPr>
                <w:kern w:val="0"/>
                <w:szCs w:val="21"/>
              </w:rPr>
            </w:pPr>
          </w:p>
          <w:p w14:paraId="7AB7C1B8">
            <w:pPr>
              <w:adjustRightInd w:val="0"/>
              <w:snapToGrid w:val="0"/>
              <w:jc w:val="center"/>
              <w:rPr>
                <w:kern w:val="0"/>
                <w:szCs w:val="21"/>
              </w:rPr>
            </w:pPr>
          </w:p>
          <w:p w14:paraId="7515B152">
            <w:pPr>
              <w:adjustRightInd w:val="0"/>
              <w:snapToGrid w:val="0"/>
              <w:jc w:val="center"/>
              <w:rPr>
                <w:kern w:val="0"/>
                <w:szCs w:val="21"/>
              </w:rPr>
            </w:pPr>
          </w:p>
          <w:p w14:paraId="34EF96A5">
            <w:pPr>
              <w:adjustRightInd w:val="0"/>
              <w:snapToGrid w:val="0"/>
              <w:jc w:val="center"/>
              <w:rPr>
                <w:kern w:val="0"/>
                <w:szCs w:val="21"/>
              </w:rPr>
            </w:pPr>
          </w:p>
          <w:p w14:paraId="2F6D06BE">
            <w:pPr>
              <w:adjustRightInd w:val="0"/>
              <w:snapToGrid w:val="0"/>
              <w:jc w:val="center"/>
              <w:rPr>
                <w:kern w:val="0"/>
                <w:szCs w:val="21"/>
              </w:rPr>
            </w:pPr>
          </w:p>
          <w:p w14:paraId="53E29AD9">
            <w:pPr>
              <w:adjustRightInd w:val="0"/>
              <w:snapToGrid w:val="0"/>
              <w:jc w:val="center"/>
              <w:rPr>
                <w:kern w:val="0"/>
                <w:szCs w:val="21"/>
              </w:rPr>
            </w:pPr>
          </w:p>
        </w:tc>
      </w:tr>
    </w:tbl>
    <w:p w14:paraId="31217B5D">
      <w:pPr>
        <w:pStyle w:val="10"/>
        <w:jc w:val="center"/>
        <w:outlineLvl w:val="0"/>
        <w:rPr>
          <w:rFonts w:ascii="Times New Roman" w:hAnsi="Times New Roman"/>
          <w:snapToGrid w:val="0"/>
          <w:sz w:val="36"/>
          <w:szCs w:val="36"/>
        </w:rPr>
      </w:pPr>
      <w:r>
        <w:rPr>
          <w:rFonts w:ascii="Times New Roman" w:hAnsi="Times New Roman"/>
          <w:snapToGrid w:val="0"/>
          <w:sz w:val="36"/>
          <w:szCs w:val="36"/>
        </w:rPr>
        <w:br w:type="page"/>
      </w:r>
    </w:p>
    <w:p w14:paraId="65741477">
      <w:pPr>
        <w:pStyle w:val="10"/>
        <w:jc w:val="center"/>
        <w:outlineLvl w:val="0"/>
        <w:rPr>
          <w:rFonts w:ascii="Times New Roman" w:hAnsi="Times New Roman"/>
          <w:snapToGrid w:val="0"/>
          <w:sz w:val="30"/>
          <w:szCs w:val="30"/>
        </w:rPr>
      </w:pPr>
      <w:r>
        <w:rPr>
          <w:rFonts w:ascii="Times New Roman" w:hAnsi="Times New Roman"/>
          <w:snapToGrid w:val="0"/>
          <w:sz w:val="30"/>
          <w:szCs w:val="30"/>
        </w:rPr>
        <w:t>四、主要环境影响和保护措施</w:t>
      </w:r>
    </w:p>
    <w:tbl>
      <w:tblPr>
        <w:tblStyle w:val="1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14:paraId="5BF2E6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9" w:hRule="atLeast"/>
          <w:jc w:val="center"/>
        </w:trPr>
        <w:tc>
          <w:tcPr>
            <w:tcW w:w="746" w:type="dxa"/>
            <w:noWrap w:val="0"/>
            <w:tcMar>
              <w:left w:w="28" w:type="dxa"/>
              <w:right w:w="28" w:type="dxa"/>
            </w:tcMar>
            <w:vAlign w:val="center"/>
          </w:tcPr>
          <w:p w14:paraId="326C7C33">
            <w:pPr>
              <w:pStyle w:val="10"/>
              <w:adjustRightInd w:val="0"/>
              <w:snapToGrid w:val="0"/>
              <w:spacing w:before="0" w:beforeAutospacing="0" w:after="0" w:afterAutospacing="0"/>
              <w:jc w:val="center"/>
              <w:rPr>
                <w:rFonts w:ascii="Times New Roman" w:hAnsi="Times New Roman"/>
                <w:kern w:val="2"/>
                <w:sz w:val="21"/>
                <w:szCs w:val="21"/>
                <w:lang w:val="en-US" w:eastAsia="zh-CN"/>
              </w:rPr>
            </w:pPr>
            <w:r>
              <w:rPr>
                <w:rFonts w:ascii="Times New Roman" w:hAnsi="Times New Roman"/>
                <w:kern w:val="2"/>
                <w:sz w:val="21"/>
                <w:szCs w:val="21"/>
                <w:lang w:val="en-US" w:eastAsia="zh-CN"/>
              </w:rPr>
              <w:t>施工</w:t>
            </w:r>
          </w:p>
          <w:p w14:paraId="18460498">
            <w:pPr>
              <w:pStyle w:val="10"/>
              <w:adjustRightInd w:val="0"/>
              <w:snapToGrid w:val="0"/>
              <w:spacing w:before="0" w:beforeAutospacing="0" w:after="0" w:afterAutospacing="0"/>
              <w:jc w:val="center"/>
              <w:rPr>
                <w:rFonts w:ascii="Times New Roman" w:hAnsi="Times New Roman"/>
                <w:kern w:val="2"/>
                <w:sz w:val="21"/>
                <w:szCs w:val="21"/>
                <w:lang w:val="en-US" w:eastAsia="zh-CN"/>
              </w:rPr>
            </w:pPr>
            <w:r>
              <w:rPr>
                <w:rFonts w:ascii="Times New Roman" w:hAnsi="Times New Roman"/>
                <w:kern w:val="2"/>
                <w:sz w:val="21"/>
                <w:szCs w:val="21"/>
                <w:lang w:val="en-US" w:eastAsia="zh-CN"/>
              </w:rPr>
              <w:t>期环</w:t>
            </w:r>
          </w:p>
          <w:p w14:paraId="4A70F3EA">
            <w:pPr>
              <w:pStyle w:val="10"/>
              <w:adjustRightInd w:val="0"/>
              <w:snapToGrid w:val="0"/>
              <w:spacing w:before="0" w:beforeAutospacing="0" w:after="0" w:afterAutospacing="0"/>
              <w:jc w:val="center"/>
              <w:rPr>
                <w:rFonts w:ascii="Times New Roman" w:hAnsi="Times New Roman"/>
                <w:kern w:val="2"/>
                <w:sz w:val="21"/>
                <w:szCs w:val="21"/>
                <w:lang w:val="en-US" w:eastAsia="zh-CN"/>
              </w:rPr>
            </w:pPr>
            <w:r>
              <w:rPr>
                <w:rFonts w:ascii="Times New Roman" w:hAnsi="Times New Roman"/>
                <w:kern w:val="2"/>
                <w:sz w:val="21"/>
                <w:szCs w:val="21"/>
                <w:lang w:val="en-US" w:eastAsia="zh-CN"/>
              </w:rPr>
              <w:t>境保</w:t>
            </w:r>
          </w:p>
          <w:p w14:paraId="004EF847">
            <w:pPr>
              <w:pStyle w:val="10"/>
              <w:adjustRightInd w:val="0"/>
              <w:snapToGrid w:val="0"/>
              <w:spacing w:before="0" w:beforeAutospacing="0" w:after="0" w:afterAutospacing="0"/>
              <w:jc w:val="center"/>
              <w:rPr>
                <w:rFonts w:ascii="Times New Roman" w:hAnsi="Times New Roman"/>
                <w:kern w:val="2"/>
                <w:sz w:val="21"/>
                <w:szCs w:val="21"/>
                <w:lang w:val="en-US" w:eastAsia="zh-CN"/>
              </w:rPr>
            </w:pPr>
            <w:r>
              <w:rPr>
                <w:rFonts w:ascii="Times New Roman" w:hAnsi="Times New Roman"/>
                <w:kern w:val="2"/>
                <w:sz w:val="21"/>
                <w:szCs w:val="21"/>
                <w:lang w:val="en-US" w:eastAsia="zh-CN"/>
              </w:rPr>
              <w:t>护措</w:t>
            </w:r>
          </w:p>
          <w:p w14:paraId="2F84150B">
            <w:pPr>
              <w:pStyle w:val="10"/>
              <w:adjustRightInd w:val="0"/>
              <w:snapToGrid w:val="0"/>
              <w:spacing w:before="0" w:beforeAutospacing="0" w:after="0" w:afterAutospacing="0"/>
              <w:jc w:val="center"/>
              <w:rPr>
                <w:rFonts w:ascii="Times New Roman" w:hAnsi="Times New Roman"/>
                <w:bCs/>
                <w:kern w:val="2"/>
                <w:sz w:val="21"/>
                <w:szCs w:val="21"/>
                <w:lang w:val="en-US" w:eastAsia="zh-CN"/>
              </w:rPr>
            </w:pPr>
            <w:r>
              <w:rPr>
                <w:rFonts w:ascii="Times New Roman" w:hAnsi="Times New Roman"/>
                <w:kern w:val="2"/>
                <w:sz w:val="21"/>
                <w:szCs w:val="21"/>
                <w:lang w:val="en-US" w:eastAsia="zh-CN"/>
              </w:rPr>
              <w:t>施</w:t>
            </w:r>
          </w:p>
        </w:tc>
        <w:tc>
          <w:tcPr>
            <w:tcW w:w="8162" w:type="dxa"/>
            <w:noWrap w:val="0"/>
            <w:vAlign w:val="center"/>
          </w:tcPr>
          <w:p w14:paraId="6DF8189B">
            <w:pPr>
              <w:pStyle w:val="20"/>
              <w:adjustRightInd/>
              <w:spacing w:line="520" w:lineRule="exact"/>
              <w:rPr>
                <w:b/>
                <w:bCs/>
              </w:rPr>
            </w:pPr>
            <w:r>
              <w:rPr>
                <w:b/>
                <w:bCs/>
              </w:rPr>
              <w:t>1.废气</w:t>
            </w:r>
          </w:p>
          <w:p w14:paraId="236EE3B9">
            <w:pPr>
              <w:pStyle w:val="20"/>
              <w:adjustRightInd/>
              <w:spacing w:line="520" w:lineRule="exact"/>
              <w:ind w:firstLine="480" w:firstLineChars="200"/>
            </w:pPr>
            <w:r>
              <w:t>施工废气主要为建筑材料在装卸、堆放和使用过程会产生扬尘；施工期车辆运输过程中产生的道路扬尘。</w:t>
            </w:r>
          </w:p>
          <w:p w14:paraId="01C8D14B">
            <w:pPr>
              <w:pStyle w:val="20"/>
              <w:adjustRightInd/>
              <w:spacing w:line="520" w:lineRule="exact"/>
              <w:ind w:firstLine="480"/>
            </w:pPr>
            <w:r>
              <w:t>（1）工程建设期间，其使用的建筑材料主要是水泥、砂土等易起尘物料，在装卸、堆放和使用过程会产生扬尘，应全部覆盖防尘布或防尘网，定期洒水抑尘，以减少建筑材料在装卸、堆放和使用过程中对环境的污染。</w:t>
            </w:r>
          </w:p>
          <w:p w14:paraId="1A169501">
            <w:pPr>
              <w:pStyle w:val="20"/>
              <w:adjustRightInd/>
              <w:spacing w:line="520" w:lineRule="exact"/>
              <w:ind w:firstLine="480"/>
            </w:pPr>
            <w:r>
              <w:t>（2）运输车辆应</w:t>
            </w:r>
            <w:r>
              <w:rPr>
                <w:rFonts w:hint="eastAsia"/>
                <w:lang w:eastAsia="zh-CN"/>
              </w:rPr>
              <w:t>加盖篷布</w:t>
            </w:r>
            <w:r>
              <w:t>，进场减速慢行以及定期对场区地面进行洒水抑尘，以减少道路扬尘对环境的污染。</w:t>
            </w:r>
          </w:p>
          <w:p w14:paraId="07A5FBF8">
            <w:pPr>
              <w:pStyle w:val="21"/>
              <w:spacing w:line="520" w:lineRule="exact"/>
              <w:rPr>
                <w:rFonts w:ascii="Times New Roman" w:cs="Times New Roman"/>
                <w:b/>
                <w:bCs/>
                <w:color w:val="auto"/>
              </w:rPr>
            </w:pPr>
            <w:r>
              <w:rPr>
                <w:rFonts w:ascii="Times New Roman" w:cs="Times New Roman"/>
                <w:b/>
                <w:bCs/>
                <w:color w:val="auto"/>
              </w:rPr>
              <w:t>2.废水</w:t>
            </w:r>
          </w:p>
          <w:p w14:paraId="17B3B97C">
            <w:pPr>
              <w:pStyle w:val="21"/>
              <w:spacing w:line="520" w:lineRule="exact"/>
              <w:ind w:firstLine="480" w:firstLineChars="200"/>
              <w:rPr>
                <w:rFonts w:ascii="Times New Roman" w:cs="Times New Roman"/>
                <w:color w:val="auto"/>
              </w:rPr>
            </w:pPr>
            <w:r>
              <w:rPr>
                <w:rFonts w:ascii="Times New Roman" w:cs="Times New Roman"/>
                <w:color w:val="auto"/>
              </w:rPr>
              <w:t>建设临时化粪池，沉淀池。生活污水经化粪池收集后拉运至园区污水处理厂，施工废水经沉淀池处理后回用于施工场地及道路洒水抑尘。</w:t>
            </w:r>
          </w:p>
          <w:p w14:paraId="46D90EAB">
            <w:pPr>
              <w:pStyle w:val="21"/>
              <w:spacing w:line="520" w:lineRule="exact"/>
              <w:rPr>
                <w:rFonts w:ascii="Times New Roman" w:cs="Times New Roman"/>
                <w:b/>
                <w:bCs/>
                <w:color w:val="auto"/>
              </w:rPr>
            </w:pPr>
            <w:r>
              <w:rPr>
                <w:rFonts w:ascii="Times New Roman" w:cs="Times New Roman"/>
                <w:b/>
                <w:bCs/>
                <w:color w:val="auto"/>
              </w:rPr>
              <w:t>3.固体废物</w:t>
            </w:r>
          </w:p>
          <w:p w14:paraId="162DB4BA">
            <w:pPr>
              <w:pStyle w:val="21"/>
              <w:spacing w:line="520" w:lineRule="exact"/>
              <w:ind w:firstLine="480" w:firstLineChars="200"/>
              <w:rPr>
                <w:rFonts w:ascii="Times New Roman" w:cs="Times New Roman"/>
                <w:color w:val="auto"/>
              </w:rPr>
            </w:pPr>
            <w:r>
              <w:rPr>
                <w:rFonts w:ascii="Times New Roman" w:cs="Times New Roman"/>
                <w:color w:val="auto"/>
              </w:rPr>
              <w:t xml:space="preserve">施工期产生的固废主要为建筑垃圾和生活垃圾。建筑垃圾为施工过程中产生的弃土、弃料等，拉运至当地政府指定地点处置。施工人员产生的生活垃圾集中收集，交由环卫部门清运。 </w:t>
            </w:r>
          </w:p>
          <w:p w14:paraId="5E7BF0A0">
            <w:pPr>
              <w:pStyle w:val="21"/>
              <w:spacing w:line="520" w:lineRule="exact"/>
              <w:rPr>
                <w:rFonts w:ascii="Times New Roman" w:cs="Times New Roman"/>
                <w:b/>
                <w:bCs/>
                <w:color w:val="auto"/>
              </w:rPr>
            </w:pPr>
            <w:r>
              <w:rPr>
                <w:rFonts w:ascii="Times New Roman" w:cs="Times New Roman"/>
                <w:b/>
                <w:bCs/>
                <w:color w:val="auto"/>
              </w:rPr>
              <w:t>4、噪声</w:t>
            </w:r>
          </w:p>
          <w:p w14:paraId="006A64E1">
            <w:pPr>
              <w:pStyle w:val="21"/>
              <w:spacing w:line="520" w:lineRule="exact"/>
              <w:ind w:left="420" w:leftChars="200"/>
              <w:rPr>
                <w:rFonts w:ascii="Times New Roman" w:cs="Times New Roman"/>
                <w:color w:val="auto"/>
              </w:rPr>
            </w:pPr>
            <w:r>
              <w:rPr>
                <w:rFonts w:ascii="Times New Roman" w:cs="Times New Roman"/>
                <w:color w:val="auto"/>
              </w:rPr>
              <w:t>（1）工程在施工时，合理安排施工时间，不在夜间施工。</w:t>
            </w:r>
          </w:p>
          <w:p w14:paraId="43EB7535">
            <w:pPr>
              <w:pStyle w:val="21"/>
              <w:spacing w:line="520" w:lineRule="exact"/>
              <w:ind w:firstLine="420" w:firstLineChars="175"/>
              <w:rPr>
                <w:rFonts w:ascii="Times New Roman" w:cs="Times New Roman"/>
                <w:color w:val="auto"/>
              </w:rPr>
            </w:pPr>
            <w:r>
              <w:rPr>
                <w:rFonts w:ascii="Times New Roman" w:cs="Times New Roman"/>
                <w:color w:val="auto"/>
              </w:rPr>
              <w:t>（2）工程在施工时，合理布局施工现场，使施工设备分散布置在施工场地，避免在同一地点安排大量设备，以避免局部噪声过高。</w:t>
            </w:r>
          </w:p>
          <w:p w14:paraId="5D68FC66">
            <w:pPr>
              <w:pStyle w:val="21"/>
              <w:spacing w:line="520" w:lineRule="exact"/>
              <w:ind w:firstLine="420" w:firstLineChars="175"/>
              <w:rPr>
                <w:rFonts w:ascii="Times New Roman" w:cs="Times New Roman"/>
                <w:color w:val="auto"/>
              </w:rPr>
            </w:pPr>
            <w:r>
              <w:rPr>
                <w:rFonts w:ascii="Times New Roman" w:cs="Times New Roman"/>
                <w:color w:val="auto"/>
              </w:rPr>
              <w:t>（3）在施工过程中施工单位应设专人对设备进行定期保养和维护，避免因部件松动或消声器损坏而加大设备工作时的声级；设备用完后或不用时应立即关闭。</w:t>
            </w:r>
          </w:p>
          <w:p w14:paraId="46E80899">
            <w:pPr>
              <w:pStyle w:val="21"/>
              <w:spacing w:line="520" w:lineRule="exact"/>
              <w:ind w:left="420" w:leftChars="200"/>
              <w:rPr>
                <w:rFonts w:ascii="Times New Roman" w:cs="Times New Roman"/>
                <w:bCs/>
                <w:color w:val="auto"/>
                <w:spacing w:val="-10"/>
                <w:szCs w:val="21"/>
              </w:rPr>
            </w:pPr>
            <w:r>
              <w:rPr>
                <w:rFonts w:ascii="Times New Roman" w:cs="Times New Roman"/>
                <w:color w:val="auto"/>
              </w:rPr>
              <w:t>（4）施工车辆出入施工现场时应低速、禁鸣。</w:t>
            </w:r>
          </w:p>
        </w:tc>
      </w:tr>
      <w:tr w14:paraId="36F974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6" w:type="dxa"/>
            <w:noWrap w:val="0"/>
            <w:tcMar>
              <w:left w:w="28" w:type="dxa"/>
              <w:right w:w="28" w:type="dxa"/>
            </w:tcMar>
            <w:vAlign w:val="center"/>
          </w:tcPr>
          <w:p w14:paraId="1C01BF63">
            <w:pPr>
              <w:adjustRightInd w:val="0"/>
              <w:snapToGrid w:val="0"/>
              <w:jc w:val="center"/>
              <w:rPr>
                <w:bCs/>
                <w:szCs w:val="21"/>
              </w:rPr>
            </w:pPr>
            <w:r>
              <w:rPr>
                <w:bCs/>
                <w:szCs w:val="21"/>
              </w:rPr>
              <w:t>运营</w:t>
            </w:r>
          </w:p>
          <w:p w14:paraId="761B87A4">
            <w:pPr>
              <w:adjustRightInd w:val="0"/>
              <w:snapToGrid w:val="0"/>
              <w:jc w:val="center"/>
              <w:rPr>
                <w:bCs/>
                <w:szCs w:val="21"/>
              </w:rPr>
            </w:pPr>
            <w:r>
              <w:rPr>
                <w:bCs/>
                <w:szCs w:val="21"/>
              </w:rPr>
              <w:t>期环</w:t>
            </w:r>
          </w:p>
          <w:p w14:paraId="191D8C8A">
            <w:pPr>
              <w:adjustRightInd w:val="0"/>
              <w:snapToGrid w:val="0"/>
              <w:jc w:val="center"/>
              <w:rPr>
                <w:bCs/>
                <w:szCs w:val="21"/>
              </w:rPr>
            </w:pPr>
            <w:r>
              <w:rPr>
                <w:bCs/>
                <w:szCs w:val="21"/>
              </w:rPr>
              <w:t>境影</w:t>
            </w:r>
          </w:p>
          <w:p w14:paraId="7889F1EE">
            <w:pPr>
              <w:adjustRightInd w:val="0"/>
              <w:snapToGrid w:val="0"/>
              <w:jc w:val="center"/>
              <w:rPr>
                <w:bCs/>
                <w:szCs w:val="21"/>
              </w:rPr>
            </w:pPr>
            <w:r>
              <w:rPr>
                <w:bCs/>
                <w:szCs w:val="21"/>
              </w:rPr>
              <w:t>响和</w:t>
            </w:r>
          </w:p>
          <w:p w14:paraId="0A2B7953">
            <w:pPr>
              <w:adjustRightInd w:val="0"/>
              <w:snapToGrid w:val="0"/>
              <w:jc w:val="center"/>
              <w:rPr>
                <w:bCs/>
                <w:szCs w:val="21"/>
              </w:rPr>
            </w:pPr>
            <w:r>
              <w:rPr>
                <w:bCs/>
                <w:szCs w:val="21"/>
              </w:rPr>
              <w:t>保护</w:t>
            </w:r>
          </w:p>
          <w:p w14:paraId="0214426B">
            <w:pPr>
              <w:adjustRightInd w:val="0"/>
              <w:snapToGrid w:val="0"/>
              <w:jc w:val="center"/>
              <w:rPr>
                <w:bCs/>
                <w:szCs w:val="21"/>
              </w:rPr>
            </w:pPr>
            <w:r>
              <w:rPr>
                <w:bCs/>
                <w:szCs w:val="21"/>
              </w:rPr>
              <w:t>措施</w:t>
            </w:r>
          </w:p>
        </w:tc>
        <w:tc>
          <w:tcPr>
            <w:tcW w:w="8162" w:type="dxa"/>
            <w:noWrap w:val="0"/>
            <w:vAlign w:val="center"/>
          </w:tcPr>
          <w:p w14:paraId="24DE3F31">
            <w:pPr>
              <w:spacing w:line="520" w:lineRule="exact"/>
              <w:rPr>
                <w:b/>
                <w:bCs/>
                <w:kern w:val="24"/>
                <w:sz w:val="24"/>
              </w:rPr>
            </w:pPr>
            <w:r>
              <w:rPr>
                <w:b/>
                <w:bCs/>
                <w:kern w:val="24"/>
                <w:sz w:val="24"/>
              </w:rPr>
              <w:t>1.废气</w:t>
            </w:r>
          </w:p>
          <w:p w14:paraId="3D9BEB75">
            <w:pPr>
              <w:spacing w:line="520" w:lineRule="exact"/>
              <w:rPr>
                <w:kern w:val="24"/>
                <w:sz w:val="24"/>
              </w:rPr>
            </w:pPr>
            <w:r>
              <w:rPr>
                <w:kern w:val="24"/>
                <w:sz w:val="24"/>
              </w:rPr>
              <w:t>（1）机制砂机破碎筛分粉尘</w:t>
            </w:r>
          </w:p>
          <w:p w14:paraId="5329EFFE">
            <w:pPr>
              <w:spacing w:line="520" w:lineRule="exact"/>
              <w:ind w:firstLine="480" w:firstLineChars="200"/>
              <w:rPr>
                <w:color w:val="auto"/>
                <w:kern w:val="24"/>
                <w:sz w:val="24"/>
              </w:rPr>
            </w:pPr>
            <w:r>
              <w:rPr>
                <w:kern w:val="24"/>
                <w:sz w:val="24"/>
              </w:rPr>
              <w:t>本项目所用砂子均为回收废石后在厂区自行破碎一次并筛分一次制得。本项目共计破碎废石量为294037t，</w:t>
            </w:r>
            <w:r>
              <w:rPr>
                <w:sz w:val="24"/>
              </w:rPr>
              <w:t>破碎产生的有组织粉尘根据《逸散性工业粉尘控制技术》（第十八章：粒料加工行业）中给出的参考数据计算，原料在破碎过程中的粉尘产生量为0.25kg/t-原料，</w:t>
            </w:r>
            <w:r>
              <w:rPr>
                <w:bCs/>
                <w:sz w:val="24"/>
              </w:rPr>
              <w:t>筛分过程的产生系数为0.75kg/t-原料，</w:t>
            </w:r>
            <w:r>
              <w:rPr>
                <w:sz w:val="24"/>
              </w:rPr>
              <w:t>则粉尘的产生量为294</w:t>
            </w:r>
            <w:r>
              <w:rPr>
                <w:color w:val="auto"/>
                <w:sz w:val="24"/>
              </w:rPr>
              <w:t>.04t/a，破碎及筛分</w:t>
            </w:r>
            <w:r>
              <w:rPr>
                <w:rFonts w:hint="eastAsia"/>
                <w:color w:val="auto"/>
                <w:sz w:val="24"/>
                <w:lang w:val="en-US" w:eastAsia="zh-CN"/>
              </w:rPr>
              <w:t>系统</w:t>
            </w:r>
            <w:r>
              <w:rPr>
                <w:color w:val="auto"/>
                <w:sz w:val="24"/>
              </w:rPr>
              <w:t>上方各设置一台集气罩，集气效率为90%，则集尘量为264.64t/a，无组织粉尘产生量为29.40t/a，收集后的废气通过布袋除尘器处理，除尘效率</w:t>
            </w:r>
            <w:r>
              <w:rPr>
                <w:color w:val="auto"/>
                <w:kern w:val="24"/>
                <w:sz w:val="24"/>
              </w:rPr>
              <w:t>以99%计，则颗粒物有组织排放量为2.65t/a，处理后的废气经15m高排气筒排放（P1），除尘器风机风量为20000</w:t>
            </w:r>
            <w:r>
              <w:rPr>
                <w:bCs/>
                <w:color w:val="auto"/>
                <w:spacing w:val="-10"/>
                <w:sz w:val="24"/>
              </w:rPr>
              <w:t>m³/h，则排气筒放速率为1.58kg/h，排放浓度为79mg/m</w:t>
            </w:r>
            <w:r>
              <w:rPr>
                <w:bCs/>
                <w:color w:val="auto"/>
                <w:spacing w:val="-10"/>
                <w:sz w:val="24"/>
                <w:vertAlign w:val="superscript"/>
              </w:rPr>
              <w:t>3</w:t>
            </w:r>
            <w:r>
              <w:rPr>
                <w:bCs/>
                <w:color w:val="auto"/>
                <w:spacing w:val="-10"/>
                <w:sz w:val="24"/>
              </w:rPr>
              <w:t>。</w:t>
            </w:r>
          </w:p>
          <w:p w14:paraId="1FEB70AA">
            <w:pPr>
              <w:spacing w:line="520" w:lineRule="exact"/>
              <w:ind w:firstLine="480" w:firstLineChars="200"/>
              <w:rPr>
                <w:color w:val="auto"/>
                <w:kern w:val="24"/>
                <w:sz w:val="24"/>
              </w:rPr>
            </w:pPr>
            <w:r>
              <w:rPr>
                <w:color w:val="auto"/>
                <w:kern w:val="24"/>
                <w:sz w:val="24"/>
              </w:rPr>
              <w:t>本项目制砂破碎机设于全封闭储料棚内，粉尘去除效率为99％，并设有洒水车洒水抑尘，粉尘去除效率为</w:t>
            </w:r>
            <w:r>
              <w:rPr>
                <w:rFonts w:hint="eastAsia"/>
                <w:color w:val="auto"/>
                <w:kern w:val="24"/>
                <w:sz w:val="24"/>
                <w:lang w:val="en-US" w:eastAsia="zh-CN"/>
              </w:rPr>
              <w:t>74</w:t>
            </w:r>
            <w:r>
              <w:rPr>
                <w:color w:val="auto"/>
                <w:kern w:val="24"/>
                <w:sz w:val="24"/>
              </w:rPr>
              <w:t>％，因此无组织粉尘</w:t>
            </w:r>
            <w:r>
              <w:rPr>
                <w:color w:val="auto"/>
                <w:sz w:val="24"/>
              </w:rPr>
              <w:t>排放量为0.0</w:t>
            </w:r>
            <w:r>
              <w:rPr>
                <w:rFonts w:hint="eastAsia"/>
                <w:color w:val="auto"/>
                <w:sz w:val="24"/>
                <w:lang w:val="en-US" w:eastAsia="zh-CN"/>
              </w:rPr>
              <w:t>8</w:t>
            </w:r>
            <w:r>
              <w:rPr>
                <w:color w:val="auto"/>
                <w:sz w:val="24"/>
              </w:rPr>
              <w:t>t/a。综上通过采取上述措施机制砂破碎筛分粉尘排放满足</w:t>
            </w:r>
            <w:r>
              <w:rPr>
                <w:color w:val="auto"/>
                <w:kern w:val="24"/>
                <w:sz w:val="24"/>
              </w:rPr>
              <w:t>《大气污染物综合排放标准》（GB16297-1996）表2中排放浓度限值。</w:t>
            </w:r>
          </w:p>
          <w:p w14:paraId="7ADB5EA7">
            <w:pPr>
              <w:spacing w:line="520" w:lineRule="exact"/>
              <w:rPr>
                <w:color w:val="auto"/>
                <w:kern w:val="24"/>
                <w:sz w:val="24"/>
              </w:rPr>
            </w:pPr>
            <w:r>
              <w:rPr>
                <w:color w:val="auto"/>
                <w:kern w:val="24"/>
                <w:sz w:val="24"/>
              </w:rPr>
              <w:t>（2）原料装卸粉尘</w:t>
            </w:r>
          </w:p>
          <w:p w14:paraId="0C239D9E">
            <w:pPr>
              <w:spacing w:line="520" w:lineRule="exact"/>
              <w:ind w:firstLine="480" w:firstLineChars="200"/>
              <w:rPr>
                <w:color w:val="auto"/>
                <w:kern w:val="24"/>
                <w:sz w:val="24"/>
              </w:rPr>
            </w:pPr>
            <w:r>
              <w:rPr>
                <w:color w:val="auto"/>
                <w:kern w:val="24"/>
                <w:sz w:val="24"/>
              </w:rPr>
              <w:t>①砂石装卸</w:t>
            </w:r>
          </w:p>
          <w:p w14:paraId="6BC6D700">
            <w:pPr>
              <w:spacing w:line="520" w:lineRule="exact"/>
              <w:ind w:firstLine="480" w:firstLineChars="200"/>
              <w:rPr>
                <w:color w:val="auto"/>
                <w:kern w:val="24"/>
                <w:sz w:val="24"/>
              </w:rPr>
            </w:pPr>
            <w:r>
              <w:rPr>
                <w:color w:val="auto"/>
                <w:kern w:val="24"/>
                <w:sz w:val="24"/>
              </w:rPr>
              <w:t>根据《逸散性工业粉尘控制技术》中相关说明，原料装卸、装载机投料的粉尘产生量为0.02kg/t，本项目砂石料用量共计737347t/a，即装卸、投料粉尘产生量的无组织粉尘为14.75t/a，项目采用全封闭储料棚储存砂石料，粉尘去除效率为99％，并设有洒水车洒水抑尘，粉尘去除效率为</w:t>
            </w:r>
            <w:r>
              <w:rPr>
                <w:rFonts w:hint="eastAsia"/>
                <w:color w:val="auto"/>
                <w:kern w:val="24"/>
                <w:sz w:val="24"/>
                <w:lang w:val="en-US" w:eastAsia="zh-CN"/>
              </w:rPr>
              <w:t>74</w:t>
            </w:r>
            <w:r>
              <w:rPr>
                <w:color w:val="auto"/>
                <w:kern w:val="24"/>
                <w:sz w:val="24"/>
              </w:rPr>
              <w:t>％，因此无组织粉尘最终排放量为0.</w:t>
            </w:r>
            <w:r>
              <w:rPr>
                <w:rFonts w:hint="eastAsia"/>
                <w:color w:val="auto"/>
                <w:kern w:val="24"/>
                <w:sz w:val="24"/>
                <w:lang w:val="en-US" w:eastAsia="zh-CN"/>
              </w:rPr>
              <w:t>04</w:t>
            </w:r>
            <w:r>
              <w:rPr>
                <w:color w:val="auto"/>
                <w:kern w:val="24"/>
                <w:sz w:val="24"/>
              </w:rPr>
              <w:t>t/a。</w:t>
            </w:r>
          </w:p>
          <w:p w14:paraId="40D01DE9">
            <w:pPr>
              <w:adjustRightInd w:val="0"/>
              <w:snapToGrid w:val="0"/>
              <w:spacing w:line="520" w:lineRule="exact"/>
              <w:ind w:firstLine="480" w:firstLineChars="200"/>
              <w:rPr>
                <w:kern w:val="24"/>
                <w:sz w:val="24"/>
              </w:rPr>
            </w:pPr>
            <w:r>
              <w:rPr>
                <w:kern w:val="24"/>
                <w:sz w:val="24"/>
              </w:rPr>
              <w:t>②水泥装卸</w:t>
            </w:r>
          </w:p>
          <w:p w14:paraId="0647BECF">
            <w:pPr>
              <w:spacing w:line="520" w:lineRule="exact"/>
              <w:ind w:firstLine="480" w:firstLineChars="200"/>
            </w:pPr>
            <w:r>
              <w:rPr>
                <w:sz w:val="24"/>
              </w:rPr>
              <w:t>本项目水泥年用量为140070t，每辆车可装水泥14.3t，卸完一车水泥所需时间约为22分钟。本项目设有4个水泥筒仓，每个水泥筒仓容量71.4t，则装满一个水泥筒仓需约1.8h，则水泥装卸全年需约3502h，1个筒仓需要876h。本项目</w:t>
            </w:r>
            <w:r>
              <w:rPr>
                <w:bCs/>
                <w:spacing w:val="-10"/>
                <w:sz w:val="24"/>
              </w:rPr>
              <w:t>在每个水泥筒仓顶部安装布袋除尘器（P2-P5），根据</w:t>
            </w:r>
            <w:r>
              <w:rPr>
                <w:sz w:val="24"/>
              </w:rPr>
              <w:t>《逸散性工业粉尘控制技术》（第二十二章：混凝土搅拌行业）</w:t>
            </w:r>
            <w:r>
              <w:rPr>
                <w:bCs/>
                <w:spacing w:val="-10"/>
                <w:sz w:val="24"/>
              </w:rPr>
              <w:t>中</w:t>
            </w:r>
            <w:r>
              <w:rPr>
                <w:sz w:val="24"/>
              </w:rPr>
              <w:t>给出的参考数据</w:t>
            </w:r>
            <w:r>
              <w:rPr>
                <w:bCs/>
                <w:spacing w:val="-10"/>
                <w:sz w:val="24"/>
              </w:rPr>
              <w:t>，</w:t>
            </w:r>
            <w:r>
              <w:rPr>
                <w:sz w:val="24"/>
              </w:rPr>
              <w:t>原料在进、出料过程中的粉尘产生量为0.24kg/t-原料</w:t>
            </w:r>
            <w:r>
              <w:rPr>
                <w:bCs/>
                <w:spacing w:val="-10"/>
                <w:sz w:val="24"/>
              </w:rPr>
              <w:t>，即33.6</w:t>
            </w:r>
            <w:r>
              <w:rPr>
                <w:rFonts w:hint="eastAsia"/>
                <w:bCs/>
                <w:spacing w:val="-10"/>
                <w:sz w:val="24"/>
                <w:lang w:val="en-US" w:eastAsia="zh-CN"/>
              </w:rPr>
              <w:t>2</w:t>
            </w:r>
            <w:r>
              <w:rPr>
                <w:bCs/>
                <w:spacing w:val="-10"/>
                <w:sz w:val="24"/>
              </w:rPr>
              <w:t>t/a，布袋除尘工艺的平均去除效率为 99%，因此颗粒物的最终排放量为0.34t/a，通过4根15m高的排气筒（P2-P5）排放，排气筒风机风量为12000m³/h，每个排气筒排放速率为0.10kg/h，因此处理后粉尘排放浓度为8.3mg/m³，满足</w:t>
            </w:r>
            <w:r>
              <w:rPr>
                <w:kern w:val="0"/>
                <w:sz w:val="24"/>
              </w:rPr>
              <w:t>《水泥工业大气污染物排放标准》（GB4915-2013）表2中大气污染物特别排放限值，可实现达标排放。</w:t>
            </w:r>
          </w:p>
          <w:p w14:paraId="03324B60">
            <w:pPr>
              <w:spacing w:line="520" w:lineRule="exact"/>
              <w:ind w:firstLine="480" w:firstLineChars="200"/>
              <w:rPr>
                <w:kern w:val="24"/>
                <w:sz w:val="24"/>
              </w:rPr>
            </w:pPr>
            <w:r>
              <w:rPr>
                <w:kern w:val="24"/>
                <w:sz w:val="24"/>
              </w:rPr>
              <w:t>③粉煤灰装卸</w:t>
            </w:r>
          </w:p>
          <w:p w14:paraId="34A98E1F">
            <w:pPr>
              <w:spacing w:line="520" w:lineRule="exact"/>
              <w:ind w:firstLine="480" w:firstLineChars="200"/>
              <w:rPr>
                <w:kern w:val="24"/>
                <w:sz w:val="24"/>
              </w:rPr>
            </w:pPr>
            <w:r>
              <w:rPr>
                <w:sz w:val="24"/>
              </w:rPr>
              <w:t>本项目粉煤灰年用量为32004t，每辆车可装粉煤灰16.7t，卸完一车粉煤灰所需时间约为25分钟。本项目设有4个粉煤灰筒仓，每个粉煤灰筒仓容量73.3t，则装满一个粉煤灰筒仓需约1.8</w:t>
            </w:r>
            <w:r>
              <w:rPr>
                <w:rFonts w:hint="eastAsia"/>
                <w:sz w:val="24"/>
                <w:lang w:val="en-US" w:eastAsia="zh-CN"/>
              </w:rPr>
              <w:t>3</w:t>
            </w:r>
            <w:r>
              <w:rPr>
                <w:sz w:val="24"/>
              </w:rPr>
              <w:t>h，则粉煤灰装卸全年需约</w:t>
            </w:r>
            <w:r>
              <w:rPr>
                <w:rFonts w:hint="eastAsia"/>
                <w:sz w:val="24"/>
                <w:lang w:val="en-US" w:eastAsia="zh-CN"/>
              </w:rPr>
              <w:t>799</w:t>
            </w:r>
            <w:r>
              <w:rPr>
                <w:sz w:val="24"/>
              </w:rPr>
              <w:t>h，1个筒仓需要200h。本项目</w:t>
            </w:r>
            <w:r>
              <w:rPr>
                <w:bCs/>
                <w:spacing w:val="-10"/>
                <w:sz w:val="24"/>
              </w:rPr>
              <w:t>在每个粉煤灰筒仓顶部安装布袋除尘器（P6-P9），根据</w:t>
            </w:r>
            <w:r>
              <w:rPr>
                <w:sz w:val="24"/>
              </w:rPr>
              <w:t>《逸散性工业粉尘控制技术》（第二十二章：混凝土搅拌行业）</w:t>
            </w:r>
            <w:r>
              <w:rPr>
                <w:bCs/>
                <w:spacing w:val="-10"/>
                <w:sz w:val="24"/>
              </w:rPr>
              <w:t>中</w:t>
            </w:r>
            <w:r>
              <w:rPr>
                <w:sz w:val="24"/>
              </w:rPr>
              <w:t>给出的参考数据</w:t>
            </w:r>
            <w:r>
              <w:rPr>
                <w:bCs/>
                <w:spacing w:val="-10"/>
                <w:sz w:val="24"/>
              </w:rPr>
              <w:t>，</w:t>
            </w:r>
            <w:r>
              <w:rPr>
                <w:sz w:val="24"/>
              </w:rPr>
              <w:t>原料在进、出料过程中的粉尘产生量为0.24kg/t-原料</w:t>
            </w:r>
            <w:r>
              <w:rPr>
                <w:bCs/>
                <w:spacing w:val="-10"/>
                <w:sz w:val="24"/>
              </w:rPr>
              <w:t>，即7.</w:t>
            </w:r>
            <w:r>
              <w:rPr>
                <w:rFonts w:hint="eastAsia"/>
                <w:bCs/>
                <w:spacing w:val="-10"/>
                <w:sz w:val="24"/>
                <w:lang w:val="en-US" w:eastAsia="zh-CN"/>
              </w:rPr>
              <w:t>68</w:t>
            </w:r>
            <w:r>
              <w:rPr>
                <w:bCs/>
                <w:spacing w:val="-10"/>
                <w:sz w:val="24"/>
              </w:rPr>
              <w:t>t/a，布袋除尘工艺的平均去除效率为 99%，因此颗粒物的最终排放量为0.08t/a，通过4根15m高的排气筒（P6-P9）排放，排气筒风机风量为12000m³/h，每个排气筒排放速率为0.10kg/h，因此处理后粉尘排放浓度为8.3mg/m³，满足</w:t>
            </w:r>
            <w:r>
              <w:rPr>
                <w:kern w:val="0"/>
                <w:sz w:val="24"/>
              </w:rPr>
              <w:t>《大气污染物综合排</w:t>
            </w:r>
            <w:r>
              <w:rPr>
                <w:kern w:val="24"/>
                <w:sz w:val="24"/>
              </w:rPr>
              <w:t>放标准》（GB16297-1996）表2中排放浓度限值，可实现达标排放。</w:t>
            </w:r>
          </w:p>
          <w:p w14:paraId="72543E6B">
            <w:pPr>
              <w:spacing w:line="520" w:lineRule="exact"/>
              <w:ind w:firstLine="480" w:firstLineChars="200"/>
              <w:rPr>
                <w:kern w:val="24"/>
                <w:sz w:val="24"/>
              </w:rPr>
            </w:pPr>
            <w:r>
              <w:rPr>
                <w:kern w:val="24"/>
                <w:sz w:val="24"/>
              </w:rPr>
              <w:t>综上本项目废气排放情况见下表4-1。</w:t>
            </w:r>
          </w:p>
          <w:p w14:paraId="3007DD96">
            <w:pPr>
              <w:pStyle w:val="5"/>
              <w:ind w:firstLine="482"/>
              <w:jc w:val="center"/>
              <w:rPr>
                <w:b/>
                <w:bCs/>
                <w:lang w:val="en-US" w:eastAsia="zh-CN"/>
              </w:rPr>
            </w:pPr>
            <w:r>
              <w:rPr>
                <w:b/>
                <w:bCs/>
                <w:lang w:val="en-US" w:eastAsia="zh-CN"/>
              </w:rPr>
              <w:t xml:space="preserve">表4-1  </w:t>
            </w:r>
            <w:r>
              <w:rPr>
                <w:b/>
                <w:bCs/>
                <w:szCs w:val="24"/>
                <w:lang w:val="en-US" w:eastAsia="zh-CN"/>
              </w:rPr>
              <w:t>废气污染源源强核算结果表</w:t>
            </w:r>
          </w:p>
          <w:tbl>
            <w:tblPr>
              <w:tblStyle w:val="11"/>
              <w:tblW w:w="7946"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6"/>
              <w:gridCol w:w="575"/>
              <w:gridCol w:w="450"/>
              <w:gridCol w:w="900"/>
              <w:gridCol w:w="863"/>
              <w:gridCol w:w="787"/>
              <w:gridCol w:w="663"/>
              <w:gridCol w:w="787"/>
              <w:gridCol w:w="829"/>
              <w:gridCol w:w="759"/>
              <w:gridCol w:w="687"/>
            </w:tblGrid>
            <w:tr w14:paraId="6F688B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vMerge w:val="restart"/>
                  <w:noWrap w:val="0"/>
                  <w:vAlign w:val="center"/>
                </w:tcPr>
                <w:p w14:paraId="270B792A">
                  <w:pPr>
                    <w:jc w:val="center"/>
                    <w:rPr>
                      <w:szCs w:val="21"/>
                    </w:rPr>
                  </w:pPr>
                  <w:r>
                    <w:rPr>
                      <w:szCs w:val="21"/>
                    </w:rPr>
                    <w:t>工序生产线</w:t>
                  </w:r>
                </w:p>
              </w:tc>
              <w:tc>
                <w:tcPr>
                  <w:tcW w:w="575" w:type="dxa"/>
                  <w:vMerge w:val="restart"/>
                  <w:noWrap w:val="0"/>
                  <w:vAlign w:val="center"/>
                </w:tcPr>
                <w:p w14:paraId="0EF844BE">
                  <w:pPr>
                    <w:jc w:val="center"/>
                    <w:rPr>
                      <w:szCs w:val="21"/>
                    </w:rPr>
                  </w:pPr>
                  <w:r>
                    <w:rPr>
                      <w:szCs w:val="21"/>
                    </w:rPr>
                    <w:t>污染源</w:t>
                  </w:r>
                </w:p>
              </w:tc>
              <w:tc>
                <w:tcPr>
                  <w:tcW w:w="450" w:type="dxa"/>
                  <w:vMerge w:val="restart"/>
                  <w:noWrap w:val="0"/>
                  <w:vAlign w:val="center"/>
                </w:tcPr>
                <w:p w14:paraId="6BF2421B">
                  <w:pPr>
                    <w:jc w:val="center"/>
                    <w:rPr>
                      <w:szCs w:val="21"/>
                    </w:rPr>
                  </w:pPr>
                  <w:r>
                    <w:rPr>
                      <w:szCs w:val="21"/>
                    </w:rPr>
                    <w:t>污染物</w:t>
                  </w:r>
                </w:p>
              </w:tc>
              <w:tc>
                <w:tcPr>
                  <w:tcW w:w="900" w:type="dxa"/>
                  <w:noWrap w:val="0"/>
                  <w:vAlign w:val="top"/>
                </w:tcPr>
                <w:p w14:paraId="621B6F50">
                  <w:pPr>
                    <w:jc w:val="center"/>
                    <w:rPr>
                      <w:szCs w:val="21"/>
                    </w:rPr>
                  </w:pPr>
                  <w:r>
                    <w:rPr>
                      <w:szCs w:val="21"/>
                    </w:rPr>
                    <w:t>污染物</w:t>
                  </w:r>
                </w:p>
                <w:p w14:paraId="58541852">
                  <w:pPr>
                    <w:jc w:val="center"/>
                    <w:rPr>
                      <w:szCs w:val="21"/>
                    </w:rPr>
                  </w:pPr>
                  <w:r>
                    <w:rPr>
                      <w:szCs w:val="21"/>
                    </w:rPr>
                    <w:t>产生</w:t>
                  </w:r>
                </w:p>
              </w:tc>
              <w:tc>
                <w:tcPr>
                  <w:tcW w:w="1650" w:type="dxa"/>
                  <w:gridSpan w:val="2"/>
                  <w:noWrap w:val="0"/>
                  <w:vAlign w:val="center"/>
                </w:tcPr>
                <w:p w14:paraId="2D308D20">
                  <w:pPr>
                    <w:jc w:val="center"/>
                    <w:rPr>
                      <w:szCs w:val="21"/>
                    </w:rPr>
                  </w:pPr>
                  <w:r>
                    <w:rPr>
                      <w:szCs w:val="21"/>
                    </w:rPr>
                    <w:t>治理措施</w:t>
                  </w:r>
                </w:p>
              </w:tc>
              <w:tc>
                <w:tcPr>
                  <w:tcW w:w="3038" w:type="dxa"/>
                  <w:gridSpan w:val="4"/>
                  <w:noWrap w:val="0"/>
                  <w:vAlign w:val="center"/>
                </w:tcPr>
                <w:p w14:paraId="7B7E9F86">
                  <w:pPr>
                    <w:jc w:val="center"/>
                    <w:rPr>
                      <w:szCs w:val="21"/>
                    </w:rPr>
                  </w:pPr>
                  <w:r>
                    <w:rPr>
                      <w:szCs w:val="21"/>
                    </w:rPr>
                    <w:t>污染物排放</w:t>
                  </w:r>
                </w:p>
              </w:tc>
              <w:tc>
                <w:tcPr>
                  <w:tcW w:w="687" w:type="dxa"/>
                  <w:vMerge w:val="restart"/>
                  <w:noWrap w:val="0"/>
                  <w:vAlign w:val="top"/>
                </w:tcPr>
                <w:p w14:paraId="239CC7EA">
                  <w:pPr>
                    <w:jc w:val="center"/>
                    <w:rPr>
                      <w:szCs w:val="21"/>
                    </w:rPr>
                  </w:pPr>
                  <w:r>
                    <w:rPr>
                      <w:szCs w:val="21"/>
                    </w:rPr>
                    <w:t>排放时间</w:t>
                  </w:r>
                </w:p>
                <w:p w14:paraId="3B2B1743">
                  <w:pPr>
                    <w:jc w:val="center"/>
                    <w:rPr>
                      <w:szCs w:val="21"/>
                    </w:rPr>
                  </w:pPr>
                  <w:r>
                    <w:rPr>
                      <w:szCs w:val="21"/>
                    </w:rPr>
                    <w:t>h</w:t>
                  </w:r>
                </w:p>
              </w:tc>
            </w:tr>
            <w:tr w14:paraId="3AA82B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vMerge w:val="continue"/>
                  <w:noWrap w:val="0"/>
                  <w:vAlign w:val="top"/>
                </w:tcPr>
                <w:p w14:paraId="58F8C1A2">
                  <w:pPr>
                    <w:pStyle w:val="5"/>
                    <w:rPr>
                      <w:sz w:val="21"/>
                      <w:szCs w:val="21"/>
                      <w:lang w:val="en-US" w:eastAsia="zh-CN"/>
                    </w:rPr>
                  </w:pPr>
                </w:p>
              </w:tc>
              <w:tc>
                <w:tcPr>
                  <w:tcW w:w="575" w:type="dxa"/>
                  <w:vMerge w:val="continue"/>
                  <w:noWrap w:val="0"/>
                  <w:vAlign w:val="top"/>
                </w:tcPr>
                <w:p w14:paraId="0E6A5B60">
                  <w:pPr>
                    <w:pStyle w:val="5"/>
                    <w:rPr>
                      <w:sz w:val="21"/>
                      <w:szCs w:val="21"/>
                      <w:lang w:val="en-US" w:eastAsia="zh-CN"/>
                    </w:rPr>
                  </w:pPr>
                </w:p>
              </w:tc>
              <w:tc>
                <w:tcPr>
                  <w:tcW w:w="450" w:type="dxa"/>
                  <w:vMerge w:val="continue"/>
                  <w:noWrap w:val="0"/>
                  <w:vAlign w:val="top"/>
                </w:tcPr>
                <w:p w14:paraId="01C9E402">
                  <w:pPr>
                    <w:pStyle w:val="5"/>
                    <w:rPr>
                      <w:sz w:val="21"/>
                      <w:szCs w:val="21"/>
                      <w:lang w:val="en-US" w:eastAsia="zh-CN"/>
                    </w:rPr>
                  </w:pPr>
                </w:p>
              </w:tc>
              <w:tc>
                <w:tcPr>
                  <w:tcW w:w="900" w:type="dxa"/>
                  <w:noWrap w:val="0"/>
                  <w:vAlign w:val="center"/>
                </w:tcPr>
                <w:p w14:paraId="7590D4B6">
                  <w:pPr>
                    <w:jc w:val="center"/>
                    <w:rPr>
                      <w:szCs w:val="21"/>
                    </w:rPr>
                  </w:pPr>
                  <w:r>
                    <w:rPr>
                      <w:szCs w:val="21"/>
                    </w:rPr>
                    <w:t>产生量</w:t>
                  </w:r>
                </w:p>
                <w:p w14:paraId="003026B5">
                  <w:pPr>
                    <w:jc w:val="center"/>
                    <w:rPr>
                      <w:szCs w:val="21"/>
                    </w:rPr>
                  </w:pPr>
                  <w:r>
                    <w:rPr>
                      <w:szCs w:val="21"/>
                    </w:rPr>
                    <w:t>t/a</w:t>
                  </w:r>
                </w:p>
              </w:tc>
              <w:tc>
                <w:tcPr>
                  <w:tcW w:w="863" w:type="dxa"/>
                  <w:noWrap w:val="0"/>
                  <w:vAlign w:val="center"/>
                </w:tcPr>
                <w:p w14:paraId="60AC0B93">
                  <w:pPr>
                    <w:jc w:val="center"/>
                    <w:rPr>
                      <w:szCs w:val="21"/>
                    </w:rPr>
                  </w:pPr>
                  <w:r>
                    <w:rPr>
                      <w:szCs w:val="21"/>
                    </w:rPr>
                    <w:t>工艺</w:t>
                  </w:r>
                </w:p>
              </w:tc>
              <w:tc>
                <w:tcPr>
                  <w:tcW w:w="787" w:type="dxa"/>
                  <w:noWrap w:val="0"/>
                  <w:vAlign w:val="center"/>
                </w:tcPr>
                <w:p w14:paraId="7036FAFF">
                  <w:pPr>
                    <w:jc w:val="center"/>
                    <w:rPr>
                      <w:szCs w:val="21"/>
                    </w:rPr>
                  </w:pPr>
                  <w:r>
                    <w:rPr>
                      <w:szCs w:val="21"/>
                    </w:rPr>
                    <w:t>效率％</w:t>
                  </w:r>
                </w:p>
              </w:tc>
              <w:tc>
                <w:tcPr>
                  <w:tcW w:w="663" w:type="dxa"/>
                  <w:noWrap w:val="0"/>
                  <w:vAlign w:val="center"/>
                </w:tcPr>
                <w:p w14:paraId="1CE24360">
                  <w:pPr>
                    <w:jc w:val="center"/>
                    <w:rPr>
                      <w:szCs w:val="21"/>
                    </w:rPr>
                  </w:pPr>
                  <w:r>
                    <w:rPr>
                      <w:szCs w:val="21"/>
                    </w:rPr>
                    <w:t>排放量</w:t>
                  </w:r>
                </w:p>
                <w:p w14:paraId="25405174">
                  <w:pPr>
                    <w:jc w:val="center"/>
                    <w:rPr>
                      <w:szCs w:val="21"/>
                    </w:rPr>
                  </w:pPr>
                  <w:r>
                    <w:rPr>
                      <w:szCs w:val="21"/>
                    </w:rPr>
                    <w:t>t/a</w:t>
                  </w:r>
                </w:p>
              </w:tc>
              <w:tc>
                <w:tcPr>
                  <w:tcW w:w="787" w:type="dxa"/>
                  <w:noWrap w:val="0"/>
                  <w:vAlign w:val="center"/>
                </w:tcPr>
                <w:p w14:paraId="01E429FB">
                  <w:pPr>
                    <w:jc w:val="center"/>
                    <w:rPr>
                      <w:szCs w:val="21"/>
                    </w:rPr>
                  </w:pPr>
                  <w:r>
                    <w:rPr>
                      <w:szCs w:val="21"/>
                    </w:rPr>
                    <w:t>废气排放量</w:t>
                  </w:r>
                </w:p>
                <w:p w14:paraId="1BB99BCD">
                  <w:pPr>
                    <w:jc w:val="center"/>
                    <w:rPr>
                      <w:szCs w:val="21"/>
                    </w:rPr>
                  </w:pPr>
                  <w:r>
                    <w:rPr>
                      <w:szCs w:val="21"/>
                    </w:rPr>
                    <w:t>m³/h</w:t>
                  </w:r>
                </w:p>
              </w:tc>
              <w:tc>
                <w:tcPr>
                  <w:tcW w:w="829" w:type="dxa"/>
                  <w:noWrap w:val="0"/>
                  <w:vAlign w:val="center"/>
                </w:tcPr>
                <w:p w14:paraId="2BF33207">
                  <w:pPr>
                    <w:jc w:val="center"/>
                    <w:rPr>
                      <w:szCs w:val="21"/>
                    </w:rPr>
                  </w:pPr>
                  <w:r>
                    <w:rPr>
                      <w:szCs w:val="21"/>
                    </w:rPr>
                    <w:t>排放</w:t>
                  </w:r>
                </w:p>
                <w:p w14:paraId="487576F0">
                  <w:pPr>
                    <w:jc w:val="center"/>
                    <w:rPr>
                      <w:szCs w:val="21"/>
                    </w:rPr>
                  </w:pPr>
                  <w:r>
                    <w:rPr>
                      <w:szCs w:val="21"/>
                    </w:rPr>
                    <w:t>浓度mg/m</w:t>
                  </w:r>
                  <w:r>
                    <w:rPr>
                      <w:szCs w:val="21"/>
                      <w:vertAlign w:val="superscript"/>
                    </w:rPr>
                    <w:t>3</w:t>
                  </w:r>
                </w:p>
              </w:tc>
              <w:tc>
                <w:tcPr>
                  <w:tcW w:w="759" w:type="dxa"/>
                  <w:noWrap w:val="0"/>
                  <w:vAlign w:val="center"/>
                </w:tcPr>
                <w:p w14:paraId="20375C6C">
                  <w:pPr>
                    <w:jc w:val="center"/>
                    <w:rPr>
                      <w:szCs w:val="21"/>
                    </w:rPr>
                  </w:pPr>
                  <w:r>
                    <w:rPr>
                      <w:szCs w:val="21"/>
                    </w:rPr>
                    <w:t>排放速率kg/h</w:t>
                  </w:r>
                </w:p>
              </w:tc>
              <w:tc>
                <w:tcPr>
                  <w:tcW w:w="687" w:type="dxa"/>
                  <w:vMerge w:val="continue"/>
                  <w:noWrap w:val="0"/>
                  <w:vAlign w:val="top"/>
                </w:tcPr>
                <w:p w14:paraId="4F5F6BE8">
                  <w:pPr>
                    <w:pStyle w:val="5"/>
                    <w:rPr>
                      <w:sz w:val="21"/>
                      <w:szCs w:val="21"/>
                      <w:lang w:val="en-US" w:eastAsia="zh-CN"/>
                    </w:rPr>
                  </w:pPr>
                </w:p>
              </w:tc>
            </w:tr>
            <w:tr w14:paraId="0E265F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646" w:type="dxa"/>
                  <w:vMerge w:val="restart"/>
                  <w:noWrap w:val="0"/>
                  <w:vAlign w:val="top"/>
                </w:tcPr>
                <w:p w14:paraId="12DCA076">
                  <w:pPr>
                    <w:pStyle w:val="5"/>
                    <w:ind w:left="0" w:leftChars="0" w:firstLine="0" w:firstLineChars="0"/>
                    <w:rPr>
                      <w:sz w:val="21"/>
                      <w:szCs w:val="21"/>
                      <w:lang w:val="en-US" w:eastAsia="zh-CN"/>
                    </w:rPr>
                  </w:pPr>
                  <w:r>
                    <w:rPr>
                      <w:sz w:val="21"/>
                      <w:szCs w:val="21"/>
                      <w:lang w:val="en-US" w:eastAsia="zh-CN"/>
                    </w:rPr>
                    <w:t>机制砂破碎筛分</w:t>
                  </w:r>
                </w:p>
              </w:tc>
              <w:tc>
                <w:tcPr>
                  <w:tcW w:w="575" w:type="dxa"/>
                  <w:noWrap w:val="0"/>
                  <w:vAlign w:val="top"/>
                </w:tcPr>
                <w:p w14:paraId="07BA3E85">
                  <w:pPr>
                    <w:pStyle w:val="5"/>
                    <w:ind w:left="0" w:leftChars="0" w:firstLine="0" w:firstLineChars="0"/>
                    <w:rPr>
                      <w:sz w:val="21"/>
                      <w:szCs w:val="21"/>
                      <w:lang w:val="en-US" w:eastAsia="zh-CN"/>
                    </w:rPr>
                  </w:pPr>
                  <w:r>
                    <w:rPr>
                      <w:sz w:val="21"/>
                      <w:szCs w:val="21"/>
                      <w:lang w:val="en-US" w:eastAsia="zh-CN"/>
                    </w:rPr>
                    <w:t>排气筒P1</w:t>
                  </w:r>
                </w:p>
              </w:tc>
              <w:tc>
                <w:tcPr>
                  <w:tcW w:w="450" w:type="dxa"/>
                  <w:noWrap w:val="0"/>
                  <w:vAlign w:val="top"/>
                </w:tcPr>
                <w:p w14:paraId="71E7298F">
                  <w:pPr>
                    <w:pStyle w:val="5"/>
                    <w:ind w:left="0" w:leftChars="0" w:firstLine="0" w:firstLineChars="0"/>
                    <w:rPr>
                      <w:sz w:val="21"/>
                      <w:szCs w:val="21"/>
                      <w:lang w:val="en-US" w:eastAsia="zh-CN"/>
                    </w:rPr>
                  </w:pPr>
                  <w:r>
                    <w:rPr>
                      <w:sz w:val="21"/>
                      <w:szCs w:val="21"/>
                      <w:lang w:val="en-US" w:eastAsia="zh-CN"/>
                    </w:rPr>
                    <w:t>颗粒物</w:t>
                  </w:r>
                </w:p>
              </w:tc>
              <w:tc>
                <w:tcPr>
                  <w:tcW w:w="900" w:type="dxa"/>
                  <w:noWrap w:val="0"/>
                  <w:vAlign w:val="top"/>
                </w:tcPr>
                <w:p w14:paraId="2006612A">
                  <w:pPr>
                    <w:pStyle w:val="5"/>
                    <w:ind w:left="0" w:leftChars="0" w:firstLine="0" w:firstLineChars="0"/>
                    <w:rPr>
                      <w:sz w:val="21"/>
                      <w:szCs w:val="21"/>
                      <w:lang w:val="en-US" w:eastAsia="zh-CN"/>
                    </w:rPr>
                  </w:pPr>
                  <w:r>
                    <w:rPr>
                      <w:sz w:val="21"/>
                      <w:szCs w:val="21"/>
                      <w:lang w:val="en-US" w:eastAsia="zh-CN"/>
                    </w:rPr>
                    <w:t>264.64</w:t>
                  </w:r>
                </w:p>
              </w:tc>
              <w:tc>
                <w:tcPr>
                  <w:tcW w:w="863" w:type="dxa"/>
                  <w:noWrap w:val="0"/>
                  <w:vAlign w:val="top"/>
                </w:tcPr>
                <w:p w14:paraId="009157AF">
                  <w:pPr>
                    <w:pStyle w:val="5"/>
                    <w:ind w:left="0" w:leftChars="0" w:firstLine="0" w:firstLineChars="0"/>
                    <w:rPr>
                      <w:sz w:val="21"/>
                      <w:szCs w:val="21"/>
                      <w:lang w:val="en-US" w:eastAsia="zh-CN"/>
                    </w:rPr>
                  </w:pPr>
                  <w:r>
                    <w:rPr>
                      <w:sz w:val="21"/>
                      <w:szCs w:val="21"/>
                      <w:lang w:val="en-US" w:eastAsia="zh-CN"/>
                    </w:rPr>
                    <w:t>集尘罩+布袋除尘器</w:t>
                  </w:r>
                </w:p>
              </w:tc>
              <w:tc>
                <w:tcPr>
                  <w:tcW w:w="787" w:type="dxa"/>
                  <w:noWrap w:val="0"/>
                  <w:vAlign w:val="top"/>
                </w:tcPr>
                <w:p w14:paraId="2EB464CF">
                  <w:pPr>
                    <w:pStyle w:val="5"/>
                    <w:ind w:left="0" w:leftChars="0" w:firstLine="0" w:firstLineChars="0"/>
                    <w:jc w:val="center"/>
                    <w:rPr>
                      <w:sz w:val="21"/>
                      <w:szCs w:val="21"/>
                      <w:lang w:val="en-US" w:eastAsia="zh-CN"/>
                    </w:rPr>
                  </w:pPr>
                  <w:r>
                    <w:rPr>
                      <w:sz w:val="21"/>
                      <w:szCs w:val="21"/>
                      <w:lang w:val="en-US" w:eastAsia="zh-CN"/>
                    </w:rPr>
                    <w:t>90+99</w:t>
                  </w:r>
                </w:p>
              </w:tc>
              <w:tc>
                <w:tcPr>
                  <w:tcW w:w="663" w:type="dxa"/>
                  <w:noWrap w:val="0"/>
                  <w:vAlign w:val="top"/>
                </w:tcPr>
                <w:p w14:paraId="48DBB150">
                  <w:pPr>
                    <w:pStyle w:val="5"/>
                    <w:ind w:left="0" w:leftChars="0" w:firstLine="0" w:firstLineChars="0"/>
                    <w:rPr>
                      <w:sz w:val="21"/>
                      <w:szCs w:val="21"/>
                      <w:lang w:val="en-US" w:eastAsia="zh-CN"/>
                    </w:rPr>
                  </w:pPr>
                  <w:r>
                    <w:rPr>
                      <w:sz w:val="21"/>
                      <w:szCs w:val="21"/>
                      <w:lang w:val="en-US" w:eastAsia="zh-CN"/>
                    </w:rPr>
                    <w:t>2.65</w:t>
                  </w:r>
                </w:p>
              </w:tc>
              <w:tc>
                <w:tcPr>
                  <w:tcW w:w="787" w:type="dxa"/>
                  <w:noWrap w:val="0"/>
                  <w:vAlign w:val="top"/>
                </w:tcPr>
                <w:p w14:paraId="4594B66A">
                  <w:pPr>
                    <w:pStyle w:val="5"/>
                    <w:ind w:left="0" w:leftChars="0" w:firstLine="0" w:firstLineChars="0"/>
                    <w:rPr>
                      <w:sz w:val="21"/>
                      <w:szCs w:val="21"/>
                      <w:lang w:val="en-US" w:eastAsia="zh-CN"/>
                    </w:rPr>
                  </w:pPr>
                  <w:r>
                    <w:rPr>
                      <w:sz w:val="21"/>
                      <w:szCs w:val="21"/>
                      <w:lang w:val="en-US" w:eastAsia="zh-CN"/>
                    </w:rPr>
                    <w:t>20000</w:t>
                  </w:r>
                </w:p>
              </w:tc>
              <w:tc>
                <w:tcPr>
                  <w:tcW w:w="829" w:type="dxa"/>
                  <w:noWrap w:val="0"/>
                  <w:vAlign w:val="top"/>
                </w:tcPr>
                <w:p w14:paraId="18C77E3D">
                  <w:pPr>
                    <w:pStyle w:val="5"/>
                    <w:ind w:left="0" w:leftChars="0" w:firstLine="0" w:firstLineChars="0"/>
                    <w:jc w:val="center"/>
                    <w:rPr>
                      <w:sz w:val="21"/>
                      <w:szCs w:val="21"/>
                      <w:lang w:val="en-US" w:eastAsia="zh-CN"/>
                    </w:rPr>
                  </w:pPr>
                  <w:r>
                    <w:rPr>
                      <w:sz w:val="21"/>
                      <w:szCs w:val="21"/>
                      <w:lang w:val="en-US" w:eastAsia="zh-CN"/>
                    </w:rPr>
                    <w:t>79</w:t>
                  </w:r>
                </w:p>
              </w:tc>
              <w:tc>
                <w:tcPr>
                  <w:tcW w:w="759" w:type="dxa"/>
                  <w:noWrap w:val="0"/>
                  <w:vAlign w:val="top"/>
                </w:tcPr>
                <w:p w14:paraId="5550B2CB">
                  <w:pPr>
                    <w:pStyle w:val="5"/>
                    <w:ind w:left="0" w:leftChars="0" w:firstLine="0" w:firstLineChars="0"/>
                    <w:rPr>
                      <w:sz w:val="21"/>
                      <w:szCs w:val="21"/>
                      <w:lang w:val="en-US" w:eastAsia="zh-CN"/>
                    </w:rPr>
                  </w:pPr>
                  <w:r>
                    <w:rPr>
                      <w:sz w:val="21"/>
                      <w:szCs w:val="21"/>
                      <w:lang w:val="en-US" w:eastAsia="zh-CN"/>
                    </w:rPr>
                    <w:t>1.58</w:t>
                  </w:r>
                </w:p>
              </w:tc>
              <w:tc>
                <w:tcPr>
                  <w:tcW w:w="687" w:type="dxa"/>
                  <w:noWrap w:val="0"/>
                  <w:vAlign w:val="top"/>
                </w:tcPr>
                <w:p w14:paraId="4AD775C0">
                  <w:pPr>
                    <w:pStyle w:val="5"/>
                    <w:ind w:left="0" w:leftChars="0" w:firstLine="0" w:firstLineChars="0"/>
                    <w:rPr>
                      <w:sz w:val="21"/>
                      <w:szCs w:val="21"/>
                      <w:lang w:val="en-US" w:eastAsia="zh-CN"/>
                    </w:rPr>
                  </w:pPr>
                  <w:r>
                    <w:rPr>
                      <w:sz w:val="21"/>
                      <w:szCs w:val="21"/>
                      <w:lang w:val="en-US" w:eastAsia="zh-CN"/>
                    </w:rPr>
                    <w:t>1680</w:t>
                  </w:r>
                </w:p>
              </w:tc>
            </w:tr>
            <w:tr w14:paraId="5E3D57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vMerge w:val="continue"/>
                  <w:noWrap w:val="0"/>
                  <w:vAlign w:val="top"/>
                </w:tcPr>
                <w:p w14:paraId="26F4810C">
                  <w:pPr>
                    <w:pStyle w:val="5"/>
                    <w:rPr>
                      <w:sz w:val="21"/>
                      <w:szCs w:val="21"/>
                      <w:lang w:val="en-US" w:eastAsia="zh-CN"/>
                    </w:rPr>
                  </w:pPr>
                </w:p>
              </w:tc>
              <w:tc>
                <w:tcPr>
                  <w:tcW w:w="575" w:type="dxa"/>
                  <w:noWrap w:val="0"/>
                  <w:vAlign w:val="top"/>
                </w:tcPr>
                <w:p w14:paraId="5647FC13">
                  <w:pPr>
                    <w:pStyle w:val="5"/>
                    <w:ind w:left="0" w:leftChars="0" w:firstLine="0" w:firstLineChars="0"/>
                    <w:rPr>
                      <w:sz w:val="21"/>
                      <w:szCs w:val="21"/>
                      <w:lang w:val="en-US" w:eastAsia="zh-CN"/>
                    </w:rPr>
                  </w:pPr>
                  <w:r>
                    <w:rPr>
                      <w:sz w:val="21"/>
                      <w:szCs w:val="21"/>
                      <w:lang w:val="en-US" w:eastAsia="zh-CN"/>
                    </w:rPr>
                    <w:t>无组织排放</w:t>
                  </w:r>
                </w:p>
              </w:tc>
              <w:tc>
                <w:tcPr>
                  <w:tcW w:w="450" w:type="dxa"/>
                  <w:noWrap w:val="0"/>
                  <w:vAlign w:val="top"/>
                </w:tcPr>
                <w:p w14:paraId="21C3FA0C">
                  <w:pPr>
                    <w:pStyle w:val="5"/>
                    <w:ind w:left="0" w:leftChars="0" w:firstLine="0" w:firstLineChars="0"/>
                    <w:rPr>
                      <w:sz w:val="21"/>
                      <w:szCs w:val="21"/>
                      <w:lang w:val="en-US" w:eastAsia="zh-CN"/>
                    </w:rPr>
                  </w:pPr>
                  <w:r>
                    <w:rPr>
                      <w:sz w:val="21"/>
                      <w:szCs w:val="21"/>
                      <w:lang w:val="en-US" w:eastAsia="zh-CN"/>
                    </w:rPr>
                    <w:t>颗粒物</w:t>
                  </w:r>
                </w:p>
              </w:tc>
              <w:tc>
                <w:tcPr>
                  <w:tcW w:w="900" w:type="dxa"/>
                  <w:noWrap w:val="0"/>
                  <w:vAlign w:val="top"/>
                </w:tcPr>
                <w:p w14:paraId="7F0A4632">
                  <w:pPr>
                    <w:pStyle w:val="5"/>
                    <w:ind w:left="0" w:leftChars="0" w:firstLine="0" w:firstLineChars="0"/>
                    <w:jc w:val="center"/>
                    <w:rPr>
                      <w:sz w:val="21"/>
                      <w:szCs w:val="21"/>
                      <w:lang w:val="en-US" w:eastAsia="zh-CN"/>
                    </w:rPr>
                  </w:pPr>
                  <w:r>
                    <w:rPr>
                      <w:sz w:val="21"/>
                      <w:szCs w:val="21"/>
                      <w:lang w:val="en-US" w:eastAsia="zh-CN"/>
                    </w:rPr>
                    <w:t>29.4</w:t>
                  </w:r>
                </w:p>
              </w:tc>
              <w:tc>
                <w:tcPr>
                  <w:tcW w:w="863" w:type="dxa"/>
                  <w:noWrap w:val="0"/>
                  <w:vAlign w:val="top"/>
                </w:tcPr>
                <w:p w14:paraId="2F431E4E">
                  <w:pPr>
                    <w:pStyle w:val="5"/>
                    <w:ind w:left="0" w:leftChars="0" w:firstLine="0" w:firstLineChars="0"/>
                    <w:rPr>
                      <w:sz w:val="21"/>
                      <w:szCs w:val="21"/>
                      <w:lang w:val="en-US" w:eastAsia="zh-CN"/>
                    </w:rPr>
                  </w:pPr>
                  <w:r>
                    <w:rPr>
                      <w:sz w:val="21"/>
                      <w:szCs w:val="21"/>
                      <w:lang w:val="en-US" w:eastAsia="zh-CN"/>
                    </w:rPr>
                    <w:t>全封闭料棚+洒水</w:t>
                  </w:r>
                </w:p>
              </w:tc>
              <w:tc>
                <w:tcPr>
                  <w:tcW w:w="787" w:type="dxa"/>
                  <w:noWrap w:val="0"/>
                  <w:vAlign w:val="top"/>
                </w:tcPr>
                <w:p w14:paraId="5497B437">
                  <w:pPr>
                    <w:pStyle w:val="5"/>
                    <w:ind w:left="0" w:leftChars="0" w:firstLine="0" w:firstLineChars="0"/>
                    <w:jc w:val="center"/>
                    <w:rPr>
                      <w:rFonts w:hint="default"/>
                      <w:sz w:val="21"/>
                      <w:szCs w:val="21"/>
                      <w:lang w:val="en-US" w:eastAsia="zh-CN"/>
                    </w:rPr>
                  </w:pPr>
                  <w:r>
                    <w:rPr>
                      <w:sz w:val="21"/>
                      <w:szCs w:val="21"/>
                      <w:lang w:val="en-US" w:eastAsia="zh-CN"/>
                    </w:rPr>
                    <w:t>99+</w:t>
                  </w:r>
                  <w:r>
                    <w:rPr>
                      <w:rFonts w:hint="eastAsia"/>
                      <w:sz w:val="21"/>
                      <w:szCs w:val="21"/>
                      <w:lang w:val="en-US" w:eastAsia="zh-CN"/>
                    </w:rPr>
                    <w:t>74</w:t>
                  </w:r>
                </w:p>
              </w:tc>
              <w:tc>
                <w:tcPr>
                  <w:tcW w:w="663" w:type="dxa"/>
                  <w:noWrap w:val="0"/>
                  <w:vAlign w:val="top"/>
                </w:tcPr>
                <w:p w14:paraId="22F4148B">
                  <w:pPr>
                    <w:pStyle w:val="5"/>
                    <w:ind w:left="0" w:leftChars="0" w:firstLine="0" w:firstLineChars="0"/>
                    <w:rPr>
                      <w:sz w:val="21"/>
                      <w:szCs w:val="21"/>
                      <w:lang w:val="en-US" w:eastAsia="zh-CN"/>
                    </w:rPr>
                  </w:pPr>
                  <w:r>
                    <w:rPr>
                      <w:sz w:val="21"/>
                      <w:szCs w:val="21"/>
                      <w:lang w:val="en-US" w:eastAsia="zh-CN"/>
                    </w:rPr>
                    <w:t>0.0</w:t>
                  </w:r>
                  <w:r>
                    <w:rPr>
                      <w:rFonts w:hint="eastAsia"/>
                      <w:sz w:val="21"/>
                      <w:szCs w:val="21"/>
                      <w:lang w:val="en-US" w:eastAsia="zh-CN"/>
                    </w:rPr>
                    <w:t>8</w:t>
                  </w:r>
                </w:p>
              </w:tc>
              <w:tc>
                <w:tcPr>
                  <w:tcW w:w="787" w:type="dxa"/>
                  <w:noWrap w:val="0"/>
                  <w:vAlign w:val="top"/>
                </w:tcPr>
                <w:p w14:paraId="44E1DD8B">
                  <w:r>
                    <w:t>/</w:t>
                  </w:r>
                </w:p>
              </w:tc>
              <w:tc>
                <w:tcPr>
                  <w:tcW w:w="829" w:type="dxa"/>
                  <w:noWrap w:val="0"/>
                  <w:vAlign w:val="top"/>
                </w:tcPr>
                <w:p w14:paraId="42FC3B45">
                  <w:pPr>
                    <w:pStyle w:val="5"/>
                    <w:ind w:left="0" w:leftChars="0" w:firstLine="0" w:firstLineChars="0"/>
                    <w:rPr>
                      <w:sz w:val="21"/>
                      <w:szCs w:val="21"/>
                      <w:lang w:val="en-US" w:eastAsia="zh-CN"/>
                    </w:rPr>
                  </w:pPr>
                  <w:r>
                    <w:rPr>
                      <w:sz w:val="21"/>
                      <w:szCs w:val="21"/>
                      <w:lang w:val="en-US" w:eastAsia="zh-CN"/>
                    </w:rPr>
                    <w:t>/</w:t>
                  </w:r>
                </w:p>
              </w:tc>
              <w:tc>
                <w:tcPr>
                  <w:tcW w:w="759" w:type="dxa"/>
                  <w:noWrap w:val="0"/>
                  <w:vAlign w:val="top"/>
                </w:tcPr>
                <w:p w14:paraId="0EB7B09E">
                  <w:pPr>
                    <w:pStyle w:val="5"/>
                    <w:ind w:left="0" w:leftChars="0" w:firstLine="0" w:firstLineChars="0"/>
                    <w:rPr>
                      <w:sz w:val="21"/>
                      <w:szCs w:val="21"/>
                      <w:lang w:val="en-US" w:eastAsia="zh-CN"/>
                    </w:rPr>
                  </w:pPr>
                  <w:r>
                    <w:rPr>
                      <w:sz w:val="21"/>
                      <w:szCs w:val="21"/>
                      <w:lang w:val="en-US" w:eastAsia="zh-CN"/>
                    </w:rPr>
                    <w:t>/</w:t>
                  </w:r>
                </w:p>
              </w:tc>
              <w:tc>
                <w:tcPr>
                  <w:tcW w:w="687" w:type="dxa"/>
                  <w:noWrap w:val="0"/>
                  <w:vAlign w:val="top"/>
                </w:tcPr>
                <w:p w14:paraId="164D44DF">
                  <w:pPr>
                    <w:pStyle w:val="5"/>
                    <w:ind w:left="0" w:leftChars="0" w:firstLine="0" w:firstLineChars="0"/>
                    <w:rPr>
                      <w:sz w:val="21"/>
                      <w:szCs w:val="21"/>
                      <w:lang w:val="en-US" w:eastAsia="zh-CN"/>
                    </w:rPr>
                  </w:pPr>
                  <w:r>
                    <w:rPr>
                      <w:sz w:val="21"/>
                      <w:szCs w:val="21"/>
                      <w:lang w:val="en-US" w:eastAsia="zh-CN"/>
                    </w:rPr>
                    <w:t>1680</w:t>
                  </w:r>
                </w:p>
              </w:tc>
            </w:tr>
            <w:tr w14:paraId="39B930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noWrap w:val="0"/>
                  <w:vAlign w:val="top"/>
                </w:tcPr>
                <w:p w14:paraId="3054BEBB">
                  <w:pPr>
                    <w:pStyle w:val="5"/>
                    <w:ind w:left="0" w:leftChars="0" w:firstLine="0" w:firstLineChars="0"/>
                    <w:rPr>
                      <w:sz w:val="21"/>
                      <w:szCs w:val="21"/>
                      <w:lang w:val="en-US" w:eastAsia="zh-CN"/>
                    </w:rPr>
                  </w:pPr>
                  <w:r>
                    <w:rPr>
                      <w:sz w:val="21"/>
                      <w:szCs w:val="21"/>
                      <w:lang w:val="en-US" w:eastAsia="zh-CN"/>
                    </w:rPr>
                    <w:t>砂石装卸</w:t>
                  </w:r>
                </w:p>
              </w:tc>
              <w:tc>
                <w:tcPr>
                  <w:tcW w:w="575" w:type="dxa"/>
                  <w:noWrap w:val="0"/>
                  <w:vAlign w:val="top"/>
                </w:tcPr>
                <w:p w14:paraId="3231FA23">
                  <w:pPr>
                    <w:pStyle w:val="5"/>
                    <w:ind w:left="0" w:leftChars="0" w:firstLine="0" w:firstLineChars="0"/>
                    <w:rPr>
                      <w:sz w:val="21"/>
                      <w:szCs w:val="21"/>
                      <w:lang w:val="en-US" w:eastAsia="zh-CN"/>
                    </w:rPr>
                  </w:pPr>
                  <w:r>
                    <w:rPr>
                      <w:sz w:val="21"/>
                      <w:szCs w:val="21"/>
                      <w:lang w:val="en-US" w:eastAsia="zh-CN"/>
                    </w:rPr>
                    <w:t>无组织排放</w:t>
                  </w:r>
                </w:p>
              </w:tc>
              <w:tc>
                <w:tcPr>
                  <w:tcW w:w="450" w:type="dxa"/>
                  <w:noWrap w:val="0"/>
                  <w:vAlign w:val="top"/>
                </w:tcPr>
                <w:p w14:paraId="27FEAE7A">
                  <w:pPr>
                    <w:pStyle w:val="5"/>
                    <w:ind w:left="0" w:leftChars="0" w:firstLine="0" w:firstLineChars="0"/>
                    <w:rPr>
                      <w:sz w:val="21"/>
                      <w:szCs w:val="21"/>
                      <w:lang w:val="en-US" w:eastAsia="zh-CN"/>
                    </w:rPr>
                  </w:pPr>
                  <w:r>
                    <w:rPr>
                      <w:sz w:val="21"/>
                      <w:szCs w:val="21"/>
                      <w:lang w:val="en-US" w:eastAsia="zh-CN"/>
                    </w:rPr>
                    <w:t>颗粒物</w:t>
                  </w:r>
                </w:p>
              </w:tc>
              <w:tc>
                <w:tcPr>
                  <w:tcW w:w="900" w:type="dxa"/>
                  <w:noWrap w:val="0"/>
                  <w:vAlign w:val="top"/>
                </w:tcPr>
                <w:p w14:paraId="6CBD46EE">
                  <w:pPr>
                    <w:pStyle w:val="5"/>
                    <w:ind w:left="0" w:leftChars="0" w:firstLine="0" w:firstLineChars="0"/>
                    <w:rPr>
                      <w:sz w:val="21"/>
                      <w:szCs w:val="21"/>
                      <w:lang w:val="en-US" w:eastAsia="zh-CN"/>
                    </w:rPr>
                  </w:pPr>
                  <w:r>
                    <w:rPr>
                      <w:sz w:val="21"/>
                      <w:szCs w:val="21"/>
                      <w:lang w:val="en-US" w:eastAsia="zh-CN"/>
                    </w:rPr>
                    <w:t>14.75</w:t>
                  </w:r>
                </w:p>
              </w:tc>
              <w:tc>
                <w:tcPr>
                  <w:tcW w:w="863" w:type="dxa"/>
                  <w:noWrap w:val="0"/>
                  <w:vAlign w:val="top"/>
                </w:tcPr>
                <w:p w14:paraId="3119600B">
                  <w:pPr>
                    <w:pStyle w:val="5"/>
                    <w:ind w:left="0" w:leftChars="0" w:firstLine="0" w:firstLineChars="0"/>
                    <w:rPr>
                      <w:sz w:val="21"/>
                      <w:szCs w:val="21"/>
                      <w:lang w:val="en-US" w:eastAsia="zh-CN"/>
                    </w:rPr>
                  </w:pPr>
                  <w:r>
                    <w:rPr>
                      <w:sz w:val="21"/>
                      <w:szCs w:val="21"/>
                      <w:lang w:val="en-US" w:eastAsia="zh-CN"/>
                    </w:rPr>
                    <w:t>全封闭料棚+洒水</w:t>
                  </w:r>
                </w:p>
              </w:tc>
              <w:tc>
                <w:tcPr>
                  <w:tcW w:w="787" w:type="dxa"/>
                  <w:noWrap w:val="0"/>
                  <w:vAlign w:val="top"/>
                </w:tcPr>
                <w:p w14:paraId="3465B297">
                  <w:pPr>
                    <w:pStyle w:val="5"/>
                    <w:ind w:left="0" w:leftChars="0" w:firstLine="0" w:firstLineChars="0"/>
                    <w:rPr>
                      <w:rFonts w:hint="default"/>
                      <w:sz w:val="21"/>
                      <w:szCs w:val="21"/>
                      <w:lang w:val="en-US" w:eastAsia="zh-CN"/>
                    </w:rPr>
                  </w:pPr>
                  <w:r>
                    <w:rPr>
                      <w:sz w:val="21"/>
                      <w:szCs w:val="21"/>
                      <w:lang w:val="en-US" w:eastAsia="zh-CN"/>
                    </w:rPr>
                    <w:t>99+</w:t>
                  </w:r>
                  <w:r>
                    <w:rPr>
                      <w:rFonts w:hint="eastAsia"/>
                      <w:sz w:val="21"/>
                      <w:szCs w:val="21"/>
                      <w:lang w:val="en-US" w:eastAsia="zh-CN"/>
                    </w:rPr>
                    <w:t>74</w:t>
                  </w:r>
                </w:p>
              </w:tc>
              <w:tc>
                <w:tcPr>
                  <w:tcW w:w="663" w:type="dxa"/>
                  <w:noWrap w:val="0"/>
                  <w:vAlign w:val="top"/>
                </w:tcPr>
                <w:p w14:paraId="13EA0053">
                  <w:pPr>
                    <w:pStyle w:val="5"/>
                    <w:ind w:left="0" w:leftChars="0" w:firstLine="0" w:firstLineChars="0"/>
                    <w:rPr>
                      <w:rFonts w:hint="default"/>
                      <w:sz w:val="21"/>
                      <w:szCs w:val="21"/>
                      <w:lang w:val="en-US" w:eastAsia="zh-CN"/>
                    </w:rPr>
                  </w:pPr>
                  <w:r>
                    <w:rPr>
                      <w:sz w:val="21"/>
                      <w:szCs w:val="21"/>
                      <w:lang w:val="en-US" w:eastAsia="zh-CN"/>
                    </w:rPr>
                    <w:t>0.</w:t>
                  </w:r>
                  <w:r>
                    <w:rPr>
                      <w:rFonts w:hint="eastAsia"/>
                      <w:sz w:val="21"/>
                      <w:szCs w:val="21"/>
                      <w:lang w:val="en-US" w:eastAsia="zh-CN"/>
                    </w:rPr>
                    <w:t>04</w:t>
                  </w:r>
                </w:p>
              </w:tc>
              <w:tc>
                <w:tcPr>
                  <w:tcW w:w="787" w:type="dxa"/>
                  <w:noWrap w:val="0"/>
                  <w:vAlign w:val="top"/>
                </w:tcPr>
                <w:p w14:paraId="07F0DA3B">
                  <w:pPr>
                    <w:pStyle w:val="5"/>
                    <w:ind w:left="0" w:leftChars="0" w:firstLine="0" w:firstLineChars="0"/>
                    <w:rPr>
                      <w:sz w:val="21"/>
                      <w:szCs w:val="21"/>
                      <w:lang w:val="en-US" w:eastAsia="zh-CN"/>
                    </w:rPr>
                  </w:pPr>
                  <w:r>
                    <w:rPr>
                      <w:sz w:val="21"/>
                      <w:szCs w:val="21"/>
                      <w:lang w:val="en-US" w:eastAsia="zh-CN"/>
                    </w:rPr>
                    <w:t>/</w:t>
                  </w:r>
                </w:p>
              </w:tc>
              <w:tc>
                <w:tcPr>
                  <w:tcW w:w="829" w:type="dxa"/>
                  <w:noWrap w:val="0"/>
                  <w:vAlign w:val="top"/>
                </w:tcPr>
                <w:p w14:paraId="1D035181">
                  <w:pPr>
                    <w:pStyle w:val="5"/>
                    <w:ind w:left="0" w:leftChars="0" w:firstLine="0" w:firstLineChars="0"/>
                    <w:rPr>
                      <w:sz w:val="21"/>
                      <w:szCs w:val="21"/>
                      <w:lang w:val="en-US" w:eastAsia="zh-CN"/>
                    </w:rPr>
                  </w:pPr>
                  <w:r>
                    <w:rPr>
                      <w:sz w:val="21"/>
                      <w:szCs w:val="21"/>
                      <w:lang w:val="en-US" w:eastAsia="zh-CN"/>
                    </w:rPr>
                    <w:t>/</w:t>
                  </w:r>
                </w:p>
              </w:tc>
              <w:tc>
                <w:tcPr>
                  <w:tcW w:w="759" w:type="dxa"/>
                  <w:noWrap w:val="0"/>
                  <w:vAlign w:val="top"/>
                </w:tcPr>
                <w:p w14:paraId="702E488A">
                  <w:pPr>
                    <w:pStyle w:val="5"/>
                    <w:ind w:left="0" w:leftChars="0" w:firstLine="0" w:firstLineChars="0"/>
                    <w:rPr>
                      <w:sz w:val="21"/>
                      <w:szCs w:val="21"/>
                      <w:lang w:val="en-US" w:eastAsia="zh-CN"/>
                    </w:rPr>
                  </w:pPr>
                  <w:r>
                    <w:rPr>
                      <w:sz w:val="21"/>
                      <w:szCs w:val="21"/>
                      <w:lang w:val="en-US" w:eastAsia="zh-CN"/>
                    </w:rPr>
                    <w:t>/</w:t>
                  </w:r>
                </w:p>
              </w:tc>
              <w:tc>
                <w:tcPr>
                  <w:tcW w:w="687" w:type="dxa"/>
                  <w:noWrap w:val="0"/>
                  <w:vAlign w:val="top"/>
                </w:tcPr>
                <w:p w14:paraId="0E6258EE">
                  <w:pPr>
                    <w:pStyle w:val="5"/>
                    <w:ind w:left="0" w:leftChars="0" w:firstLine="0" w:firstLineChars="0"/>
                    <w:rPr>
                      <w:sz w:val="21"/>
                      <w:szCs w:val="21"/>
                      <w:lang w:val="en-US" w:eastAsia="zh-CN"/>
                    </w:rPr>
                  </w:pPr>
                  <w:r>
                    <w:rPr>
                      <w:sz w:val="21"/>
                      <w:szCs w:val="21"/>
                      <w:lang w:val="en-US" w:eastAsia="zh-CN"/>
                    </w:rPr>
                    <w:t>1680</w:t>
                  </w:r>
                </w:p>
              </w:tc>
            </w:tr>
            <w:tr w14:paraId="63A46B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noWrap w:val="0"/>
                  <w:vAlign w:val="top"/>
                </w:tcPr>
                <w:p w14:paraId="5953DCBB">
                  <w:pPr>
                    <w:pStyle w:val="5"/>
                    <w:ind w:left="0" w:leftChars="0" w:firstLine="0" w:firstLineChars="0"/>
                    <w:rPr>
                      <w:lang w:val="en-US" w:eastAsia="zh-CN"/>
                    </w:rPr>
                  </w:pPr>
                  <w:r>
                    <w:rPr>
                      <w:sz w:val="21"/>
                      <w:szCs w:val="21"/>
                      <w:lang w:val="en-US" w:eastAsia="zh-CN"/>
                    </w:rPr>
                    <w:t>水泥装卸</w:t>
                  </w:r>
                </w:p>
              </w:tc>
              <w:tc>
                <w:tcPr>
                  <w:tcW w:w="575" w:type="dxa"/>
                  <w:noWrap w:val="0"/>
                  <w:vAlign w:val="top"/>
                </w:tcPr>
                <w:p w14:paraId="0DD5402B">
                  <w:pPr>
                    <w:pStyle w:val="5"/>
                    <w:ind w:left="0" w:leftChars="0" w:firstLine="0" w:firstLineChars="0"/>
                    <w:rPr>
                      <w:sz w:val="21"/>
                      <w:szCs w:val="21"/>
                      <w:lang w:val="en-US" w:eastAsia="zh-CN"/>
                    </w:rPr>
                  </w:pPr>
                  <w:r>
                    <w:rPr>
                      <w:sz w:val="21"/>
                      <w:szCs w:val="21"/>
                      <w:lang w:val="en-US" w:eastAsia="zh-CN"/>
                    </w:rPr>
                    <w:t>排气筒P2-P5</w:t>
                  </w:r>
                </w:p>
              </w:tc>
              <w:tc>
                <w:tcPr>
                  <w:tcW w:w="450" w:type="dxa"/>
                  <w:noWrap w:val="0"/>
                  <w:vAlign w:val="top"/>
                </w:tcPr>
                <w:p w14:paraId="689B79DB">
                  <w:pPr>
                    <w:pStyle w:val="5"/>
                    <w:ind w:left="0" w:leftChars="0" w:firstLine="0" w:firstLineChars="0"/>
                    <w:rPr>
                      <w:sz w:val="21"/>
                      <w:szCs w:val="21"/>
                      <w:lang w:val="en-US" w:eastAsia="zh-CN"/>
                    </w:rPr>
                  </w:pPr>
                  <w:r>
                    <w:rPr>
                      <w:sz w:val="21"/>
                      <w:szCs w:val="21"/>
                      <w:lang w:val="en-US" w:eastAsia="zh-CN"/>
                    </w:rPr>
                    <w:t>颗粒物</w:t>
                  </w:r>
                </w:p>
              </w:tc>
              <w:tc>
                <w:tcPr>
                  <w:tcW w:w="900" w:type="dxa"/>
                  <w:noWrap w:val="0"/>
                  <w:vAlign w:val="top"/>
                </w:tcPr>
                <w:p w14:paraId="1E8B52B5">
                  <w:pPr>
                    <w:pStyle w:val="5"/>
                    <w:ind w:left="0" w:leftChars="0" w:firstLine="0" w:firstLineChars="0"/>
                    <w:rPr>
                      <w:sz w:val="21"/>
                      <w:szCs w:val="21"/>
                      <w:lang w:val="en-US" w:eastAsia="zh-CN"/>
                    </w:rPr>
                  </w:pPr>
                  <w:r>
                    <w:rPr>
                      <w:sz w:val="21"/>
                      <w:szCs w:val="21"/>
                      <w:lang w:val="en-US" w:eastAsia="zh-CN"/>
                    </w:rPr>
                    <w:t>8.4</w:t>
                  </w:r>
                </w:p>
              </w:tc>
              <w:tc>
                <w:tcPr>
                  <w:tcW w:w="863" w:type="dxa"/>
                  <w:noWrap w:val="0"/>
                  <w:vAlign w:val="top"/>
                </w:tcPr>
                <w:p w14:paraId="4579C76C">
                  <w:pPr>
                    <w:pStyle w:val="5"/>
                    <w:ind w:left="0" w:leftChars="0" w:firstLine="0" w:firstLineChars="0"/>
                    <w:rPr>
                      <w:sz w:val="21"/>
                      <w:szCs w:val="21"/>
                      <w:lang w:val="en-US" w:eastAsia="zh-CN"/>
                    </w:rPr>
                  </w:pPr>
                  <w:r>
                    <w:rPr>
                      <w:sz w:val="21"/>
                      <w:szCs w:val="21"/>
                      <w:lang w:val="en-US" w:eastAsia="zh-CN"/>
                    </w:rPr>
                    <w:t>布袋除尘器</w:t>
                  </w:r>
                </w:p>
              </w:tc>
              <w:tc>
                <w:tcPr>
                  <w:tcW w:w="787" w:type="dxa"/>
                  <w:noWrap w:val="0"/>
                  <w:vAlign w:val="top"/>
                </w:tcPr>
                <w:p w14:paraId="4269BCDF">
                  <w:pPr>
                    <w:pStyle w:val="5"/>
                    <w:ind w:left="0" w:leftChars="0" w:firstLine="0" w:firstLineChars="0"/>
                    <w:rPr>
                      <w:sz w:val="21"/>
                      <w:szCs w:val="21"/>
                      <w:lang w:val="en-US" w:eastAsia="zh-CN"/>
                    </w:rPr>
                  </w:pPr>
                  <w:r>
                    <w:rPr>
                      <w:sz w:val="21"/>
                      <w:szCs w:val="21"/>
                      <w:lang w:val="en-US" w:eastAsia="zh-CN"/>
                    </w:rPr>
                    <w:t>99</w:t>
                  </w:r>
                </w:p>
              </w:tc>
              <w:tc>
                <w:tcPr>
                  <w:tcW w:w="663" w:type="dxa"/>
                  <w:noWrap w:val="0"/>
                  <w:vAlign w:val="top"/>
                </w:tcPr>
                <w:p w14:paraId="58D82CF7">
                  <w:pPr>
                    <w:pStyle w:val="5"/>
                    <w:ind w:left="0" w:leftChars="0" w:firstLine="0" w:firstLineChars="0"/>
                    <w:rPr>
                      <w:sz w:val="21"/>
                      <w:szCs w:val="21"/>
                      <w:lang w:val="en-US" w:eastAsia="zh-CN"/>
                    </w:rPr>
                  </w:pPr>
                  <w:r>
                    <w:rPr>
                      <w:sz w:val="21"/>
                      <w:szCs w:val="21"/>
                      <w:lang w:val="en-US" w:eastAsia="zh-CN"/>
                    </w:rPr>
                    <w:t>0.09</w:t>
                  </w:r>
                </w:p>
              </w:tc>
              <w:tc>
                <w:tcPr>
                  <w:tcW w:w="787" w:type="dxa"/>
                  <w:noWrap w:val="0"/>
                  <w:vAlign w:val="top"/>
                </w:tcPr>
                <w:p w14:paraId="04ABD29A">
                  <w:pPr>
                    <w:pStyle w:val="5"/>
                    <w:ind w:left="0" w:leftChars="0" w:firstLine="0" w:firstLineChars="0"/>
                    <w:rPr>
                      <w:sz w:val="21"/>
                      <w:szCs w:val="21"/>
                      <w:lang w:val="en-US" w:eastAsia="zh-CN"/>
                    </w:rPr>
                  </w:pPr>
                  <w:r>
                    <w:rPr>
                      <w:sz w:val="21"/>
                      <w:szCs w:val="21"/>
                      <w:lang w:val="en-US" w:eastAsia="zh-CN"/>
                    </w:rPr>
                    <w:t>12000</w:t>
                  </w:r>
                </w:p>
              </w:tc>
              <w:tc>
                <w:tcPr>
                  <w:tcW w:w="829" w:type="dxa"/>
                  <w:noWrap w:val="0"/>
                  <w:vAlign w:val="top"/>
                </w:tcPr>
                <w:p w14:paraId="609CEFD0">
                  <w:pPr>
                    <w:pStyle w:val="5"/>
                    <w:ind w:left="0" w:leftChars="0" w:firstLine="0" w:firstLineChars="0"/>
                    <w:rPr>
                      <w:sz w:val="21"/>
                      <w:szCs w:val="21"/>
                      <w:lang w:val="en-US" w:eastAsia="zh-CN"/>
                    </w:rPr>
                  </w:pPr>
                  <w:r>
                    <w:rPr>
                      <w:sz w:val="21"/>
                      <w:szCs w:val="21"/>
                      <w:lang w:val="en-US" w:eastAsia="zh-CN"/>
                    </w:rPr>
                    <w:t>8.3</w:t>
                  </w:r>
                </w:p>
              </w:tc>
              <w:tc>
                <w:tcPr>
                  <w:tcW w:w="759" w:type="dxa"/>
                  <w:noWrap w:val="0"/>
                  <w:vAlign w:val="top"/>
                </w:tcPr>
                <w:p w14:paraId="550F7E56">
                  <w:pPr>
                    <w:pStyle w:val="5"/>
                    <w:ind w:left="0" w:leftChars="0" w:firstLine="0" w:firstLineChars="0"/>
                    <w:rPr>
                      <w:sz w:val="21"/>
                      <w:szCs w:val="21"/>
                      <w:lang w:val="en-US" w:eastAsia="zh-CN"/>
                    </w:rPr>
                  </w:pPr>
                  <w:r>
                    <w:rPr>
                      <w:sz w:val="21"/>
                      <w:szCs w:val="21"/>
                      <w:lang w:val="en-US" w:eastAsia="zh-CN"/>
                    </w:rPr>
                    <w:t>0.1</w:t>
                  </w:r>
                </w:p>
              </w:tc>
              <w:tc>
                <w:tcPr>
                  <w:tcW w:w="687" w:type="dxa"/>
                  <w:noWrap w:val="0"/>
                  <w:vAlign w:val="top"/>
                </w:tcPr>
                <w:p w14:paraId="453B3807">
                  <w:pPr>
                    <w:pStyle w:val="5"/>
                    <w:ind w:left="0" w:leftChars="0" w:firstLine="0" w:firstLineChars="0"/>
                    <w:rPr>
                      <w:sz w:val="21"/>
                      <w:szCs w:val="21"/>
                      <w:lang w:val="en-US" w:eastAsia="zh-CN"/>
                    </w:rPr>
                  </w:pPr>
                  <w:r>
                    <w:rPr>
                      <w:sz w:val="21"/>
                      <w:szCs w:val="21"/>
                      <w:lang w:val="en-US" w:eastAsia="zh-CN"/>
                    </w:rPr>
                    <w:t>876</w:t>
                  </w:r>
                </w:p>
              </w:tc>
            </w:tr>
            <w:tr w14:paraId="6CC8BA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6" w:type="dxa"/>
                  <w:noWrap w:val="0"/>
                  <w:vAlign w:val="top"/>
                </w:tcPr>
                <w:p w14:paraId="71C8615C">
                  <w:pPr>
                    <w:pStyle w:val="5"/>
                    <w:ind w:left="0" w:leftChars="0" w:firstLine="0" w:firstLineChars="0"/>
                    <w:rPr>
                      <w:sz w:val="21"/>
                      <w:szCs w:val="21"/>
                      <w:lang w:val="en-US" w:eastAsia="zh-CN"/>
                    </w:rPr>
                  </w:pPr>
                  <w:r>
                    <w:rPr>
                      <w:sz w:val="21"/>
                      <w:szCs w:val="21"/>
                      <w:lang w:val="en-US" w:eastAsia="zh-CN"/>
                    </w:rPr>
                    <w:t>粉煤灰装卸</w:t>
                  </w:r>
                </w:p>
                <w:p w14:paraId="49C1261A">
                  <w:pPr>
                    <w:rPr>
                      <w:szCs w:val="21"/>
                    </w:rPr>
                  </w:pPr>
                </w:p>
                <w:p w14:paraId="050BE9AE">
                  <w:pPr>
                    <w:pStyle w:val="5"/>
                    <w:ind w:firstLine="480"/>
                    <w:rPr>
                      <w:lang w:val="en-US" w:eastAsia="zh-CN"/>
                    </w:rPr>
                  </w:pPr>
                </w:p>
              </w:tc>
              <w:tc>
                <w:tcPr>
                  <w:tcW w:w="575" w:type="dxa"/>
                  <w:noWrap w:val="0"/>
                  <w:vAlign w:val="top"/>
                </w:tcPr>
                <w:p w14:paraId="5A00566A">
                  <w:pPr>
                    <w:pStyle w:val="5"/>
                    <w:ind w:left="0" w:leftChars="0" w:firstLine="0" w:firstLineChars="0"/>
                    <w:rPr>
                      <w:sz w:val="21"/>
                      <w:szCs w:val="21"/>
                      <w:lang w:val="en-US" w:eastAsia="zh-CN"/>
                    </w:rPr>
                  </w:pPr>
                  <w:r>
                    <w:rPr>
                      <w:sz w:val="21"/>
                      <w:szCs w:val="21"/>
                      <w:lang w:val="en-US" w:eastAsia="zh-CN"/>
                    </w:rPr>
                    <w:t>排气筒P6-P9</w:t>
                  </w:r>
                </w:p>
              </w:tc>
              <w:tc>
                <w:tcPr>
                  <w:tcW w:w="450" w:type="dxa"/>
                  <w:noWrap w:val="0"/>
                  <w:vAlign w:val="top"/>
                </w:tcPr>
                <w:p w14:paraId="347CF7FA">
                  <w:pPr>
                    <w:pStyle w:val="5"/>
                    <w:ind w:left="0" w:leftChars="0" w:firstLine="0" w:firstLineChars="0"/>
                    <w:rPr>
                      <w:sz w:val="21"/>
                      <w:szCs w:val="21"/>
                      <w:lang w:val="en-US" w:eastAsia="zh-CN"/>
                    </w:rPr>
                  </w:pPr>
                  <w:r>
                    <w:rPr>
                      <w:sz w:val="21"/>
                      <w:szCs w:val="21"/>
                      <w:lang w:val="en-US" w:eastAsia="zh-CN"/>
                    </w:rPr>
                    <w:t>颗粒物</w:t>
                  </w:r>
                </w:p>
              </w:tc>
              <w:tc>
                <w:tcPr>
                  <w:tcW w:w="900" w:type="dxa"/>
                  <w:noWrap w:val="0"/>
                  <w:vAlign w:val="top"/>
                </w:tcPr>
                <w:p w14:paraId="6D87BC95">
                  <w:pPr>
                    <w:pStyle w:val="5"/>
                    <w:ind w:left="0" w:leftChars="0" w:firstLine="0" w:firstLineChars="0"/>
                    <w:rPr>
                      <w:rFonts w:hint="default"/>
                      <w:sz w:val="21"/>
                      <w:szCs w:val="21"/>
                      <w:lang w:val="en-US" w:eastAsia="zh-CN"/>
                    </w:rPr>
                  </w:pPr>
                  <w:r>
                    <w:rPr>
                      <w:rFonts w:hint="eastAsia"/>
                      <w:sz w:val="21"/>
                      <w:szCs w:val="21"/>
                      <w:lang w:val="en-US" w:eastAsia="zh-CN"/>
                    </w:rPr>
                    <w:t>1.92</w:t>
                  </w:r>
                </w:p>
              </w:tc>
              <w:tc>
                <w:tcPr>
                  <w:tcW w:w="863" w:type="dxa"/>
                  <w:noWrap w:val="0"/>
                  <w:vAlign w:val="top"/>
                </w:tcPr>
                <w:p w14:paraId="3AE20AF2">
                  <w:pPr>
                    <w:pStyle w:val="5"/>
                    <w:ind w:left="0" w:leftChars="0" w:firstLine="0" w:firstLineChars="0"/>
                    <w:rPr>
                      <w:sz w:val="21"/>
                      <w:szCs w:val="21"/>
                      <w:lang w:val="en-US" w:eastAsia="zh-CN"/>
                    </w:rPr>
                  </w:pPr>
                  <w:r>
                    <w:rPr>
                      <w:sz w:val="21"/>
                      <w:szCs w:val="21"/>
                      <w:lang w:val="en-US" w:eastAsia="zh-CN"/>
                    </w:rPr>
                    <w:t>布袋除尘器</w:t>
                  </w:r>
                </w:p>
              </w:tc>
              <w:tc>
                <w:tcPr>
                  <w:tcW w:w="787" w:type="dxa"/>
                  <w:noWrap w:val="0"/>
                  <w:vAlign w:val="top"/>
                </w:tcPr>
                <w:p w14:paraId="2D1554C2">
                  <w:pPr>
                    <w:pStyle w:val="5"/>
                    <w:ind w:left="0" w:leftChars="0" w:firstLine="0" w:firstLineChars="0"/>
                    <w:rPr>
                      <w:sz w:val="21"/>
                      <w:szCs w:val="21"/>
                      <w:lang w:val="en-US" w:eastAsia="zh-CN"/>
                    </w:rPr>
                  </w:pPr>
                  <w:r>
                    <w:rPr>
                      <w:sz w:val="21"/>
                      <w:szCs w:val="21"/>
                      <w:lang w:val="en-US" w:eastAsia="zh-CN"/>
                    </w:rPr>
                    <w:t>99</w:t>
                  </w:r>
                </w:p>
              </w:tc>
              <w:tc>
                <w:tcPr>
                  <w:tcW w:w="663" w:type="dxa"/>
                  <w:noWrap w:val="0"/>
                  <w:vAlign w:val="top"/>
                </w:tcPr>
                <w:p w14:paraId="6F9D1553">
                  <w:pPr>
                    <w:pStyle w:val="5"/>
                    <w:ind w:left="0" w:leftChars="0" w:firstLine="0" w:firstLineChars="0"/>
                    <w:rPr>
                      <w:sz w:val="21"/>
                      <w:szCs w:val="21"/>
                      <w:lang w:val="en-US" w:eastAsia="zh-CN"/>
                    </w:rPr>
                  </w:pPr>
                  <w:r>
                    <w:rPr>
                      <w:sz w:val="21"/>
                      <w:szCs w:val="21"/>
                      <w:lang w:val="en-US" w:eastAsia="zh-CN"/>
                    </w:rPr>
                    <w:t>0.02</w:t>
                  </w:r>
                </w:p>
              </w:tc>
              <w:tc>
                <w:tcPr>
                  <w:tcW w:w="787" w:type="dxa"/>
                  <w:noWrap w:val="0"/>
                  <w:vAlign w:val="top"/>
                </w:tcPr>
                <w:p w14:paraId="61DEF943">
                  <w:pPr>
                    <w:pStyle w:val="5"/>
                    <w:ind w:left="0" w:leftChars="0" w:firstLine="0" w:firstLineChars="0"/>
                    <w:rPr>
                      <w:sz w:val="21"/>
                      <w:szCs w:val="21"/>
                      <w:lang w:val="en-US" w:eastAsia="zh-CN"/>
                    </w:rPr>
                  </w:pPr>
                  <w:r>
                    <w:rPr>
                      <w:sz w:val="21"/>
                      <w:szCs w:val="21"/>
                      <w:lang w:val="en-US" w:eastAsia="zh-CN"/>
                    </w:rPr>
                    <w:t>12000</w:t>
                  </w:r>
                </w:p>
              </w:tc>
              <w:tc>
                <w:tcPr>
                  <w:tcW w:w="829" w:type="dxa"/>
                  <w:noWrap w:val="0"/>
                  <w:vAlign w:val="top"/>
                </w:tcPr>
                <w:p w14:paraId="2F19AE63">
                  <w:pPr>
                    <w:pStyle w:val="5"/>
                    <w:ind w:left="0" w:leftChars="0" w:firstLine="0" w:firstLineChars="0"/>
                    <w:rPr>
                      <w:sz w:val="21"/>
                      <w:szCs w:val="21"/>
                      <w:lang w:val="en-US" w:eastAsia="zh-CN"/>
                    </w:rPr>
                  </w:pPr>
                  <w:r>
                    <w:rPr>
                      <w:sz w:val="21"/>
                      <w:szCs w:val="21"/>
                      <w:lang w:val="en-US" w:eastAsia="zh-CN"/>
                    </w:rPr>
                    <w:t>8.3</w:t>
                  </w:r>
                </w:p>
              </w:tc>
              <w:tc>
                <w:tcPr>
                  <w:tcW w:w="759" w:type="dxa"/>
                  <w:noWrap w:val="0"/>
                  <w:vAlign w:val="top"/>
                </w:tcPr>
                <w:p w14:paraId="6C163D10">
                  <w:pPr>
                    <w:pStyle w:val="5"/>
                    <w:ind w:left="0" w:leftChars="0" w:firstLine="0" w:firstLineChars="0"/>
                    <w:rPr>
                      <w:sz w:val="21"/>
                      <w:szCs w:val="21"/>
                      <w:lang w:val="en-US" w:eastAsia="zh-CN"/>
                    </w:rPr>
                  </w:pPr>
                  <w:r>
                    <w:rPr>
                      <w:sz w:val="21"/>
                      <w:szCs w:val="21"/>
                      <w:lang w:val="en-US" w:eastAsia="zh-CN"/>
                    </w:rPr>
                    <w:t>0.1</w:t>
                  </w:r>
                </w:p>
              </w:tc>
              <w:tc>
                <w:tcPr>
                  <w:tcW w:w="687" w:type="dxa"/>
                  <w:noWrap w:val="0"/>
                  <w:vAlign w:val="top"/>
                </w:tcPr>
                <w:p w14:paraId="2A988A5C">
                  <w:pPr>
                    <w:pStyle w:val="5"/>
                    <w:ind w:left="0" w:leftChars="0" w:firstLine="0" w:firstLineChars="0"/>
                    <w:rPr>
                      <w:sz w:val="21"/>
                      <w:szCs w:val="21"/>
                      <w:lang w:val="en-US" w:eastAsia="zh-CN"/>
                    </w:rPr>
                  </w:pPr>
                  <w:r>
                    <w:rPr>
                      <w:sz w:val="21"/>
                      <w:szCs w:val="21"/>
                      <w:lang w:val="en-US" w:eastAsia="zh-CN"/>
                    </w:rPr>
                    <w:t>200</w:t>
                  </w:r>
                </w:p>
              </w:tc>
            </w:tr>
          </w:tbl>
          <w:p w14:paraId="673180C6">
            <w:pPr>
              <w:adjustRightInd w:val="0"/>
              <w:snapToGrid w:val="0"/>
              <w:spacing w:line="480" w:lineRule="exact"/>
              <w:ind w:firstLine="480" w:firstLineChars="200"/>
              <w:rPr>
                <w:rFonts w:hint="default" w:ascii="Times New Roman" w:hAnsi="Times New Roman" w:eastAsia="宋体" w:cs="Times New Roman"/>
                <w:color w:val="auto"/>
                <w:sz w:val="24"/>
                <w:szCs w:val="24"/>
                <w:highlight w:val="none"/>
                <w:lang w:val="en-US"/>
              </w:rPr>
            </w:pPr>
            <w:r>
              <w:rPr>
                <w:rFonts w:hint="eastAsia"/>
                <w:color w:val="auto"/>
                <w:sz w:val="24"/>
                <w:szCs w:val="24"/>
                <w:lang w:val="en-US" w:eastAsia="zh-CN"/>
              </w:rPr>
              <w:t>本项目所在区域属于大气环境质量未达标区</w:t>
            </w:r>
            <w:r>
              <w:rPr>
                <w:rFonts w:hint="eastAsia" w:ascii="Times New Roman" w:hAnsi="Times New Roman" w:eastAsia="宋体" w:cs="Times New Roman"/>
                <w:color w:val="auto"/>
                <w:sz w:val="24"/>
                <w:szCs w:val="24"/>
                <w:lang w:val="en-US" w:eastAsia="zh-CN"/>
              </w:rPr>
              <w:t>，故对本项目采用</w:t>
            </w:r>
            <w:r>
              <w:rPr>
                <w:rFonts w:hint="default" w:ascii="Times New Roman" w:hAnsi="Times New Roman" w:eastAsia="宋体" w:cs="Times New Roman"/>
                <w:color w:val="auto"/>
                <w:sz w:val="24"/>
                <w:szCs w:val="24"/>
                <w:lang w:val="en-US" w:eastAsia="zh-CN"/>
              </w:rPr>
              <w:t>AERSCREEN估算模式估算</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估算模型参数见表</w:t>
            </w:r>
            <w:r>
              <w:rPr>
                <w:rFonts w:hint="eastAsia" w:ascii="Times New Roman" w:hAnsi="Times New Roman" w:eastAsia="宋体" w:cs="Times New Roman"/>
                <w:color w:val="auto"/>
                <w:sz w:val="24"/>
                <w:szCs w:val="24"/>
                <w:lang w:val="en-US" w:eastAsia="zh-CN"/>
              </w:rPr>
              <w:t>4-2</w:t>
            </w:r>
            <w:r>
              <w:rPr>
                <w:rFonts w:hint="default" w:ascii="Times New Roman" w:hAnsi="Times New Roman" w:eastAsia="宋体" w:cs="Times New Roman"/>
                <w:color w:val="auto"/>
                <w:sz w:val="24"/>
                <w:szCs w:val="24"/>
                <w:lang w:val="en-US" w:eastAsia="zh-CN"/>
              </w:rPr>
              <w:t>，污染源排放参数见表</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val="en-US" w:eastAsia="zh-CN"/>
              </w:rPr>
              <w:t>4-4，估算结果统计见4-5。</w:t>
            </w:r>
          </w:p>
          <w:p w14:paraId="6046A364">
            <w:pPr>
              <w:adjustRightInd w:val="0"/>
              <w:snapToGrid w:val="0"/>
              <w:spacing w:line="480" w:lineRule="exact"/>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w:t>
            </w:r>
            <w:r>
              <w:rPr>
                <w:rFonts w:hint="eastAsia" w:ascii="Times New Roman" w:hAnsi="Times New Roman" w:eastAsia="宋体" w:cs="Times New Roman"/>
                <w:b/>
                <w:color w:val="auto"/>
                <w:sz w:val="24"/>
                <w:szCs w:val="24"/>
                <w:highlight w:val="none"/>
                <w:lang w:val="en-US" w:eastAsia="zh-CN"/>
              </w:rPr>
              <w:t>4-2</w:t>
            </w:r>
            <w:r>
              <w:rPr>
                <w:rFonts w:hint="default" w:ascii="Times New Roman" w:hAnsi="Times New Roman" w:eastAsia="宋体" w:cs="Times New Roman"/>
                <w:b/>
                <w:color w:val="auto"/>
                <w:sz w:val="24"/>
                <w:szCs w:val="24"/>
                <w:highlight w:val="none"/>
              </w:rPr>
              <w:t xml:space="preserve">    估算模型参数表</w:t>
            </w:r>
          </w:p>
          <w:tbl>
            <w:tblPr>
              <w:tblStyle w:val="11"/>
              <w:tblW w:w="5000"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52"/>
              <w:gridCol w:w="4246"/>
              <w:gridCol w:w="1448"/>
            </w:tblGrid>
            <w:tr w14:paraId="21991D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80" w:type="dxa"/>
                  <w:gridSpan w:val="2"/>
                  <w:tcBorders>
                    <w:tl2br w:val="nil"/>
                    <w:tr2bl w:val="nil"/>
                  </w:tcBorders>
                  <w:noWrap w:val="0"/>
                  <w:vAlign w:val="center"/>
                </w:tcPr>
                <w:p w14:paraId="647A8F4C">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参数</w:t>
                  </w:r>
                </w:p>
              </w:tc>
              <w:tc>
                <w:tcPr>
                  <w:tcW w:w="1511" w:type="dxa"/>
                  <w:tcBorders>
                    <w:tl2br w:val="nil"/>
                    <w:tr2bl w:val="nil"/>
                  </w:tcBorders>
                  <w:noWrap w:val="0"/>
                  <w:vAlign w:val="center"/>
                </w:tcPr>
                <w:p w14:paraId="7488E796">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取值</w:t>
                  </w:r>
                </w:p>
              </w:tc>
            </w:tr>
            <w:tr w14:paraId="615286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9" w:type="dxa"/>
                  <w:tcBorders>
                    <w:tl2br w:val="nil"/>
                    <w:tr2bl w:val="nil"/>
                  </w:tcBorders>
                  <w:noWrap w:val="0"/>
                  <w:vAlign w:val="center"/>
                </w:tcPr>
                <w:p w14:paraId="06C1CC25">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城市/农村选项</w:t>
                  </w:r>
                </w:p>
              </w:tc>
              <w:tc>
                <w:tcPr>
                  <w:tcW w:w="4431" w:type="dxa"/>
                  <w:tcBorders>
                    <w:tl2br w:val="nil"/>
                    <w:tr2bl w:val="nil"/>
                  </w:tcBorders>
                  <w:noWrap w:val="0"/>
                  <w:vAlign w:val="center"/>
                </w:tcPr>
                <w:p w14:paraId="48F26BEB">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城市/农村</w:t>
                  </w:r>
                </w:p>
              </w:tc>
              <w:tc>
                <w:tcPr>
                  <w:tcW w:w="1511" w:type="dxa"/>
                  <w:tcBorders>
                    <w:tl2br w:val="nil"/>
                    <w:tr2bl w:val="nil"/>
                  </w:tcBorders>
                  <w:noWrap w:val="0"/>
                  <w:vAlign w:val="center"/>
                </w:tcPr>
                <w:p w14:paraId="704C7FBD">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农村</w:t>
                  </w:r>
                </w:p>
              </w:tc>
            </w:tr>
            <w:tr w14:paraId="09A9D5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80" w:type="dxa"/>
                  <w:gridSpan w:val="2"/>
                  <w:tcBorders>
                    <w:tl2br w:val="nil"/>
                    <w:tr2bl w:val="nil"/>
                  </w:tcBorders>
                  <w:noWrap w:val="0"/>
                  <w:vAlign w:val="center"/>
                </w:tcPr>
                <w:p w14:paraId="5462731F">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最高环境温度/℃</w:t>
                  </w:r>
                </w:p>
              </w:tc>
              <w:tc>
                <w:tcPr>
                  <w:tcW w:w="1511" w:type="dxa"/>
                  <w:tcBorders>
                    <w:tl2br w:val="nil"/>
                    <w:tr2bl w:val="nil"/>
                  </w:tcBorders>
                  <w:noWrap w:val="0"/>
                  <w:vAlign w:val="center"/>
                </w:tcPr>
                <w:p w14:paraId="1062F1DE">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40.2℃</w:t>
                  </w:r>
                </w:p>
              </w:tc>
            </w:tr>
            <w:tr w14:paraId="168CE0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80" w:type="dxa"/>
                  <w:gridSpan w:val="2"/>
                  <w:tcBorders>
                    <w:tl2br w:val="nil"/>
                    <w:tr2bl w:val="nil"/>
                  </w:tcBorders>
                  <w:noWrap w:val="0"/>
                  <w:vAlign w:val="center"/>
                </w:tcPr>
                <w:p w14:paraId="564A974A">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最低环境温度/℃</w:t>
                  </w:r>
                </w:p>
              </w:tc>
              <w:tc>
                <w:tcPr>
                  <w:tcW w:w="1511" w:type="dxa"/>
                  <w:tcBorders>
                    <w:tl2br w:val="nil"/>
                    <w:tr2bl w:val="nil"/>
                  </w:tcBorders>
                  <w:noWrap w:val="0"/>
                  <w:vAlign w:val="center"/>
                </w:tcPr>
                <w:p w14:paraId="574D3E1F">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-28.9℃</w:t>
                  </w:r>
                </w:p>
              </w:tc>
            </w:tr>
            <w:tr w14:paraId="3BA21D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80" w:type="dxa"/>
                  <w:gridSpan w:val="2"/>
                  <w:tcBorders>
                    <w:tl2br w:val="nil"/>
                    <w:tr2bl w:val="nil"/>
                  </w:tcBorders>
                  <w:noWrap w:val="0"/>
                  <w:vAlign w:val="center"/>
                </w:tcPr>
                <w:p w14:paraId="46F33148">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土地利用类型</w:t>
                  </w:r>
                </w:p>
              </w:tc>
              <w:tc>
                <w:tcPr>
                  <w:tcW w:w="1511" w:type="dxa"/>
                  <w:tcBorders>
                    <w:tl2br w:val="nil"/>
                    <w:tr2bl w:val="nil"/>
                  </w:tcBorders>
                  <w:noWrap w:val="0"/>
                  <w:vAlign w:val="center"/>
                </w:tcPr>
                <w:p w14:paraId="6D59D3DF">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草地</w:t>
                  </w:r>
                </w:p>
              </w:tc>
            </w:tr>
            <w:tr w14:paraId="619103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80" w:type="dxa"/>
                  <w:gridSpan w:val="2"/>
                  <w:tcBorders>
                    <w:tl2br w:val="nil"/>
                    <w:tr2bl w:val="nil"/>
                  </w:tcBorders>
                  <w:noWrap w:val="0"/>
                  <w:vAlign w:val="center"/>
                </w:tcPr>
                <w:p w14:paraId="2D394899">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区域湿度条件</w:t>
                  </w:r>
                </w:p>
              </w:tc>
              <w:tc>
                <w:tcPr>
                  <w:tcW w:w="1511" w:type="dxa"/>
                  <w:tcBorders>
                    <w:tl2br w:val="nil"/>
                    <w:tr2bl w:val="nil"/>
                  </w:tcBorders>
                  <w:noWrap w:val="0"/>
                  <w:vAlign w:val="center"/>
                </w:tcPr>
                <w:p w14:paraId="39028853">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干燥气候</w:t>
                  </w:r>
                </w:p>
              </w:tc>
            </w:tr>
            <w:tr w14:paraId="3F2B57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9" w:type="dxa"/>
                  <w:vMerge w:val="restart"/>
                  <w:tcBorders>
                    <w:tl2br w:val="nil"/>
                    <w:tr2bl w:val="nil"/>
                  </w:tcBorders>
                  <w:noWrap w:val="0"/>
                  <w:vAlign w:val="center"/>
                </w:tcPr>
                <w:p w14:paraId="6422214A">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是否考虑地形</w:t>
                  </w:r>
                </w:p>
              </w:tc>
              <w:tc>
                <w:tcPr>
                  <w:tcW w:w="4431" w:type="dxa"/>
                  <w:tcBorders>
                    <w:tl2br w:val="nil"/>
                    <w:tr2bl w:val="nil"/>
                  </w:tcBorders>
                  <w:noWrap w:val="0"/>
                  <w:vAlign w:val="center"/>
                </w:tcPr>
                <w:p w14:paraId="053BE44F">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考虑地形</w:t>
                  </w:r>
                </w:p>
              </w:tc>
              <w:tc>
                <w:tcPr>
                  <w:tcW w:w="1511" w:type="dxa"/>
                  <w:tcBorders>
                    <w:tl2br w:val="nil"/>
                    <w:tr2bl w:val="nil"/>
                  </w:tcBorders>
                  <w:noWrap w:val="0"/>
                  <w:vAlign w:val="center"/>
                </w:tcPr>
                <w:p w14:paraId="274A6B18">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是</w:t>
                  </w:r>
                </w:p>
              </w:tc>
            </w:tr>
            <w:tr w14:paraId="78235C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9" w:type="dxa"/>
                  <w:vMerge w:val="continue"/>
                  <w:tcBorders>
                    <w:tl2br w:val="nil"/>
                    <w:tr2bl w:val="nil"/>
                  </w:tcBorders>
                  <w:noWrap w:val="0"/>
                  <w:vAlign w:val="center"/>
                </w:tcPr>
                <w:p w14:paraId="2C144973">
                  <w:pPr>
                    <w:jc w:val="center"/>
                    <w:rPr>
                      <w:rFonts w:hint="default" w:ascii="Times New Roman" w:hAnsi="Times New Roman" w:eastAsia="宋体" w:cs="Times New Roman"/>
                      <w:bCs/>
                      <w:color w:val="auto"/>
                      <w:szCs w:val="21"/>
                      <w:highlight w:val="none"/>
                    </w:rPr>
                  </w:pPr>
                </w:p>
              </w:tc>
              <w:tc>
                <w:tcPr>
                  <w:tcW w:w="4431" w:type="dxa"/>
                  <w:tcBorders>
                    <w:tl2br w:val="nil"/>
                    <w:tr2bl w:val="nil"/>
                  </w:tcBorders>
                  <w:noWrap w:val="0"/>
                  <w:vAlign w:val="center"/>
                </w:tcPr>
                <w:p w14:paraId="4965A58E">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地形数据分辨率/m</w:t>
                  </w:r>
                </w:p>
              </w:tc>
              <w:tc>
                <w:tcPr>
                  <w:tcW w:w="1511" w:type="dxa"/>
                  <w:tcBorders>
                    <w:tl2br w:val="nil"/>
                    <w:tr2bl w:val="nil"/>
                  </w:tcBorders>
                  <w:noWrap w:val="0"/>
                  <w:vAlign w:val="center"/>
                </w:tcPr>
                <w:p w14:paraId="2C30F9E5">
                  <w:pPr>
                    <w:jc w:val="center"/>
                    <w:rPr>
                      <w:rFonts w:hint="default" w:ascii="Times New Roman" w:hAnsi="Times New Roman" w:eastAsia="宋体" w:cs="Times New Roman"/>
                      <w:bCs/>
                      <w:color w:val="auto"/>
                      <w:szCs w:val="21"/>
                      <w:highlight w:val="none"/>
                      <w:lang w:val="en-US"/>
                    </w:rPr>
                  </w:pPr>
                  <w:r>
                    <w:rPr>
                      <w:rFonts w:hint="default" w:ascii="Times New Roman" w:hAnsi="Times New Roman" w:eastAsia="宋体" w:cs="Times New Roman"/>
                      <w:bCs/>
                      <w:color w:val="auto"/>
                      <w:szCs w:val="21"/>
                      <w:highlight w:val="none"/>
                      <w:lang w:val="en-US" w:eastAsia="zh-CN"/>
                    </w:rPr>
                    <w:t>90</w:t>
                  </w:r>
                </w:p>
              </w:tc>
            </w:tr>
            <w:tr w14:paraId="7099F7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9" w:type="dxa"/>
                  <w:vMerge w:val="restart"/>
                  <w:tcBorders>
                    <w:tl2br w:val="nil"/>
                    <w:tr2bl w:val="nil"/>
                  </w:tcBorders>
                  <w:noWrap w:val="0"/>
                  <w:vAlign w:val="center"/>
                </w:tcPr>
                <w:p w14:paraId="3FED679C">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是否考虑岸线熏烟</w:t>
                  </w:r>
                </w:p>
              </w:tc>
              <w:tc>
                <w:tcPr>
                  <w:tcW w:w="4431" w:type="dxa"/>
                  <w:tcBorders>
                    <w:tl2br w:val="nil"/>
                    <w:tr2bl w:val="nil"/>
                  </w:tcBorders>
                  <w:noWrap w:val="0"/>
                  <w:vAlign w:val="center"/>
                </w:tcPr>
                <w:p w14:paraId="60F61FE7">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考虑岸线熏烟</w:t>
                  </w:r>
                </w:p>
              </w:tc>
              <w:tc>
                <w:tcPr>
                  <w:tcW w:w="1511" w:type="dxa"/>
                  <w:tcBorders>
                    <w:tl2br w:val="nil"/>
                    <w:tr2bl w:val="nil"/>
                  </w:tcBorders>
                  <w:noWrap w:val="0"/>
                  <w:vAlign w:val="center"/>
                </w:tcPr>
                <w:p w14:paraId="341D28B8">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否</w:t>
                  </w:r>
                </w:p>
              </w:tc>
            </w:tr>
            <w:tr w14:paraId="1DECD2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9" w:type="dxa"/>
                  <w:vMerge w:val="continue"/>
                  <w:tcBorders>
                    <w:tl2br w:val="nil"/>
                    <w:tr2bl w:val="nil"/>
                  </w:tcBorders>
                  <w:noWrap w:val="0"/>
                  <w:vAlign w:val="center"/>
                </w:tcPr>
                <w:p w14:paraId="027DD15C">
                  <w:pPr>
                    <w:jc w:val="center"/>
                    <w:rPr>
                      <w:rFonts w:hint="default" w:ascii="Times New Roman" w:hAnsi="Times New Roman" w:eastAsia="宋体" w:cs="Times New Roman"/>
                      <w:bCs/>
                      <w:color w:val="auto"/>
                      <w:szCs w:val="21"/>
                      <w:highlight w:val="none"/>
                    </w:rPr>
                  </w:pPr>
                </w:p>
              </w:tc>
              <w:tc>
                <w:tcPr>
                  <w:tcW w:w="4431" w:type="dxa"/>
                  <w:tcBorders>
                    <w:tl2br w:val="nil"/>
                    <w:tr2bl w:val="nil"/>
                  </w:tcBorders>
                  <w:noWrap w:val="0"/>
                  <w:vAlign w:val="center"/>
                </w:tcPr>
                <w:p w14:paraId="25692E5D">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岸线距离/km</w:t>
                  </w:r>
                </w:p>
              </w:tc>
              <w:tc>
                <w:tcPr>
                  <w:tcW w:w="1511" w:type="dxa"/>
                  <w:tcBorders>
                    <w:tl2br w:val="nil"/>
                    <w:tr2bl w:val="nil"/>
                  </w:tcBorders>
                  <w:noWrap w:val="0"/>
                  <w:vAlign w:val="center"/>
                </w:tcPr>
                <w:p w14:paraId="618AED35">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w:t>
                  </w:r>
                </w:p>
              </w:tc>
            </w:tr>
            <w:tr w14:paraId="5B61D9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349" w:type="dxa"/>
                  <w:vMerge w:val="continue"/>
                  <w:tcBorders>
                    <w:tl2br w:val="nil"/>
                    <w:tr2bl w:val="nil"/>
                  </w:tcBorders>
                  <w:noWrap w:val="0"/>
                  <w:vAlign w:val="center"/>
                </w:tcPr>
                <w:p w14:paraId="7B805226">
                  <w:pPr>
                    <w:jc w:val="center"/>
                    <w:rPr>
                      <w:rFonts w:hint="default" w:ascii="Times New Roman" w:hAnsi="Times New Roman" w:eastAsia="宋体" w:cs="Times New Roman"/>
                      <w:bCs/>
                      <w:color w:val="auto"/>
                      <w:szCs w:val="21"/>
                      <w:highlight w:val="none"/>
                    </w:rPr>
                  </w:pPr>
                </w:p>
              </w:tc>
              <w:tc>
                <w:tcPr>
                  <w:tcW w:w="4431" w:type="dxa"/>
                  <w:tcBorders>
                    <w:tl2br w:val="nil"/>
                    <w:tr2bl w:val="nil"/>
                  </w:tcBorders>
                  <w:noWrap w:val="0"/>
                  <w:vAlign w:val="center"/>
                </w:tcPr>
                <w:p w14:paraId="794BE86F">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岸线方向/°</w:t>
                  </w:r>
                </w:p>
              </w:tc>
              <w:tc>
                <w:tcPr>
                  <w:tcW w:w="1511" w:type="dxa"/>
                  <w:tcBorders>
                    <w:tl2br w:val="nil"/>
                    <w:tr2bl w:val="nil"/>
                  </w:tcBorders>
                  <w:noWrap w:val="0"/>
                  <w:vAlign w:val="center"/>
                </w:tcPr>
                <w:p w14:paraId="2A98D1E5">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w:t>
                  </w:r>
                </w:p>
              </w:tc>
            </w:tr>
          </w:tbl>
          <w:p w14:paraId="05058C0F">
            <w:pPr>
              <w:adjustRightInd w:val="0"/>
              <w:snapToGrid w:val="0"/>
              <w:spacing w:line="480" w:lineRule="exact"/>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w:t>
            </w:r>
            <w:r>
              <w:rPr>
                <w:rFonts w:hint="eastAsia" w:ascii="Times New Roman" w:hAnsi="Times New Roman" w:eastAsia="宋体" w:cs="Times New Roman"/>
                <w:b/>
                <w:color w:val="auto"/>
                <w:sz w:val="24"/>
                <w:szCs w:val="24"/>
                <w:highlight w:val="none"/>
                <w:lang w:val="en-US" w:eastAsia="zh-CN"/>
              </w:rPr>
              <w:t>4-3</w:t>
            </w:r>
            <w:r>
              <w:rPr>
                <w:rFonts w:hint="default" w:ascii="Times New Roman" w:hAnsi="Times New Roman" w:eastAsia="宋体" w:cs="Times New Roman"/>
                <w:b/>
                <w:color w:val="auto"/>
                <w:sz w:val="24"/>
                <w:szCs w:val="24"/>
                <w:highlight w:val="none"/>
              </w:rPr>
              <w:t xml:space="preserve">      项目有组织点源估算模式参数表</w:t>
            </w:r>
          </w:p>
          <w:tbl>
            <w:tblPr>
              <w:tblStyle w:val="11"/>
              <w:tblW w:w="7948" w:type="dxa"/>
              <w:tblInd w:w="11"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530"/>
              <w:gridCol w:w="586"/>
              <w:gridCol w:w="705"/>
              <w:gridCol w:w="1234"/>
              <w:gridCol w:w="688"/>
              <w:gridCol w:w="895"/>
              <w:gridCol w:w="678"/>
              <w:gridCol w:w="859"/>
              <w:gridCol w:w="499"/>
              <w:gridCol w:w="1274"/>
            </w:tblGrid>
            <w:tr w14:paraId="35B3EAC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6" w:hRule="atLeast"/>
              </w:trPr>
              <w:tc>
                <w:tcPr>
                  <w:tcW w:w="530" w:type="dxa"/>
                  <w:vMerge w:val="restart"/>
                  <w:tcBorders>
                    <w:tl2br w:val="nil"/>
                    <w:tr2bl w:val="nil"/>
                  </w:tcBorders>
                  <w:noWrap w:val="0"/>
                  <w:vAlign w:val="center"/>
                </w:tcPr>
                <w:p w14:paraId="5F764FF7">
                  <w:pPr>
                    <w:widowControl/>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bCs/>
                      <w:color w:val="auto"/>
                      <w:szCs w:val="21"/>
                      <w:highlight w:val="none"/>
                    </w:rPr>
                    <w:t>污染源</w:t>
                  </w:r>
                </w:p>
              </w:tc>
              <w:tc>
                <w:tcPr>
                  <w:tcW w:w="1291" w:type="dxa"/>
                  <w:gridSpan w:val="2"/>
                  <w:tcBorders>
                    <w:tl2br w:val="nil"/>
                    <w:tr2bl w:val="nil"/>
                  </w:tcBorders>
                  <w:noWrap w:val="0"/>
                  <w:vAlign w:val="center"/>
                </w:tcPr>
                <w:p w14:paraId="46CC8750">
                  <w:pPr>
                    <w:widowControl/>
                    <w:jc w:val="center"/>
                    <w:textAlignment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排气筒底部中心坐标</w:t>
                  </w:r>
                </w:p>
              </w:tc>
              <w:tc>
                <w:tcPr>
                  <w:tcW w:w="1234" w:type="dxa"/>
                  <w:vMerge w:val="restart"/>
                  <w:tcBorders>
                    <w:tl2br w:val="nil"/>
                    <w:tr2bl w:val="nil"/>
                  </w:tcBorders>
                  <w:noWrap w:val="0"/>
                  <w:vAlign w:val="center"/>
                </w:tcPr>
                <w:p w14:paraId="0AC5A37A">
                  <w:pPr>
                    <w:widowControl/>
                    <w:jc w:val="center"/>
                    <w:textAlignment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排气筒底部</w:t>
                  </w:r>
                  <w:r>
                    <w:rPr>
                      <w:rFonts w:hint="eastAsia" w:ascii="Times New Roman" w:hAnsi="Times New Roman" w:eastAsia="宋体" w:cs="Times New Roman"/>
                      <w:b/>
                      <w:bCs/>
                      <w:color w:val="auto"/>
                      <w:szCs w:val="21"/>
                      <w:highlight w:val="none"/>
                      <w:lang w:eastAsia="zh-CN"/>
                    </w:rPr>
                    <w:t>海拔</w:t>
                  </w:r>
                  <w:r>
                    <w:rPr>
                      <w:rFonts w:hint="default" w:ascii="Times New Roman" w:hAnsi="Times New Roman" w:eastAsia="宋体" w:cs="Times New Roman"/>
                      <w:b/>
                      <w:bCs/>
                      <w:color w:val="auto"/>
                      <w:szCs w:val="21"/>
                      <w:highlight w:val="none"/>
                    </w:rPr>
                    <w:t>/m</w:t>
                  </w:r>
                </w:p>
              </w:tc>
              <w:tc>
                <w:tcPr>
                  <w:tcW w:w="688" w:type="dxa"/>
                  <w:vMerge w:val="restart"/>
                  <w:tcBorders>
                    <w:tl2br w:val="nil"/>
                    <w:tr2bl w:val="nil"/>
                  </w:tcBorders>
                  <w:noWrap w:val="0"/>
                  <w:vAlign w:val="center"/>
                </w:tcPr>
                <w:p w14:paraId="0EA315FB">
                  <w:pPr>
                    <w:widowControl/>
                    <w:jc w:val="center"/>
                    <w:textAlignment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排气筒高度m</w:t>
                  </w:r>
                </w:p>
              </w:tc>
              <w:tc>
                <w:tcPr>
                  <w:tcW w:w="895" w:type="dxa"/>
                  <w:vMerge w:val="restart"/>
                  <w:tcBorders>
                    <w:tl2br w:val="nil"/>
                    <w:tr2bl w:val="nil"/>
                  </w:tcBorders>
                  <w:noWrap w:val="0"/>
                  <w:vAlign w:val="center"/>
                </w:tcPr>
                <w:p w14:paraId="057A630B">
                  <w:pPr>
                    <w:widowControl/>
                    <w:jc w:val="center"/>
                    <w:textAlignment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排气筒出口内径m</w:t>
                  </w:r>
                </w:p>
              </w:tc>
              <w:tc>
                <w:tcPr>
                  <w:tcW w:w="678" w:type="dxa"/>
                  <w:vMerge w:val="restart"/>
                  <w:tcBorders>
                    <w:tl2br w:val="nil"/>
                    <w:tr2bl w:val="nil"/>
                  </w:tcBorders>
                  <w:noWrap w:val="0"/>
                  <w:vAlign w:val="center"/>
                </w:tcPr>
                <w:p w14:paraId="49EFE83B">
                  <w:pPr>
                    <w:widowControl/>
                    <w:jc w:val="center"/>
                    <w:textAlignment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流量m</w:t>
                  </w:r>
                  <w:r>
                    <w:rPr>
                      <w:rFonts w:hint="default" w:ascii="Times New Roman" w:hAnsi="Times New Roman" w:eastAsia="宋体" w:cs="Times New Roman"/>
                      <w:b/>
                      <w:bCs/>
                      <w:color w:val="auto"/>
                      <w:szCs w:val="21"/>
                      <w:highlight w:val="none"/>
                      <w:vertAlign w:val="superscript"/>
                    </w:rPr>
                    <w:t>3</w:t>
                  </w:r>
                  <w:r>
                    <w:rPr>
                      <w:rFonts w:hint="default" w:ascii="Times New Roman" w:hAnsi="Times New Roman" w:eastAsia="宋体" w:cs="Times New Roman"/>
                      <w:b/>
                      <w:bCs/>
                      <w:color w:val="auto"/>
                      <w:szCs w:val="21"/>
                      <w:highlight w:val="none"/>
                    </w:rPr>
                    <w:t>/h</w:t>
                  </w:r>
                </w:p>
              </w:tc>
              <w:tc>
                <w:tcPr>
                  <w:tcW w:w="859" w:type="dxa"/>
                  <w:vMerge w:val="restart"/>
                  <w:tcBorders>
                    <w:tl2br w:val="nil"/>
                    <w:tr2bl w:val="nil"/>
                  </w:tcBorders>
                  <w:noWrap w:val="0"/>
                  <w:vAlign w:val="center"/>
                </w:tcPr>
                <w:p w14:paraId="58DB3CF2">
                  <w:pPr>
                    <w:widowControl/>
                    <w:jc w:val="center"/>
                    <w:textAlignment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年排放小时数h</w:t>
                  </w:r>
                </w:p>
              </w:tc>
              <w:tc>
                <w:tcPr>
                  <w:tcW w:w="499" w:type="dxa"/>
                  <w:vMerge w:val="restart"/>
                  <w:tcBorders>
                    <w:tl2br w:val="nil"/>
                    <w:tr2bl w:val="nil"/>
                  </w:tcBorders>
                  <w:noWrap w:val="0"/>
                  <w:vAlign w:val="center"/>
                </w:tcPr>
                <w:p w14:paraId="70122C03">
                  <w:pPr>
                    <w:widowControl/>
                    <w:jc w:val="center"/>
                    <w:textAlignment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排放工况</w:t>
                  </w:r>
                </w:p>
              </w:tc>
              <w:tc>
                <w:tcPr>
                  <w:tcW w:w="1274" w:type="dxa"/>
                  <w:tcBorders>
                    <w:tl2br w:val="nil"/>
                    <w:tr2bl w:val="nil"/>
                  </w:tcBorders>
                  <w:noWrap w:val="0"/>
                  <w:vAlign w:val="center"/>
                </w:tcPr>
                <w:p w14:paraId="7A08C2D0">
                  <w:pPr>
                    <w:widowControl/>
                    <w:jc w:val="center"/>
                    <w:textAlignment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污 染 物 排 放速率kg/h</w:t>
                  </w:r>
                </w:p>
              </w:tc>
            </w:tr>
            <w:tr w14:paraId="52C16D3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510" w:hRule="atLeast"/>
              </w:trPr>
              <w:tc>
                <w:tcPr>
                  <w:tcW w:w="530" w:type="dxa"/>
                  <w:vMerge w:val="continue"/>
                  <w:tcBorders>
                    <w:tl2br w:val="nil"/>
                    <w:tr2bl w:val="nil"/>
                  </w:tcBorders>
                  <w:noWrap w:val="0"/>
                  <w:vAlign w:val="center"/>
                </w:tcPr>
                <w:p w14:paraId="1E67110F">
                  <w:pPr>
                    <w:widowControl/>
                    <w:jc w:val="center"/>
                    <w:textAlignment w:val="center"/>
                    <w:rPr>
                      <w:rFonts w:hint="default" w:ascii="Times New Roman" w:hAnsi="Times New Roman" w:eastAsia="宋体" w:cs="Times New Roman"/>
                      <w:color w:val="auto"/>
                      <w:szCs w:val="21"/>
                      <w:highlight w:val="none"/>
                    </w:rPr>
                  </w:pPr>
                </w:p>
              </w:tc>
              <w:tc>
                <w:tcPr>
                  <w:tcW w:w="586" w:type="dxa"/>
                  <w:tcBorders>
                    <w:tl2br w:val="nil"/>
                    <w:tr2bl w:val="nil"/>
                  </w:tcBorders>
                  <w:noWrap w:val="0"/>
                  <w:vAlign w:val="center"/>
                </w:tcPr>
                <w:p w14:paraId="3574A8C4">
                  <w:pPr>
                    <w:widowControl/>
                    <w:spacing w:line="360" w:lineRule="auto"/>
                    <w:jc w:val="center"/>
                    <w:textAlignment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X</w:t>
                  </w:r>
                </w:p>
              </w:tc>
              <w:tc>
                <w:tcPr>
                  <w:tcW w:w="705" w:type="dxa"/>
                  <w:tcBorders>
                    <w:tl2br w:val="nil"/>
                    <w:tr2bl w:val="nil"/>
                  </w:tcBorders>
                  <w:noWrap w:val="0"/>
                  <w:vAlign w:val="center"/>
                </w:tcPr>
                <w:p w14:paraId="0D4C587B">
                  <w:pPr>
                    <w:widowControl/>
                    <w:spacing w:line="360" w:lineRule="auto"/>
                    <w:jc w:val="center"/>
                    <w:textAlignment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Y</w:t>
                  </w:r>
                </w:p>
              </w:tc>
              <w:tc>
                <w:tcPr>
                  <w:tcW w:w="1234" w:type="dxa"/>
                  <w:vMerge w:val="continue"/>
                  <w:tcBorders>
                    <w:tl2br w:val="nil"/>
                    <w:tr2bl w:val="nil"/>
                  </w:tcBorders>
                  <w:noWrap w:val="0"/>
                  <w:vAlign w:val="center"/>
                </w:tcPr>
                <w:p w14:paraId="4DCDCA76">
                  <w:pPr>
                    <w:jc w:val="center"/>
                    <w:rPr>
                      <w:rFonts w:hint="default" w:ascii="Times New Roman" w:hAnsi="Times New Roman" w:eastAsia="宋体" w:cs="Times New Roman"/>
                      <w:b/>
                      <w:bCs/>
                      <w:color w:val="auto"/>
                      <w:szCs w:val="21"/>
                      <w:highlight w:val="none"/>
                    </w:rPr>
                  </w:pPr>
                </w:p>
              </w:tc>
              <w:tc>
                <w:tcPr>
                  <w:tcW w:w="688" w:type="dxa"/>
                  <w:vMerge w:val="continue"/>
                  <w:tcBorders>
                    <w:tl2br w:val="nil"/>
                    <w:tr2bl w:val="nil"/>
                  </w:tcBorders>
                  <w:noWrap w:val="0"/>
                  <w:vAlign w:val="center"/>
                </w:tcPr>
                <w:p w14:paraId="71FC8D25">
                  <w:pPr>
                    <w:jc w:val="center"/>
                    <w:rPr>
                      <w:rFonts w:hint="default" w:ascii="Times New Roman" w:hAnsi="Times New Roman" w:eastAsia="宋体" w:cs="Times New Roman"/>
                      <w:b/>
                      <w:bCs/>
                      <w:color w:val="auto"/>
                      <w:szCs w:val="21"/>
                      <w:highlight w:val="none"/>
                    </w:rPr>
                  </w:pPr>
                </w:p>
              </w:tc>
              <w:tc>
                <w:tcPr>
                  <w:tcW w:w="895" w:type="dxa"/>
                  <w:vMerge w:val="continue"/>
                  <w:tcBorders>
                    <w:tl2br w:val="nil"/>
                    <w:tr2bl w:val="nil"/>
                  </w:tcBorders>
                  <w:noWrap w:val="0"/>
                  <w:vAlign w:val="center"/>
                </w:tcPr>
                <w:p w14:paraId="6524E905">
                  <w:pPr>
                    <w:jc w:val="center"/>
                    <w:rPr>
                      <w:rFonts w:hint="default" w:ascii="Times New Roman" w:hAnsi="Times New Roman" w:eastAsia="宋体" w:cs="Times New Roman"/>
                      <w:b/>
                      <w:bCs/>
                      <w:color w:val="auto"/>
                      <w:szCs w:val="21"/>
                      <w:highlight w:val="none"/>
                    </w:rPr>
                  </w:pPr>
                </w:p>
              </w:tc>
              <w:tc>
                <w:tcPr>
                  <w:tcW w:w="678" w:type="dxa"/>
                  <w:vMerge w:val="continue"/>
                  <w:tcBorders>
                    <w:tl2br w:val="nil"/>
                    <w:tr2bl w:val="nil"/>
                  </w:tcBorders>
                  <w:noWrap w:val="0"/>
                  <w:vAlign w:val="center"/>
                </w:tcPr>
                <w:p w14:paraId="66C37E24">
                  <w:pPr>
                    <w:jc w:val="center"/>
                    <w:rPr>
                      <w:rFonts w:hint="default" w:ascii="Times New Roman" w:hAnsi="Times New Roman" w:eastAsia="宋体" w:cs="Times New Roman"/>
                      <w:b/>
                      <w:bCs/>
                      <w:color w:val="auto"/>
                      <w:szCs w:val="21"/>
                      <w:highlight w:val="none"/>
                    </w:rPr>
                  </w:pPr>
                </w:p>
              </w:tc>
              <w:tc>
                <w:tcPr>
                  <w:tcW w:w="859" w:type="dxa"/>
                  <w:vMerge w:val="continue"/>
                  <w:tcBorders>
                    <w:tl2br w:val="nil"/>
                    <w:tr2bl w:val="nil"/>
                  </w:tcBorders>
                  <w:noWrap w:val="0"/>
                  <w:vAlign w:val="center"/>
                </w:tcPr>
                <w:p w14:paraId="491BBF34">
                  <w:pPr>
                    <w:jc w:val="center"/>
                    <w:rPr>
                      <w:rFonts w:hint="default" w:ascii="Times New Roman" w:hAnsi="Times New Roman" w:eastAsia="宋体" w:cs="Times New Roman"/>
                      <w:b/>
                      <w:bCs/>
                      <w:color w:val="auto"/>
                      <w:szCs w:val="21"/>
                      <w:highlight w:val="none"/>
                    </w:rPr>
                  </w:pPr>
                </w:p>
              </w:tc>
              <w:tc>
                <w:tcPr>
                  <w:tcW w:w="499" w:type="dxa"/>
                  <w:vMerge w:val="continue"/>
                  <w:tcBorders>
                    <w:tl2br w:val="nil"/>
                    <w:tr2bl w:val="nil"/>
                  </w:tcBorders>
                  <w:noWrap w:val="0"/>
                  <w:vAlign w:val="center"/>
                </w:tcPr>
                <w:p w14:paraId="5345A71C">
                  <w:pPr>
                    <w:jc w:val="center"/>
                    <w:rPr>
                      <w:rFonts w:hint="default" w:ascii="Times New Roman" w:hAnsi="Times New Roman" w:eastAsia="宋体" w:cs="Times New Roman"/>
                      <w:b/>
                      <w:bCs/>
                      <w:color w:val="auto"/>
                      <w:szCs w:val="21"/>
                      <w:highlight w:val="none"/>
                    </w:rPr>
                  </w:pPr>
                </w:p>
              </w:tc>
              <w:tc>
                <w:tcPr>
                  <w:tcW w:w="1274" w:type="dxa"/>
                  <w:tcBorders>
                    <w:tl2br w:val="nil"/>
                    <w:tr2bl w:val="nil"/>
                  </w:tcBorders>
                  <w:noWrap w:val="0"/>
                  <w:vAlign w:val="center"/>
                </w:tcPr>
                <w:p w14:paraId="6911D806">
                  <w:pPr>
                    <w:widowControl/>
                    <w:spacing w:line="360" w:lineRule="auto"/>
                    <w:jc w:val="center"/>
                    <w:textAlignment w:val="center"/>
                    <w:rPr>
                      <w:rFonts w:hint="default" w:ascii="Times New Roman" w:hAnsi="Times New Roman" w:eastAsia="宋体" w:cs="Times New Roman"/>
                      <w:b/>
                      <w:bCs/>
                      <w:color w:val="auto"/>
                      <w:szCs w:val="21"/>
                      <w:highlight w:val="none"/>
                      <w:lang w:val="en-US" w:eastAsia="zh-CN"/>
                    </w:rPr>
                  </w:pPr>
                  <w:r>
                    <w:rPr>
                      <w:rFonts w:hint="eastAsia" w:ascii="Times New Roman" w:hAnsi="Times New Roman" w:eastAsia="宋体" w:cs="Times New Roman"/>
                      <w:b/>
                      <w:bCs/>
                      <w:color w:val="auto"/>
                      <w:kern w:val="0"/>
                      <w:szCs w:val="21"/>
                      <w:highlight w:val="none"/>
                      <w:lang w:val="en-US" w:eastAsia="zh-CN" w:bidi="ar"/>
                    </w:rPr>
                    <w:t>TSP</w:t>
                  </w:r>
                </w:p>
              </w:tc>
            </w:tr>
            <w:tr w14:paraId="2745A6C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946" w:hRule="atLeast"/>
              </w:trPr>
              <w:tc>
                <w:tcPr>
                  <w:tcW w:w="530" w:type="dxa"/>
                  <w:tcBorders>
                    <w:tl2br w:val="nil"/>
                    <w:tr2bl w:val="nil"/>
                  </w:tcBorders>
                  <w:noWrap w:val="0"/>
                  <w:vAlign w:val="center"/>
                </w:tcPr>
                <w:p w14:paraId="6F8D9FB3">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P1</w:t>
                  </w:r>
                </w:p>
              </w:tc>
              <w:tc>
                <w:tcPr>
                  <w:tcW w:w="586" w:type="dxa"/>
                  <w:tcBorders>
                    <w:tl2br w:val="nil"/>
                    <w:tr2bl w:val="nil"/>
                  </w:tcBorders>
                  <w:noWrap w:val="0"/>
                  <w:vAlign w:val="center"/>
                </w:tcPr>
                <w:p w14:paraId="012F46D6">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55</w:t>
                  </w:r>
                </w:p>
              </w:tc>
              <w:tc>
                <w:tcPr>
                  <w:tcW w:w="705" w:type="dxa"/>
                  <w:tcBorders>
                    <w:tl2br w:val="nil"/>
                    <w:tr2bl w:val="nil"/>
                  </w:tcBorders>
                  <w:noWrap w:val="0"/>
                  <w:vAlign w:val="center"/>
                </w:tcPr>
                <w:p w14:paraId="4DBA5985">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40</w:t>
                  </w:r>
                </w:p>
              </w:tc>
              <w:tc>
                <w:tcPr>
                  <w:tcW w:w="1234" w:type="dxa"/>
                  <w:tcBorders>
                    <w:tl2br w:val="nil"/>
                    <w:tr2bl w:val="nil"/>
                  </w:tcBorders>
                  <w:noWrap w:val="0"/>
                  <w:vAlign w:val="center"/>
                </w:tcPr>
                <w:p w14:paraId="2F0DE882">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1363</w:t>
                  </w:r>
                </w:p>
              </w:tc>
              <w:tc>
                <w:tcPr>
                  <w:tcW w:w="688" w:type="dxa"/>
                  <w:tcBorders>
                    <w:tl2br w:val="nil"/>
                    <w:tr2bl w:val="nil"/>
                  </w:tcBorders>
                  <w:noWrap w:val="0"/>
                  <w:vAlign w:val="center"/>
                </w:tcPr>
                <w:p w14:paraId="07E406F3">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895" w:type="dxa"/>
                  <w:tcBorders>
                    <w:tl2br w:val="nil"/>
                    <w:tr2bl w:val="nil"/>
                  </w:tcBorders>
                  <w:noWrap w:val="0"/>
                  <w:vAlign w:val="center"/>
                </w:tcPr>
                <w:p w14:paraId="2C1009AA">
                  <w:pPr>
                    <w:autoSpaceDE w:val="0"/>
                    <w:autoSpaceDN w:val="0"/>
                    <w:snapToGrid w:val="0"/>
                    <w:jc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kern w:val="0"/>
                      <w:szCs w:val="21"/>
                      <w:highlight w:val="none"/>
                    </w:rPr>
                    <w:t>0.</w:t>
                  </w:r>
                  <w:r>
                    <w:rPr>
                      <w:rFonts w:hint="eastAsia" w:ascii="Times New Roman" w:hAnsi="Times New Roman" w:eastAsia="宋体" w:cs="Times New Roman"/>
                      <w:color w:val="auto"/>
                      <w:kern w:val="0"/>
                      <w:szCs w:val="21"/>
                      <w:highlight w:val="none"/>
                      <w:lang w:val="en-US" w:eastAsia="zh-CN"/>
                    </w:rPr>
                    <w:t>6</w:t>
                  </w:r>
                </w:p>
              </w:tc>
              <w:tc>
                <w:tcPr>
                  <w:tcW w:w="678" w:type="dxa"/>
                  <w:tcBorders>
                    <w:tl2br w:val="nil"/>
                    <w:tr2bl w:val="nil"/>
                  </w:tcBorders>
                  <w:noWrap w:val="0"/>
                  <w:vAlign w:val="center"/>
                </w:tcPr>
                <w:p w14:paraId="2BB4704C">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20000</w:t>
                  </w:r>
                </w:p>
              </w:tc>
              <w:tc>
                <w:tcPr>
                  <w:tcW w:w="859" w:type="dxa"/>
                  <w:tcBorders>
                    <w:tl2br w:val="nil"/>
                    <w:tr2bl w:val="nil"/>
                  </w:tcBorders>
                  <w:noWrap w:val="0"/>
                  <w:vAlign w:val="center"/>
                </w:tcPr>
                <w:p w14:paraId="5645EC07">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1680</w:t>
                  </w:r>
                </w:p>
              </w:tc>
              <w:tc>
                <w:tcPr>
                  <w:tcW w:w="499" w:type="dxa"/>
                  <w:tcBorders>
                    <w:tl2br w:val="nil"/>
                    <w:tr2bl w:val="nil"/>
                  </w:tcBorders>
                  <w:noWrap w:val="0"/>
                  <w:vAlign w:val="center"/>
                </w:tcPr>
                <w:p w14:paraId="22DB3B19">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正常排放</w:t>
                  </w:r>
                </w:p>
              </w:tc>
              <w:tc>
                <w:tcPr>
                  <w:tcW w:w="1274" w:type="dxa"/>
                  <w:tcBorders>
                    <w:tl2br w:val="nil"/>
                    <w:tr2bl w:val="nil"/>
                  </w:tcBorders>
                  <w:noWrap w:val="0"/>
                  <w:vAlign w:val="center"/>
                </w:tcPr>
                <w:p w14:paraId="051590A7">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color w:val="auto"/>
                      <w:sz w:val="21"/>
                      <w:szCs w:val="21"/>
                      <w:lang w:val="en-US" w:eastAsia="zh-CN"/>
                    </w:rPr>
                    <w:t>1.58</w:t>
                  </w:r>
                </w:p>
              </w:tc>
            </w:tr>
            <w:tr w14:paraId="41240A1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946" w:hRule="atLeast"/>
              </w:trPr>
              <w:tc>
                <w:tcPr>
                  <w:tcW w:w="530" w:type="dxa"/>
                  <w:tcBorders>
                    <w:tl2br w:val="nil"/>
                    <w:tr2bl w:val="nil"/>
                  </w:tcBorders>
                  <w:noWrap w:val="0"/>
                  <w:vAlign w:val="center"/>
                </w:tcPr>
                <w:p w14:paraId="54359D50">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P2</w:t>
                  </w:r>
                </w:p>
              </w:tc>
              <w:tc>
                <w:tcPr>
                  <w:tcW w:w="586" w:type="dxa"/>
                  <w:tcBorders>
                    <w:tl2br w:val="nil"/>
                    <w:tr2bl w:val="nil"/>
                  </w:tcBorders>
                  <w:noWrap w:val="0"/>
                  <w:vAlign w:val="center"/>
                </w:tcPr>
                <w:p w14:paraId="3ED8A8F2">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98</w:t>
                  </w:r>
                </w:p>
              </w:tc>
              <w:tc>
                <w:tcPr>
                  <w:tcW w:w="705" w:type="dxa"/>
                  <w:tcBorders>
                    <w:tl2br w:val="nil"/>
                    <w:tr2bl w:val="nil"/>
                  </w:tcBorders>
                  <w:noWrap w:val="0"/>
                  <w:vAlign w:val="center"/>
                </w:tcPr>
                <w:p w14:paraId="30F09804">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54</w:t>
                  </w:r>
                </w:p>
              </w:tc>
              <w:tc>
                <w:tcPr>
                  <w:tcW w:w="1234" w:type="dxa"/>
                  <w:tcBorders>
                    <w:tl2br w:val="nil"/>
                    <w:tr2bl w:val="nil"/>
                  </w:tcBorders>
                  <w:noWrap w:val="0"/>
                  <w:vAlign w:val="center"/>
                </w:tcPr>
                <w:p w14:paraId="59843337">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1363</w:t>
                  </w:r>
                </w:p>
              </w:tc>
              <w:tc>
                <w:tcPr>
                  <w:tcW w:w="688" w:type="dxa"/>
                  <w:tcBorders>
                    <w:tl2br w:val="nil"/>
                    <w:tr2bl w:val="nil"/>
                  </w:tcBorders>
                  <w:noWrap w:val="0"/>
                  <w:vAlign w:val="center"/>
                </w:tcPr>
                <w:p w14:paraId="7B1D7D2B">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895" w:type="dxa"/>
                  <w:tcBorders>
                    <w:tl2br w:val="nil"/>
                    <w:tr2bl w:val="nil"/>
                  </w:tcBorders>
                  <w:noWrap w:val="0"/>
                  <w:vAlign w:val="center"/>
                </w:tcPr>
                <w:p w14:paraId="1A8932E7">
                  <w:pPr>
                    <w:autoSpaceDE w:val="0"/>
                    <w:autoSpaceDN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w:t>
                  </w:r>
                  <w:r>
                    <w:rPr>
                      <w:rFonts w:hint="eastAsia" w:ascii="Times New Roman" w:hAnsi="Times New Roman" w:eastAsia="宋体" w:cs="Times New Roman"/>
                      <w:color w:val="auto"/>
                      <w:kern w:val="0"/>
                      <w:szCs w:val="21"/>
                      <w:highlight w:val="none"/>
                      <w:lang w:val="en-US" w:eastAsia="zh-CN"/>
                    </w:rPr>
                    <w:t>6</w:t>
                  </w:r>
                </w:p>
              </w:tc>
              <w:tc>
                <w:tcPr>
                  <w:tcW w:w="678" w:type="dxa"/>
                  <w:tcBorders>
                    <w:tl2br w:val="nil"/>
                    <w:tr2bl w:val="nil"/>
                  </w:tcBorders>
                  <w:noWrap w:val="0"/>
                  <w:vAlign w:val="center"/>
                </w:tcPr>
                <w:p w14:paraId="70A1D653">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12000</w:t>
                  </w:r>
                </w:p>
              </w:tc>
              <w:tc>
                <w:tcPr>
                  <w:tcW w:w="859" w:type="dxa"/>
                  <w:tcBorders>
                    <w:tl2br w:val="nil"/>
                    <w:tr2bl w:val="nil"/>
                  </w:tcBorders>
                  <w:noWrap w:val="0"/>
                  <w:vAlign w:val="center"/>
                </w:tcPr>
                <w:p w14:paraId="1958D6FA">
                  <w:pPr>
                    <w:widowControl/>
                    <w:snapToGrid w:val="0"/>
                    <w:jc w:val="center"/>
                    <w:textAlignment w:val="center"/>
                    <w:rPr>
                      <w:rFonts w:hint="default" w:ascii="Times New Roman" w:hAnsi="Times New Roman" w:eastAsia="宋体" w:cs="Times New Roman"/>
                      <w:color w:val="auto"/>
                      <w:szCs w:val="21"/>
                      <w:highlight w:val="none"/>
                    </w:rPr>
                  </w:pPr>
                  <w:r>
                    <w:rPr>
                      <w:color w:val="auto"/>
                      <w:sz w:val="21"/>
                      <w:szCs w:val="21"/>
                      <w:lang w:val="en-US" w:eastAsia="zh-CN"/>
                    </w:rPr>
                    <w:t>876</w:t>
                  </w:r>
                </w:p>
              </w:tc>
              <w:tc>
                <w:tcPr>
                  <w:tcW w:w="499" w:type="dxa"/>
                  <w:tcBorders>
                    <w:tl2br w:val="nil"/>
                    <w:tr2bl w:val="nil"/>
                  </w:tcBorders>
                  <w:noWrap w:val="0"/>
                  <w:vAlign w:val="center"/>
                </w:tcPr>
                <w:p w14:paraId="18DF4194">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正常排放</w:t>
                  </w:r>
                </w:p>
              </w:tc>
              <w:tc>
                <w:tcPr>
                  <w:tcW w:w="1274" w:type="dxa"/>
                  <w:tcBorders>
                    <w:tl2br w:val="nil"/>
                    <w:tr2bl w:val="nil"/>
                  </w:tcBorders>
                  <w:noWrap w:val="0"/>
                  <w:vAlign w:val="center"/>
                </w:tcPr>
                <w:p w14:paraId="5A3B5A89">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color w:val="auto"/>
                      <w:sz w:val="21"/>
                      <w:szCs w:val="21"/>
                      <w:lang w:val="en-US" w:eastAsia="zh-CN"/>
                    </w:rPr>
                    <w:t>0.1</w:t>
                  </w:r>
                </w:p>
              </w:tc>
            </w:tr>
            <w:tr w14:paraId="2517CF5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946" w:hRule="atLeast"/>
              </w:trPr>
              <w:tc>
                <w:tcPr>
                  <w:tcW w:w="530" w:type="dxa"/>
                  <w:tcBorders>
                    <w:tl2br w:val="nil"/>
                    <w:tr2bl w:val="nil"/>
                  </w:tcBorders>
                  <w:noWrap w:val="0"/>
                  <w:vAlign w:val="center"/>
                </w:tcPr>
                <w:p w14:paraId="367296ED">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P3</w:t>
                  </w:r>
                </w:p>
              </w:tc>
              <w:tc>
                <w:tcPr>
                  <w:tcW w:w="586" w:type="dxa"/>
                  <w:tcBorders>
                    <w:tl2br w:val="nil"/>
                    <w:tr2bl w:val="nil"/>
                  </w:tcBorders>
                  <w:noWrap w:val="0"/>
                  <w:vAlign w:val="center"/>
                </w:tcPr>
                <w:p w14:paraId="2967604B">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98</w:t>
                  </w:r>
                </w:p>
              </w:tc>
              <w:tc>
                <w:tcPr>
                  <w:tcW w:w="705" w:type="dxa"/>
                  <w:tcBorders>
                    <w:tl2br w:val="nil"/>
                    <w:tr2bl w:val="nil"/>
                  </w:tcBorders>
                  <w:noWrap w:val="0"/>
                  <w:vAlign w:val="center"/>
                </w:tcPr>
                <w:p w14:paraId="6C4C6E12">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52</w:t>
                  </w:r>
                </w:p>
              </w:tc>
              <w:tc>
                <w:tcPr>
                  <w:tcW w:w="1234" w:type="dxa"/>
                  <w:tcBorders>
                    <w:tl2br w:val="nil"/>
                    <w:tr2bl w:val="nil"/>
                  </w:tcBorders>
                  <w:noWrap w:val="0"/>
                  <w:vAlign w:val="center"/>
                </w:tcPr>
                <w:p w14:paraId="11D1F914">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1363</w:t>
                  </w:r>
                </w:p>
              </w:tc>
              <w:tc>
                <w:tcPr>
                  <w:tcW w:w="688" w:type="dxa"/>
                  <w:tcBorders>
                    <w:tl2br w:val="nil"/>
                    <w:tr2bl w:val="nil"/>
                  </w:tcBorders>
                  <w:noWrap w:val="0"/>
                  <w:vAlign w:val="center"/>
                </w:tcPr>
                <w:p w14:paraId="7034AC8B">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895" w:type="dxa"/>
                  <w:tcBorders>
                    <w:tl2br w:val="nil"/>
                    <w:tr2bl w:val="nil"/>
                  </w:tcBorders>
                  <w:noWrap w:val="0"/>
                  <w:vAlign w:val="center"/>
                </w:tcPr>
                <w:p w14:paraId="78FA484F">
                  <w:pPr>
                    <w:autoSpaceDE w:val="0"/>
                    <w:autoSpaceDN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w:t>
                  </w:r>
                  <w:r>
                    <w:rPr>
                      <w:rFonts w:hint="eastAsia" w:ascii="Times New Roman" w:hAnsi="Times New Roman" w:eastAsia="宋体" w:cs="Times New Roman"/>
                      <w:color w:val="auto"/>
                      <w:kern w:val="0"/>
                      <w:szCs w:val="21"/>
                      <w:highlight w:val="none"/>
                      <w:lang w:val="en-US" w:eastAsia="zh-CN"/>
                    </w:rPr>
                    <w:t>6</w:t>
                  </w:r>
                </w:p>
              </w:tc>
              <w:tc>
                <w:tcPr>
                  <w:tcW w:w="678" w:type="dxa"/>
                  <w:tcBorders>
                    <w:tl2br w:val="nil"/>
                    <w:tr2bl w:val="nil"/>
                  </w:tcBorders>
                  <w:noWrap w:val="0"/>
                  <w:vAlign w:val="center"/>
                </w:tcPr>
                <w:p w14:paraId="06BCAA59">
                  <w:pPr>
                    <w:widowControl/>
                    <w:snapToGrid w:val="0"/>
                    <w:jc w:val="center"/>
                    <w:textAlignment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12000</w:t>
                  </w:r>
                </w:p>
              </w:tc>
              <w:tc>
                <w:tcPr>
                  <w:tcW w:w="859" w:type="dxa"/>
                  <w:tcBorders>
                    <w:tl2br w:val="nil"/>
                    <w:tr2bl w:val="nil"/>
                  </w:tcBorders>
                  <w:noWrap w:val="0"/>
                  <w:vAlign w:val="center"/>
                </w:tcPr>
                <w:p w14:paraId="013DA059">
                  <w:pPr>
                    <w:widowControl/>
                    <w:snapToGrid w:val="0"/>
                    <w:jc w:val="center"/>
                    <w:textAlignment w:val="center"/>
                    <w:rPr>
                      <w:rFonts w:hint="default" w:ascii="Times New Roman" w:hAnsi="Times New Roman" w:eastAsia="宋体" w:cs="Times New Roman"/>
                      <w:color w:val="auto"/>
                      <w:szCs w:val="21"/>
                      <w:highlight w:val="none"/>
                    </w:rPr>
                  </w:pPr>
                  <w:r>
                    <w:rPr>
                      <w:color w:val="auto"/>
                      <w:sz w:val="21"/>
                      <w:szCs w:val="21"/>
                      <w:lang w:val="en-US" w:eastAsia="zh-CN"/>
                    </w:rPr>
                    <w:t>876</w:t>
                  </w:r>
                </w:p>
              </w:tc>
              <w:tc>
                <w:tcPr>
                  <w:tcW w:w="499" w:type="dxa"/>
                  <w:tcBorders>
                    <w:tl2br w:val="nil"/>
                    <w:tr2bl w:val="nil"/>
                  </w:tcBorders>
                  <w:noWrap w:val="0"/>
                  <w:vAlign w:val="center"/>
                </w:tcPr>
                <w:p w14:paraId="0B0799F0">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正常排放</w:t>
                  </w:r>
                </w:p>
              </w:tc>
              <w:tc>
                <w:tcPr>
                  <w:tcW w:w="1274" w:type="dxa"/>
                  <w:tcBorders>
                    <w:tl2br w:val="nil"/>
                    <w:tr2bl w:val="nil"/>
                  </w:tcBorders>
                  <w:noWrap w:val="0"/>
                  <w:vAlign w:val="center"/>
                </w:tcPr>
                <w:p w14:paraId="0ED2196B">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color w:val="auto"/>
                      <w:sz w:val="21"/>
                      <w:szCs w:val="21"/>
                      <w:lang w:val="en-US" w:eastAsia="zh-CN"/>
                    </w:rPr>
                    <w:t>0.1</w:t>
                  </w:r>
                </w:p>
              </w:tc>
            </w:tr>
            <w:tr w14:paraId="28E17D9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946" w:hRule="atLeast"/>
              </w:trPr>
              <w:tc>
                <w:tcPr>
                  <w:tcW w:w="530" w:type="dxa"/>
                  <w:tcBorders>
                    <w:tl2br w:val="nil"/>
                    <w:tr2bl w:val="nil"/>
                  </w:tcBorders>
                  <w:noWrap w:val="0"/>
                  <w:vAlign w:val="center"/>
                </w:tcPr>
                <w:p w14:paraId="585D6268">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P4</w:t>
                  </w:r>
                </w:p>
              </w:tc>
              <w:tc>
                <w:tcPr>
                  <w:tcW w:w="586" w:type="dxa"/>
                  <w:tcBorders>
                    <w:tl2br w:val="nil"/>
                    <w:tr2bl w:val="nil"/>
                  </w:tcBorders>
                  <w:noWrap w:val="0"/>
                  <w:vAlign w:val="center"/>
                </w:tcPr>
                <w:p w14:paraId="41F5EDFB">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98</w:t>
                  </w:r>
                </w:p>
              </w:tc>
              <w:tc>
                <w:tcPr>
                  <w:tcW w:w="705" w:type="dxa"/>
                  <w:tcBorders>
                    <w:tl2br w:val="nil"/>
                    <w:tr2bl w:val="nil"/>
                  </w:tcBorders>
                  <w:noWrap w:val="0"/>
                  <w:vAlign w:val="center"/>
                </w:tcPr>
                <w:p w14:paraId="7605FA4F">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50</w:t>
                  </w:r>
                </w:p>
              </w:tc>
              <w:tc>
                <w:tcPr>
                  <w:tcW w:w="1234" w:type="dxa"/>
                  <w:tcBorders>
                    <w:tl2br w:val="nil"/>
                    <w:tr2bl w:val="nil"/>
                  </w:tcBorders>
                  <w:noWrap w:val="0"/>
                  <w:vAlign w:val="center"/>
                </w:tcPr>
                <w:p w14:paraId="4A9D87F0">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1363</w:t>
                  </w:r>
                </w:p>
              </w:tc>
              <w:tc>
                <w:tcPr>
                  <w:tcW w:w="688" w:type="dxa"/>
                  <w:tcBorders>
                    <w:tl2br w:val="nil"/>
                    <w:tr2bl w:val="nil"/>
                  </w:tcBorders>
                  <w:noWrap w:val="0"/>
                  <w:vAlign w:val="center"/>
                </w:tcPr>
                <w:p w14:paraId="7D5EDC13">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895" w:type="dxa"/>
                  <w:tcBorders>
                    <w:tl2br w:val="nil"/>
                    <w:tr2bl w:val="nil"/>
                  </w:tcBorders>
                  <w:noWrap w:val="0"/>
                  <w:vAlign w:val="center"/>
                </w:tcPr>
                <w:p w14:paraId="4DAA7010">
                  <w:pPr>
                    <w:autoSpaceDE w:val="0"/>
                    <w:autoSpaceDN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w:t>
                  </w:r>
                  <w:r>
                    <w:rPr>
                      <w:rFonts w:hint="eastAsia" w:ascii="Times New Roman" w:hAnsi="Times New Roman" w:eastAsia="宋体" w:cs="Times New Roman"/>
                      <w:color w:val="auto"/>
                      <w:kern w:val="0"/>
                      <w:szCs w:val="21"/>
                      <w:highlight w:val="none"/>
                      <w:lang w:val="en-US" w:eastAsia="zh-CN"/>
                    </w:rPr>
                    <w:t>6</w:t>
                  </w:r>
                </w:p>
              </w:tc>
              <w:tc>
                <w:tcPr>
                  <w:tcW w:w="678" w:type="dxa"/>
                  <w:tcBorders>
                    <w:tl2br w:val="nil"/>
                    <w:tr2bl w:val="nil"/>
                  </w:tcBorders>
                  <w:noWrap w:val="0"/>
                  <w:vAlign w:val="center"/>
                </w:tcPr>
                <w:p w14:paraId="2DD05DE6">
                  <w:pPr>
                    <w:widowControl/>
                    <w:snapToGrid w:val="0"/>
                    <w:jc w:val="center"/>
                    <w:textAlignment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12000</w:t>
                  </w:r>
                </w:p>
              </w:tc>
              <w:tc>
                <w:tcPr>
                  <w:tcW w:w="859" w:type="dxa"/>
                  <w:tcBorders>
                    <w:tl2br w:val="nil"/>
                    <w:tr2bl w:val="nil"/>
                  </w:tcBorders>
                  <w:noWrap w:val="0"/>
                  <w:vAlign w:val="center"/>
                </w:tcPr>
                <w:p w14:paraId="2935BFA3">
                  <w:pPr>
                    <w:widowControl/>
                    <w:snapToGrid w:val="0"/>
                    <w:jc w:val="center"/>
                    <w:textAlignment w:val="center"/>
                    <w:rPr>
                      <w:rFonts w:hint="default" w:ascii="Times New Roman" w:hAnsi="Times New Roman" w:eastAsia="宋体" w:cs="Times New Roman"/>
                      <w:color w:val="auto"/>
                      <w:szCs w:val="21"/>
                      <w:highlight w:val="none"/>
                    </w:rPr>
                  </w:pPr>
                  <w:r>
                    <w:rPr>
                      <w:color w:val="auto"/>
                      <w:sz w:val="21"/>
                      <w:szCs w:val="21"/>
                      <w:lang w:val="en-US" w:eastAsia="zh-CN"/>
                    </w:rPr>
                    <w:t>876</w:t>
                  </w:r>
                </w:p>
              </w:tc>
              <w:tc>
                <w:tcPr>
                  <w:tcW w:w="499" w:type="dxa"/>
                  <w:tcBorders>
                    <w:tl2br w:val="nil"/>
                    <w:tr2bl w:val="nil"/>
                  </w:tcBorders>
                  <w:noWrap w:val="0"/>
                  <w:vAlign w:val="center"/>
                </w:tcPr>
                <w:p w14:paraId="7A74EE22">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正常排放</w:t>
                  </w:r>
                </w:p>
              </w:tc>
              <w:tc>
                <w:tcPr>
                  <w:tcW w:w="1274" w:type="dxa"/>
                  <w:tcBorders>
                    <w:tl2br w:val="nil"/>
                    <w:tr2bl w:val="nil"/>
                  </w:tcBorders>
                  <w:noWrap w:val="0"/>
                  <w:vAlign w:val="center"/>
                </w:tcPr>
                <w:p w14:paraId="5F01178E">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color w:val="auto"/>
                      <w:sz w:val="21"/>
                      <w:szCs w:val="21"/>
                      <w:lang w:val="en-US" w:eastAsia="zh-CN"/>
                    </w:rPr>
                    <w:t>0.1</w:t>
                  </w:r>
                </w:p>
              </w:tc>
            </w:tr>
            <w:tr w14:paraId="54D0A3D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946" w:hRule="atLeast"/>
              </w:trPr>
              <w:tc>
                <w:tcPr>
                  <w:tcW w:w="530" w:type="dxa"/>
                  <w:tcBorders>
                    <w:tl2br w:val="nil"/>
                    <w:tr2bl w:val="nil"/>
                  </w:tcBorders>
                  <w:noWrap w:val="0"/>
                  <w:vAlign w:val="center"/>
                </w:tcPr>
                <w:p w14:paraId="33E2F1C7">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P5</w:t>
                  </w:r>
                </w:p>
              </w:tc>
              <w:tc>
                <w:tcPr>
                  <w:tcW w:w="586" w:type="dxa"/>
                  <w:tcBorders>
                    <w:tl2br w:val="nil"/>
                    <w:tr2bl w:val="nil"/>
                  </w:tcBorders>
                  <w:noWrap w:val="0"/>
                  <w:vAlign w:val="center"/>
                </w:tcPr>
                <w:p w14:paraId="69733E46">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98</w:t>
                  </w:r>
                </w:p>
              </w:tc>
              <w:tc>
                <w:tcPr>
                  <w:tcW w:w="705" w:type="dxa"/>
                  <w:tcBorders>
                    <w:tl2br w:val="nil"/>
                    <w:tr2bl w:val="nil"/>
                  </w:tcBorders>
                  <w:noWrap w:val="0"/>
                  <w:vAlign w:val="center"/>
                </w:tcPr>
                <w:p w14:paraId="079975FB">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48</w:t>
                  </w:r>
                </w:p>
              </w:tc>
              <w:tc>
                <w:tcPr>
                  <w:tcW w:w="1234" w:type="dxa"/>
                  <w:tcBorders>
                    <w:tl2br w:val="nil"/>
                    <w:tr2bl w:val="nil"/>
                  </w:tcBorders>
                  <w:noWrap w:val="0"/>
                  <w:vAlign w:val="center"/>
                </w:tcPr>
                <w:p w14:paraId="330E7ABC">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1363</w:t>
                  </w:r>
                </w:p>
              </w:tc>
              <w:tc>
                <w:tcPr>
                  <w:tcW w:w="688" w:type="dxa"/>
                  <w:tcBorders>
                    <w:tl2br w:val="nil"/>
                    <w:tr2bl w:val="nil"/>
                  </w:tcBorders>
                  <w:noWrap w:val="0"/>
                  <w:vAlign w:val="center"/>
                </w:tcPr>
                <w:p w14:paraId="7FED333C">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895" w:type="dxa"/>
                  <w:tcBorders>
                    <w:tl2br w:val="nil"/>
                    <w:tr2bl w:val="nil"/>
                  </w:tcBorders>
                  <w:noWrap w:val="0"/>
                  <w:vAlign w:val="center"/>
                </w:tcPr>
                <w:p w14:paraId="011FC25F">
                  <w:pPr>
                    <w:autoSpaceDE w:val="0"/>
                    <w:autoSpaceDN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w:t>
                  </w:r>
                  <w:r>
                    <w:rPr>
                      <w:rFonts w:hint="eastAsia" w:ascii="Times New Roman" w:hAnsi="Times New Roman" w:eastAsia="宋体" w:cs="Times New Roman"/>
                      <w:color w:val="auto"/>
                      <w:kern w:val="0"/>
                      <w:szCs w:val="21"/>
                      <w:highlight w:val="none"/>
                      <w:lang w:val="en-US" w:eastAsia="zh-CN"/>
                    </w:rPr>
                    <w:t>6</w:t>
                  </w:r>
                </w:p>
              </w:tc>
              <w:tc>
                <w:tcPr>
                  <w:tcW w:w="678" w:type="dxa"/>
                  <w:tcBorders>
                    <w:tl2br w:val="nil"/>
                    <w:tr2bl w:val="nil"/>
                  </w:tcBorders>
                  <w:noWrap w:val="0"/>
                  <w:vAlign w:val="center"/>
                </w:tcPr>
                <w:p w14:paraId="3DDC4C7F">
                  <w:pPr>
                    <w:widowControl/>
                    <w:snapToGrid w:val="0"/>
                    <w:jc w:val="center"/>
                    <w:textAlignment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12000</w:t>
                  </w:r>
                </w:p>
              </w:tc>
              <w:tc>
                <w:tcPr>
                  <w:tcW w:w="859" w:type="dxa"/>
                  <w:tcBorders>
                    <w:tl2br w:val="nil"/>
                    <w:tr2bl w:val="nil"/>
                  </w:tcBorders>
                  <w:noWrap w:val="0"/>
                  <w:vAlign w:val="center"/>
                </w:tcPr>
                <w:p w14:paraId="2C17E9E3">
                  <w:pPr>
                    <w:widowControl/>
                    <w:snapToGrid w:val="0"/>
                    <w:jc w:val="center"/>
                    <w:textAlignment w:val="center"/>
                    <w:rPr>
                      <w:rFonts w:hint="default" w:ascii="Times New Roman" w:hAnsi="Times New Roman" w:eastAsia="宋体" w:cs="Times New Roman"/>
                      <w:color w:val="auto"/>
                      <w:szCs w:val="21"/>
                      <w:highlight w:val="none"/>
                    </w:rPr>
                  </w:pPr>
                  <w:r>
                    <w:rPr>
                      <w:color w:val="auto"/>
                      <w:sz w:val="21"/>
                      <w:szCs w:val="21"/>
                      <w:lang w:val="en-US" w:eastAsia="zh-CN"/>
                    </w:rPr>
                    <w:t>876</w:t>
                  </w:r>
                </w:p>
              </w:tc>
              <w:tc>
                <w:tcPr>
                  <w:tcW w:w="499" w:type="dxa"/>
                  <w:tcBorders>
                    <w:tl2br w:val="nil"/>
                    <w:tr2bl w:val="nil"/>
                  </w:tcBorders>
                  <w:noWrap w:val="0"/>
                  <w:vAlign w:val="center"/>
                </w:tcPr>
                <w:p w14:paraId="3CEB50AF">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正常排放</w:t>
                  </w:r>
                </w:p>
              </w:tc>
              <w:tc>
                <w:tcPr>
                  <w:tcW w:w="1274" w:type="dxa"/>
                  <w:tcBorders>
                    <w:tl2br w:val="nil"/>
                    <w:tr2bl w:val="nil"/>
                  </w:tcBorders>
                  <w:noWrap w:val="0"/>
                  <w:vAlign w:val="center"/>
                </w:tcPr>
                <w:p w14:paraId="44712DCE">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color w:val="auto"/>
                      <w:sz w:val="21"/>
                      <w:szCs w:val="21"/>
                      <w:lang w:val="en-US" w:eastAsia="zh-CN"/>
                    </w:rPr>
                    <w:t>0.1</w:t>
                  </w:r>
                </w:p>
              </w:tc>
            </w:tr>
            <w:tr w14:paraId="1F33827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946" w:hRule="atLeast"/>
              </w:trPr>
              <w:tc>
                <w:tcPr>
                  <w:tcW w:w="530" w:type="dxa"/>
                  <w:tcBorders>
                    <w:tl2br w:val="nil"/>
                    <w:tr2bl w:val="nil"/>
                  </w:tcBorders>
                  <w:noWrap w:val="0"/>
                  <w:vAlign w:val="center"/>
                </w:tcPr>
                <w:p w14:paraId="1F611EDD">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P6</w:t>
                  </w:r>
                </w:p>
              </w:tc>
              <w:tc>
                <w:tcPr>
                  <w:tcW w:w="586" w:type="dxa"/>
                  <w:tcBorders>
                    <w:tl2br w:val="nil"/>
                    <w:tr2bl w:val="nil"/>
                  </w:tcBorders>
                  <w:noWrap w:val="0"/>
                  <w:vAlign w:val="center"/>
                </w:tcPr>
                <w:p w14:paraId="7A3D2AAB">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98</w:t>
                  </w:r>
                </w:p>
              </w:tc>
              <w:tc>
                <w:tcPr>
                  <w:tcW w:w="705" w:type="dxa"/>
                  <w:tcBorders>
                    <w:tl2br w:val="nil"/>
                    <w:tr2bl w:val="nil"/>
                  </w:tcBorders>
                  <w:noWrap w:val="0"/>
                  <w:vAlign w:val="center"/>
                </w:tcPr>
                <w:p w14:paraId="7F6D1EA3">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30</w:t>
                  </w:r>
                </w:p>
              </w:tc>
              <w:tc>
                <w:tcPr>
                  <w:tcW w:w="1234" w:type="dxa"/>
                  <w:tcBorders>
                    <w:tl2br w:val="nil"/>
                    <w:tr2bl w:val="nil"/>
                  </w:tcBorders>
                  <w:noWrap w:val="0"/>
                  <w:vAlign w:val="center"/>
                </w:tcPr>
                <w:p w14:paraId="2059F92F">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1363</w:t>
                  </w:r>
                </w:p>
              </w:tc>
              <w:tc>
                <w:tcPr>
                  <w:tcW w:w="688" w:type="dxa"/>
                  <w:tcBorders>
                    <w:tl2br w:val="nil"/>
                    <w:tr2bl w:val="nil"/>
                  </w:tcBorders>
                  <w:noWrap w:val="0"/>
                  <w:vAlign w:val="center"/>
                </w:tcPr>
                <w:p w14:paraId="31C2D466">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895" w:type="dxa"/>
                  <w:tcBorders>
                    <w:tl2br w:val="nil"/>
                    <w:tr2bl w:val="nil"/>
                  </w:tcBorders>
                  <w:noWrap w:val="0"/>
                  <w:vAlign w:val="center"/>
                </w:tcPr>
                <w:p w14:paraId="717E5CED">
                  <w:pPr>
                    <w:autoSpaceDE w:val="0"/>
                    <w:autoSpaceDN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w:t>
                  </w:r>
                  <w:r>
                    <w:rPr>
                      <w:rFonts w:hint="eastAsia" w:ascii="Times New Roman" w:hAnsi="Times New Roman" w:eastAsia="宋体" w:cs="Times New Roman"/>
                      <w:color w:val="auto"/>
                      <w:kern w:val="0"/>
                      <w:szCs w:val="21"/>
                      <w:highlight w:val="none"/>
                      <w:lang w:val="en-US" w:eastAsia="zh-CN"/>
                    </w:rPr>
                    <w:t>6</w:t>
                  </w:r>
                </w:p>
              </w:tc>
              <w:tc>
                <w:tcPr>
                  <w:tcW w:w="678" w:type="dxa"/>
                  <w:tcBorders>
                    <w:tl2br w:val="nil"/>
                    <w:tr2bl w:val="nil"/>
                  </w:tcBorders>
                  <w:noWrap w:val="0"/>
                  <w:vAlign w:val="center"/>
                </w:tcPr>
                <w:p w14:paraId="627C8658">
                  <w:pPr>
                    <w:widowControl/>
                    <w:snapToGrid w:val="0"/>
                    <w:jc w:val="center"/>
                    <w:textAlignment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12000</w:t>
                  </w:r>
                </w:p>
              </w:tc>
              <w:tc>
                <w:tcPr>
                  <w:tcW w:w="859" w:type="dxa"/>
                  <w:tcBorders>
                    <w:tl2br w:val="nil"/>
                    <w:tr2bl w:val="nil"/>
                  </w:tcBorders>
                  <w:noWrap w:val="0"/>
                  <w:vAlign w:val="center"/>
                </w:tcPr>
                <w:p w14:paraId="08F9A331">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200</w:t>
                  </w:r>
                </w:p>
              </w:tc>
              <w:tc>
                <w:tcPr>
                  <w:tcW w:w="499" w:type="dxa"/>
                  <w:tcBorders>
                    <w:tl2br w:val="nil"/>
                    <w:tr2bl w:val="nil"/>
                  </w:tcBorders>
                  <w:noWrap w:val="0"/>
                  <w:vAlign w:val="center"/>
                </w:tcPr>
                <w:p w14:paraId="249ACC45">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正常排放</w:t>
                  </w:r>
                </w:p>
              </w:tc>
              <w:tc>
                <w:tcPr>
                  <w:tcW w:w="1274" w:type="dxa"/>
                  <w:tcBorders>
                    <w:tl2br w:val="nil"/>
                    <w:tr2bl w:val="nil"/>
                  </w:tcBorders>
                  <w:noWrap w:val="0"/>
                  <w:vAlign w:val="center"/>
                </w:tcPr>
                <w:p w14:paraId="6739839E">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color w:val="auto"/>
                      <w:sz w:val="21"/>
                      <w:szCs w:val="21"/>
                      <w:lang w:val="en-US" w:eastAsia="zh-CN"/>
                    </w:rPr>
                    <w:t>0.1</w:t>
                  </w:r>
                </w:p>
              </w:tc>
            </w:tr>
            <w:tr w14:paraId="6D79CF0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946" w:hRule="atLeast"/>
              </w:trPr>
              <w:tc>
                <w:tcPr>
                  <w:tcW w:w="530" w:type="dxa"/>
                  <w:tcBorders>
                    <w:tl2br w:val="nil"/>
                    <w:tr2bl w:val="nil"/>
                  </w:tcBorders>
                  <w:noWrap w:val="0"/>
                  <w:vAlign w:val="center"/>
                </w:tcPr>
                <w:p w14:paraId="1F131664">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P7</w:t>
                  </w:r>
                </w:p>
              </w:tc>
              <w:tc>
                <w:tcPr>
                  <w:tcW w:w="586" w:type="dxa"/>
                  <w:tcBorders>
                    <w:tl2br w:val="nil"/>
                    <w:tr2bl w:val="nil"/>
                  </w:tcBorders>
                  <w:noWrap w:val="0"/>
                  <w:vAlign w:val="center"/>
                </w:tcPr>
                <w:p w14:paraId="26D6B235">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98</w:t>
                  </w:r>
                </w:p>
              </w:tc>
              <w:tc>
                <w:tcPr>
                  <w:tcW w:w="705" w:type="dxa"/>
                  <w:tcBorders>
                    <w:tl2br w:val="nil"/>
                    <w:tr2bl w:val="nil"/>
                  </w:tcBorders>
                  <w:noWrap w:val="0"/>
                  <w:vAlign w:val="center"/>
                </w:tcPr>
                <w:p w14:paraId="74DB244A">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28</w:t>
                  </w:r>
                </w:p>
              </w:tc>
              <w:tc>
                <w:tcPr>
                  <w:tcW w:w="1234" w:type="dxa"/>
                  <w:tcBorders>
                    <w:tl2br w:val="nil"/>
                    <w:tr2bl w:val="nil"/>
                  </w:tcBorders>
                  <w:noWrap w:val="0"/>
                  <w:vAlign w:val="center"/>
                </w:tcPr>
                <w:p w14:paraId="2B78373D">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1363</w:t>
                  </w:r>
                </w:p>
              </w:tc>
              <w:tc>
                <w:tcPr>
                  <w:tcW w:w="688" w:type="dxa"/>
                  <w:tcBorders>
                    <w:tl2br w:val="nil"/>
                    <w:tr2bl w:val="nil"/>
                  </w:tcBorders>
                  <w:noWrap w:val="0"/>
                  <w:vAlign w:val="center"/>
                </w:tcPr>
                <w:p w14:paraId="330F681B">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895" w:type="dxa"/>
                  <w:tcBorders>
                    <w:tl2br w:val="nil"/>
                    <w:tr2bl w:val="nil"/>
                  </w:tcBorders>
                  <w:noWrap w:val="0"/>
                  <w:vAlign w:val="center"/>
                </w:tcPr>
                <w:p w14:paraId="0DB208F0">
                  <w:pPr>
                    <w:autoSpaceDE w:val="0"/>
                    <w:autoSpaceDN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w:t>
                  </w:r>
                  <w:r>
                    <w:rPr>
                      <w:rFonts w:hint="eastAsia" w:ascii="Times New Roman" w:hAnsi="Times New Roman" w:eastAsia="宋体" w:cs="Times New Roman"/>
                      <w:color w:val="auto"/>
                      <w:kern w:val="0"/>
                      <w:szCs w:val="21"/>
                      <w:highlight w:val="none"/>
                      <w:lang w:val="en-US" w:eastAsia="zh-CN"/>
                    </w:rPr>
                    <w:t>6</w:t>
                  </w:r>
                </w:p>
              </w:tc>
              <w:tc>
                <w:tcPr>
                  <w:tcW w:w="678" w:type="dxa"/>
                  <w:tcBorders>
                    <w:tl2br w:val="nil"/>
                    <w:tr2bl w:val="nil"/>
                  </w:tcBorders>
                  <w:noWrap w:val="0"/>
                  <w:vAlign w:val="center"/>
                </w:tcPr>
                <w:p w14:paraId="45F010EA">
                  <w:pPr>
                    <w:widowControl/>
                    <w:snapToGrid w:val="0"/>
                    <w:jc w:val="center"/>
                    <w:textAlignment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12000</w:t>
                  </w:r>
                </w:p>
              </w:tc>
              <w:tc>
                <w:tcPr>
                  <w:tcW w:w="859" w:type="dxa"/>
                  <w:tcBorders>
                    <w:tl2br w:val="nil"/>
                    <w:tr2bl w:val="nil"/>
                  </w:tcBorders>
                  <w:noWrap w:val="0"/>
                  <w:vAlign w:val="center"/>
                </w:tcPr>
                <w:p w14:paraId="56D5ABF9">
                  <w:pPr>
                    <w:widowControl/>
                    <w:snapToGrid w:val="0"/>
                    <w:jc w:val="center"/>
                    <w:textAlignment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200</w:t>
                  </w:r>
                </w:p>
              </w:tc>
              <w:tc>
                <w:tcPr>
                  <w:tcW w:w="499" w:type="dxa"/>
                  <w:tcBorders>
                    <w:tl2br w:val="nil"/>
                    <w:tr2bl w:val="nil"/>
                  </w:tcBorders>
                  <w:noWrap w:val="0"/>
                  <w:vAlign w:val="center"/>
                </w:tcPr>
                <w:p w14:paraId="2B1283A2">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正常排放</w:t>
                  </w:r>
                </w:p>
              </w:tc>
              <w:tc>
                <w:tcPr>
                  <w:tcW w:w="1274" w:type="dxa"/>
                  <w:tcBorders>
                    <w:tl2br w:val="nil"/>
                    <w:tr2bl w:val="nil"/>
                  </w:tcBorders>
                  <w:noWrap w:val="0"/>
                  <w:vAlign w:val="center"/>
                </w:tcPr>
                <w:p w14:paraId="3B8E08E5">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color w:val="auto"/>
                      <w:sz w:val="21"/>
                      <w:szCs w:val="21"/>
                      <w:lang w:val="en-US" w:eastAsia="zh-CN"/>
                    </w:rPr>
                    <w:t>0.1</w:t>
                  </w:r>
                </w:p>
              </w:tc>
            </w:tr>
            <w:tr w14:paraId="734D8AB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946" w:hRule="atLeast"/>
              </w:trPr>
              <w:tc>
                <w:tcPr>
                  <w:tcW w:w="530" w:type="dxa"/>
                  <w:tcBorders>
                    <w:tl2br w:val="nil"/>
                    <w:tr2bl w:val="nil"/>
                  </w:tcBorders>
                  <w:noWrap w:val="0"/>
                  <w:vAlign w:val="center"/>
                </w:tcPr>
                <w:p w14:paraId="7C5779E7">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P8</w:t>
                  </w:r>
                </w:p>
              </w:tc>
              <w:tc>
                <w:tcPr>
                  <w:tcW w:w="586" w:type="dxa"/>
                  <w:tcBorders>
                    <w:tl2br w:val="nil"/>
                    <w:tr2bl w:val="nil"/>
                  </w:tcBorders>
                  <w:noWrap w:val="0"/>
                  <w:vAlign w:val="center"/>
                </w:tcPr>
                <w:p w14:paraId="078983AB">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98</w:t>
                  </w:r>
                </w:p>
              </w:tc>
              <w:tc>
                <w:tcPr>
                  <w:tcW w:w="705" w:type="dxa"/>
                  <w:tcBorders>
                    <w:tl2br w:val="nil"/>
                    <w:tr2bl w:val="nil"/>
                  </w:tcBorders>
                  <w:noWrap w:val="0"/>
                  <w:vAlign w:val="center"/>
                </w:tcPr>
                <w:p w14:paraId="2948A27B">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26</w:t>
                  </w:r>
                </w:p>
              </w:tc>
              <w:tc>
                <w:tcPr>
                  <w:tcW w:w="1234" w:type="dxa"/>
                  <w:tcBorders>
                    <w:tl2br w:val="nil"/>
                    <w:tr2bl w:val="nil"/>
                  </w:tcBorders>
                  <w:noWrap w:val="0"/>
                  <w:vAlign w:val="center"/>
                </w:tcPr>
                <w:p w14:paraId="472FCADA">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1363</w:t>
                  </w:r>
                </w:p>
              </w:tc>
              <w:tc>
                <w:tcPr>
                  <w:tcW w:w="688" w:type="dxa"/>
                  <w:tcBorders>
                    <w:tl2br w:val="nil"/>
                    <w:tr2bl w:val="nil"/>
                  </w:tcBorders>
                  <w:noWrap w:val="0"/>
                  <w:vAlign w:val="center"/>
                </w:tcPr>
                <w:p w14:paraId="774A1331">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895" w:type="dxa"/>
                  <w:tcBorders>
                    <w:tl2br w:val="nil"/>
                    <w:tr2bl w:val="nil"/>
                  </w:tcBorders>
                  <w:noWrap w:val="0"/>
                  <w:vAlign w:val="center"/>
                </w:tcPr>
                <w:p w14:paraId="4B578185">
                  <w:pPr>
                    <w:autoSpaceDE w:val="0"/>
                    <w:autoSpaceDN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w:t>
                  </w:r>
                  <w:r>
                    <w:rPr>
                      <w:rFonts w:hint="eastAsia" w:ascii="Times New Roman" w:hAnsi="Times New Roman" w:eastAsia="宋体" w:cs="Times New Roman"/>
                      <w:color w:val="auto"/>
                      <w:kern w:val="0"/>
                      <w:szCs w:val="21"/>
                      <w:highlight w:val="none"/>
                      <w:lang w:val="en-US" w:eastAsia="zh-CN"/>
                    </w:rPr>
                    <w:t>6</w:t>
                  </w:r>
                </w:p>
              </w:tc>
              <w:tc>
                <w:tcPr>
                  <w:tcW w:w="678" w:type="dxa"/>
                  <w:tcBorders>
                    <w:tl2br w:val="nil"/>
                    <w:tr2bl w:val="nil"/>
                  </w:tcBorders>
                  <w:noWrap w:val="0"/>
                  <w:vAlign w:val="center"/>
                </w:tcPr>
                <w:p w14:paraId="57491F04">
                  <w:pPr>
                    <w:widowControl/>
                    <w:snapToGrid w:val="0"/>
                    <w:jc w:val="center"/>
                    <w:textAlignment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12000</w:t>
                  </w:r>
                </w:p>
              </w:tc>
              <w:tc>
                <w:tcPr>
                  <w:tcW w:w="859" w:type="dxa"/>
                  <w:tcBorders>
                    <w:tl2br w:val="nil"/>
                    <w:tr2bl w:val="nil"/>
                  </w:tcBorders>
                  <w:noWrap w:val="0"/>
                  <w:vAlign w:val="center"/>
                </w:tcPr>
                <w:p w14:paraId="43002CAD">
                  <w:pPr>
                    <w:widowControl/>
                    <w:snapToGrid w:val="0"/>
                    <w:jc w:val="center"/>
                    <w:textAlignment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200</w:t>
                  </w:r>
                </w:p>
              </w:tc>
              <w:tc>
                <w:tcPr>
                  <w:tcW w:w="499" w:type="dxa"/>
                  <w:tcBorders>
                    <w:tl2br w:val="nil"/>
                    <w:tr2bl w:val="nil"/>
                  </w:tcBorders>
                  <w:noWrap w:val="0"/>
                  <w:vAlign w:val="center"/>
                </w:tcPr>
                <w:p w14:paraId="27413FA7">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正常排放</w:t>
                  </w:r>
                </w:p>
              </w:tc>
              <w:tc>
                <w:tcPr>
                  <w:tcW w:w="1274" w:type="dxa"/>
                  <w:tcBorders>
                    <w:tl2br w:val="nil"/>
                    <w:tr2bl w:val="nil"/>
                  </w:tcBorders>
                  <w:noWrap w:val="0"/>
                  <w:vAlign w:val="center"/>
                </w:tcPr>
                <w:p w14:paraId="46ADFD1F">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color w:val="auto"/>
                      <w:sz w:val="21"/>
                      <w:szCs w:val="21"/>
                      <w:lang w:val="en-US" w:eastAsia="zh-CN"/>
                    </w:rPr>
                    <w:t>0.1</w:t>
                  </w:r>
                </w:p>
              </w:tc>
            </w:tr>
            <w:tr w14:paraId="6BC9363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946" w:hRule="atLeast"/>
              </w:trPr>
              <w:tc>
                <w:tcPr>
                  <w:tcW w:w="530" w:type="dxa"/>
                  <w:tcBorders>
                    <w:tl2br w:val="nil"/>
                    <w:tr2bl w:val="nil"/>
                  </w:tcBorders>
                  <w:noWrap w:val="0"/>
                  <w:vAlign w:val="center"/>
                </w:tcPr>
                <w:p w14:paraId="062063C1">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P9</w:t>
                  </w:r>
                </w:p>
              </w:tc>
              <w:tc>
                <w:tcPr>
                  <w:tcW w:w="586" w:type="dxa"/>
                  <w:tcBorders>
                    <w:tl2br w:val="nil"/>
                    <w:tr2bl w:val="nil"/>
                  </w:tcBorders>
                  <w:noWrap w:val="0"/>
                  <w:vAlign w:val="center"/>
                </w:tcPr>
                <w:p w14:paraId="65CE0977">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98</w:t>
                  </w:r>
                </w:p>
              </w:tc>
              <w:tc>
                <w:tcPr>
                  <w:tcW w:w="705" w:type="dxa"/>
                  <w:tcBorders>
                    <w:tl2br w:val="nil"/>
                    <w:tr2bl w:val="nil"/>
                  </w:tcBorders>
                  <w:noWrap w:val="0"/>
                  <w:vAlign w:val="center"/>
                </w:tcPr>
                <w:p w14:paraId="2140BBCE">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24</w:t>
                  </w:r>
                </w:p>
              </w:tc>
              <w:tc>
                <w:tcPr>
                  <w:tcW w:w="1234" w:type="dxa"/>
                  <w:tcBorders>
                    <w:tl2br w:val="nil"/>
                    <w:tr2bl w:val="nil"/>
                  </w:tcBorders>
                  <w:noWrap w:val="0"/>
                  <w:vAlign w:val="center"/>
                </w:tcPr>
                <w:p w14:paraId="5D564FE3">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1363</w:t>
                  </w:r>
                </w:p>
              </w:tc>
              <w:tc>
                <w:tcPr>
                  <w:tcW w:w="688" w:type="dxa"/>
                  <w:tcBorders>
                    <w:tl2br w:val="nil"/>
                    <w:tr2bl w:val="nil"/>
                  </w:tcBorders>
                  <w:noWrap w:val="0"/>
                  <w:vAlign w:val="center"/>
                </w:tcPr>
                <w:p w14:paraId="29AB37D0">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895" w:type="dxa"/>
                  <w:tcBorders>
                    <w:tl2br w:val="nil"/>
                    <w:tr2bl w:val="nil"/>
                  </w:tcBorders>
                  <w:noWrap w:val="0"/>
                  <w:vAlign w:val="center"/>
                </w:tcPr>
                <w:p w14:paraId="7D646A80">
                  <w:pPr>
                    <w:autoSpaceDE w:val="0"/>
                    <w:autoSpaceDN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w:t>
                  </w:r>
                  <w:r>
                    <w:rPr>
                      <w:rFonts w:hint="eastAsia" w:ascii="Times New Roman" w:hAnsi="Times New Roman" w:eastAsia="宋体" w:cs="Times New Roman"/>
                      <w:color w:val="auto"/>
                      <w:kern w:val="0"/>
                      <w:szCs w:val="21"/>
                      <w:highlight w:val="none"/>
                      <w:lang w:val="en-US" w:eastAsia="zh-CN"/>
                    </w:rPr>
                    <w:t>6</w:t>
                  </w:r>
                </w:p>
              </w:tc>
              <w:tc>
                <w:tcPr>
                  <w:tcW w:w="678" w:type="dxa"/>
                  <w:tcBorders>
                    <w:tl2br w:val="nil"/>
                    <w:tr2bl w:val="nil"/>
                  </w:tcBorders>
                  <w:noWrap w:val="0"/>
                  <w:vAlign w:val="center"/>
                </w:tcPr>
                <w:p w14:paraId="58D98B33">
                  <w:pPr>
                    <w:widowControl/>
                    <w:snapToGrid w:val="0"/>
                    <w:jc w:val="center"/>
                    <w:textAlignment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12000</w:t>
                  </w:r>
                </w:p>
              </w:tc>
              <w:tc>
                <w:tcPr>
                  <w:tcW w:w="859" w:type="dxa"/>
                  <w:tcBorders>
                    <w:tl2br w:val="nil"/>
                    <w:tr2bl w:val="nil"/>
                  </w:tcBorders>
                  <w:noWrap w:val="0"/>
                  <w:vAlign w:val="center"/>
                </w:tcPr>
                <w:p w14:paraId="286223B1">
                  <w:pPr>
                    <w:widowControl/>
                    <w:snapToGrid w:val="0"/>
                    <w:jc w:val="center"/>
                    <w:textAlignment w:val="center"/>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200</w:t>
                  </w:r>
                </w:p>
              </w:tc>
              <w:tc>
                <w:tcPr>
                  <w:tcW w:w="499" w:type="dxa"/>
                  <w:tcBorders>
                    <w:tl2br w:val="nil"/>
                    <w:tr2bl w:val="nil"/>
                  </w:tcBorders>
                  <w:noWrap w:val="0"/>
                  <w:vAlign w:val="center"/>
                </w:tcPr>
                <w:p w14:paraId="08135C44">
                  <w:pPr>
                    <w:widowControl/>
                    <w:snapToGrid w:val="0"/>
                    <w:jc w:val="center"/>
                    <w:textAlignment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正常排放</w:t>
                  </w:r>
                </w:p>
              </w:tc>
              <w:tc>
                <w:tcPr>
                  <w:tcW w:w="1274" w:type="dxa"/>
                  <w:tcBorders>
                    <w:tl2br w:val="nil"/>
                    <w:tr2bl w:val="nil"/>
                  </w:tcBorders>
                  <w:noWrap w:val="0"/>
                  <w:vAlign w:val="center"/>
                </w:tcPr>
                <w:p w14:paraId="13514863">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color w:val="auto"/>
                      <w:sz w:val="21"/>
                      <w:szCs w:val="21"/>
                      <w:lang w:val="en-US" w:eastAsia="zh-CN"/>
                    </w:rPr>
                    <w:t>0.1</w:t>
                  </w:r>
                </w:p>
              </w:tc>
            </w:tr>
          </w:tbl>
          <w:p w14:paraId="03502344">
            <w:pPr>
              <w:adjustRightInd w:val="0"/>
              <w:snapToGrid w:val="0"/>
              <w:spacing w:line="480" w:lineRule="exact"/>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表</w:t>
            </w:r>
            <w:r>
              <w:rPr>
                <w:rFonts w:hint="eastAsia" w:ascii="Times New Roman" w:hAnsi="Times New Roman" w:eastAsia="宋体" w:cs="Times New Roman"/>
                <w:b/>
                <w:color w:val="auto"/>
                <w:sz w:val="24"/>
                <w:szCs w:val="24"/>
                <w:highlight w:val="none"/>
                <w:lang w:val="en-US" w:eastAsia="zh-CN"/>
              </w:rPr>
              <w:t>4-4</w:t>
            </w:r>
            <w:r>
              <w:rPr>
                <w:rFonts w:hint="default" w:ascii="Times New Roman" w:hAnsi="Times New Roman" w:eastAsia="宋体" w:cs="Times New Roman"/>
                <w:b/>
                <w:color w:val="auto"/>
                <w:sz w:val="24"/>
                <w:szCs w:val="24"/>
                <w:highlight w:val="none"/>
              </w:rPr>
              <w:t xml:space="preserve">    无组织面源估算模式参数表</w:t>
            </w:r>
          </w:p>
          <w:tbl>
            <w:tblPr>
              <w:tblStyle w:val="11"/>
              <w:tblW w:w="4998" w:type="pct"/>
              <w:tblInd w:w="5"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271"/>
              <w:gridCol w:w="1580"/>
              <w:gridCol w:w="706"/>
              <w:gridCol w:w="566"/>
              <w:gridCol w:w="1364"/>
              <w:gridCol w:w="828"/>
              <w:gridCol w:w="1629"/>
            </w:tblGrid>
            <w:tr w14:paraId="2AAABD0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4" w:hRule="atLeast"/>
              </w:trPr>
              <w:tc>
                <w:tcPr>
                  <w:tcW w:w="799" w:type="pct"/>
                  <w:vMerge w:val="restart"/>
                  <w:tcBorders>
                    <w:tl2br w:val="nil"/>
                    <w:tr2bl w:val="nil"/>
                  </w:tcBorders>
                  <w:noWrap w:val="0"/>
                  <w:tcMar>
                    <w:top w:w="15" w:type="dxa"/>
                    <w:left w:w="15" w:type="dxa"/>
                    <w:right w:w="15" w:type="dxa"/>
                  </w:tcMar>
                  <w:vAlign w:val="center"/>
                </w:tcPr>
                <w:p w14:paraId="0707F85C">
                  <w:pPr>
                    <w:widowControl/>
                    <w:snapToGrid w:val="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污染源</w:t>
                  </w:r>
                </w:p>
              </w:tc>
              <w:tc>
                <w:tcPr>
                  <w:tcW w:w="994" w:type="pct"/>
                  <w:vMerge w:val="restart"/>
                  <w:tcBorders>
                    <w:tl2br w:val="nil"/>
                    <w:tr2bl w:val="nil"/>
                  </w:tcBorders>
                  <w:noWrap w:val="0"/>
                  <w:tcMar>
                    <w:top w:w="15" w:type="dxa"/>
                    <w:left w:w="15" w:type="dxa"/>
                    <w:right w:w="15" w:type="dxa"/>
                  </w:tcMar>
                  <w:vAlign w:val="center"/>
                </w:tcPr>
                <w:p w14:paraId="32EBAC64">
                  <w:pPr>
                    <w:widowControl/>
                    <w:snapToGrid w:val="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面源</w:t>
                  </w:r>
                  <w:r>
                    <w:rPr>
                      <w:rFonts w:hint="eastAsia" w:ascii="Times New Roman" w:hAnsi="Times New Roman" w:eastAsia="宋体" w:cs="Times New Roman"/>
                      <w:b/>
                      <w:bCs/>
                      <w:color w:val="auto"/>
                      <w:kern w:val="0"/>
                      <w:sz w:val="21"/>
                      <w:szCs w:val="21"/>
                      <w:highlight w:val="none"/>
                      <w:lang w:eastAsia="zh-CN" w:bidi="ar"/>
                    </w:rPr>
                    <w:t>海拔</w:t>
                  </w:r>
                  <w:r>
                    <w:rPr>
                      <w:rFonts w:hint="default" w:ascii="Times New Roman" w:hAnsi="Times New Roman" w:eastAsia="宋体" w:cs="Times New Roman"/>
                      <w:b/>
                      <w:bCs/>
                      <w:color w:val="auto"/>
                      <w:kern w:val="0"/>
                      <w:sz w:val="21"/>
                      <w:szCs w:val="21"/>
                      <w:highlight w:val="none"/>
                      <w:lang w:bidi="ar"/>
                    </w:rPr>
                    <w:t>/m</w:t>
                  </w:r>
                </w:p>
              </w:tc>
              <w:tc>
                <w:tcPr>
                  <w:tcW w:w="800" w:type="pct"/>
                  <w:gridSpan w:val="2"/>
                  <w:tcBorders>
                    <w:tl2br w:val="nil"/>
                    <w:tr2bl w:val="nil"/>
                  </w:tcBorders>
                  <w:noWrap w:val="0"/>
                  <w:tcMar>
                    <w:top w:w="15" w:type="dxa"/>
                    <w:left w:w="15" w:type="dxa"/>
                    <w:right w:w="15" w:type="dxa"/>
                  </w:tcMar>
                  <w:vAlign w:val="center"/>
                </w:tcPr>
                <w:p w14:paraId="3E654036">
                  <w:pPr>
                    <w:widowControl/>
                    <w:snapToGrid w:val="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面源参数</w:t>
                  </w:r>
                </w:p>
              </w:tc>
              <w:tc>
                <w:tcPr>
                  <w:tcW w:w="858" w:type="pct"/>
                  <w:vMerge w:val="restart"/>
                  <w:tcBorders>
                    <w:tl2br w:val="nil"/>
                    <w:tr2bl w:val="nil"/>
                  </w:tcBorders>
                  <w:noWrap w:val="0"/>
                  <w:tcMar>
                    <w:top w:w="15" w:type="dxa"/>
                    <w:left w:w="15" w:type="dxa"/>
                    <w:right w:w="15" w:type="dxa"/>
                  </w:tcMar>
                  <w:vAlign w:val="center"/>
                </w:tcPr>
                <w:p w14:paraId="5443A94D">
                  <w:pPr>
                    <w:widowControl/>
                    <w:snapToGrid w:val="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有效高度m</w:t>
                  </w:r>
                </w:p>
              </w:tc>
              <w:tc>
                <w:tcPr>
                  <w:tcW w:w="521" w:type="pct"/>
                  <w:vMerge w:val="restart"/>
                  <w:tcBorders>
                    <w:tl2br w:val="nil"/>
                    <w:tr2bl w:val="nil"/>
                  </w:tcBorders>
                  <w:noWrap w:val="0"/>
                  <w:tcMar>
                    <w:top w:w="15" w:type="dxa"/>
                    <w:left w:w="15" w:type="dxa"/>
                    <w:right w:w="15" w:type="dxa"/>
                  </w:tcMar>
                  <w:vAlign w:val="center"/>
                </w:tcPr>
                <w:p w14:paraId="28514E35">
                  <w:pPr>
                    <w:widowControl/>
                    <w:snapToGrid w:val="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污染物</w:t>
                  </w:r>
                </w:p>
              </w:tc>
              <w:tc>
                <w:tcPr>
                  <w:tcW w:w="1025" w:type="pct"/>
                  <w:vMerge w:val="restart"/>
                  <w:tcBorders>
                    <w:tl2br w:val="nil"/>
                    <w:tr2bl w:val="nil"/>
                  </w:tcBorders>
                  <w:noWrap w:val="0"/>
                  <w:tcMar>
                    <w:top w:w="15" w:type="dxa"/>
                    <w:left w:w="15" w:type="dxa"/>
                    <w:right w:w="15" w:type="dxa"/>
                  </w:tcMar>
                  <w:vAlign w:val="center"/>
                </w:tcPr>
                <w:p w14:paraId="5CBFE3D7">
                  <w:pPr>
                    <w:widowControl/>
                    <w:snapToGrid w:val="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排放速率</w:t>
                  </w:r>
                  <w:r>
                    <w:rPr>
                      <w:rFonts w:hint="default" w:ascii="Times New Roman" w:hAnsi="Times New Roman" w:eastAsia="宋体" w:cs="Times New Roman"/>
                      <w:b/>
                      <w:bCs/>
                      <w:color w:val="auto"/>
                      <w:sz w:val="21"/>
                      <w:szCs w:val="21"/>
                      <w:highlight w:val="none"/>
                    </w:rPr>
                    <w:t>kg/h</w:t>
                  </w:r>
                </w:p>
              </w:tc>
            </w:tr>
            <w:tr w14:paraId="00AEC8A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9" w:hRule="atLeast"/>
              </w:trPr>
              <w:tc>
                <w:tcPr>
                  <w:tcW w:w="799" w:type="pct"/>
                  <w:vMerge w:val="continue"/>
                  <w:tcBorders>
                    <w:tl2br w:val="nil"/>
                    <w:tr2bl w:val="nil"/>
                  </w:tcBorders>
                  <w:noWrap w:val="0"/>
                  <w:tcMar>
                    <w:top w:w="15" w:type="dxa"/>
                    <w:left w:w="15" w:type="dxa"/>
                    <w:right w:w="15" w:type="dxa"/>
                  </w:tcMar>
                  <w:vAlign w:val="center"/>
                </w:tcPr>
                <w:p w14:paraId="0026EFAD">
                  <w:pPr>
                    <w:snapToGrid w:val="0"/>
                    <w:rPr>
                      <w:rFonts w:hint="default" w:ascii="Times New Roman" w:hAnsi="Times New Roman" w:eastAsia="宋体" w:cs="Times New Roman"/>
                      <w:color w:val="auto"/>
                      <w:sz w:val="21"/>
                      <w:szCs w:val="21"/>
                      <w:highlight w:val="none"/>
                    </w:rPr>
                  </w:pPr>
                </w:p>
              </w:tc>
              <w:tc>
                <w:tcPr>
                  <w:tcW w:w="994" w:type="pct"/>
                  <w:vMerge w:val="continue"/>
                  <w:tcBorders>
                    <w:tl2br w:val="nil"/>
                    <w:tr2bl w:val="nil"/>
                  </w:tcBorders>
                  <w:noWrap w:val="0"/>
                  <w:tcMar>
                    <w:top w:w="15" w:type="dxa"/>
                    <w:left w:w="15" w:type="dxa"/>
                    <w:right w:w="15" w:type="dxa"/>
                  </w:tcMar>
                  <w:vAlign w:val="center"/>
                </w:tcPr>
                <w:p w14:paraId="58B4FD1A">
                  <w:pPr>
                    <w:snapToGrid w:val="0"/>
                    <w:jc w:val="center"/>
                    <w:rPr>
                      <w:rFonts w:hint="default" w:ascii="Times New Roman" w:hAnsi="Times New Roman" w:eastAsia="宋体" w:cs="Times New Roman"/>
                      <w:color w:val="auto"/>
                      <w:sz w:val="21"/>
                      <w:szCs w:val="21"/>
                      <w:highlight w:val="none"/>
                    </w:rPr>
                  </w:pPr>
                </w:p>
              </w:tc>
              <w:tc>
                <w:tcPr>
                  <w:tcW w:w="444" w:type="pct"/>
                  <w:tcBorders>
                    <w:tl2br w:val="nil"/>
                    <w:tr2bl w:val="nil"/>
                  </w:tcBorders>
                  <w:noWrap w:val="0"/>
                  <w:tcMar>
                    <w:top w:w="15" w:type="dxa"/>
                    <w:left w:w="15" w:type="dxa"/>
                    <w:right w:w="15" w:type="dxa"/>
                  </w:tcMar>
                  <w:vAlign w:val="center"/>
                </w:tcPr>
                <w:p w14:paraId="19D9CB99">
                  <w:pPr>
                    <w:widowControl/>
                    <w:snapToGrid w:val="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长度</w:t>
                  </w:r>
                </w:p>
              </w:tc>
              <w:tc>
                <w:tcPr>
                  <w:tcW w:w="356" w:type="pct"/>
                  <w:tcBorders>
                    <w:tl2br w:val="nil"/>
                    <w:tr2bl w:val="nil"/>
                  </w:tcBorders>
                  <w:noWrap w:val="0"/>
                  <w:tcMar>
                    <w:top w:w="15" w:type="dxa"/>
                    <w:left w:w="15" w:type="dxa"/>
                    <w:right w:w="15" w:type="dxa"/>
                  </w:tcMar>
                  <w:vAlign w:val="center"/>
                </w:tcPr>
                <w:p w14:paraId="0F9B82E9">
                  <w:pPr>
                    <w:widowControl/>
                    <w:snapToGrid w:val="0"/>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宽度</w:t>
                  </w:r>
                </w:p>
              </w:tc>
              <w:tc>
                <w:tcPr>
                  <w:tcW w:w="858" w:type="pct"/>
                  <w:vMerge w:val="continue"/>
                  <w:tcBorders>
                    <w:tl2br w:val="nil"/>
                    <w:tr2bl w:val="nil"/>
                  </w:tcBorders>
                  <w:noWrap w:val="0"/>
                  <w:tcMar>
                    <w:top w:w="15" w:type="dxa"/>
                    <w:left w:w="15" w:type="dxa"/>
                    <w:right w:w="15" w:type="dxa"/>
                  </w:tcMar>
                  <w:vAlign w:val="center"/>
                </w:tcPr>
                <w:p w14:paraId="38F877BD">
                  <w:pPr>
                    <w:widowControl/>
                    <w:snapToGrid w:val="0"/>
                    <w:jc w:val="center"/>
                    <w:textAlignment w:val="center"/>
                    <w:rPr>
                      <w:rFonts w:hint="default" w:ascii="Times New Roman" w:hAnsi="Times New Roman" w:eastAsia="宋体" w:cs="Times New Roman"/>
                      <w:color w:val="auto"/>
                      <w:sz w:val="21"/>
                      <w:szCs w:val="21"/>
                      <w:highlight w:val="none"/>
                    </w:rPr>
                  </w:pPr>
                </w:p>
              </w:tc>
              <w:tc>
                <w:tcPr>
                  <w:tcW w:w="521" w:type="pct"/>
                  <w:vMerge w:val="continue"/>
                  <w:tcBorders>
                    <w:tl2br w:val="nil"/>
                    <w:tr2bl w:val="nil"/>
                  </w:tcBorders>
                  <w:noWrap w:val="0"/>
                  <w:tcMar>
                    <w:top w:w="15" w:type="dxa"/>
                    <w:left w:w="15" w:type="dxa"/>
                    <w:right w:w="15" w:type="dxa"/>
                  </w:tcMar>
                  <w:vAlign w:val="center"/>
                </w:tcPr>
                <w:p w14:paraId="44AEBBA8">
                  <w:pPr>
                    <w:snapToGrid w:val="0"/>
                    <w:jc w:val="center"/>
                    <w:rPr>
                      <w:rFonts w:hint="default" w:ascii="Times New Roman" w:hAnsi="Times New Roman" w:eastAsia="宋体" w:cs="Times New Roman"/>
                      <w:color w:val="auto"/>
                      <w:sz w:val="21"/>
                      <w:szCs w:val="21"/>
                      <w:highlight w:val="none"/>
                    </w:rPr>
                  </w:pPr>
                </w:p>
              </w:tc>
              <w:tc>
                <w:tcPr>
                  <w:tcW w:w="1025" w:type="pct"/>
                  <w:vMerge w:val="continue"/>
                  <w:tcBorders>
                    <w:tl2br w:val="nil"/>
                    <w:tr2bl w:val="nil"/>
                  </w:tcBorders>
                  <w:noWrap w:val="0"/>
                  <w:tcMar>
                    <w:top w:w="15" w:type="dxa"/>
                    <w:left w:w="15" w:type="dxa"/>
                    <w:right w:w="15" w:type="dxa"/>
                  </w:tcMar>
                  <w:vAlign w:val="center"/>
                </w:tcPr>
                <w:p w14:paraId="38BFE824">
                  <w:pPr>
                    <w:snapToGrid w:val="0"/>
                    <w:jc w:val="center"/>
                    <w:rPr>
                      <w:rFonts w:hint="default" w:ascii="Times New Roman" w:hAnsi="Times New Roman" w:eastAsia="宋体" w:cs="Times New Roman"/>
                      <w:color w:val="auto"/>
                      <w:sz w:val="21"/>
                      <w:szCs w:val="21"/>
                      <w:highlight w:val="none"/>
                    </w:rPr>
                  </w:pPr>
                </w:p>
              </w:tc>
            </w:tr>
            <w:tr w14:paraId="79EBB47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0" w:hRule="atLeast"/>
              </w:trPr>
              <w:tc>
                <w:tcPr>
                  <w:tcW w:w="799" w:type="pct"/>
                  <w:tcBorders>
                    <w:tl2br w:val="nil"/>
                    <w:tr2bl w:val="nil"/>
                  </w:tcBorders>
                  <w:noWrap w:val="0"/>
                  <w:tcMar>
                    <w:top w:w="15" w:type="dxa"/>
                    <w:left w:w="15" w:type="dxa"/>
                    <w:right w:w="15" w:type="dxa"/>
                  </w:tcMar>
                  <w:vAlign w:val="center"/>
                </w:tcPr>
                <w:p w14:paraId="4CC1BE88">
                  <w:pPr>
                    <w:widowControl/>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储料棚</w:t>
                  </w:r>
                </w:p>
              </w:tc>
              <w:tc>
                <w:tcPr>
                  <w:tcW w:w="994" w:type="pct"/>
                  <w:tcBorders>
                    <w:tl2br w:val="nil"/>
                    <w:tr2bl w:val="nil"/>
                  </w:tcBorders>
                  <w:noWrap w:val="0"/>
                  <w:tcMar>
                    <w:top w:w="15" w:type="dxa"/>
                    <w:left w:w="15" w:type="dxa"/>
                    <w:right w:w="15" w:type="dxa"/>
                  </w:tcMar>
                  <w:vAlign w:val="center"/>
                </w:tcPr>
                <w:p w14:paraId="302A8A15">
                  <w:pPr>
                    <w:widowControl/>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1349</w:t>
                  </w:r>
                </w:p>
              </w:tc>
              <w:tc>
                <w:tcPr>
                  <w:tcW w:w="444" w:type="pct"/>
                  <w:tcBorders>
                    <w:tl2br w:val="nil"/>
                    <w:tr2bl w:val="nil"/>
                  </w:tcBorders>
                  <w:noWrap w:val="0"/>
                  <w:tcMar>
                    <w:top w:w="15" w:type="dxa"/>
                    <w:left w:w="15" w:type="dxa"/>
                    <w:right w:w="15" w:type="dxa"/>
                  </w:tcMar>
                  <w:vAlign w:val="center"/>
                </w:tcPr>
                <w:p w14:paraId="08DE2653">
                  <w:pPr>
                    <w:widowControl/>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85</w:t>
                  </w:r>
                </w:p>
              </w:tc>
              <w:tc>
                <w:tcPr>
                  <w:tcW w:w="356" w:type="pct"/>
                  <w:tcBorders>
                    <w:tl2br w:val="nil"/>
                    <w:tr2bl w:val="nil"/>
                  </w:tcBorders>
                  <w:noWrap w:val="0"/>
                  <w:tcMar>
                    <w:top w:w="15" w:type="dxa"/>
                    <w:left w:w="15" w:type="dxa"/>
                    <w:right w:w="15" w:type="dxa"/>
                  </w:tcMar>
                  <w:vAlign w:val="center"/>
                </w:tcPr>
                <w:p w14:paraId="63193F54">
                  <w:pPr>
                    <w:widowControl/>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70</w:t>
                  </w:r>
                </w:p>
              </w:tc>
              <w:tc>
                <w:tcPr>
                  <w:tcW w:w="858" w:type="pct"/>
                  <w:tcBorders>
                    <w:tl2br w:val="nil"/>
                    <w:tr2bl w:val="nil"/>
                  </w:tcBorders>
                  <w:noWrap w:val="0"/>
                  <w:tcMar>
                    <w:top w:w="15" w:type="dxa"/>
                    <w:left w:w="15" w:type="dxa"/>
                    <w:right w:w="15" w:type="dxa"/>
                  </w:tcMar>
                  <w:vAlign w:val="center"/>
                </w:tcPr>
                <w:p w14:paraId="3BDB40FB">
                  <w:pPr>
                    <w:widowControl/>
                    <w:snapToGrid w:val="0"/>
                    <w:jc w:val="center"/>
                    <w:textAlignment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10</w:t>
                  </w:r>
                </w:p>
              </w:tc>
              <w:tc>
                <w:tcPr>
                  <w:tcW w:w="521" w:type="pct"/>
                  <w:tcBorders>
                    <w:tl2br w:val="nil"/>
                    <w:tr2bl w:val="nil"/>
                  </w:tcBorders>
                  <w:noWrap w:val="0"/>
                  <w:tcMar>
                    <w:top w:w="15" w:type="dxa"/>
                    <w:left w:w="15" w:type="dxa"/>
                    <w:right w:w="15" w:type="dxa"/>
                  </w:tcMar>
                  <w:vAlign w:val="center"/>
                </w:tcPr>
                <w:p w14:paraId="53EEC770">
                  <w:pPr>
                    <w:widowControl/>
                    <w:snapToGrid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TSP</w:t>
                  </w:r>
                </w:p>
              </w:tc>
              <w:tc>
                <w:tcPr>
                  <w:tcW w:w="1025" w:type="pct"/>
                  <w:tcBorders>
                    <w:tl2br w:val="nil"/>
                    <w:tr2bl w:val="nil"/>
                  </w:tcBorders>
                  <w:noWrap w:val="0"/>
                  <w:tcMar>
                    <w:top w:w="15" w:type="dxa"/>
                    <w:left w:w="15" w:type="dxa"/>
                    <w:right w:w="15" w:type="dxa"/>
                  </w:tcMar>
                  <w:vAlign w:val="center"/>
                </w:tcPr>
                <w:p w14:paraId="39D60EE2">
                  <w:pPr>
                    <w:widowControl/>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072</w:t>
                  </w:r>
                </w:p>
              </w:tc>
            </w:tr>
          </w:tbl>
          <w:p w14:paraId="5EDEF721">
            <w:pPr>
              <w:autoSpaceDE w:val="0"/>
              <w:autoSpaceDN w:val="0"/>
              <w:adjustRightInd w:val="0"/>
              <w:snapToGrid w:val="0"/>
              <w:spacing w:line="480" w:lineRule="exact"/>
              <w:jc w:val="center"/>
              <w:rPr>
                <w:rFonts w:hint="default" w:ascii="Times New Roman" w:hAnsi="Times New Roman" w:eastAsia="宋体" w:cs="Times New Roman"/>
                <w:b/>
                <w:color w:val="auto"/>
                <w:sz w:val="24"/>
                <w:highlight w:val="none"/>
                <w:lang w:val="zh-CN"/>
              </w:rPr>
            </w:pPr>
          </w:p>
          <w:p w14:paraId="54541AC4">
            <w:pPr>
              <w:autoSpaceDE w:val="0"/>
              <w:autoSpaceDN w:val="0"/>
              <w:adjustRightInd w:val="0"/>
              <w:snapToGrid w:val="0"/>
              <w:spacing w:line="480" w:lineRule="exact"/>
              <w:jc w:val="center"/>
              <w:rPr>
                <w:rFonts w:hint="default" w:ascii="Times New Roman" w:hAnsi="Times New Roman" w:eastAsia="宋体" w:cs="Times New Roman"/>
                <w:b/>
                <w:color w:val="auto"/>
                <w:sz w:val="24"/>
                <w:highlight w:val="none"/>
                <w:lang w:val="zh-CN"/>
              </w:rPr>
            </w:pPr>
            <w:r>
              <w:rPr>
                <w:rFonts w:hint="default" w:ascii="Times New Roman" w:hAnsi="Times New Roman" w:eastAsia="宋体" w:cs="Times New Roman"/>
                <w:b/>
                <w:color w:val="auto"/>
                <w:sz w:val="24"/>
                <w:highlight w:val="none"/>
                <w:lang w:val="zh-CN"/>
              </w:rPr>
              <w:t>表</w:t>
            </w:r>
            <w:r>
              <w:rPr>
                <w:rFonts w:hint="eastAsia" w:ascii="Times New Roman" w:hAnsi="Times New Roman" w:eastAsia="宋体" w:cs="Times New Roman"/>
                <w:b/>
                <w:color w:val="auto"/>
                <w:sz w:val="24"/>
                <w:highlight w:val="none"/>
                <w:lang w:val="en-US" w:eastAsia="zh-CN"/>
              </w:rPr>
              <w:t>4-5</w:t>
            </w:r>
            <w:r>
              <w:rPr>
                <w:rFonts w:hint="default" w:ascii="Times New Roman" w:hAnsi="Times New Roman" w:eastAsia="宋体" w:cs="Times New Roman"/>
                <w:b/>
                <w:color w:val="auto"/>
                <w:sz w:val="24"/>
                <w:highlight w:val="none"/>
                <w:lang w:val="zh-CN"/>
              </w:rPr>
              <w:t xml:space="preserve">    估算模型计算结果表</w:t>
            </w:r>
          </w:p>
          <w:tbl>
            <w:tblPr>
              <w:tblStyle w:val="1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98"/>
              <w:gridCol w:w="746"/>
              <w:gridCol w:w="1327"/>
              <w:gridCol w:w="1270"/>
              <w:gridCol w:w="901"/>
              <w:gridCol w:w="1002"/>
              <w:gridCol w:w="1002"/>
            </w:tblGrid>
            <w:tr w14:paraId="3A7BF2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1496" w:type="dxa"/>
                  <w:tcBorders>
                    <w:tl2br w:val="nil"/>
                    <w:tr2bl w:val="nil"/>
                  </w:tcBorders>
                  <w:noWrap w:val="0"/>
                  <w:vAlign w:val="center"/>
                </w:tcPr>
                <w:p w14:paraId="79FE64C5">
                  <w:pPr>
                    <w:widowControl/>
                    <w:wordWrap w:val="0"/>
                    <w:overflowPunct w:val="0"/>
                    <w:topLinePunct/>
                    <w:jc w:val="center"/>
                    <w:rPr>
                      <w:rFonts w:hint="default" w:ascii="Times New Roman" w:hAnsi="Times New Roman" w:eastAsia="宋体" w:cs="Times New Roman"/>
                      <w:b/>
                      <w:bCs/>
                      <w:snapToGrid w:val="0"/>
                      <w:color w:val="auto"/>
                      <w:szCs w:val="21"/>
                      <w:highlight w:val="none"/>
                    </w:rPr>
                  </w:pPr>
                  <w:r>
                    <w:rPr>
                      <w:rFonts w:hint="default" w:ascii="Times New Roman" w:hAnsi="Times New Roman" w:eastAsia="宋体" w:cs="Times New Roman"/>
                      <w:b/>
                      <w:bCs/>
                      <w:snapToGrid w:val="0"/>
                      <w:color w:val="auto"/>
                      <w:szCs w:val="21"/>
                      <w:highlight w:val="none"/>
                    </w:rPr>
                    <w:t>污染源</w:t>
                  </w:r>
                </w:p>
              </w:tc>
              <w:tc>
                <w:tcPr>
                  <w:tcW w:w="657" w:type="dxa"/>
                  <w:tcBorders>
                    <w:tl2br w:val="nil"/>
                    <w:tr2bl w:val="nil"/>
                  </w:tcBorders>
                  <w:noWrap w:val="0"/>
                  <w:vAlign w:val="center"/>
                </w:tcPr>
                <w:p w14:paraId="1673B5B9">
                  <w:pPr>
                    <w:widowControl/>
                    <w:wordWrap w:val="0"/>
                    <w:overflowPunct w:val="0"/>
                    <w:topLinePunct/>
                    <w:jc w:val="center"/>
                    <w:rPr>
                      <w:rFonts w:hint="default" w:ascii="Times New Roman" w:hAnsi="Times New Roman" w:eastAsia="宋体" w:cs="Times New Roman"/>
                      <w:b/>
                      <w:bCs/>
                      <w:snapToGrid w:val="0"/>
                      <w:color w:val="auto"/>
                      <w:szCs w:val="21"/>
                      <w:highlight w:val="none"/>
                    </w:rPr>
                  </w:pPr>
                  <w:r>
                    <w:rPr>
                      <w:rFonts w:hint="default" w:ascii="Times New Roman" w:hAnsi="Times New Roman" w:eastAsia="宋体" w:cs="Times New Roman"/>
                      <w:b/>
                      <w:bCs/>
                      <w:snapToGrid w:val="0"/>
                      <w:color w:val="auto"/>
                      <w:szCs w:val="21"/>
                      <w:highlight w:val="none"/>
                    </w:rPr>
                    <w:t>类型</w:t>
                  </w:r>
                </w:p>
              </w:tc>
              <w:tc>
                <w:tcPr>
                  <w:tcW w:w="1168" w:type="dxa"/>
                  <w:tcBorders>
                    <w:tl2br w:val="nil"/>
                    <w:tr2bl w:val="nil"/>
                  </w:tcBorders>
                  <w:noWrap w:val="0"/>
                  <w:vAlign w:val="center"/>
                </w:tcPr>
                <w:p w14:paraId="6BB02FA8">
                  <w:pPr>
                    <w:widowControl/>
                    <w:wordWrap w:val="0"/>
                    <w:overflowPunct w:val="0"/>
                    <w:topLinePunct/>
                    <w:jc w:val="center"/>
                    <w:rPr>
                      <w:rFonts w:hint="default" w:ascii="Times New Roman" w:hAnsi="Times New Roman" w:eastAsia="宋体" w:cs="Times New Roman"/>
                      <w:b/>
                      <w:bCs/>
                      <w:snapToGrid w:val="0"/>
                      <w:color w:val="auto"/>
                      <w:szCs w:val="21"/>
                      <w:highlight w:val="none"/>
                    </w:rPr>
                  </w:pPr>
                  <w:r>
                    <w:rPr>
                      <w:rFonts w:hint="default" w:ascii="Times New Roman" w:hAnsi="Times New Roman" w:eastAsia="宋体" w:cs="Times New Roman"/>
                      <w:b/>
                      <w:bCs/>
                      <w:snapToGrid w:val="0"/>
                      <w:color w:val="auto"/>
                      <w:szCs w:val="21"/>
                      <w:highlight w:val="none"/>
                    </w:rPr>
                    <w:t>污染物</w:t>
                  </w:r>
                </w:p>
              </w:tc>
              <w:tc>
                <w:tcPr>
                  <w:tcW w:w="1118" w:type="dxa"/>
                  <w:tcBorders>
                    <w:tl2br w:val="nil"/>
                    <w:tr2bl w:val="nil"/>
                  </w:tcBorders>
                  <w:noWrap w:val="0"/>
                  <w:vAlign w:val="center"/>
                </w:tcPr>
                <w:p w14:paraId="636EBA0A">
                  <w:pPr>
                    <w:widowControl/>
                    <w:wordWrap w:val="0"/>
                    <w:overflowPunct w:val="0"/>
                    <w:topLinePunct/>
                    <w:jc w:val="center"/>
                    <w:rPr>
                      <w:rFonts w:hint="default" w:ascii="Times New Roman" w:hAnsi="Times New Roman" w:eastAsia="宋体" w:cs="Times New Roman"/>
                      <w:b/>
                      <w:bCs/>
                      <w:snapToGrid w:val="0"/>
                      <w:color w:val="auto"/>
                      <w:szCs w:val="21"/>
                      <w:highlight w:val="none"/>
                    </w:rPr>
                  </w:pPr>
                  <w:r>
                    <w:rPr>
                      <w:rFonts w:hint="default" w:ascii="Times New Roman" w:hAnsi="Times New Roman" w:eastAsia="宋体" w:cs="Times New Roman"/>
                      <w:b/>
                      <w:bCs/>
                      <w:snapToGrid w:val="0"/>
                      <w:color w:val="auto"/>
                      <w:szCs w:val="21"/>
                      <w:highlight w:val="none"/>
                    </w:rPr>
                    <w:t>预测质量浓度µg/m</w:t>
                  </w:r>
                  <w:r>
                    <w:rPr>
                      <w:rFonts w:hint="default" w:ascii="Times New Roman" w:hAnsi="Times New Roman" w:eastAsia="宋体" w:cs="Times New Roman"/>
                      <w:b/>
                      <w:bCs/>
                      <w:snapToGrid w:val="0"/>
                      <w:color w:val="auto"/>
                      <w:szCs w:val="21"/>
                      <w:highlight w:val="none"/>
                      <w:vertAlign w:val="superscript"/>
                    </w:rPr>
                    <w:t>3</w:t>
                  </w:r>
                </w:p>
              </w:tc>
              <w:tc>
                <w:tcPr>
                  <w:tcW w:w="793" w:type="dxa"/>
                  <w:tcBorders>
                    <w:tl2br w:val="nil"/>
                    <w:tr2bl w:val="nil"/>
                  </w:tcBorders>
                  <w:noWrap w:val="0"/>
                  <w:vAlign w:val="center"/>
                </w:tcPr>
                <w:p w14:paraId="6AC590D1">
                  <w:pPr>
                    <w:widowControl/>
                    <w:wordWrap w:val="0"/>
                    <w:overflowPunct w:val="0"/>
                    <w:topLinePunct/>
                    <w:jc w:val="center"/>
                    <w:rPr>
                      <w:rFonts w:hint="default" w:ascii="Times New Roman" w:hAnsi="Times New Roman" w:eastAsia="宋体" w:cs="Times New Roman"/>
                      <w:b/>
                      <w:bCs/>
                      <w:snapToGrid w:val="0"/>
                      <w:color w:val="auto"/>
                      <w:szCs w:val="21"/>
                      <w:highlight w:val="none"/>
                    </w:rPr>
                  </w:pPr>
                  <w:r>
                    <w:rPr>
                      <w:rFonts w:hint="default" w:ascii="Times New Roman" w:hAnsi="Times New Roman" w:eastAsia="宋体" w:cs="Times New Roman"/>
                      <w:b/>
                      <w:bCs/>
                      <w:snapToGrid w:val="0"/>
                      <w:color w:val="auto"/>
                      <w:szCs w:val="21"/>
                      <w:highlight w:val="none"/>
                    </w:rPr>
                    <w:t>P</w:t>
                  </w:r>
                  <w:r>
                    <w:rPr>
                      <w:rFonts w:hint="default" w:ascii="Times New Roman" w:hAnsi="Times New Roman" w:eastAsia="宋体" w:cs="Times New Roman"/>
                      <w:b/>
                      <w:bCs/>
                      <w:snapToGrid w:val="0"/>
                      <w:color w:val="auto"/>
                      <w:szCs w:val="21"/>
                      <w:highlight w:val="none"/>
                      <w:vertAlign w:val="subscript"/>
                    </w:rPr>
                    <w:t>max</w:t>
                  </w:r>
                  <w:r>
                    <w:rPr>
                      <w:rFonts w:hint="default" w:ascii="Times New Roman" w:hAnsi="Times New Roman" w:eastAsia="宋体" w:cs="Times New Roman"/>
                      <w:b/>
                      <w:bCs/>
                      <w:snapToGrid w:val="0"/>
                      <w:color w:val="auto"/>
                      <w:szCs w:val="21"/>
                      <w:highlight w:val="none"/>
                    </w:rPr>
                    <w:t>（%）</w:t>
                  </w:r>
                </w:p>
              </w:tc>
              <w:tc>
                <w:tcPr>
                  <w:tcW w:w="882" w:type="dxa"/>
                  <w:tcBorders>
                    <w:tl2br w:val="nil"/>
                    <w:tr2bl w:val="nil"/>
                  </w:tcBorders>
                  <w:noWrap w:val="0"/>
                  <w:vAlign w:val="center"/>
                </w:tcPr>
                <w:p w14:paraId="19DC3A3D">
                  <w:pPr>
                    <w:widowControl/>
                    <w:wordWrap w:val="0"/>
                    <w:overflowPunct w:val="0"/>
                    <w:topLinePunct/>
                    <w:jc w:val="center"/>
                    <w:rPr>
                      <w:rFonts w:hint="default" w:ascii="Times New Roman" w:hAnsi="Times New Roman" w:eastAsia="宋体" w:cs="Times New Roman"/>
                      <w:b/>
                      <w:bCs/>
                      <w:snapToGrid w:val="0"/>
                      <w:color w:val="auto"/>
                      <w:szCs w:val="21"/>
                      <w:highlight w:val="none"/>
                    </w:rPr>
                  </w:pPr>
                  <w:r>
                    <w:rPr>
                      <w:rFonts w:hint="default" w:ascii="Times New Roman" w:hAnsi="Times New Roman" w:eastAsia="宋体" w:cs="Times New Roman"/>
                      <w:b/>
                      <w:bCs/>
                      <w:i/>
                      <w:snapToGrid w:val="0"/>
                      <w:color w:val="auto"/>
                      <w:szCs w:val="21"/>
                      <w:highlight w:val="none"/>
                    </w:rPr>
                    <w:t>D</w:t>
                  </w:r>
                  <w:r>
                    <w:rPr>
                      <w:rFonts w:hint="default" w:ascii="Times New Roman" w:hAnsi="Times New Roman" w:eastAsia="宋体" w:cs="Times New Roman"/>
                      <w:b/>
                      <w:bCs/>
                      <w:snapToGrid w:val="0"/>
                      <w:color w:val="auto"/>
                      <w:szCs w:val="21"/>
                      <w:highlight w:val="none"/>
                      <w:vertAlign w:val="subscript"/>
                    </w:rPr>
                    <w:t>10%</w:t>
                  </w:r>
                  <w:r>
                    <w:rPr>
                      <w:rFonts w:hint="default" w:ascii="Times New Roman" w:hAnsi="Times New Roman" w:eastAsia="宋体" w:cs="Times New Roman"/>
                      <w:b/>
                      <w:bCs/>
                      <w:snapToGrid w:val="0"/>
                      <w:color w:val="auto"/>
                      <w:szCs w:val="21"/>
                      <w:highlight w:val="none"/>
                    </w:rPr>
                    <w:t>（m）</w:t>
                  </w:r>
                </w:p>
              </w:tc>
              <w:tc>
                <w:tcPr>
                  <w:tcW w:w="882" w:type="dxa"/>
                  <w:tcBorders>
                    <w:tl2br w:val="nil"/>
                    <w:tr2bl w:val="nil"/>
                  </w:tcBorders>
                  <w:noWrap w:val="0"/>
                  <w:vAlign w:val="center"/>
                </w:tcPr>
                <w:p w14:paraId="3BE1572A">
                  <w:pPr>
                    <w:widowControl/>
                    <w:wordWrap w:val="0"/>
                    <w:overflowPunct w:val="0"/>
                    <w:topLinePunct/>
                    <w:jc w:val="center"/>
                    <w:rPr>
                      <w:rFonts w:hint="default" w:ascii="Times New Roman" w:hAnsi="Times New Roman" w:eastAsia="宋体" w:cs="Times New Roman"/>
                      <w:b/>
                      <w:bCs/>
                      <w:snapToGrid w:val="0"/>
                      <w:color w:val="auto"/>
                      <w:szCs w:val="21"/>
                      <w:highlight w:val="none"/>
                    </w:rPr>
                  </w:pPr>
                  <w:r>
                    <w:rPr>
                      <w:rFonts w:hint="default" w:ascii="Times New Roman" w:hAnsi="Times New Roman" w:eastAsia="宋体" w:cs="Times New Roman"/>
                      <w:b/>
                      <w:bCs/>
                      <w:snapToGrid w:val="0"/>
                      <w:color w:val="auto"/>
                      <w:szCs w:val="21"/>
                      <w:highlight w:val="none"/>
                    </w:rPr>
                    <w:t>下风向距离/m</w:t>
                  </w:r>
                </w:p>
              </w:tc>
            </w:tr>
            <w:tr w14:paraId="559CF8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496" w:type="dxa"/>
                  <w:tcBorders>
                    <w:tl2br w:val="nil"/>
                    <w:tr2bl w:val="nil"/>
                  </w:tcBorders>
                  <w:noWrap w:val="0"/>
                  <w:vAlign w:val="center"/>
                </w:tcPr>
                <w:p w14:paraId="66E9F190">
                  <w:pPr>
                    <w:widowControl/>
                    <w:snapToGrid w:val="0"/>
                    <w:jc w:val="center"/>
                    <w:textAlignment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P1</w:t>
                  </w:r>
                </w:p>
              </w:tc>
              <w:tc>
                <w:tcPr>
                  <w:tcW w:w="657" w:type="dxa"/>
                  <w:tcBorders>
                    <w:tl2br w:val="nil"/>
                    <w:tr2bl w:val="nil"/>
                  </w:tcBorders>
                  <w:noWrap w:val="0"/>
                  <w:vAlign w:val="center"/>
                </w:tcPr>
                <w:p w14:paraId="7B32378D">
                  <w:pPr>
                    <w:tabs>
                      <w:tab w:val="left" w:pos="2340"/>
                    </w:tabs>
                    <w:snapToGrid w:val="0"/>
                    <w:jc w:val="center"/>
                    <w:rPr>
                      <w:rFonts w:hint="default" w:ascii="Times New Roman" w:hAnsi="Times New Roman" w:eastAsia="宋体" w:cs="Times New Roman"/>
                      <w:snapToGrid w:val="0"/>
                      <w:color w:val="auto"/>
                      <w:kern w:val="0"/>
                      <w:szCs w:val="21"/>
                      <w:highlight w:val="none"/>
                    </w:rPr>
                  </w:pPr>
                  <w:r>
                    <w:rPr>
                      <w:rFonts w:hint="default" w:ascii="Times New Roman" w:hAnsi="Times New Roman" w:eastAsia="宋体" w:cs="Times New Roman"/>
                      <w:snapToGrid w:val="0"/>
                      <w:color w:val="auto"/>
                      <w:kern w:val="0"/>
                      <w:szCs w:val="21"/>
                      <w:highlight w:val="none"/>
                    </w:rPr>
                    <w:t>点源</w:t>
                  </w:r>
                </w:p>
              </w:tc>
              <w:tc>
                <w:tcPr>
                  <w:tcW w:w="1168" w:type="dxa"/>
                  <w:tcBorders>
                    <w:tl2br w:val="nil"/>
                    <w:tr2bl w:val="nil"/>
                  </w:tcBorders>
                  <w:noWrap w:val="0"/>
                  <w:vAlign w:val="center"/>
                </w:tcPr>
                <w:p w14:paraId="55D6016C">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kern w:val="0"/>
                      <w:szCs w:val="21"/>
                      <w:highlight w:val="none"/>
                    </w:rPr>
                    <w:t>TSP</w:t>
                  </w:r>
                </w:p>
              </w:tc>
              <w:tc>
                <w:tcPr>
                  <w:tcW w:w="1118" w:type="dxa"/>
                  <w:tcBorders>
                    <w:tl2br w:val="nil"/>
                    <w:tr2bl w:val="nil"/>
                  </w:tcBorders>
                  <w:noWrap w:val="0"/>
                  <w:vAlign w:val="center"/>
                </w:tcPr>
                <w:p w14:paraId="70189D0A">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44.6</w:t>
                  </w:r>
                </w:p>
              </w:tc>
              <w:tc>
                <w:tcPr>
                  <w:tcW w:w="793" w:type="dxa"/>
                  <w:tcBorders>
                    <w:tl2br w:val="nil"/>
                    <w:tr2bl w:val="nil"/>
                  </w:tcBorders>
                  <w:noWrap w:val="0"/>
                  <w:vAlign w:val="center"/>
                </w:tcPr>
                <w:p w14:paraId="105FD4E7">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4.95</w:t>
                  </w:r>
                </w:p>
              </w:tc>
              <w:tc>
                <w:tcPr>
                  <w:tcW w:w="882" w:type="dxa"/>
                  <w:tcBorders>
                    <w:tl2br w:val="nil"/>
                    <w:tr2bl w:val="nil"/>
                  </w:tcBorders>
                  <w:noWrap w:val="0"/>
                  <w:vAlign w:val="center"/>
                </w:tcPr>
                <w:p w14:paraId="559EA7F5">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0</w:t>
                  </w:r>
                </w:p>
              </w:tc>
              <w:tc>
                <w:tcPr>
                  <w:tcW w:w="882" w:type="dxa"/>
                  <w:tcBorders>
                    <w:tl2br w:val="nil"/>
                    <w:tr2bl w:val="nil"/>
                  </w:tcBorders>
                  <w:noWrap w:val="0"/>
                  <w:vAlign w:val="center"/>
                </w:tcPr>
                <w:p w14:paraId="6164A301">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128</w:t>
                  </w:r>
                </w:p>
              </w:tc>
            </w:tr>
            <w:tr w14:paraId="16DCAD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496" w:type="dxa"/>
                  <w:tcBorders>
                    <w:tl2br w:val="nil"/>
                    <w:tr2bl w:val="nil"/>
                  </w:tcBorders>
                  <w:noWrap w:val="0"/>
                  <w:vAlign w:val="center"/>
                </w:tcPr>
                <w:p w14:paraId="063D190B">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P2</w:t>
                  </w:r>
                </w:p>
              </w:tc>
              <w:tc>
                <w:tcPr>
                  <w:tcW w:w="657" w:type="dxa"/>
                  <w:tcBorders>
                    <w:tl2br w:val="nil"/>
                    <w:tr2bl w:val="nil"/>
                  </w:tcBorders>
                  <w:noWrap w:val="0"/>
                  <w:vAlign w:val="center"/>
                </w:tcPr>
                <w:p w14:paraId="332A70C3">
                  <w:pPr>
                    <w:snapToGrid w:val="0"/>
                    <w:jc w:val="center"/>
                    <w:rPr>
                      <w:rFonts w:hint="default" w:ascii="Times New Roman" w:hAnsi="Times New Roman" w:eastAsia="宋体" w:cs="Times New Roman"/>
                      <w:snapToGrid w:val="0"/>
                      <w:color w:val="auto"/>
                      <w:kern w:val="0"/>
                      <w:szCs w:val="21"/>
                      <w:highlight w:val="none"/>
                    </w:rPr>
                  </w:pPr>
                  <w:r>
                    <w:rPr>
                      <w:rFonts w:hint="default" w:ascii="Times New Roman" w:hAnsi="Times New Roman" w:eastAsia="宋体" w:cs="Times New Roman"/>
                      <w:snapToGrid w:val="0"/>
                      <w:color w:val="auto"/>
                      <w:kern w:val="0"/>
                      <w:szCs w:val="21"/>
                      <w:highlight w:val="none"/>
                    </w:rPr>
                    <w:t>点源</w:t>
                  </w:r>
                </w:p>
              </w:tc>
              <w:tc>
                <w:tcPr>
                  <w:tcW w:w="1168" w:type="dxa"/>
                  <w:tcBorders>
                    <w:tl2br w:val="nil"/>
                    <w:tr2bl w:val="nil"/>
                  </w:tcBorders>
                  <w:noWrap w:val="0"/>
                  <w:vAlign w:val="center"/>
                </w:tcPr>
                <w:p w14:paraId="13452857">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kern w:val="0"/>
                      <w:szCs w:val="21"/>
                      <w:highlight w:val="none"/>
                    </w:rPr>
                    <w:t>TSP</w:t>
                  </w:r>
                </w:p>
              </w:tc>
              <w:tc>
                <w:tcPr>
                  <w:tcW w:w="1118" w:type="dxa"/>
                  <w:tcBorders>
                    <w:tl2br w:val="nil"/>
                    <w:tr2bl w:val="nil"/>
                  </w:tcBorders>
                  <w:noWrap w:val="0"/>
                  <w:vAlign w:val="center"/>
                </w:tcPr>
                <w:p w14:paraId="095F1EC2">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3.2</w:t>
                  </w:r>
                </w:p>
              </w:tc>
              <w:tc>
                <w:tcPr>
                  <w:tcW w:w="793" w:type="dxa"/>
                  <w:tcBorders>
                    <w:tl2br w:val="nil"/>
                    <w:tr2bl w:val="nil"/>
                  </w:tcBorders>
                  <w:noWrap w:val="0"/>
                  <w:vAlign w:val="center"/>
                </w:tcPr>
                <w:p w14:paraId="37C68D32">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0.36</w:t>
                  </w:r>
                </w:p>
              </w:tc>
              <w:tc>
                <w:tcPr>
                  <w:tcW w:w="882" w:type="dxa"/>
                  <w:tcBorders>
                    <w:tl2br w:val="nil"/>
                    <w:tr2bl w:val="nil"/>
                  </w:tcBorders>
                  <w:noWrap w:val="0"/>
                  <w:vAlign w:val="center"/>
                </w:tcPr>
                <w:p w14:paraId="5BB901C1">
                  <w:pPr>
                    <w:widowControl/>
                    <w:wordWrap w:val="0"/>
                    <w:overflowPunct w:val="0"/>
                    <w:topLinePunct/>
                    <w:jc w:val="center"/>
                    <w:rPr>
                      <w:rFonts w:hint="default" w:ascii="Times New Roman" w:hAnsi="Times New Roman" w:eastAsia="宋体" w:cs="Times New Roman"/>
                      <w:snapToGrid w:val="0"/>
                      <w:color w:val="auto"/>
                      <w:szCs w:val="21"/>
                      <w:highlight w:val="none"/>
                    </w:rPr>
                  </w:pPr>
                  <w:r>
                    <w:rPr>
                      <w:rFonts w:hint="eastAsia" w:ascii="Times New Roman" w:hAnsi="Times New Roman" w:eastAsia="宋体" w:cs="Times New Roman"/>
                      <w:snapToGrid w:val="0"/>
                      <w:color w:val="auto"/>
                      <w:szCs w:val="21"/>
                      <w:highlight w:val="none"/>
                      <w:lang w:val="en-US" w:eastAsia="zh-CN"/>
                    </w:rPr>
                    <w:t>0</w:t>
                  </w:r>
                </w:p>
              </w:tc>
              <w:tc>
                <w:tcPr>
                  <w:tcW w:w="882" w:type="dxa"/>
                  <w:tcBorders>
                    <w:tl2br w:val="nil"/>
                    <w:tr2bl w:val="nil"/>
                  </w:tcBorders>
                  <w:noWrap w:val="0"/>
                  <w:vAlign w:val="center"/>
                </w:tcPr>
                <w:p w14:paraId="667AF506">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115</w:t>
                  </w:r>
                </w:p>
              </w:tc>
            </w:tr>
            <w:tr w14:paraId="2902F8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496" w:type="dxa"/>
                  <w:tcBorders>
                    <w:tl2br w:val="nil"/>
                    <w:tr2bl w:val="nil"/>
                  </w:tcBorders>
                  <w:noWrap w:val="0"/>
                  <w:vAlign w:val="center"/>
                </w:tcPr>
                <w:p w14:paraId="0A91F159">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P3</w:t>
                  </w:r>
                </w:p>
              </w:tc>
              <w:tc>
                <w:tcPr>
                  <w:tcW w:w="657" w:type="dxa"/>
                  <w:tcBorders>
                    <w:tl2br w:val="nil"/>
                    <w:tr2bl w:val="nil"/>
                  </w:tcBorders>
                  <w:noWrap w:val="0"/>
                  <w:vAlign w:val="center"/>
                </w:tcPr>
                <w:p w14:paraId="1B5385E8">
                  <w:pPr>
                    <w:snapToGrid w:val="0"/>
                    <w:jc w:val="center"/>
                    <w:rPr>
                      <w:rFonts w:hint="default" w:ascii="Times New Roman" w:hAnsi="Times New Roman" w:eastAsia="宋体" w:cs="Times New Roman"/>
                      <w:snapToGrid w:val="0"/>
                      <w:color w:val="auto"/>
                      <w:kern w:val="0"/>
                      <w:szCs w:val="21"/>
                      <w:highlight w:val="none"/>
                    </w:rPr>
                  </w:pPr>
                  <w:r>
                    <w:rPr>
                      <w:rFonts w:hint="default" w:ascii="Times New Roman" w:hAnsi="Times New Roman" w:eastAsia="宋体" w:cs="Times New Roman"/>
                      <w:snapToGrid w:val="0"/>
                      <w:color w:val="auto"/>
                      <w:kern w:val="0"/>
                      <w:szCs w:val="21"/>
                      <w:highlight w:val="none"/>
                    </w:rPr>
                    <w:t>点源</w:t>
                  </w:r>
                </w:p>
              </w:tc>
              <w:tc>
                <w:tcPr>
                  <w:tcW w:w="1168" w:type="dxa"/>
                  <w:tcBorders>
                    <w:tl2br w:val="nil"/>
                    <w:tr2bl w:val="nil"/>
                  </w:tcBorders>
                  <w:noWrap w:val="0"/>
                  <w:vAlign w:val="center"/>
                </w:tcPr>
                <w:p w14:paraId="37DB5489">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kern w:val="0"/>
                      <w:szCs w:val="21"/>
                      <w:highlight w:val="none"/>
                    </w:rPr>
                    <w:t>TSP</w:t>
                  </w:r>
                </w:p>
              </w:tc>
              <w:tc>
                <w:tcPr>
                  <w:tcW w:w="1118" w:type="dxa"/>
                  <w:tcBorders>
                    <w:tl2br w:val="nil"/>
                    <w:tr2bl w:val="nil"/>
                  </w:tcBorders>
                  <w:noWrap w:val="0"/>
                  <w:vAlign w:val="center"/>
                </w:tcPr>
                <w:p w14:paraId="778C0567">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3.2</w:t>
                  </w:r>
                </w:p>
              </w:tc>
              <w:tc>
                <w:tcPr>
                  <w:tcW w:w="793" w:type="dxa"/>
                  <w:tcBorders>
                    <w:tl2br w:val="nil"/>
                    <w:tr2bl w:val="nil"/>
                  </w:tcBorders>
                  <w:noWrap w:val="0"/>
                  <w:vAlign w:val="center"/>
                </w:tcPr>
                <w:p w14:paraId="4AF1FD73">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0.36</w:t>
                  </w:r>
                </w:p>
              </w:tc>
              <w:tc>
                <w:tcPr>
                  <w:tcW w:w="882" w:type="dxa"/>
                  <w:tcBorders>
                    <w:tl2br w:val="nil"/>
                    <w:tr2bl w:val="nil"/>
                  </w:tcBorders>
                  <w:noWrap w:val="0"/>
                  <w:vAlign w:val="center"/>
                </w:tcPr>
                <w:p w14:paraId="2C77B469">
                  <w:pPr>
                    <w:widowControl/>
                    <w:wordWrap w:val="0"/>
                    <w:overflowPunct w:val="0"/>
                    <w:topLinePunct/>
                    <w:jc w:val="center"/>
                    <w:rPr>
                      <w:rFonts w:hint="default" w:ascii="Times New Roman" w:hAnsi="Times New Roman" w:eastAsia="宋体" w:cs="Times New Roman"/>
                      <w:snapToGrid w:val="0"/>
                      <w:color w:val="auto"/>
                      <w:szCs w:val="21"/>
                      <w:highlight w:val="none"/>
                    </w:rPr>
                  </w:pPr>
                  <w:r>
                    <w:rPr>
                      <w:rFonts w:hint="eastAsia" w:ascii="Times New Roman" w:hAnsi="Times New Roman" w:eastAsia="宋体" w:cs="Times New Roman"/>
                      <w:snapToGrid w:val="0"/>
                      <w:color w:val="auto"/>
                      <w:szCs w:val="21"/>
                      <w:highlight w:val="none"/>
                      <w:lang w:val="en-US" w:eastAsia="zh-CN"/>
                    </w:rPr>
                    <w:t>0</w:t>
                  </w:r>
                </w:p>
              </w:tc>
              <w:tc>
                <w:tcPr>
                  <w:tcW w:w="882" w:type="dxa"/>
                  <w:tcBorders>
                    <w:tl2br w:val="nil"/>
                    <w:tr2bl w:val="nil"/>
                  </w:tcBorders>
                  <w:noWrap w:val="0"/>
                  <w:vAlign w:val="center"/>
                </w:tcPr>
                <w:p w14:paraId="32D4B466">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115</w:t>
                  </w:r>
                </w:p>
              </w:tc>
            </w:tr>
            <w:tr w14:paraId="2794E0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496" w:type="dxa"/>
                  <w:tcBorders>
                    <w:tl2br w:val="nil"/>
                    <w:tr2bl w:val="nil"/>
                  </w:tcBorders>
                  <w:noWrap w:val="0"/>
                  <w:vAlign w:val="center"/>
                </w:tcPr>
                <w:p w14:paraId="374ACDB5">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P4</w:t>
                  </w:r>
                </w:p>
              </w:tc>
              <w:tc>
                <w:tcPr>
                  <w:tcW w:w="657" w:type="dxa"/>
                  <w:tcBorders>
                    <w:tl2br w:val="nil"/>
                    <w:tr2bl w:val="nil"/>
                  </w:tcBorders>
                  <w:noWrap w:val="0"/>
                  <w:vAlign w:val="center"/>
                </w:tcPr>
                <w:p w14:paraId="43FF9A3D">
                  <w:pPr>
                    <w:snapToGrid w:val="0"/>
                    <w:jc w:val="center"/>
                    <w:rPr>
                      <w:rFonts w:hint="default" w:ascii="Times New Roman" w:hAnsi="Times New Roman" w:eastAsia="宋体" w:cs="Times New Roman"/>
                      <w:snapToGrid w:val="0"/>
                      <w:color w:val="auto"/>
                      <w:kern w:val="0"/>
                      <w:szCs w:val="21"/>
                      <w:highlight w:val="none"/>
                    </w:rPr>
                  </w:pPr>
                  <w:r>
                    <w:rPr>
                      <w:rFonts w:hint="default" w:ascii="Times New Roman" w:hAnsi="Times New Roman" w:eastAsia="宋体" w:cs="Times New Roman"/>
                      <w:snapToGrid w:val="0"/>
                      <w:color w:val="auto"/>
                      <w:kern w:val="0"/>
                      <w:szCs w:val="21"/>
                      <w:highlight w:val="none"/>
                    </w:rPr>
                    <w:t>点源</w:t>
                  </w:r>
                </w:p>
              </w:tc>
              <w:tc>
                <w:tcPr>
                  <w:tcW w:w="1168" w:type="dxa"/>
                  <w:tcBorders>
                    <w:tl2br w:val="nil"/>
                    <w:tr2bl w:val="nil"/>
                  </w:tcBorders>
                  <w:noWrap w:val="0"/>
                  <w:vAlign w:val="center"/>
                </w:tcPr>
                <w:p w14:paraId="637A3637">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kern w:val="0"/>
                      <w:szCs w:val="21"/>
                      <w:highlight w:val="none"/>
                    </w:rPr>
                    <w:t>TSP</w:t>
                  </w:r>
                </w:p>
              </w:tc>
              <w:tc>
                <w:tcPr>
                  <w:tcW w:w="1118" w:type="dxa"/>
                  <w:tcBorders>
                    <w:tl2br w:val="nil"/>
                    <w:tr2bl w:val="nil"/>
                  </w:tcBorders>
                  <w:noWrap w:val="0"/>
                  <w:vAlign w:val="center"/>
                </w:tcPr>
                <w:p w14:paraId="1C9A3BFE">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3.2</w:t>
                  </w:r>
                </w:p>
              </w:tc>
              <w:tc>
                <w:tcPr>
                  <w:tcW w:w="793" w:type="dxa"/>
                  <w:tcBorders>
                    <w:tl2br w:val="nil"/>
                    <w:tr2bl w:val="nil"/>
                  </w:tcBorders>
                  <w:noWrap w:val="0"/>
                  <w:vAlign w:val="center"/>
                </w:tcPr>
                <w:p w14:paraId="692FA5B0">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0.36</w:t>
                  </w:r>
                </w:p>
              </w:tc>
              <w:tc>
                <w:tcPr>
                  <w:tcW w:w="882" w:type="dxa"/>
                  <w:tcBorders>
                    <w:tl2br w:val="nil"/>
                    <w:tr2bl w:val="nil"/>
                  </w:tcBorders>
                  <w:noWrap w:val="0"/>
                  <w:vAlign w:val="center"/>
                </w:tcPr>
                <w:p w14:paraId="75081F9C">
                  <w:pPr>
                    <w:widowControl/>
                    <w:wordWrap w:val="0"/>
                    <w:overflowPunct w:val="0"/>
                    <w:topLinePunct/>
                    <w:jc w:val="center"/>
                    <w:rPr>
                      <w:rFonts w:hint="default" w:ascii="Times New Roman" w:hAnsi="Times New Roman" w:eastAsia="宋体" w:cs="Times New Roman"/>
                      <w:snapToGrid w:val="0"/>
                      <w:color w:val="auto"/>
                      <w:szCs w:val="21"/>
                      <w:highlight w:val="none"/>
                    </w:rPr>
                  </w:pPr>
                  <w:r>
                    <w:rPr>
                      <w:rFonts w:hint="eastAsia" w:ascii="Times New Roman" w:hAnsi="Times New Roman" w:eastAsia="宋体" w:cs="Times New Roman"/>
                      <w:snapToGrid w:val="0"/>
                      <w:color w:val="auto"/>
                      <w:szCs w:val="21"/>
                      <w:highlight w:val="none"/>
                      <w:lang w:val="en-US" w:eastAsia="zh-CN"/>
                    </w:rPr>
                    <w:t>0</w:t>
                  </w:r>
                </w:p>
              </w:tc>
              <w:tc>
                <w:tcPr>
                  <w:tcW w:w="882" w:type="dxa"/>
                  <w:tcBorders>
                    <w:tl2br w:val="nil"/>
                    <w:tr2bl w:val="nil"/>
                  </w:tcBorders>
                  <w:noWrap w:val="0"/>
                  <w:vAlign w:val="center"/>
                </w:tcPr>
                <w:p w14:paraId="7D3FFEF7">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115</w:t>
                  </w:r>
                </w:p>
              </w:tc>
            </w:tr>
            <w:tr w14:paraId="149CD6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496" w:type="dxa"/>
                  <w:tcBorders>
                    <w:tl2br w:val="nil"/>
                    <w:tr2bl w:val="nil"/>
                  </w:tcBorders>
                  <w:noWrap w:val="0"/>
                  <w:vAlign w:val="center"/>
                </w:tcPr>
                <w:p w14:paraId="1DA7AA4A">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P5</w:t>
                  </w:r>
                </w:p>
              </w:tc>
              <w:tc>
                <w:tcPr>
                  <w:tcW w:w="657" w:type="dxa"/>
                  <w:tcBorders>
                    <w:tl2br w:val="nil"/>
                    <w:tr2bl w:val="nil"/>
                  </w:tcBorders>
                  <w:noWrap w:val="0"/>
                  <w:vAlign w:val="center"/>
                </w:tcPr>
                <w:p w14:paraId="1F720E0E">
                  <w:pPr>
                    <w:snapToGrid w:val="0"/>
                    <w:jc w:val="center"/>
                    <w:rPr>
                      <w:rFonts w:hint="default" w:ascii="Times New Roman" w:hAnsi="Times New Roman" w:eastAsia="宋体" w:cs="Times New Roman"/>
                      <w:snapToGrid w:val="0"/>
                      <w:color w:val="auto"/>
                      <w:kern w:val="0"/>
                      <w:szCs w:val="21"/>
                      <w:highlight w:val="none"/>
                    </w:rPr>
                  </w:pPr>
                  <w:r>
                    <w:rPr>
                      <w:rFonts w:hint="default" w:ascii="Times New Roman" w:hAnsi="Times New Roman" w:eastAsia="宋体" w:cs="Times New Roman"/>
                      <w:snapToGrid w:val="0"/>
                      <w:color w:val="auto"/>
                      <w:kern w:val="0"/>
                      <w:szCs w:val="21"/>
                      <w:highlight w:val="none"/>
                    </w:rPr>
                    <w:t>点源</w:t>
                  </w:r>
                </w:p>
              </w:tc>
              <w:tc>
                <w:tcPr>
                  <w:tcW w:w="1168" w:type="dxa"/>
                  <w:tcBorders>
                    <w:tl2br w:val="nil"/>
                    <w:tr2bl w:val="nil"/>
                  </w:tcBorders>
                  <w:noWrap w:val="0"/>
                  <w:vAlign w:val="center"/>
                </w:tcPr>
                <w:p w14:paraId="065F7988">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kern w:val="0"/>
                      <w:szCs w:val="21"/>
                      <w:highlight w:val="none"/>
                    </w:rPr>
                    <w:t>TSP</w:t>
                  </w:r>
                </w:p>
              </w:tc>
              <w:tc>
                <w:tcPr>
                  <w:tcW w:w="1118" w:type="dxa"/>
                  <w:tcBorders>
                    <w:tl2br w:val="nil"/>
                    <w:tr2bl w:val="nil"/>
                  </w:tcBorders>
                  <w:noWrap w:val="0"/>
                  <w:vAlign w:val="center"/>
                </w:tcPr>
                <w:p w14:paraId="26A0B215">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3.2</w:t>
                  </w:r>
                </w:p>
              </w:tc>
              <w:tc>
                <w:tcPr>
                  <w:tcW w:w="793" w:type="dxa"/>
                  <w:tcBorders>
                    <w:tl2br w:val="nil"/>
                    <w:tr2bl w:val="nil"/>
                  </w:tcBorders>
                  <w:noWrap w:val="0"/>
                  <w:vAlign w:val="center"/>
                </w:tcPr>
                <w:p w14:paraId="5712D692">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0.36</w:t>
                  </w:r>
                </w:p>
              </w:tc>
              <w:tc>
                <w:tcPr>
                  <w:tcW w:w="882" w:type="dxa"/>
                  <w:tcBorders>
                    <w:tl2br w:val="nil"/>
                    <w:tr2bl w:val="nil"/>
                  </w:tcBorders>
                  <w:noWrap w:val="0"/>
                  <w:vAlign w:val="center"/>
                </w:tcPr>
                <w:p w14:paraId="6588FE36">
                  <w:pPr>
                    <w:widowControl/>
                    <w:wordWrap w:val="0"/>
                    <w:overflowPunct w:val="0"/>
                    <w:topLinePunct/>
                    <w:jc w:val="center"/>
                    <w:rPr>
                      <w:rFonts w:hint="default" w:ascii="Times New Roman" w:hAnsi="Times New Roman" w:eastAsia="宋体" w:cs="Times New Roman"/>
                      <w:snapToGrid w:val="0"/>
                      <w:color w:val="auto"/>
                      <w:szCs w:val="21"/>
                      <w:highlight w:val="none"/>
                    </w:rPr>
                  </w:pPr>
                  <w:r>
                    <w:rPr>
                      <w:rFonts w:hint="eastAsia" w:ascii="Times New Roman" w:hAnsi="Times New Roman" w:eastAsia="宋体" w:cs="Times New Roman"/>
                      <w:snapToGrid w:val="0"/>
                      <w:color w:val="auto"/>
                      <w:szCs w:val="21"/>
                      <w:highlight w:val="none"/>
                      <w:lang w:val="en-US" w:eastAsia="zh-CN"/>
                    </w:rPr>
                    <w:t>0</w:t>
                  </w:r>
                </w:p>
              </w:tc>
              <w:tc>
                <w:tcPr>
                  <w:tcW w:w="882" w:type="dxa"/>
                  <w:tcBorders>
                    <w:tl2br w:val="nil"/>
                    <w:tr2bl w:val="nil"/>
                  </w:tcBorders>
                  <w:noWrap w:val="0"/>
                  <w:vAlign w:val="center"/>
                </w:tcPr>
                <w:p w14:paraId="608AB2EB">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115</w:t>
                  </w:r>
                </w:p>
              </w:tc>
            </w:tr>
            <w:tr w14:paraId="61F6D9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496" w:type="dxa"/>
                  <w:tcBorders>
                    <w:tl2br w:val="nil"/>
                    <w:tr2bl w:val="nil"/>
                  </w:tcBorders>
                  <w:noWrap w:val="0"/>
                  <w:vAlign w:val="center"/>
                </w:tcPr>
                <w:p w14:paraId="412D0D79">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P6</w:t>
                  </w:r>
                </w:p>
              </w:tc>
              <w:tc>
                <w:tcPr>
                  <w:tcW w:w="657" w:type="dxa"/>
                  <w:tcBorders>
                    <w:tl2br w:val="nil"/>
                    <w:tr2bl w:val="nil"/>
                  </w:tcBorders>
                  <w:noWrap w:val="0"/>
                  <w:vAlign w:val="center"/>
                </w:tcPr>
                <w:p w14:paraId="0F4C1136">
                  <w:pPr>
                    <w:snapToGrid w:val="0"/>
                    <w:jc w:val="center"/>
                    <w:rPr>
                      <w:rFonts w:hint="default" w:ascii="Times New Roman" w:hAnsi="Times New Roman" w:eastAsia="宋体" w:cs="Times New Roman"/>
                      <w:snapToGrid w:val="0"/>
                      <w:color w:val="auto"/>
                      <w:kern w:val="0"/>
                      <w:szCs w:val="21"/>
                      <w:highlight w:val="none"/>
                    </w:rPr>
                  </w:pPr>
                  <w:r>
                    <w:rPr>
                      <w:rFonts w:hint="default" w:ascii="Times New Roman" w:hAnsi="Times New Roman" w:eastAsia="宋体" w:cs="Times New Roman"/>
                      <w:snapToGrid w:val="0"/>
                      <w:color w:val="auto"/>
                      <w:kern w:val="0"/>
                      <w:szCs w:val="21"/>
                      <w:highlight w:val="none"/>
                    </w:rPr>
                    <w:t>点源</w:t>
                  </w:r>
                </w:p>
              </w:tc>
              <w:tc>
                <w:tcPr>
                  <w:tcW w:w="1168" w:type="dxa"/>
                  <w:tcBorders>
                    <w:tl2br w:val="nil"/>
                    <w:tr2bl w:val="nil"/>
                  </w:tcBorders>
                  <w:noWrap w:val="0"/>
                  <w:vAlign w:val="center"/>
                </w:tcPr>
                <w:p w14:paraId="348F4C18">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kern w:val="0"/>
                      <w:szCs w:val="21"/>
                      <w:highlight w:val="none"/>
                    </w:rPr>
                    <w:t>TSP</w:t>
                  </w:r>
                </w:p>
              </w:tc>
              <w:tc>
                <w:tcPr>
                  <w:tcW w:w="1118" w:type="dxa"/>
                  <w:tcBorders>
                    <w:tl2br w:val="nil"/>
                    <w:tr2bl w:val="nil"/>
                  </w:tcBorders>
                  <w:noWrap w:val="0"/>
                  <w:vAlign w:val="center"/>
                </w:tcPr>
                <w:p w14:paraId="1D100B5C">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3.2</w:t>
                  </w:r>
                </w:p>
              </w:tc>
              <w:tc>
                <w:tcPr>
                  <w:tcW w:w="793" w:type="dxa"/>
                  <w:tcBorders>
                    <w:tl2br w:val="nil"/>
                    <w:tr2bl w:val="nil"/>
                  </w:tcBorders>
                  <w:noWrap w:val="0"/>
                  <w:vAlign w:val="center"/>
                </w:tcPr>
                <w:p w14:paraId="31B97EA5">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0.36</w:t>
                  </w:r>
                </w:p>
              </w:tc>
              <w:tc>
                <w:tcPr>
                  <w:tcW w:w="882" w:type="dxa"/>
                  <w:tcBorders>
                    <w:tl2br w:val="nil"/>
                    <w:tr2bl w:val="nil"/>
                  </w:tcBorders>
                  <w:noWrap w:val="0"/>
                  <w:vAlign w:val="center"/>
                </w:tcPr>
                <w:p w14:paraId="6DC09C16">
                  <w:pPr>
                    <w:widowControl/>
                    <w:wordWrap w:val="0"/>
                    <w:overflowPunct w:val="0"/>
                    <w:topLinePunct/>
                    <w:jc w:val="center"/>
                    <w:rPr>
                      <w:rFonts w:hint="default" w:ascii="Times New Roman" w:hAnsi="Times New Roman" w:eastAsia="宋体" w:cs="Times New Roman"/>
                      <w:snapToGrid w:val="0"/>
                      <w:color w:val="auto"/>
                      <w:szCs w:val="21"/>
                      <w:highlight w:val="none"/>
                    </w:rPr>
                  </w:pPr>
                  <w:r>
                    <w:rPr>
                      <w:rFonts w:hint="eastAsia" w:ascii="Times New Roman" w:hAnsi="Times New Roman" w:eastAsia="宋体" w:cs="Times New Roman"/>
                      <w:snapToGrid w:val="0"/>
                      <w:color w:val="auto"/>
                      <w:szCs w:val="21"/>
                      <w:highlight w:val="none"/>
                      <w:lang w:val="en-US" w:eastAsia="zh-CN"/>
                    </w:rPr>
                    <w:t>0</w:t>
                  </w:r>
                </w:p>
              </w:tc>
              <w:tc>
                <w:tcPr>
                  <w:tcW w:w="882" w:type="dxa"/>
                  <w:tcBorders>
                    <w:tl2br w:val="nil"/>
                    <w:tr2bl w:val="nil"/>
                  </w:tcBorders>
                  <w:noWrap w:val="0"/>
                  <w:vAlign w:val="center"/>
                </w:tcPr>
                <w:p w14:paraId="077F8A46">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115</w:t>
                  </w:r>
                </w:p>
              </w:tc>
            </w:tr>
            <w:tr w14:paraId="275AC7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496" w:type="dxa"/>
                  <w:tcBorders>
                    <w:tl2br w:val="nil"/>
                    <w:tr2bl w:val="nil"/>
                  </w:tcBorders>
                  <w:noWrap w:val="0"/>
                  <w:vAlign w:val="center"/>
                </w:tcPr>
                <w:p w14:paraId="39E483A0">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P7</w:t>
                  </w:r>
                </w:p>
              </w:tc>
              <w:tc>
                <w:tcPr>
                  <w:tcW w:w="657" w:type="dxa"/>
                  <w:tcBorders>
                    <w:tl2br w:val="nil"/>
                    <w:tr2bl w:val="nil"/>
                  </w:tcBorders>
                  <w:noWrap w:val="0"/>
                  <w:vAlign w:val="center"/>
                </w:tcPr>
                <w:p w14:paraId="39E68A95">
                  <w:pPr>
                    <w:snapToGrid w:val="0"/>
                    <w:jc w:val="center"/>
                    <w:rPr>
                      <w:rFonts w:hint="default" w:ascii="Times New Roman" w:hAnsi="Times New Roman" w:eastAsia="宋体" w:cs="Times New Roman"/>
                      <w:snapToGrid w:val="0"/>
                      <w:color w:val="auto"/>
                      <w:kern w:val="0"/>
                      <w:szCs w:val="21"/>
                      <w:highlight w:val="none"/>
                    </w:rPr>
                  </w:pPr>
                  <w:r>
                    <w:rPr>
                      <w:rFonts w:hint="default" w:ascii="Times New Roman" w:hAnsi="Times New Roman" w:eastAsia="宋体" w:cs="Times New Roman"/>
                      <w:snapToGrid w:val="0"/>
                      <w:color w:val="auto"/>
                      <w:kern w:val="0"/>
                      <w:szCs w:val="21"/>
                      <w:highlight w:val="none"/>
                    </w:rPr>
                    <w:t>点源</w:t>
                  </w:r>
                </w:p>
              </w:tc>
              <w:tc>
                <w:tcPr>
                  <w:tcW w:w="1168" w:type="dxa"/>
                  <w:tcBorders>
                    <w:tl2br w:val="nil"/>
                    <w:tr2bl w:val="nil"/>
                  </w:tcBorders>
                  <w:noWrap w:val="0"/>
                  <w:vAlign w:val="center"/>
                </w:tcPr>
                <w:p w14:paraId="1E9D5E80">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kern w:val="0"/>
                      <w:szCs w:val="21"/>
                      <w:highlight w:val="none"/>
                    </w:rPr>
                    <w:t>TSP</w:t>
                  </w:r>
                </w:p>
              </w:tc>
              <w:tc>
                <w:tcPr>
                  <w:tcW w:w="1118" w:type="dxa"/>
                  <w:tcBorders>
                    <w:tl2br w:val="nil"/>
                    <w:tr2bl w:val="nil"/>
                  </w:tcBorders>
                  <w:noWrap w:val="0"/>
                  <w:vAlign w:val="center"/>
                </w:tcPr>
                <w:p w14:paraId="6FFD3133">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3.2</w:t>
                  </w:r>
                </w:p>
              </w:tc>
              <w:tc>
                <w:tcPr>
                  <w:tcW w:w="793" w:type="dxa"/>
                  <w:tcBorders>
                    <w:tl2br w:val="nil"/>
                    <w:tr2bl w:val="nil"/>
                  </w:tcBorders>
                  <w:noWrap w:val="0"/>
                  <w:vAlign w:val="center"/>
                </w:tcPr>
                <w:p w14:paraId="6B3145A8">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0.36</w:t>
                  </w:r>
                </w:p>
              </w:tc>
              <w:tc>
                <w:tcPr>
                  <w:tcW w:w="882" w:type="dxa"/>
                  <w:tcBorders>
                    <w:tl2br w:val="nil"/>
                    <w:tr2bl w:val="nil"/>
                  </w:tcBorders>
                  <w:noWrap w:val="0"/>
                  <w:vAlign w:val="center"/>
                </w:tcPr>
                <w:p w14:paraId="1F169A28">
                  <w:pPr>
                    <w:widowControl/>
                    <w:wordWrap w:val="0"/>
                    <w:overflowPunct w:val="0"/>
                    <w:topLinePunct/>
                    <w:jc w:val="center"/>
                    <w:rPr>
                      <w:rFonts w:hint="default" w:ascii="Times New Roman" w:hAnsi="Times New Roman" w:eastAsia="宋体" w:cs="Times New Roman"/>
                      <w:snapToGrid w:val="0"/>
                      <w:color w:val="auto"/>
                      <w:szCs w:val="21"/>
                      <w:highlight w:val="none"/>
                    </w:rPr>
                  </w:pPr>
                  <w:r>
                    <w:rPr>
                      <w:rFonts w:hint="eastAsia" w:ascii="Times New Roman" w:hAnsi="Times New Roman" w:eastAsia="宋体" w:cs="Times New Roman"/>
                      <w:snapToGrid w:val="0"/>
                      <w:color w:val="auto"/>
                      <w:szCs w:val="21"/>
                      <w:highlight w:val="none"/>
                      <w:lang w:val="en-US" w:eastAsia="zh-CN"/>
                    </w:rPr>
                    <w:t>0</w:t>
                  </w:r>
                </w:p>
              </w:tc>
              <w:tc>
                <w:tcPr>
                  <w:tcW w:w="882" w:type="dxa"/>
                  <w:tcBorders>
                    <w:tl2br w:val="nil"/>
                    <w:tr2bl w:val="nil"/>
                  </w:tcBorders>
                  <w:noWrap w:val="0"/>
                  <w:vAlign w:val="center"/>
                </w:tcPr>
                <w:p w14:paraId="274C8AE1">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115</w:t>
                  </w:r>
                </w:p>
              </w:tc>
            </w:tr>
            <w:tr w14:paraId="2DDC9B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496" w:type="dxa"/>
                  <w:tcBorders>
                    <w:tl2br w:val="nil"/>
                    <w:tr2bl w:val="nil"/>
                  </w:tcBorders>
                  <w:noWrap w:val="0"/>
                  <w:vAlign w:val="center"/>
                </w:tcPr>
                <w:p w14:paraId="61C3AAC1">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P8</w:t>
                  </w:r>
                </w:p>
              </w:tc>
              <w:tc>
                <w:tcPr>
                  <w:tcW w:w="657" w:type="dxa"/>
                  <w:tcBorders>
                    <w:tl2br w:val="nil"/>
                    <w:tr2bl w:val="nil"/>
                  </w:tcBorders>
                  <w:noWrap w:val="0"/>
                  <w:vAlign w:val="center"/>
                </w:tcPr>
                <w:p w14:paraId="6C3C8D9A">
                  <w:pPr>
                    <w:snapToGrid w:val="0"/>
                    <w:jc w:val="center"/>
                    <w:rPr>
                      <w:rFonts w:hint="default" w:ascii="Times New Roman" w:hAnsi="Times New Roman" w:eastAsia="宋体" w:cs="Times New Roman"/>
                      <w:snapToGrid w:val="0"/>
                      <w:color w:val="auto"/>
                      <w:kern w:val="0"/>
                      <w:szCs w:val="21"/>
                      <w:highlight w:val="none"/>
                    </w:rPr>
                  </w:pPr>
                  <w:r>
                    <w:rPr>
                      <w:rFonts w:hint="default" w:ascii="Times New Roman" w:hAnsi="Times New Roman" w:eastAsia="宋体" w:cs="Times New Roman"/>
                      <w:snapToGrid w:val="0"/>
                      <w:color w:val="auto"/>
                      <w:kern w:val="0"/>
                      <w:szCs w:val="21"/>
                      <w:highlight w:val="none"/>
                    </w:rPr>
                    <w:t>点源</w:t>
                  </w:r>
                </w:p>
              </w:tc>
              <w:tc>
                <w:tcPr>
                  <w:tcW w:w="1168" w:type="dxa"/>
                  <w:tcBorders>
                    <w:tl2br w:val="nil"/>
                    <w:tr2bl w:val="nil"/>
                  </w:tcBorders>
                  <w:noWrap w:val="0"/>
                  <w:vAlign w:val="center"/>
                </w:tcPr>
                <w:p w14:paraId="61C2286B">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kern w:val="0"/>
                      <w:szCs w:val="21"/>
                      <w:highlight w:val="none"/>
                    </w:rPr>
                    <w:t>TSP</w:t>
                  </w:r>
                </w:p>
              </w:tc>
              <w:tc>
                <w:tcPr>
                  <w:tcW w:w="1118" w:type="dxa"/>
                  <w:tcBorders>
                    <w:tl2br w:val="nil"/>
                    <w:tr2bl w:val="nil"/>
                  </w:tcBorders>
                  <w:noWrap w:val="0"/>
                  <w:vAlign w:val="center"/>
                </w:tcPr>
                <w:p w14:paraId="69D0C4B5">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3.2</w:t>
                  </w:r>
                </w:p>
              </w:tc>
              <w:tc>
                <w:tcPr>
                  <w:tcW w:w="793" w:type="dxa"/>
                  <w:tcBorders>
                    <w:tl2br w:val="nil"/>
                    <w:tr2bl w:val="nil"/>
                  </w:tcBorders>
                  <w:noWrap w:val="0"/>
                  <w:vAlign w:val="center"/>
                </w:tcPr>
                <w:p w14:paraId="35954B4C">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0.36</w:t>
                  </w:r>
                </w:p>
              </w:tc>
              <w:tc>
                <w:tcPr>
                  <w:tcW w:w="882" w:type="dxa"/>
                  <w:tcBorders>
                    <w:tl2br w:val="nil"/>
                    <w:tr2bl w:val="nil"/>
                  </w:tcBorders>
                  <w:noWrap w:val="0"/>
                  <w:vAlign w:val="center"/>
                </w:tcPr>
                <w:p w14:paraId="25573E36">
                  <w:pPr>
                    <w:widowControl/>
                    <w:wordWrap w:val="0"/>
                    <w:overflowPunct w:val="0"/>
                    <w:topLinePunct/>
                    <w:jc w:val="center"/>
                    <w:rPr>
                      <w:rFonts w:hint="default" w:ascii="Times New Roman" w:hAnsi="Times New Roman" w:eastAsia="宋体" w:cs="Times New Roman"/>
                      <w:snapToGrid w:val="0"/>
                      <w:color w:val="auto"/>
                      <w:szCs w:val="21"/>
                      <w:highlight w:val="none"/>
                    </w:rPr>
                  </w:pPr>
                  <w:r>
                    <w:rPr>
                      <w:rFonts w:hint="eastAsia" w:ascii="Times New Roman" w:hAnsi="Times New Roman" w:eastAsia="宋体" w:cs="Times New Roman"/>
                      <w:snapToGrid w:val="0"/>
                      <w:color w:val="auto"/>
                      <w:szCs w:val="21"/>
                      <w:highlight w:val="none"/>
                      <w:lang w:val="en-US" w:eastAsia="zh-CN"/>
                    </w:rPr>
                    <w:t>0</w:t>
                  </w:r>
                </w:p>
              </w:tc>
              <w:tc>
                <w:tcPr>
                  <w:tcW w:w="882" w:type="dxa"/>
                  <w:tcBorders>
                    <w:tl2br w:val="nil"/>
                    <w:tr2bl w:val="nil"/>
                  </w:tcBorders>
                  <w:noWrap w:val="0"/>
                  <w:vAlign w:val="center"/>
                </w:tcPr>
                <w:p w14:paraId="553512B6">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115</w:t>
                  </w:r>
                </w:p>
              </w:tc>
            </w:tr>
            <w:tr w14:paraId="2E9072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496" w:type="dxa"/>
                  <w:tcBorders>
                    <w:tl2br w:val="nil"/>
                    <w:tr2bl w:val="nil"/>
                  </w:tcBorders>
                  <w:noWrap w:val="0"/>
                  <w:vAlign w:val="center"/>
                </w:tcPr>
                <w:p w14:paraId="276B7744">
                  <w:pPr>
                    <w:widowControl/>
                    <w:snapToGrid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P9</w:t>
                  </w:r>
                </w:p>
              </w:tc>
              <w:tc>
                <w:tcPr>
                  <w:tcW w:w="657" w:type="dxa"/>
                  <w:tcBorders>
                    <w:tl2br w:val="nil"/>
                    <w:tr2bl w:val="nil"/>
                  </w:tcBorders>
                  <w:noWrap w:val="0"/>
                  <w:vAlign w:val="center"/>
                </w:tcPr>
                <w:p w14:paraId="12E0B396">
                  <w:pPr>
                    <w:snapToGrid w:val="0"/>
                    <w:jc w:val="center"/>
                    <w:rPr>
                      <w:rFonts w:hint="default" w:ascii="Times New Roman" w:hAnsi="Times New Roman" w:eastAsia="宋体" w:cs="Times New Roman"/>
                      <w:snapToGrid w:val="0"/>
                      <w:color w:val="auto"/>
                      <w:kern w:val="0"/>
                      <w:szCs w:val="21"/>
                      <w:highlight w:val="none"/>
                    </w:rPr>
                  </w:pPr>
                  <w:r>
                    <w:rPr>
                      <w:rFonts w:hint="default" w:ascii="Times New Roman" w:hAnsi="Times New Roman" w:eastAsia="宋体" w:cs="Times New Roman"/>
                      <w:snapToGrid w:val="0"/>
                      <w:color w:val="auto"/>
                      <w:kern w:val="0"/>
                      <w:szCs w:val="21"/>
                      <w:highlight w:val="none"/>
                    </w:rPr>
                    <w:t>点源</w:t>
                  </w:r>
                </w:p>
              </w:tc>
              <w:tc>
                <w:tcPr>
                  <w:tcW w:w="1168" w:type="dxa"/>
                  <w:tcBorders>
                    <w:tl2br w:val="nil"/>
                    <w:tr2bl w:val="nil"/>
                  </w:tcBorders>
                  <w:noWrap w:val="0"/>
                  <w:vAlign w:val="center"/>
                </w:tcPr>
                <w:p w14:paraId="3CF63780">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kern w:val="0"/>
                      <w:szCs w:val="21"/>
                      <w:highlight w:val="none"/>
                    </w:rPr>
                    <w:t>TSP</w:t>
                  </w:r>
                </w:p>
              </w:tc>
              <w:tc>
                <w:tcPr>
                  <w:tcW w:w="1118" w:type="dxa"/>
                  <w:tcBorders>
                    <w:tl2br w:val="nil"/>
                    <w:tr2bl w:val="nil"/>
                  </w:tcBorders>
                  <w:noWrap w:val="0"/>
                  <w:vAlign w:val="center"/>
                </w:tcPr>
                <w:p w14:paraId="1EDF3EFA">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3.2</w:t>
                  </w:r>
                </w:p>
              </w:tc>
              <w:tc>
                <w:tcPr>
                  <w:tcW w:w="793" w:type="dxa"/>
                  <w:tcBorders>
                    <w:tl2br w:val="nil"/>
                    <w:tr2bl w:val="nil"/>
                  </w:tcBorders>
                  <w:noWrap w:val="0"/>
                  <w:vAlign w:val="center"/>
                </w:tcPr>
                <w:p w14:paraId="52CE8C25">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0.36</w:t>
                  </w:r>
                </w:p>
              </w:tc>
              <w:tc>
                <w:tcPr>
                  <w:tcW w:w="882" w:type="dxa"/>
                  <w:tcBorders>
                    <w:tl2br w:val="nil"/>
                    <w:tr2bl w:val="nil"/>
                  </w:tcBorders>
                  <w:noWrap w:val="0"/>
                  <w:vAlign w:val="center"/>
                </w:tcPr>
                <w:p w14:paraId="469D12AA">
                  <w:pPr>
                    <w:widowControl/>
                    <w:wordWrap w:val="0"/>
                    <w:overflowPunct w:val="0"/>
                    <w:topLinePunct/>
                    <w:jc w:val="center"/>
                    <w:rPr>
                      <w:rFonts w:hint="default" w:ascii="Times New Roman" w:hAnsi="Times New Roman" w:eastAsia="宋体" w:cs="Times New Roman"/>
                      <w:snapToGrid w:val="0"/>
                      <w:color w:val="auto"/>
                      <w:szCs w:val="21"/>
                      <w:highlight w:val="none"/>
                    </w:rPr>
                  </w:pPr>
                  <w:r>
                    <w:rPr>
                      <w:rFonts w:hint="eastAsia" w:ascii="Times New Roman" w:hAnsi="Times New Roman" w:eastAsia="宋体" w:cs="Times New Roman"/>
                      <w:snapToGrid w:val="0"/>
                      <w:color w:val="auto"/>
                      <w:szCs w:val="21"/>
                      <w:highlight w:val="none"/>
                      <w:lang w:val="en-US" w:eastAsia="zh-CN"/>
                    </w:rPr>
                    <w:t>0</w:t>
                  </w:r>
                </w:p>
              </w:tc>
              <w:tc>
                <w:tcPr>
                  <w:tcW w:w="882" w:type="dxa"/>
                  <w:tcBorders>
                    <w:tl2br w:val="nil"/>
                    <w:tr2bl w:val="nil"/>
                  </w:tcBorders>
                  <w:noWrap w:val="0"/>
                  <w:vAlign w:val="center"/>
                </w:tcPr>
                <w:p w14:paraId="722395B9">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115</w:t>
                  </w:r>
                </w:p>
              </w:tc>
            </w:tr>
            <w:tr w14:paraId="204D6B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496" w:type="dxa"/>
                  <w:tcBorders>
                    <w:tl2br w:val="nil"/>
                    <w:tr2bl w:val="nil"/>
                  </w:tcBorders>
                  <w:noWrap w:val="0"/>
                  <w:vAlign w:val="center"/>
                </w:tcPr>
                <w:p w14:paraId="49A9832E">
                  <w:pPr>
                    <w:widowControl/>
                    <w:snapToGrid w:val="0"/>
                    <w:jc w:val="center"/>
                    <w:textAlignment w:val="center"/>
                    <w:rPr>
                      <w:rFonts w:hint="eastAsia"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储料棚</w:t>
                  </w:r>
                </w:p>
              </w:tc>
              <w:tc>
                <w:tcPr>
                  <w:tcW w:w="657" w:type="dxa"/>
                  <w:tcBorders>
                    <w:tl2br w:val="nil"/>
                    <w:tr2bl w:val="nil"/>
                  </w:tcBorders>
                  <w:noWrap w:val="0"/>
                  <w:vAlign w:val="center"/>
                </w:tcPr>
                <w:p w14:paraId="7DDB2BC5">
                  <w:pPr>
                    <w:tabs>
                      <w:tab w:val="left" w:pos="2340"/>
                    </w:tabs>
                    <w:snapToGrid w:val="0"/>
                    <w:jc w:val="center"/>
                    <w:rPr>
                      <w:rFonts w:hint="default" w:ascii="Times New Roman" w:hAnsi="Times New Roman" w:eastAsia="宋体" w:cs="Times New Roman"/>
                      <w:snapToGrid w:val="0"/>
                      <w:color w:val="auto"/>
                      <w:kern w:val="0"/>
                      <w:szCs w:val="21"/>
                      <w:highlight w:val="none"/>
                    </w:rPr>
                  </w:pPr>
                  <w:r>
                    <w:rPr>
                      <w:rFonts w:hint="default" w:ascii="Times New Roman" w:hAnsi="Times New Roman" w:eastAsia="宋体" w:cs="Times New Roman"/>
                      <w:snapToGrid w:val="0"/>
                      <w:color w:val="auto"/>
                      <w:kern w:val="0"/>
                      <w:szCs w:val="21"/>
                      <w:highlight w:val="none"/>
                    </w:rPr>
                    <w:t>面源</w:t>
                  </w:r>
                </w:p>
              </w:tc>
              <w:tc>
                <w:tcPr>
                  <w:tcW w:w="1168" w:type="dxa"/>
                  <w:tcBorders>
                    <w:tl2br w:val="nil"/>
                    <w:tr2bl w:val="nil"/>
                  </w:tcBorders>
                  <w:noWrap w:val="0"/>
                  <w:vAlign w:val="center"/>
                </w:tcPr>
                <w:p w14:paraId="7527FBF4">
                  <w:pPr>
                    <w:widowControl/>
                    <w:adjustRightInd w:val="0"/>
                    <w:snapToGrid w:val="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TSP</w:t>
                  </w:r>
                </w:p>
              </w:tc>
              <w:tc>
                <w:tcPr>
                  <w:tcW w:w="1118" w:type="dxa"/>
                  <w:tcBorders>
                    <w:tl2br w:val="nil"/>
                    <w:tr2bl w:val="nil"/>
                  </w:tcBorders>
                  <w:noWrap w:val="0"/>
                  <w:vAlign w:val="center"/>
                </w:tcPr>
                <w:p w14:paraId="1BE3F0D9">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33.6</w:t>
                  </w:r>
                </w:p>
              </w:tc>
              <w:tc>
                <w:tcPr>
                  <w:tcW w:w="793" w:type="dxa"/>
                  <w:tcBorders>
                    <w:tl2br w:val="nil"/>
                    <w:tr2bl w:val="nil"/>
                  </w:tcBorders>
                  <w:noWrap w:val="0"/>
                  <w:vAlign w:val="center"/>
                </w:tcPr>
                <w:p w14:paraId="4D6CED11">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3.73</w:t>
                  </w:r>
                </w:p>
              </w:tc>
              <w:tc>
                <w:tcPr>
                  <w:tcW w:w="882" w:type="dxa"/>
                  <w:tcBorders>
                    <w:tl2br w:val="nil"/>
                    <w:tr2bl w:val="nil"/>
                  </w:tcBorders>
                  <w:noWrap w:val="0"/>
                  <w:vAlign w:val="center"/>
                </w:tcPr>
                <w:p w14:paraId="5A855776">
                  <w:pPr>
                    <w:widowControl/>
                    <w:wordWrap w:val="0"/>
                    <w:overflowPunct w:val="0"/>
                    <w:topLinePunct/>
                    <w:jc w:val="center"/>
                    <w:rPr>
                      <w:rFonts w:hint="default" w:ascii="Times New Roman" w:hAnsi="Times New Roman" w:eastAsia="宋体" w:cs="Times New Roman"/>
                      <w:snapToGrid w:val="0"/>
                      <w:color w:val="auto"/>
                      <w:szCs w:val="21"/>
                      <w:highlight w:val="none"/>
                    </w:rPr>
                  </w:pPr>
                  <w:r>
                    <w:rPr>
                      <w:rFonts w:hint="eastAsia" w:ascii="Times New Roman" w:hAnsi="Times New Roman" w:eastAsia="宋体" w:cs="Times New Roman"/>
                      <w:snapToGrid w:val="0"/>
                      <w:color w:val="auto"/>
                      <w:szCs w:val="21"/>
                      <w:highlight w:val="none"/>
                      <w:lang w:val="en-US" w:eastAsia="zh-CN"/>
                    </w:rPr>
                    <w:t>0</w:t>
                  </w:r>
                </w:p>
              </w:tc>
              <w:tc>
                <w:tcPr>
                  <w:tcW w:w="882" w:type="dxa"/>
                  <w:tcBorders>
                    <w:tl2br w:val="nil"/>
                    <w:tr2bl w:val="nil"/>
                  </w:tcBorders>
                  <w:noWrap w:val="0"/>
                  <w:vAlign w:val="center"/>
                </w:tcPr>
                <w:p w14:paraId="362D7EBB">
                  <w:pPr>
                    <w:widowControl/>
                    <w:wordWrap w:val="0"/>
                    <w:overflowPunct w:val="0"/>
                    <w:topLinePunct/>
                    <w:jc w:val="center"/>
                    <w:rPr>
                      <w:rFonts w:hint="default" w:ascii="Times New Roman" w:hAnsi="Times New Roman" w:eastAsia="宋体" w:cs="Times New Roman"/>
                      <w:snapToGrid w:val="0"/>
                      <w:color w:val="auto"/>
                      <w:szCs w:val="21"/>
                      <w:highlight w:val="none"/>
                      <w:lang w:val="en-US" w:eastAsia="zh-CN"/>
                    </w:rPr>
                  </w:pPr>
                  <w:r>
                    <w:rPr>
                      <w:rFonts w:hint="eastAsia" w:ascii="Times New Roman" w:hAnsi="Times New Roman" w:eastAsia="宋体" w:cs="Times New Roman"/>
                      <w:snapToGrid w:val="0"/>
                      <w:color w:val="auto"/>
                      <w:szCs w:val="21"/>
                      <w:highlight w:val="none"/>
                      <w:lang w:val="en-US" w:eastAsia="zh-CN"/>
                    </w:rPr>
                    <w:t>86</w:t>
                  </w:r>
                </w:p>
              </w:tc>
            </w:tr>
          </w:tbl>
          <w:p w14:paraId="3E1BB7F9">
            <w:pPr>
              <w:adjustRightInd w:val="0"/>
              <w:snapToGrid w:val="0"/>
              <w:spacing w:line="48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本项目P</w:t>
            </w:r>
            <w:r>
              <w:rPr>
                <w:rFonts w:hint="default" w:ascii="Times New Roman" w:hAnsi="Times New Roman" w:eastAsia="宋体" w:cs="Times New Roman"/>
                <w:color w:val="auto"/>
                <w:sz w:val="24"/>
                <w:szCs w:val="24"/>
                <w:highlight w:val="none"/>
                <w:vertAlign w:val="subscript"/>
              </w:rPr>
              <w:t>max</w:t>
            </w:r>
            <w:r>
              <w:rPr>
                <w:rFonts w:hint="default" w:ascii="Times New Roman" w:hAnsi="Times New Roman" w:eastAsia="宋体" w:cs="Times New Roman"/>
                <w:color w:val="auto"/>
                <w:sz w:val="24"/>
                <w:szCs w:val="24"/>
                <w:highlight w:val="none"/>
              </w:rPr>
              <w:t>最大值为</w:t>
            </w:r>
            <w:r>
              <w:rPr>
                <w:rFonts w:hint="default" w:ascii="Times New Roman" w:hAnsi="Times New Roman" w:eastAsia="宋体" w:cs="Times New Roman"/>
                <w:color w:val="auto"/>
                <w:sz w:val="24"/>
                <w:szCs w:val="24"/>
                <w:highlight w:val="none"/>
                <w:lang w:val="en-US" w:eastAsia="zh-CN"/>
              </w:rPr>
              <w:t>破碎车间</w:t>
            </w:r>
            <w:r>
              <w:rPr>
                <w:rFonts w:hint="default" w:ascii="Times New Roman" w:hAnsi="Times New Roman" w:eastAsia="宋体" w:cs="Times New Roman"/>
                <w:color w:val="auto"/>
                <w:sz w:val="24"/>
                <w:szCs w:val="24"/>
                <w:highlight w:val="none"/>
              </w:rPr>
              <w:t>无组织排放（TSP）</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P</w:t>
            </w:r>
            <w:r>
              <w:rPr>
                <w:rFonts w:hint="default" w:ascii="Times New Roman" w:hAnsi="Times New Roman" w:eastAsia="宋体" w:cs="Times New Roman"/>
                <w:color w:val="auto"/>
                <w:sz w:val="24"/>
                <w:szCs w:val="24"/>
                <w:highlight w:val="none"/>
                <w:vertAlign w:val="subscript"/>
              </w:rPr>
              <w:t>max</w:t>
            </w:r>
            <w:r>
              <w:rPr>
                <w:rFonts w:hint="default" w:ascii="Times New Roman" w:hAnsi="Times New Roman" w:eastAsia="宋体" w:cs="Times New Roman"/>
                <w:color w:val="auto"/>
                <w:sz w:val="24"/>
                <w:szCs w:val="24"/>
                <w:highlight w:val="none"/>
              </w:rPr>
              <w:t>值为8.</w:t>
            </w:r>
            <w:r>
              <w:rPr>
                <w:rFonts w:hint="default" w:ascii="Times New Roman" w:hAnsi="Times New Roman" w:eastAsia="宋体" w:cs="Times New Roman"/>
                <w:color w:val="auto"/>
                <w:sz w:val="24"/>
                <w:szCs w:val="24"/>
                <w:highlight w:val="none"/>
                <w:lang w:val="en-US" w:eastAsia="zh-CN"/>
              </w:rPr>
              <w:t>09</w:t>
            </w:r>
            <w:r>
              <w:rPr>
                <w:rFonts w:hint="default" w:ascii="Times New Roman" w:hAnsi="Times New Roman" w:eastAsia="宋体" w:cs="Times New Roman"/>
                <w:color w:val="auto"/>
                <w:sz w:val="24"/>
                <w:szCs w:val="24"/>
                <w:highlight w:val="none"/>
              </w:rPr>
              <w:t>%，根据表2.6-2，确定本项目大气环境影响评价工作等级为二级。</w:t>
            </w:r>
          </w:p>
          <w:p w14:paraId="411ED2C4">
            <w:pPr>
              <w:pStyle w:val="22"/>
              <w:ind w:firstLine="480"/>
              <w:rPr>
                <w:color w:val="auto"/>
              </w:rPr>
            </w:pPr>
            <w:r>
              <w:rPr>
                <w:rFonts w:hint="default" w:ascii="Times New Roman" w:hAnsi="Times New Roman" w:eastAsia="宋体" w:cs="Times New Roman"/>
                <w:color w:val="auto"/>
                <w:kern w:val="0"/>
                <w:sz w:val="24"/>
                <w:highlight w:val="none"/>
              </w:rPr>
              <w:t>根据估算结果，颗粒物（TSP）最大落地浓度为</w:t>
            </w:r>
            <w:r>
              <w:rPr>
                <w:rFonts w:hint="eastAsia" w:ascii="Times New Roman" w:hAnsi="Times New Roman" w:eastAsia="宋体" w:cs="Times New Roman"/>
                <w:color w:val="auto"/>
                <w:kern w:val="0"/>
                <w:sz w:val="24"/>
                <w:highlight w:val="none"/>
                <w:lang w:val="en-US" w:eastAsia="zh-CN"/>
              </w:rPr>
              <w:t>44.6</w:t>
            </w:r>
            <w:r>
              <w:rPr>
                <w:rFonts w:hint="default" w:ascii="Times New Roman" w:hAnsi="Times New Roman" w:eastAsia="宋体" w:cs="Times New Roman"/>
                <w:color w:val="auto"/>
                <w:kern w:val="0"/>
                <w:sz w:val="24"/>
                <w:highlight w:val="none"/>
              </w:rPr>
              <w:t>ug/m</w:t>
            </w:r>
            <w:r>
              <w:rPr>
                <w:rFonts w:hint="default" w:ascii="Times New Roman" w:hAnsi="Times New Roman" w:eastAsia="宋体" w:cs="Times New Roman"/>
                <w:color w:val="auto"/>
                <w:kern w:val="0"/>
                <w:sz w:val="24"/>
                <w:highlight w:val="none"/>
                <w:vertAlign w:val="superscript"/>
              </w:rPr>
              <w:t>3</w:t>
            </w:r>
            <w:r>
              <w:rPr>
                <w:rFonts w:hint="default" w:ascii="Times New Roman" w:hAnsi="Times New Roman" w:eastAsia="宋体" w:cs="Times New Roman"/>
                <w:color w:val="auto"/>
                <w:kern w:val="0"/>
                <w:sz w:val="24"/>
                <w:highlight w:val="none"/>
              </w:rPr>
              <w:t>，最大占标率为</w:t>
            </w:r>
            <w:r>
              <w:rPr>
                <w:rFonts w:hint="eastAsia" w:ascii="Times New Roman" w:hAnsi="Times New Roman" w:eastAsia="宋体" w:cs="Times New Roman"/>
                <w:color w:val="auto"/>
                <w:kern w:val="0"/>
                <w:sz w:val="24"/>
                <w:highlight w:val="none"/>
                <w:lang w:val="en-US" w:eastAsia="zh-CN"/>
              </w:rPr>
              <w:t>4.95</w:t>
            </w:r>
            <w:r>
              <w:rPr>
                <w:rFonts w:hint="default" w:ascii="Times New Roman" w:hAnsi="Times New Roman" w:eastAsia="宋体" w:cs="Times New Roman"/>
                <w:color w:val="auto"/>
                <w:kern w:val="0"/>
                <w:sz w:val="24"/>
                <w:highlight w:val="none"/>
              </w:rPr>
              <w:t>%，最远影响距离为下风向</w:t>
            </w:r>
            <w:r>
              <w:rPr>
                <w:rFonts w:hint="eastAsia" w:ascii="Times New Roman" w:hAnsi="Times New Roman" w:eastAsia="宋体" w:cs="Times New Roman"/>
                <w:color w:val="auto"/>
                <w:kern w:val="0"/>
                <w:sz w:val="24"/>
                <w:highlight w:val="none"/>
                <w:lang w:val="en-US" w:eastAsia="zh-CN"/>
              </w:rPr>
              <w:t>128</w:t>
            </w:r>
            <w:r>
              <w:rPr>
                <w:rFonts w:hint="default" w:ascii="Times New Roman" w:hAnsi="Times New Roman" w:eastAsia="宋体" w:cs="Times New Roman"/>
                <w:color w:val="auto"/>
                <w:kern w:val="0"/>
                <w:sz w:val="24"/>
                <w:highlight w:val="none"/>
              </w:rPr>
              <w:t>m</w:t>
            </w:r>
            <w:r>
              <w:rPr>
                <w:rFonts w:hint="eastAsia" w:ascii="Times New Roman" w:hAnsi="Times New Roman" w:eastAsia="宋体" w:cs="Times New Roman"/>
                <w:color w:val="auto"/>
                <w:kern w:val="0"/>
                <w:sz w:val="24"/>
                <w:highlight w:val="none"/>
                <w:lang w:val="en-US" w:eastAsia="zh-CN"/>
              </w:rPr>
              <w:t>，根据</w:t>
            </w:r>
            <w:r>
              <w:rPr>
                <w:rFonts w:hint="default" w:ascii="Times New Roman" w:hAnsi="Times New Roman" w:eastAsia="宋体" w:cs="Times New Roman"/>
                <w:color w:val="auto"/>
                <w:sz w:val="24"/>
                <w:szCs w:val="22"/>
                <w:highlight w:val="none"/>
              </w:rPr>
              <w:t>《环境空气质量标准》（GB3095-2012）</w:t>
            </w:r>
            <w:r>
              <w:rPr>
                <w:rFonts w:hint="eastAsia" w:ascii="Times New Roman" w:hAnsi="Times New Roman" w:eastAsia="宋体" w:cs="Times New Roman"/>
                <w:color w:val="auto"/>
                <w:sz w:val="24"/>
                <w:szCs w:val="22"/>
                <w:highlight w:val="none"/>
                <w:lang w:val="en-US" w:eastAsia="zh-CN"/>
              </w:rPr>
              <w:t>中二级标准，本项目对大气环境的影响可接受</w:t>
            </w:r>
            <w:r>
              <w:rPr>
                <w:color w:val="auto"/>
              </w:rPr>
              <w:t>根据《排污单位自行监测技术指南 总则》（HJ 819-2017）中的要求，制定项目大气环境监测计划，见表4-</w:t>
            </w:r>
            <w:r>
              <w:rPr>
                <w:rFonts w:hint="eastAsia"/>
                <w:color w:val="auto"/>
                <w:lang w:val="en-US" w:eastAsia="zh-CN"/>
              </w:rPr>
              <w:t>6</w:t>
            </w:r>
            <w:r>
              <w:rPr>
                <w:color w:val="auto"/>
              </w:rPr>
              <w:t>。</w:t>
            </w:r>
          </w:p>
          <w:p w14:paraId="38AEFD1B">
            <w:pPr>
              <w:pStyle w:val="23"/>
              <w:spacing w:before="120" w:beforeLines="50" w:line="360" w:lineRule="auto"/>
              <w:ind w:firstLine="0" w:firstLineChars="0"/>
              <w:jc w:val="center"/>
              <w:rPr>
                <w:rFonts w:cs="Times New Roman"/>
                <w:color w:val="auto"/>
                <w:sz w:val="21"/>
                <w:szCs w:val="21"/>
              </w:rPr>
            </w:pPr>
            <w:r>
              <w:rPr>
                <w:rFonts w:cs="Times New Roman"/>
                <w:color w:val="auto"/>
                <w:sz w:val="21"/>
                <w:szCs w:val="21"/>
              </w:rPr>
              <w:t>表4-</w:t>
            </w:r>
            <w:r>
              <w:rPr>
                <w:rFonts w:hint="eastAsia" w:cs="Times New Roman"/>
                <w:color w:val="auto"/>
                <w:sz w:val="21"/>
                <w:szCs w:val="21"/>
                <w:lang w:val="en-US" w:eastAsia="zh-CN"/>
              </w:rPr>
              <w:t>6</w:t>
            </w:r>
            <w:r>
              <w:rPr>
                <w:rFonts w:cs="Times New Roman"/>
                <w:color w:val="auto"/>
                <w:sz w:val="21"/>
                <w:szCs w:val="21"/>
              </w:rPr>
              <w:t xml:space="preserve">    大气环境监测工作计划</w:t>
            </w:r>
          </w:p>
          <w:tbl>
            <w:tblPr>
              <w:tblStyle w:val="11"/>
              <w:tblW w:w="4994"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23"/>
              <w:gridCol w:w="3711"/>
              <w:gridCol w:w="2573"/>
              <w:gridCol w:w="1029"/>
            </w:tblGrid>
            <w:tr w14:paraId="3CBA23E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93" w:type="pct"/>
                  <w:noWrap w:val="0"/>
                  <w:vAlign w:val="center"/>
                </w:tcPr>
                <w:p w14:paraId="7227DCD0">
                  <w:pPr>
                    <w:jc w:val="center"/>
                    <w:rPr>
                      <w:b/>
                      <w:bCs/>
                      <w:color w:val="auto"/>
                      <w:szCs w:val="21"/>
                    </w:rPr>
                  </w:pPr>
                  <w:r>
                    <w:rPr>
                      <w:b/>
                      <w:bCs/>
                      <w:color w:val="auto"/>
                      <w:szCs w:val="21"/>
                    </w:rPr>
                    <w:t>类别</w:t>
                  </w:r>
                </w:p>
              </w:tc>
              <w:tc>
                <w:tcPr>
                  <w:tcW w:w="2337" w:type="pct"/>
                  <w:noWrap w:val="0"/>
                  <w:vAlign w:val="center"/>
                </w:tcPr>
                <w:p w14:paraId="150035D3">
                  <w:pPr>
                    <w:jc w:val="center"/>
                    <w:rPr>
                      <w:b/>
                      <w:bCs/>
                      <w:color w:val="auto"/>
                      <w:szCs w:val="21"/>
                    </w:rPr>
                  </w:pPr>
                  <w:r>
                    <w:rPr>
                      <w:b/>
                      <w:bCs/>
                      <w:color w:val="auto"/>
                      <w:szCs w:val="21"/>
                    </w:rPr>
                    <w:t>监测位置</w:t>
                  </w:r>
                </w:p>
              </w:tc>
              <w:tc>
                <w:tcPr>
                  <w:tcW w:w="1620" w:type="pct"/>
                  <w:noWrap w:val="0"/>
                  <w:vAlign w:val="center"/>
                </w:tcPr>
                <w:p w14:paraId="7B50D87D">
                  <w:pPr>
                    <w:jc w:val="center"/>
                    <w:rPr>
                      <w:b/>
                      <w:bCs/>
                      <w:color w:val="auto"/>
                      <w:szCs w:val="21"/>
                    </w:rPr>
                  </w:pPr>
                  <w:r>
                    <w:rPr>
                      <w:b/>
                      <w:bCs/>
                      <w:color w:val="auto"/>
                      <w:szCs w:val="21"/>
                    </w:rPr>
                    <w:t>监测因子</w:t>
                  </w:r>
                </w:p>
              </w:tc>
              <w:tc>
                <w:tcPr>
                  <w:tcW w:w="648" w:type="pct"/>
                  <w:noWrap w:val="0"/>
                  <w:vAlign w:val="center"/>
                </w:tcPr>
                <w:p w14:paraId="5D2A2EC4">
                  <w:pPr>
                    <w:jc w:val="center"/>
                    <w:rPr>
                      <w:b/>
                      <w:bCs/>
                      <w:color w:val="auto"/>
                      <w:szCs w:val="21"/>
                    </w:rPr>
                  </w:pPr>
                  <w:r>
                    <w:rPr>
                      <w:b/>
                      <w:bCs/>
                      <w:color w:val="auto"/>
                      <w:szCs w:val="21"/>
                    </w:rPr>
                    <w:t>监测频率</w:t>
                  </w:r>
                </w:p>
              </w:tc>
            </w:tr>
            <w:tr w14:paraId="55C9BC4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93" w:type="pct"/>
                  <w:vMerge w:val="restart"/>
                  <w:noWrap w:val="0"/>
                  <w:vAlign w:val="center"/>
                </w:tcPr>
                <w:p w14:paraId="4463B40B">
                  <w:pPr>
                    <w:jc w:val="center"/>
                    <w:rPr>
                      <w:color w:val="auto"/>
                      <w:szCs w:val="21"/>
                    </w:rPr>
                  </w:pPr>
                  <w:r>
                    <w:rPr>
                      <w:color w:val="auto"/>
                      <w:szCs w:val="21"/>
                    </w:rPr>
                    <w:t>废气</w:t>
                  </w:r>
                </w:p>
              </w:tc>
              <w:tc>
                <w:tcPr>
                  <w:tcW w:w="2337" w:type="pct"/>
                  <w:noWrap w:val="0"/>
                  <w:vAlign w:val="center"/>
                </w:tcPr>
                <w:p w14:paraId="1777DF56">
                  <w:pPr>
                    <w:jc w:val="center"/>
                    <w:rPr>
                      <w:color w:val="auto"/>
                      <w:szCs w:val="21"/>
                    </w:rPr>
                  </w:pPr>
                  <w:r>
                    <w:rPr>
                      <w:color w:val="auto"/>
                      <w:szCs w:val="21"/>
                    </w:rPr>
                    <w:t>机制砂破碎筛分</w:t>
                  </w:r>
                  <w:r>
                    <w:rPr>
                      <w:color w:val="auto"/>
                    </w:rPr>
                    <w:t>P1</w:t>
                  </w:r>
                </w:p>
              </w:tc>
              <w:tc>
                <w:tcPr>
                  <w:tcW w:w="1620" w:type="pct"/>
                  <w:noWrap w:val="0"/>
                  <w:vAlign w:val="center"/>
                </w:tcPr>
                <w:p w14:paraId="5CF04D28">
                  <w:pPr>
                    <w:jc w:val="center"/>
                    <w:rPr>
                      <w:color w:val="auto"/>
                      <w:szCs w:val="21"/>
                    </w:rPr>
                  </w:pPr>
                  <w:r>
                    <w:rPr>
                      <w:color w:val="auto"/>
                      <w:szCs w:val="21"/>
                    </w:rPr>
                    <w:t>颗粒物</w:t>
                  </w:r>
                </w:p>
              </w:tc>
              <w:tc>
                <w:tcPr>
                  <w:tcW w:w="648" w:type="pct"/>
                  <w:noWrap w:val="0"/>
                  <w:vAlign w:val="center"/>
                </w:tcPr>
                <w:p w14:paraId="0882B5A1">
                  <w:pPr>
                    <w:jc w:val="center"/>
                    <w:rPr>
                      <w:color w:val="auto"/>
                      <w:szCs w:val="21"/>
                    </w:rPr>
                  </w:pPr>
                  <w:r>
                    <w:rPr>
                      <w:color w:val="auto"/>
                      <w:szCs w:val="21"/>
                    </w:rPr>
                    <w:t>1次/半年</w:t>
                  </w:r>
                </w:p>
              </w:tc>
            </w:tr>
            <w:tr w14:paraId="6896063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93" w:type="pct"/>
                  <w:vMerge w:val="continue"/>
                  <w:noWrap w:val="0"/>
                  <w:vAlign w:val="center"/>
                </w:tcPr>
                <w:p w14:paraId="0C68451C">
                  <w:pPr>
                    <w:jc w:val="center"/>
                    <w:rPr>
                      <w:color w:val="auto"/>
                    </w:rPr>
                  </w:pPr>
                </w:p>
              </w:tc>
              <w:tc>
                <w:tcPr>
                  <w:tcW w:w="2337" w:type="pct"/>
                  <w:noWrap w:val="0"/>
                  <w:vAlign w:val="center"/>
                </w:tcPr>
                <w:p w14:paraId="3B452F50">
                  <w:pPr>
                    <w:jc w:val="center"/>
                    <w:rPr>
                      <w:color w:val="auto"/>
                    </w:rPr>
                  </w:pPr>
                  <w:r>
                    <w:rPr>
                      <w:color w:val="auto"/>
                      <w:szCs w:val="21"/>
                    </w:rPr>
                    <w:t>水泥装卸</w:t>
                  </w:r>
                  <w:r>
                    <w:rPr>
                      <w:color w:val="auto"/>
                    </w:rPr>
                    <w:t>P2-P5</w:t>
                  </w:r>
                </w:p>
              </w:tc>
              <w:tc>
                <w:tcPr>
                  <w:tcW w:w="1620" w:type="pct"/>
                  <w:noWrap w:val="0"/>
                  <w:vAlign w:val="center"/>
                </w:tcPr>
                <w:p w14:paraId="394F80DA">
                  <w:pPr>
                    <w:jc w:val="center"/>
                    <w:rPr>
                      <w:color w:val="auto"/>
                      <w:szCs w:val="21"/>
                    </w:rPr>
                  </w:pPr>
                  <w:r>
                    <w:rPr>
                      <w:color w:val="auto"/>
                      <w:szCs w:val="21"/>
                    </w:rPr>
                    <w:t>颗粒物</w:t>
                  </w:r>
                </w:p>
              </w:tc>
              <w:tc>
                <w:tcPr>
                  <w:tcW w:w="648" w:type="pct"/>
                  <w:noWrap w:val="0"/>
                  <w:vAlign w:val="center"/>
                </w:tcPr>
                <w:p w14:paraId="7A879D14">
                  <w:pPr>
                    <w:jc w:val="center"/>
                    <w:rPr>
                      <w:color w:val="auto"/>
                      <w:szCs w:val="21"/>
                    </w:rPr>
                  </w:pPr>
                  <w:r>
                    <w:rPr>
                      <w:color w:val="auto"/>
                      <w:szCs w:val="21"/>
                    </w:rPr>
                    <w:t>1次/半年</w:t>
                  </w:r>
                </w:p>
              </w:tc>
            </w:tr>
            <w:tr w14:paraId="59B7335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7" w:hRule="atLeast"/>
                <w:jc w:val="center"/>
              </w:trPr>
              <w:tc>
                <w:tcPr>
                  <w:tcW w:w="393" w:type="pct"/>
                  <w:vMerge w:val="continue"/>
                  <w:noWrap w:val="0"/>
                  <w:vAlign w:val="center"/>
                </w:tcPr>
                <w:p w14:paraId="0A7DA0A1">
                  <w:pPr>
                    <w:jc w:val="center"/>
                    <w:rPr>
                      <w:color w:val="auto"/>
                    </w:rPr>
                  </w:pPr>
                </w:p>
              </w:tc>
              <w:tc>
                <w:tcPr>
                  <w:tcW w:w="2337" w:type="pct"/>
                  <w:noWrap w:val="0"/>
                  <w:vAlign w:val="center"/>
                </w:tcPr>
                <w:p w14:paraId="6D26C823">
                  <w:pPr>
                    <w:pStyle w:val="5"/>
                    <w:ind w:left="0" w:leftChars="0" w:firstLine="0" w:firstLineChars="0"/>
                    <w:jc w:val="center"/>
                    <w:rPr>
                      <w:bCs/>
                      <w:color w:val="auto"/>
                      <w:sz w:val="21"/>
                      <w:szCs w:val="21"/>
                      <w:lang w:val="en-US" w:eastAsia="zh-Hans"/>
                    </w:rPr>
                  </w:pPr>
                  <w:r>
                    <w:rPr>
                      <w:color w:val="auto"/>
                      <w:sz w:val="21"/>
                      <w:szCs w:val="21"/>
                      <w:lang w:val="en-US" w:eastAsia="zh-CN"/>
                    </w:rPr>
                    <w:t>粉煤灰装卸P6-P9</w:t>
                  </w:r>
                </w:p>
              </w:tc>
              <w:tc>
                <w:tcPr>
                  <w:tcW w:w="1620" w:type="pct"/>
                  <w:noWrap w:val="0"/>
                  <w:vAlign w:val="center"/>
                </w:tcPr>
                <w:p w14:paraId="1B81BB85">
                  <w:pPr>
                    <w:jc w:val="center"/>
                    <w:rPr>
                      <w:color w:val="auto"/>
                      <w:szCs w:val="21"/>
                    </w:rPr>
                  </w:pPr>
                  <w:r>
                    <w:rPr>
                      <w:color w:val="auto"/>
                      <w:szCs w:val="21"/>
                    </w:rPr>
                    <w:t>颗粒物</w:t>
                  </w:r>
                </w:p>
              </w:tc>
              <w:tc>
                <w:tcPr>
                  <w:tcW w:w="648" w:type="pct"/>
                  <w:noWrap w:val="0"/>
                  <w:vAlign w:val="center"/>
                </w:tcPr>
                <w:p w14:paraId="7DD421E6">
                  <w:pPr>
                    <w:jc w:val="center"/>
                    <w:rPr>
                      <w:color w:val="auto"/>
                      <w:szCs w:val="21"/>
                    </w:rPr>
                  </w:pPr>
                  <w:r>
                    <w:rPr>
                      <w:color w:val="auto"/>
                      <w:szCs w:val="21"/>
                    </w:rPr>
                    <w:t>1次/半年</w:t>
                  </w:r>
                </w:p>
              </w:tc>
            </w:tr>
            <w:tr w14:paraId="3C556C5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5" w:hRule="atLeast"/>
                <w:jc w:val="center"/>
              </w:trPr>
              <w:tc>
                <w:tcPr>
                  <w:tcW w:w="393" w:type="pct"/>
                  <w:vMerge w:val="continue"/>
                  <w:noWrap w:val="0"/>
                  <w:vAlign w:val="center"/>
                </w:tcPr>
                <w:p w14:paraId="558DD934">
                  <w:pPr>
                    <w:jc w:val="center"/>
                    <w:rPr>
                      <w:color w:val="auto"/>
                    </w:rPr>
                  </w:pPr>
                </w:p>
              </w:tc>
              <w:tc>
                <w:tcPr>
                  <w:tcW w:w="2337" w:type="pct"/>
                  <w:noWrap w:val="0"/>
                  <w:vAlign w:val="center"/>
                </w:tcPr>
                <w:p w14:paraId="7171F3AB">
                  <w:pPr>
                    <w:jc w:val="center"/>
                    <w:rPr>
                      <w:color w:val="auto"/>
                    </w:rPr>
                  </w:pPr>
                  <w:r>
                    <w:rPr>
                      <w:color w:val="auto"/>
                      <w:szCs w:val="21"/>
                    </w:rPr>
                    <w:t>厂界</w:t>
                  </w:r>
                </w:p>
              </w:tc>
              <w:tc>
                <w:tcPr>
                  <w:tcW w:w="1620" w:type="pct"/>
                  <w:noWrap w:val="0"/>
                  <w:vAlign w:val="center"/>
                </w:tcPr>
                <w:p w14:paraId="6FC50EAD">
                  <w:pPr>
                    <w:jc w:val="center"/>
                    <w:rPr>
                      <w:color w:val="auto"/>
                      <w:szCs w:val="21"/>
                    </w:rPr>
                  </w:pPr>
                  <w:r>
                    <w:rPr>
                      <w:color w:val="auto"/>
                      <w:szCs w:val="21"/>
                    </w:rPr>
                    <w:t>颗粒物</w:t>
                  </w:r>
                </w:p>
              </w:tc>
              <w:tc>
                <w:tcPr>
                  <w:tcW w:w="648" w:type="pct"/>
                  <w:noWrap w:val="0"/>
                  <w:vAlign w:val="center"/>
                </w:tcPr>
                <w:p w14:paraId="47248E9A">
                  <w:pPr>
                    <w:widowControl/>
                    <w:jc w:val="center"/>
                    <w:rPr>
                      <w:color w:val="auto"/>
                      <w:szCs w:val="21"/>
                    </w:rPr>
                  </w:pPr>
                  <w:r>
                    <w:rPr>
                      <w:color w:val="auto"/>
                      <w:szCs w:val="21"/>
                    </w:rPr>
                    <w:t>1次/年</w:t>
                  </w:r>
                </w:p>
              </w:tc>
            </w:tr>
          </w:tbl>
          <w:p w14:paraId="28662D4B">
            <w:pPr>
              <w:spacing w:line="520" w:lineRule="exact"/>
              <w:rPr>
                <w:b/>
                <w:bCs/>
                <w:color w:val="auto"/>
                <w:kern w:val="24"/>
                <w:sz w:val="24"/>
              </w:rPr>
            </w:pPr>
            <w:r>
              <w:rPr>
                <w:b/>
                <w:bCs/>
                <w:color w:val="auto"/>
                <w:kern w:val="24"/>
                <w:sz w:val="24"/>
              </w:rPr>
              <w:t>2.废水</w:t>
            </w:r>
          </w:p>
          <w:p w14:paraId="0B98CB54">
            <w:pPr>
              <w:spacing w:line="520" w:lineRule="exact"/>
              <w:ind w:firstLine="480" w:firstLineChars="200"/>
              <w:rPr>
                <w:kern w:val="24"/>
                <w:sz w:val="24"/>
              </w:rPr>
            </w:pPr>
            <w:r>
              <w:rPr>
                <w:color w:val="auto"/>
                <w:kern w:val="24"/>
                <w:sz w:val="24"/>
              </w:rPr>
              <w:t>本项目生产废水经沉淀池收集沉淀后回用，不外排，生活污水产生量为</w:t>
            </w:r>
            <w:r>
              <w:rPr>
                <w:rFonts w:hint="eastAsia"/>
                <w:color w:val="auto"/>
                <w:kern w:val="24"/>
                <w:sz w:val="24"/>
                <w:lang w:val="en-US" w:eastAsia="zh-CN"/>
              </w:rPr>
              <w:t>3.84</w:t>
            </w:r>
            <w:r>
              <w:rPr>
                <w:color w:val="auto"/>
                <w:kern w:val="24"/>
                <w:sz w:val="24"/>
              </w:rPr>
              <w:t>m</w:t>
            </w:r>
            <w:r>
              <w:rPr>
                <w:color w:val="auto"/>
                <w:kern w:val="24"/>
                <w:sz w:val="24"/>
                <w:vertAlign w:val="superscript"/>
              </w:rPr>
              <w:t>3</w:t>
            </w:r>
            <w:r>
              <w:rPr>
                <w:color w:val="auto"/>
                <w:kern w:val="24"/>
                <w:sz w:val="24"/>
              </w:rPr>
              <w:t>/d（</w:t>
            </w:r>
            <w:r>
              <w:rPr>
                <w:rFonts w:hint="eastAsia"/>
                <w:color w:val="auto"/>
                <w:kern w:val="24"/>
                <w:sz w:val="24"/>
                <w:lang w:val="en-US" w:eastAsia="zh-CN"/>
              </w:rPr>
              <w:t>806.4</w:t>
            </w:r>
            <w:r>
              <w:rPr>
                <w:color w:val="auto"/>
                <w:kern w:val="24"/>
                <w:sz w:val="24"/>
              </w:rPr>
              <w:t>m</w:t>
            </w:r>
            <w:r>
              <w:rPr>
                <w:color w:val="auto"/>
                <w:kern w:val="24"/>
                <w:sz w:val="24"/>
                <w:vertAlign w:val="superscript"/>
              </w:rPr>
              <w:t>3</w:t>
            </w:r>
            <w:r>
              <w:rPr>
                <w:color w:val="auto"/>
                <w:kern w:val="24"/>
                <w:sz w:val="24"/>
              </w:rPr>
              <w:t>/a），经园区管网排至园区污水处理厂</w:t>
            </w:r>
            <w:r>
              <w:rPr>
                <w:kern w:val="24"/>
                <w:sz w:val="24"/>
              </w:rPr>
              <w:t>。</w:t>
            </w:r>
          </w:p>
          <w:p w14:paraId="5D6F0B17">
            <w:pPr>
              <w:spacing w:line="520" w:lineRule="exact"/>
              <w:rPr>
                <w:b/>
                <w:bCs/>
                <w:kern w:val="24"/>
                <w:sz w:val="24"/>
              </w:rPr>
            </w:pPr>
            <w:r>
              <w:rPr>
                <w:b/>
                <w:bCs/>
                <w:kern w:val="24"/>
                <w:sz w:val="24"/>
              </w:rPr>
              <w:t>3.噪声</w:t>
            </w:r>
          </w:p>
          <w:p w14:paraId="107C47C0">
            <w:pPr>
              <w:spacing w:line="520" w:lineRule="exact"/>
              <w:ind w:firstLine="480" w:firstLineChars="200"/>
              <w:rPr>
                <w:kern w:val="24"/>
                <w:sz w:val="24"/>
              </w:rPr>
            </w:pPr>
            <w:r>
              <w:rPr>
                <w:kern w:val="24"/>
                <w:sz w:val="24"/>
              </w:rPr>
              <w:t>本项目运营期噪声主要来源于装载机、搅拌机、运输车辆、破碎机空压机、潜水泵</w:t>
            </w:r>
            <w:r>
              <w:rPr>
                <w:rFonts w:hint="eastAsia"/>
                <w:kern w:val="24"/>
                <w:sz w:val="24"/>
                <w:lang w:eastAsia="zh-CN"/>
              </w:rPr>
              <w:t>等装置</w:t>
            </w:r>
            <w:r>
              <w:rPr>
                <w:kern w:val="24"/>
                <w:sz w:val="24"/>
              </w:rPr>
              <w:t>生产过程中产生的噪声，所用设备噪声级如下。</w:t>
            </w:r>
          </w:p>
          <w:p w14:paraId="5DD6B662">
            <w:pPr>
              <w:pStyle w:val="23"/>
              <w:spacing w:before="120" w:beforeLines="50" w:line="360" w:lineRule="auto"/>
              <w:ind w:firstLine="0" w:firstLineChars="0"/>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表4-</w:t>
            </w:r>
            <w:r>
              <w:rPr>
                <w:rFonts w:hint="eastAsia" w:ascii="Times New Roman" w:hAnsi="Times New Roman" w:eastAsia="宋体" w:cs="Times New Roman"/>
                <w:b/>
                <w:color w:val="auto"/>
                <w:sz w:val="21"/>
                <w:szCs w:val="21"/>
                <w:lang w:val="en-US" w:eastAsia="zh-CN"/>
              </w:rPr>
              <w:t>7</w:t>
            </w:r>
            <w:r>
              <w:rPr>
                <w:rFonts w:ascii="Times New Roman" w:hAnsi="Times New Roman" w:eastAsia="宋体" w:cs="Times New Roman"/>
                <w:b/>
                <w:color w:val="auto"/>
                <w:sz w:val="21"/>
                <w:szCs w:val="21"/>
              </w:rPr>
              <w:t xml:space="preserve">   主要生产设备、机械噪声源强结果表</w:t>
            </w:r>
          </w:p>
          <w:tbl>
            <w:tblPr>
              <w:tblStyle w:val="11"/>
              <w:tblW w:w="7937"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84"/>
              <w:gridCol w:w="1841"/>
              <w:gridCol w:w="2127"/>
              <w:gridCol w:w="1985"/>
            </w:tblGrid>
            <w:tr w14:paraId="201957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984" w:type="dxa"/>
                  <w:noWrap w:val="0"/>
                  <w:vAlign w:val="center"/>
                </w:tcPr>
                <w:p w14:paraId="5B9317A0">
                  <w:pPr>
                    <w:jc w:val="center"/>
                    <w:rPr>
                      <w:szCs w:val="21"/>
                    </w:rPr>
                  </w:pPr>
                  <w:r>
                    <w:rPr>
                      <w:szCs w:val="21"/>
                    </w:rPr>
                    <w:t>设备名称</w:t>
                  </w:r>
                </w:p>
              </w:tc>
              <w:tc>
                <w:tcPr>
                  <w:tcW w:w="1841" w:type="dxa"/>
                  <w:noWrap w:val="0"/>
                  <w:vAlign w:val="center"/>
                </w:tcPr>
                <w:p w14:paraId="1D3D4258">
                  <w:pPr>
                    <w:jc w:val="center"/>
                    <w:rPr>
                      <w:szCs w:val="21"/>
                    </w:rPr>
                  </w:pPr>
                  <w:r>
                    <w:rPr>
                      <w:szCs w:val="21"/>
                    </w:rPr>
                    <w:t>噪声源强</w:t>
                  </w:r>
                </w:p>
              </w:tc>
              <w:tc>
                <w:tcPr>
                  <w:tcW w:w="2127" w:type="dxa"/>
                  <w:noWrap w:val="0"/>
                  <w:vAlign w:val="center"/>
                </w:tcPr>
                <w:p w14:paraId="5BF61B10">
                  <w:pPr>
                    <w:jc w:val="center"/>
                    <w:rPr>
                      <w:szCs w:val="21"/>
                    </w:rPr>
                  </w:pPr>
                  <w:r>
                    <w:rPr>
                      <w:szCs w:val="21"/>
                    </w:rPr>
                    <w:t>降噪措施</w:t>
                  </w:r>
                </w:p>
              </w:tc>
              <w:tc>
                <w:tcPr>
                  <w:tcW w:w="1985" w:type="dxa"/>
                  <w:noWrap w:val="0"/>
                  <w:vAlign w:val="center"/>
                </w:tcPr>
                <w:p w14:paraId="764AC350">
                  <w:pPr>
                    <w:jc w:val="center"/>
                    <w:rPr>
                      <w:szCs w:val="21"/>
                    </w:rPr>
                  </w:pPr>
                  <w:r>
                    <w:rPr>
                      <w:szCs w:val="21"/>
                    </w:rPr>
                    <w:t>噪声排放值</w:t>
                  </w:r>
                </w:p>
              </w:tc>
            </w:tr>
            <w:tr w14:paraId="79D4E1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1984" w:type="dxa"/>
                  <w:noWrap w:val="0"/>
                  <w:vAlign w:val="center"/>
                </w:tcPr>
                <w:p w14:paraId="74CA08A9">
                  <w:pPr>
                    <w:jc w:val="center"/>
                    <w:rPr>
                      <w:szCs w:val="21"/>
                    </w:rPr>
                  </w:pPr>
                  <w:r>
                    <w:rPr>
                      <w:szCs w:val="21"/>
                    </w:rPr>
                    <w:t>搅拌机</w:t>
                  </w:r>
                </w:p>
              </w:tc>
              <w:tc>
                <w:tcPr>
                  <w:tcW w:w="1841" w:type="dxa"/>
                  <w:noWrap w:val="0"/>
                  <w:vAlign w:val="center"/>
                </w:tcPr>
                <w:p w14:paraId="0FDBDB8A">
                  <w:pPr>
                    <w:jc w:val="center"/>
                    <w:rPr>
                      <w:szCs w:val="21"/>
                    </w:rPr>
                  </w:pPr>
                  <w:r>
                    <w:rPr>
                      <w:szCs w:val="21"/>
                    </w:rPr>
                    <w:t>75-90</w:t>
                  </w:r>
                </w:p>
              </w:tc>
              <w:tc>
                <w:tcPr>
                  <w:tcW w:w="2127" w:type="dxa"/>
                  <w:vMerge w:val="restart"/>
                  <w:noWrap w:val="0"/>
                  <w:vAlign w:val="center"/>
                </w:tcPr>
                <w:p w14:paraId="08F19B74">
                  <w:pPr>
                    <w:jc w:val="center"/>
                    <w:rPr>
                      <w:szCs w:val="21"/>
                    </w:rPr>
                  </w:pPr>
                  <w:r>
                    <w:rPr>
                      <w:rFonts w:hint="eastAsia"/>
                      <w:szCs w:val="21"/>
                      <w:lang w:eastAsia="zh-CN"/>
                    </w:rPr>
                    <w:t>厂</w:t>
                  </w:r>
                  <w:r>
                    <w:rPr>
                      <w:szCs w:val="21"/>
                    </w:rPr>
                    <w:t>房全封闭、选用低噪设备、基础减振</w:t>
                  </w:r>
                </w:p>
              </w:tc>
              <w:tc>
                <w:tcPr>
                  <w:tcW w:w="1985" w:type="dxa"/>
                  <w:noWrap w:val="0"/>
                  <w:vAlign w:val="center"/>
                </w:tcPr>
                <w:p w14:paraId="090F2C58">
                  <w:pPr>
                    <w:jc w:val="center"/>
                    <w:rPr>
                      <w:szCs w:val="21"/>
                    </w:rPr>
                  </w:pPr>
                  <w:r>
                    <w:rPr>
                      <w:szCs w:val="21"/>
                    </w:rPr>
                    <w:t>55-70</w:t>
                  </w:r>
                </w:p>
              </w:tc>
            </w:tr>
            <w:tr w14:paraId="35CA1E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984" w:type="dxa"/>
                  <w:noWrap w:val="0"/>
                  <w:vAlign w:val="center"/>
                </w:tcPr>
                <w:p w14:paraId="208957DA">
                  <w:pPr>
                    <w:jc w:val="center"/>
                    <w:rPr>
                      <w:szCs w:val="21"/>
                    </w:rPr>
                  </w:pPr>
                  <w:r>
                    <w:rPr>
                      <w:szCs w:val="21"/>
                    </w:rPr>
                    <w:t>胶带输送机</w:t>
                  </w:r>
                </w:p>
              </w:tc>
              <w:tc>
                <w:tcPr>
                  <w:tcW w:w="1841" w:type="dxa"/>
                  <w:noWrap w:val="0"/>
                  <w:vAlign w:val="center"/>
                </w:tcPr>
                <w:p w14:paraId="61997494">
                  <w:pPr>
                    <w:jc w:val="center"/>
                    <w:rPr>
                      <w:szCs w:val="21"/>
                    </w:rPr>
                  </w:pPr>
                  <w:r>
                    <w:rPr>
                      <w:szCs w:val="21"/>
                    </w:rPr>
                    <w:t>65-70</w:t>
                  </w:r>
                </w:p>
              </w:tc>
              <w:tc>
                <w:tcPr>
                  <w:tcW w:w="2127" w:type="dxa"/>
                  <w:vMerge w:val="continue"/>
                  <w:noWrap w:val="0"/>
                  <w:vAlign w:val="center"/>
                </w:tcPr>
                <w:p w14:paraId="3CB06423">
                  <w:pPr>
                    <w:jc w:val="center"/>
                    <w:rPr>
                      <w:szCs w:val="21"/>
                    </w:rPr>
                  </w:pPr>
                </w:p>
              </w:tc>
              <w:tc>
                <w:tcPr>
                  <w:tcW w:w="1985" w:type="dxa"/>
                  <w:noWrap w:val="0"/>
                  <w:vAlign w:val="center"/>
                </w:tcPr>
                <w:p w14:paraId="60F8AB70">
                  <w:pPr>
                    <w:jc w:val="center"/>
                    <w:rPr>
                      <w:szCs w:val="21"/>
                    </w:rPr>
                  </w:pPr>
                  <w:r>
                    <w:rPr>
                      <w:szCs w:val="21"/>
                    </w:rPr>
                    <w:t>45-50</w:t>
                  </w:r>
                </w:p>
              </w:tc>
            </w:tr>
            <w:tr w14:paraId="08F9F8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984" w:type="dxa"/>
                  <w:noWrap w:val="0"/>
                  <w:vAlign w:val="center"/>
                </w:tcPr>
                <w:p w14:paraId="5B0868A0">
                  <w:pPr>
                    <w:jc w:val="center"/>
                    <w:rPr>
                      <w:szCs w:val="21"/>
                    </w:rPr>
                  </w:pPr>
                  <w:r>
                    <w:rPr>
                      <w:szCs w:val="21"/>
                    </w:rPr>
                    <w:t>机制砂破碎机</w:t>
                  </w:r>
                </w:p>
              </w:tc>
              <w:tc>
                <w:tcPr>
                  <w:tcW w:w="1841" w:type="dxa"/>
                  <w:noWrap w:val="0"/>
                  <w:vAlign w:val="center"/>
                </w:tcPr>
                <w:p w14:paraId="4C4C25D8">
                  <w:pPr>
                    <w:jc w:val="center"/>
                    <w:rPr>
                      <w:szCs w:val="21"/>
                    </w:rPr>
                  </w:pPr>
                  <w:r>
                    <w:rPr>
                      <w:szCs w:val="21"/>
                    </w:rPr>
                    <w:t>75-90</w:t>
                  </w:r>
                </w:p>
              </w:tc>
              <w:tc>
                <w:tcPr>
                  <w:tcW w:w="2127" w:type="dxa"/>
                  <w:vMerge w:val="continue"/>
                  <w:noWrap w:val="0"/>
                  <w:vAlign w:val="center"/>
                </w:tcPr>
                <w:p w14:paraId="467824DC">
                  <w:pPr>
                    <w:jc w:val="center"/>
                    <w:rPr>
                      <w:szCs w:val="21"/>
                    </w:rPr>
                  </w:pPr>
                </w:p>
              </w:tc>
              <w:tc>
                <w:tcPr>
                  <w:tcW w:w="1985" w:type="dxa"/>
                  <w:noWrap w:val="0"/>
                  <w:vAlign w:val="center"/>
                </w:tcPr>
                <w:p w14:paraId="1346DCA8">
                  <w:pPr>
                    <w:jc w:val="center"/>
                    <w:rPr>
                      <w:szCs w:val="21"/>
                    </w:rPr>
                  </w:pPr>
                  <w:r>
                    <w:rPr>
                      <w:szCs w:val="21"/>
                    </w:rPr>
                    <w:t>55-70</w:t>
                  </w:r>
                </w:p>
              </w:tc>
            </w:tr>
            <w:tr w14:paraId="64BE69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984" w:type="dxa"/>
                  <w:noWrap w:val="0"/>
                  <w:vAlign w:val="center"/>
                </w:tcPr>
                <w:p w14:paraId="1918B43D">
                  <w:pPr>
                    <w:jc w:val="center"/>
                    <w:rPr>
                      <w:szCs w:val="21"/>
                    </w:rPr>
                  </w:pPr>
                  <w:r>
                    <w:rPr>
                      <w:szCs w:val="21"/>
                    </w:rPr>
                    <w:t>机制砂振动筛</w:t>
                  </w:r>
                </w:p>
              </w:tc>
              <w:tc>
                <w:tcPr>
                  <w:tcW w:w="1841" w:type="dxa"/>
                  <w:noWrap w:val="0"/>
                  <w:vAlign w:val="center"/>
                </w:tcPr>
                <w:p w14:paraId="74D2A0B0">
                  <w:pPr>
                    <w:jc w:val="center"/>
                    <w:rPr>
                      <w:szCs w:val="21"/>
                    </w:rPr>
                  </w:pPr>
                  <w:r>
                    <w:rPr>
                      <w:szCs w:val="21"/>
                    </w:rPr>
                    <w:t>65-70</w:t>
                  </w:r>
                </w:p>
              </w:tc>
              <w:tc>
                <w:tcPr>
                  <w:tcW w:w="2127" w:type="dxa"/>
                  <w:vMerge w:val="continue"/>
                  <w:noWrap w:val="0"/>
                  <w:vAlign w:val="center"/>
                </w:tcPr>
                <w:p w14:paraId="298DD0EA">
                  <w:pPr>
                    <w:jc w:val="center"/>
                    <w:rPr>
                      <w:szCs w:val="21"/>
                    </w:rPr>
                  </w:pPr>
                </w:p>
              </w:tc>
              <w:tc>
                <w:tcPr>
                  <w:tcW w:w="1985" w:type="dxa"/>
                  <w:noWrap w:val="0"/>
                  <w:vAlign w:val="center"/>
                </w:tcPr>
                <w:p w14:paraId="775C08D2">
                  <w:pPr>
                    <w:jc w:val="center"/>
                    <w:rPr>
                      <w:szCs w:val="21"/>
                    </w:rPr>
                  </w:pPr>
                  <w:r>
                    <w:rPr>
                      <w:szCs w:val="21"/>
                    </w:rPr>
                    <w:t>45-50</w:t>
                  </w:r>
                </w:p>
              </w:tc>
            </w:tr>
            <w:tr w14:paraId="71C8E0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984" w:type="dxa"/>
                  <w:noWrap w:val="0"/>
                  <w:vAlign w:val="center"/>
                </w:tcPr>
                <w:p w14:paraId="425F5460">
                  <w:pPr>
                    <w:jc w:val="center"/>
                    <w:rPr>
                      <w:szCs w:val="21"/>
                    </w:rPr>
                  </w:pPr>
                  <w:r>
                    <w:rPr>
                      <w:szCs w:val="21"/>
                    </w:rPr>
                    <w:t>潜水泵</w:t>
                  </w:r>
                </w:p>
              </w:tc>
              <w:tc>
                <w:tcPr>
                  <w:tcW w:w="1841" w:type="dxa"/>
                  <w:noWrap w:val="0"/>
                  <w:vAlign w:val="center"/>
                </w:tcPr>
                <w:p w14:paraId="58B81D67">
                  <w:pPr>
                    <w:jc w:val="center"/>
                    <w:rPr>
                      <w:szCs w:val="21"/>
                    </w:rPr>
                  </w:pPr>
                  <w:r>
                    <w:rPr>
                      <w:szCs w:val="21"/>
                    </w:rPr>
                    <w:t>65-70</w:t>
                  </w:r>
                </w:p>
              </w:tc>
              <w:tc>
                <w:tcPr>
                  <w:tcW w:w="2127" w:type="dxa"/>
                  <w:vMerge w:val="continue"/>
                  <w:noWrap w:val="0"/>
                  <w:vAlign w:val="center"/>
                </w:tcPr>
                <w:p w14:paraId="2B7EF716">
                  <w:pPr>
                    <w:jc w:val="center"/>
                    <w:rPr>
                      <w:szCs w:val="21"/>
                    </w:rPr>
                  </w:pPr>
                </w:p>
              </w:tc>
              <w:tc>
                <w:tcPr>
                  <w:tcW w:w="1985" w:type="dxa"/>
                  <w:noWrap w:val="0"/>
                  <w:vAlign w:val="center"/>
                </w:tcPr>
                <w:p w14:paraId="7EB4AB3C">
                  <w:pPr>
                    <w:jc w:val="center"/>
                    <w:rPr>
                      <w:szCs w:val="21"/>
                    </w:rPr>
                  </w:pPr>
                  <w:r>
                    <w:rPr>
                      <w:szCs w:val="21"/>
                    </w:rPr>
                    <w:t>45-50</w:t>
                  </w:r>
                </w:p>
              </w:tc>
            </w:tr>
            <w:tr w14:paraId="18BBEE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984" w:type="dxa"/>
                  <w:noWrap w:val="0"/>
                  <w:vAlign w:val="center"/>
                </w:tcPr>
                <w:p w14:paraId="43EE8577">
                  <w:pPr>
                    <w:jc w:val="center"/>
                    <w:rPr>
                      <w:szCs w:val="21"/>
                    </w:rPr>
                  </w:pPr>
                  <w:r>
                    <w:rPr>
                      <w:szCs w:val="21"/>
                    </w:rPr>
                    <w:t>螺旋式空压机</w:t>
                  </w:r>
                </w:p>
              </w:tc>
              <w:tc>
                <w:tcPr>
                  <w:tcW w:w="1841" w:type="dxa"/>
                  <w:noWrap w:val="0"/>
                  <w:vAlign w:val="center"/>
                </w:tcPr>
                <w:p w14:paraId="3383B318">
                  <w:pPr>
                    <w:jc w:val="center"/>
                    <w:rPr>
                      <w:szCs w:val="21"/>
                    </w:rPr>
                  </w:pPr>
                  <w:r>
                    <w:rPr>
                      <w:szCs w:val="21"/>
                    </w:rPr>
                    <w:t>75-90</w:t>
                  </w:r>
                </w:p>
              </w:tc>
              <w:tc>
                <w:tcPr>
                  <w:tcW w:w="2127" w:type="dxa"/>
                  <w:vMerge w:val="continue"/>
                  <w:noWrap w:val="0"/>
                  <w:vAlign w:val="center"/>
                </w:tcPr>
                <w:p w14:paraId="39D300EF">
                  <w:pPr>
                    <w:jc w:val="center"/>
                    <w:rPr>
                      <w:szCs w:val="21"/>
                    </w:rPr>
                  </w:pPr>
                </w:p>
              </w:tc>
              <w:tc>
                <w:tcPr>
                  <w:tcW w:w="1985" w:type="dxa"/>
                  <w:noWrap w:val="0"/>
                  <w:vAlign w:val="center"/>
                </w:tcPr>
                <w:p w14:paraId="1C193253">
                  <w:pPr>
                    <w:jc w:val="center"/>
                    <w:rPr>
                      <w:szCs w:val="21"/>
                    </w:rPr>
                  </w:pPr>
                  <w:r>
                    <w:rPr>
                      <w:szCs w:val="21"/>
                    </w:rPr>
                    <w:t>55-70</w:t>
                  </w:r>
                </w:p>
              </w:tc>
            </w:tr>
            <w:tr w14:paraId="37868E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984" w:type="dxa"/>
                  <w:noWrap w:val="0"/>
                  <w:vAlign w:val="center"/>
                </w:tcPr>
                <w:p w14:paraId="715AFAD5">
                  <w:pPr>
                    <w:jc w:val="center"/>
                    <w:rPr>
                      <w:szCs w:val="21"/>
                    </w:rPr>
                  </w:pPr>
                  <w:r>
                    <w:rPr>
                      <w:szCs w:val="21"/>
                    </w:rPr>
                    <w:t>散装水泥专用车</w:t>
                  </w:r>
                </w:p>
              </w:tc>
              <w:tc>
                <w:tcPr>
                  <w:tcW w:w="1841" w:type="dxa"/>
                  <w:noWrap w:val="0"/>
                  <w:vAlign w:val="center"/>
                </w:tcPr>
                <w:p w14:paraId="28717D4F">
                  <w:pPr>
                    <w:jc w:val="center"/>
                    <w:rPr>
                      <w:szCs w:val="21"/>
                    </w:rPr>
                  </w:pPr>
                  <w:r>
                    <w:rPr>
                      <w:szCs w:val="21"/>
                    </w:rPr>
                    <w:t>80-90</w:t>
                  </w:r>
                </w:p>
              </w:tc>
              <w:tc>
                <w:tcPr>
                  <w:tcW w:w="2127" w:type="dxa"/>
                  <w:vMerge w:val="restart"/>
                  <w:noWrap w:val="0"/>
                  <w:vAlign w:val="center"/>
                </w:tcPr>
                <w:p w14:paraId="6D131DA7">
                  <w:pPr>
                    <w:jc w:val="center"/>
                    <w:rPr>
                      <w:szCs w:val="21"/>
                    </w:rPr>
                  </w:pPr>
                  <w:r>
                    <w:rPr>
                      <w:rFonts w:hint="eastAsia"/>
                      <w:szCs w:val="21"/>
                      <w:lang w:eastAsia="zh-CN"/>
                    </w:rPr>
                    <w:t>匀速</w:t>
                  </w:r>
                  <w:r>
                    <w:rPr>
                      <w:szCs w:val="21"/>
                    </w:rPr>
                    <w:t>行驶、禁止鸣笛</w:t>
                  </w:r>
                </w:p>
              </w:tc>
              <w:tc>
                <w:tcPr>
                  <w:tcW w:w="1985" w:type="dxa"/>
                  <w:noWrap w:val="0"/>
                  <w:vAlign w:val="center"/>
                </w:tcPr>
                <w:p w14:paraId="7F741575">
                  <w:pPr>
                    <w:jc w:val="center"/>
                    <w:rPr>
                      <w:szCs w:val="21"/>
                    </w:rPr>
                  </w:pPr>
                  <w:r>
                    <w:rPr>
                      <w:szCs w:val="21"/>
                    </w:rPr>
                    <w:t>60-70</w:t>
                  </w:r>
                </w:p>
              </w:tc>
            </w:tr>
            <w:tr w14:paraId="535779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984" w:type="dxa"/>
                  <w:noWrap w:val="0"/>
                  <w:vAlign w:val="center"/>
                </w:tcPr>
                <w:p w14:paraId="597E7320">
                  <w:pPr>
                    <w:jc w:val="center"/>
                    <w:rPr>
                      <w:szCs w:val="21"/>
                    </w:rPr>
                  </w:pPr>
                  <w:r>
                    <w:rPr>
                      <w:szCs w:val="21"/>
                    </w:rPr>
                    <w:t>装载机</w:t>
                  </w:r>
                </w:p>
              </w:tc>
              <w:tc>
                <w:tcPr>
                  <w:tcW w:w="1841" w:type="dxa"/>
                  <w:noWrap w:val="0"/>
                  <w:vAlign w:val="center"/>
                </w:tcPr>
                <w:p w14:paraId="6B831C6E">
                  <w:pPr>
                    <w:jc w:val="center"/>
                    <w:rPr>
                      <w:szCs w:val="21"/>
                    </w:rPr>
                  </w:pPr>
                  <w:r>
                    <w:rPr>
                      <w:szCs w:val="21"/>
                    </w:rPr>
                    <w:t>80-90</w:t>
                  </w:r>
                </w:p>
              </w:tc>
              <w:tc>
                <w:tcPr>
                  <w:tcW w:w="2127" w:type="dxa"/>
                  <w:vMerge w:val="continue"/>
                  <w:noWrap w:val="0"/>
                  <w:vAlign w:val="center"/>
                </w:tcPr>
                <w:p w14:paraId="48184A45">
                  <w:pPr>
                    <w:jc w:val="center"/>
                    <w:rPr>
                      <w:szCs w:val="21"/>
                    </w:rPr>
                  </w:pPr>
                </w:p>
              </w:tc>
              <w:tc>
                <w:tcPr>
                  <w:tcW w:w="1985" w:type="dxa"/>
                  <w:noWrap w:val="0"/>
                  <w:vAlign w:val="center"/>
                </w:tcPr>
                <w:p w14:paraId="5C07032A">
                  <w:pPr>
                    <w:jc w:val="center"/>
                    <w:rPr>
                      <w:szCs w:val="21"/>
                    </w:rPr>
                  </w:pPr>
                  <w:r>
                    <w:rPr>
                      <w:szCs w:val="21"/>
                    </w:rPr>
                    <w:t>60-70</w:t>
                  </w:r>
                </w:p>
              </w:tc>
            </w:tr>
            <w:tr w14:paraId="393905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984" w:type="dxa"/>
                  <w:noWrap w:val="0"/>
                  <w:vAlign w:val="center"/>
                </w:tcPr>
                <w:p w14:paraId="76C7925F">
                  <w:pPr>
                    <w:jc w:val="center"/>
                    <w:rPr>
                      <w:szCs w:val="21"/>
                    </w:rPr>
                  </w:pPr>
                  <w:r>
                    <w:rPr>
                      <w:szCs w:val="21"/>
                    </w:rPr>
                    <w:t>混凝土搅拌车</w:t>
                  </w:r>
                </w:p>
              </w:tc>
              <w:tc>
                <w:tcPr>
                  <w:tcW w:w="1841" w:type="dxa"/>
                  <w:noWrap w:val="0"/>
                  <w:vAlign w:val="center"/>
                </w:tcPr>
                <w:p w14:paraId="3D59C906">
                  <w:pPr>
                    <w:jc w:val="center"/>
                    <w:rPr>
                      <w:szCs w:val="21"/>
                    </w:rPr>
                  </w:pPr>
                  <w:r>
                    <w:rPr>
                      <w:szCs w:val="21"/>
                    </w:rPr>
                    <w:t>80-90</w:t>
                  </w:r>
                </w:p>
              </w:tc>
              <w:tc>
                <w:tcPr>
                  <w:tcW w:w="2127" w:type="dxa"/>
                  <w:vMerge w:val="continue"/>
                  <w:noWrap w:val="0"/>
                  <w:vAlign w:val="center"/>
                </w:tcPr>
                <w:p w14:paraId="0A8B106C">
                  <w:pPr>
                    <w:jc w:val="center"/>
                    <w:rPr>
                      <w:szCs w:val="21"/>
                    </w:rPr>
                  </w:pPr>
                </w:p>
              </w:tc>
              <w:tc>
                <w:tcPr>
                  <w:tcW w:w="1985" w:type="dxa"/>
                  <w:noWrap w:val="0"/>
                  <w:vAlign w:val="center"/>
                </w:tcPr>
                <w:p w14:paraId="2DC4A741">
                  <w:pPr>
                    <w:jc w:val="center"/>
                    <w:rPr>
                      <w:szCs w:val="21"/>
                    </w:rPr>
                  </w:pPr>
                  <w:r>
                    <w:rPr>
                      <w:szCs w:val="21"/>
                    </w:rPr>
                    <w:t>60-70</w:t>
                  </w:r>
                </w:p>
              </w:tc>
            </w:tr>
            <w:tr w14:paraId="25D2B8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984" w:type="dxa"/>
                  <w:noWrap w:val="0"/>
                  <w:vAlign w:val="center"/>
                </w:tcPr>
                <w:p w14:paraId="5BFFF362">
                  <w:pPr>
                    <w:jc w:val="center"/>
                    <w:rPr>
                      <w:szCs w:val="21"/>
                    </w:rPr>
                  </w:pPr>
                  <w:r>
                    <w:rPr>
                      <w:szCs w:val="21"/>
                    </w:rPr>
                    <w:t>混凝土泵车</w:t>
                  </w:r>
                </w:p>
              </w:tc>
              <w:tc>
                <w:tcPr>
                  <w:tcW w:w="1841" w:type="dxa"/>
                  <w:noWrap w:val="0"/>
                  <w:vAlign w:val="center"/>
                </w:tcPr>
                <w:p w14:paraId="61C8CA7C">
                  <w:pPr>
                    <w:jc w:val="center"/>
                    <w:rPr>
                      <w:szCs w:val="21"/>
                    </w:rPr>
                  </w:pPr>
                  <w:r>
                    <w:rPr>
                      <w:szCs w:val="21"/>
                    </w:rPr>
                    <w:t>80-90</w:t>
                  </w:r>
                </w:p>
              </w:tc>
              <w:tc>
                <w:tcPr>
                  <w:tcW w:w="2127" w:type="dxa"/>
                  <w:vMerge w:val="continue"/>
                  <w:noWrap w:val="0"/>
                  <w:vAlign w:val="center"/>
                </w:tcPr>
                <w:p w14:paraId="7664144E">
                  <w:pPr>
                    <w:jc w:val="center"/>
                    <w:rPr>
                      <w:szCs w:val="21"/>
                    </w:rPr>
                  </w:pPr>
                </w:p>
              </w:tc>
              <w:tc>
                <w:tcPr>
                  <w:tcW w:w="1985" w:type="dxa"/>
                  <w:noWrap w:val="0"/>
                  <w:vAlign w:val="center"/>
                </w:tcPr>
                <w:p w14:paraId="004E91C6">
                  <w:pPr>
                    <w:jc w:val="center"/>
                    <w:rPr>
                      <w:szCs w:val="21"/>
                    </w:rPr>
                  </w:pPr>
                  <w:r>
                    <w:rPr>
                      <w:szCs w:val="21"/>
                    </w:rPr>
                    <w:t>60-70</w:t>
                  </w:r>
                </w:p>
              </w:tc>
            </w:tr>
            <w:tr w14:paraId="5958BB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984" w:type="dxa"/>
                  <w:noWrap w:val="0"/>
                  <w:vAlign w:val="center"/>
                </w:tcPr>
                <w:p w14:paraId="7477B1CA">
                  <w:pPr>
                    <w:jc w:val="center"/>
                    <w:rPr>
                      <w:szCs w:val="21"/>
                    </w:rPr>
                  </w:pPr>
                  <w:r>
                    <w:rPr>
                      <w:szCs w:val="21"/>
                    </w:rPr>
                    <w:t>混凝土拖泵</w:t>
                  </w:r>
                </w:p>
              </w:tc>
              <w:tc>
                <w:tcPr>
                  <w:tcW w:w="1841" w:type="dxa"/>
                  <w:noWrap w:val="0"/>
                  <w:vAlign w:val="center"/>
                </w:tcPr>
                <w:p w14:paraId="10EF7908">
                  <w:pPr>
                    <w:jc w:val="center"/>
                    <w:rPr>
                      <w:szCs w:val="21"/>
                    </w:rPr>
                  </w:pPr>
                  <w:r>
                    <w:rPr>
                      <w:szCs w:val="21"/>
                    </w:rPr>
                    <w:t>80-90</w:t>
                  </w:r>
                </w:p>
              </w:tc>
              <w:tc>
                <w:tcPr>
                  <w:tcW w:w="2127" w:type="dxa"/>
                  <w:vMerge w:val="continue"/>
                  <w:noWrap w:val="0"/>
                  <w:vAlign w:val="center"/>
                </w:tcPr>
                <w:p w14:paraId="48AE6AD7">
                  <w:pPr>
                    <w:jc w:val="center"/>
                    <w:rPr>
                      <w:szCs w:val="21"/>
                    </w:rPr>
                  </w:pPr>
                </w:p>
              </w:tc>
              <w:tc>
                <w:tcPr>
                  <w:tcW w:w="1985" w:type="dxa"/>
                  <w:noWrap w:val="0"/>
                  <w:vAlign w:val="center"/>
                </w:tcPr>
                <w:p w14:paraId="0CB99A89">
                  <w:pPr>
                    <w:jc w:val="center"/>
                    <w:rPr>
                      <w:szCs w:val="21"/>
                    </w:rPr>
                  </w:pPr>
                  <w:r>
                    <w:rPr>
                      <w:szCs w:val="21"/>
                    </w:rPr>
                    <w:t>60-70</w:t>
                  </w:r>
                </w:p>
              </w:tc>
            </w:tr>
          </w:tbl>
          <w:p w14:paraId="325E114A">
            <w:pPr>
              <w:pStyle w:val="2"/>
              <w:spacing w:line="520" w:lineRule="exact"/>
            </w:pPr>
            <w:r>
              <w:t>项目周边无噪声敏感目标，生产设备、机械通过降噪措施后可有效</w:t>
            </w:r>
            <w:r>
              <w:rPr>
                <w:rFonts w:hint="eastAsia"/>
                <w:lang w:eastAsia="zh-CN"/>
              </w:rPr>
              <w:t>减少</w:t>
            </w:r>
            <w:r>
              <w:t>噪声排放，因此对周边环境影响较小。</w:t>
            </w:r>
          </w:p>
          <w:p w14:paraId="37FCA429">
            <w:pPr>
              <w:spacing w:line="520" w:lineRule="exact"/>
              <w:ind w:firstLine="480" w:firstLineChars="200"/>
              <w:jc w:val="left"/>
              <w:rPr>
                <w:sz w:val="24"/>
                <w:szCs w:val="20"/>
              </w:rPr>
            </w:pPr>
            <w:r>
              <w:rPr>
                <w:sz w:val="24"/>
                <w:szCs w:val="20"/>
              </w:rPr>
              <w:t>根据《排污单位自行监测技术指南总则》(HJ 819-2017)，本项目噪声监测点位、监测因子和频次见下表。</w:t>
            </w:r>
          </w:p>
          <w:p w14:paraId="0C5DEE39">
            <w:pPr>
              <w:pStyle w:val="23"/>
              <w:spacing w:before="120" w:beforeLines="50" w:line="360" w:lineRule="auto"/>
              <w:ind w:firstLine="0" w:firstLineChars="0"/>
              <w:jc w:val="center"/>
              <w:rPr>
                <w:rFonts w:ascii="Times New Roman" w:hAnsi="Times New Roman" w:eastAsia="宋体" w:cs="Times New Roman"/>
                <w:b/>
                <w:color w:val="auto"/>
                <w:sz w:val="21"/>
                <w:szCs w:val="21"/>
              </w:rPr>
            </w:pPr>
            <w:r>
              <w:rPr>
                <w:rFonts w:ascii="Times New Roman" w:hAnsi="Times New Roman" w:eastAsia="宋体" w:cs="Times New Roman"/>
                <w:b/>
                <w:color w:val="auto"/>
                <w:sz w:val="21"/>
                <w:szCs w:val="21"/>
              </w:rPr>
              <w:t>表4-</w:t>
            </w:r>
            <w:r>
              <w:rPr>
                <w:rFonts w:hint="eastAsia" w:ascii="Times New Roman" w:hAnsi="Times New Roman" w:eastAsia="宋体" w:cs="Times New Roman"/>
                <w:b/>
                <w:color w:val="auto"/>
                <w:sz w:val="21"/>
                <w:szCs w:val="21"/>
                <w:lang w:val="en-US" w:eastAsia="zh-CN"/>
              </w:rPr>
              <w:t>8</w:t>
            </w:r>
            <w:r>
              <w:rPr>
                <w:rFonts w:ascii="Times New Roman" w:hAnsi="Times New Roman" w:eastAsia="宋体" w:cs="Times New Roman"/>
                <w:b/>
                <w:color w:val="auto"/>
                <w:sz w:val="21"/>
                <w:szCs w:val="21"/>
              </w:rPr>
              <w:t xml:space="preserve">  噪声监测工作内容一览表</w:t>
            </w:r>
          </w:p>
          <w:tbl>
            <w:tblPr>
              <w:tblStyle w:val="11"/>
              <w:tblW w:w="7946"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128"/>
              <w:gridCol w:w="1164"/>
              <w:gridCol w:w="1284"/>
              <w:gridCol w:w="1488"/>
              <w:gridCol w:w="2207"/>
            </w:tblGrid>
            <w:tr w14:paraId="017A01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14:paraId="265B7069">
                  <w:pPr>
                    <w:jc w:val="center"/>
                    <w:rPr>
                      <w:szCs w:val="21"/>
                    </w:rPr>
                  </w:pPr>
                  <w:r>
                    <w:rPr>
                      <w:szCs w:val="21"/>
                    </w:rPr>
                    <w:t>名称</w:t>
                  </w:r>
                </w:p>
              </w:tc>
              <w:tc>
                <w:tcPr>
                  <w:tcW w:w="1128" w:type="dxa"/>
                  <w:noWrap w:val="0"/>
                  <w:vAlign w:val="center"/>
                </w:tcPr>
                <w:p w14:paraId="625D6BE5">
                  <w:pPr>
                    <w:jc w:val="center"/>
                    <w:rPr>
                      <w:szCs w:val="21"/>
                    </w:rPr>
                  </w:pPr>
                  <w:r>
                    <w:rPr>
                      <w:szCs w:val="21"/>
                    </w:rPr>
                    <w:t>监测项目</w:t>
                  </w:r>
                </w:p>
              </w:tc>
              <w:tc>
                <w:tcPr>
                  <w:tcW w:w="1164" w:type="dxa"/>
                  <w:noWrap w:val="0"/>
                  <w:vAlign w:val="center"/>
                </w:tcPr>
                <w:p w14:paraId="4FDDEC29">
                  <w:pPr>
                    <w:jc w:val="center"/>
                    <w:rPr>
                      <w:szCs w:val="21"/>
                    </w:rPr>
                  </w:pPr>
                  <w:r>
                    <w:rPr>
                      <w:szCs w:val="21"/>
                    </w:rPr>
                    <w:t>监测点位</w:t>
                  </w:r>
                </w:p>
              </w:tc>
              <w:tc>
                <w:tcPr>
                  <w:tcW w:w="1284" w:type="dxa"/>
                  <w:noWrap w:val="0"/>
                  <w:vAlign w:val="center"/>
                </w:tcPr>
                <w:p w14:paraId="63D1F2C6">
                  <w:pPr>
                    <w:jc w:val="center"/>
                    <w:rPr>
                      <w:szCs w:val="21"/>
                    </w:rPr>
                  </w:pPr>
                  <w:r>
                    <w:rPr>
                      <w:szCs w:val="21"/>
                    </w:rPr>
                    <w:t>监测因子</w:t>
                  </w:r>
                </w:p>
              </w:tc>
              <w:tc>
                <w:tcPr>
                  <w:tcW w:w="1488" w:type="dxa"/>
                  <w:noWrap w:val="0"/>
                  <w:vAlign w:val="center"/>
                </w:tcPr>
                <w:p w14:paraId="50043832">
                  <w:pPr>
                    <w:jc w:val="center"/>
                    <w:rPr>
                      <w:szCs w:val="21"/>
                    </w:rPr>
                  </w:pPr>
                  <w:r>
                    <w:rPr>
                      <w:szCs w:val="21"/>
                    </w:rPr>
                    <w:t>监测频次</w:t>
                  </w:r>
                </w:p>
              </w:tc>
              <w:tc>
                <w:tcPr>
                  <w:tcW w:w="2207" w:type="dxa"/>
                  <w:noWrap w:val="0"/>
                  <w:vAlign w:val="center"/>
                </w:tcPr>
                <w:p w14:paraId="4E3EBE39">
                  <w:pPr>
                    <w:jc w:val="center"/>
                    <w:rPr>
                      <w:szCs w:val="21"/>
                    </w:rPr>
                  </w:pPr>
                  <w:r>
                    <w:rPr>
                      <w:szCs w:val="21"/>
                    </w:rPr>
                    <w:t>控制指标</w:t>
                  </w:r>
                </w:p>
              </w:tc>
            </w:tr>
            <w:tr w14:paraId="268A82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noWrap w:val="0"/>
                  <w:vAlign w:val="center"/>
                </w:tcPr>
                <w:p w14:paraId="05501ECF">
                  <w:pPr>
                    <w:jc w:val="center"/>
                    <w:rPr>
                      <w:szCs w:val="21"/>
                    </w:rPr>
                  </w:pPr>
                  <w:r>
                    <w:rPr>
                      <w:szCs w:val="21"/>
                    </w:rPr>
                    <w:t>噪声</w:t>
                  </w:r>
                </w:p>
              </w:tc>
              <w:tc>
                <w:tcPr>
                  <w:tcW w:w="1128" w:type="dxa"/>
                  <w:noWrap w:val="0"/>
                  <w:vAlign w:val="center"/>
                </w:tcPr>
                <w:p w14:paraId="55994589">
                  <w:pPr>
                    <w:jc w:val="center"/>
                    <w:rPr>
                      <w:szCs w:val="21"/>
                    </w:rPr>
                  </w:pPr>
                  <w:r>
                    <w:rPr>
                      <w:szCs w:val="21"/>
                    </w:rPr>
                    <w:t>噪声</w:t>
                  </w:r>
                </w:p>
              </w:tc>
              <w:tc>
                <w:tcPr>
                  <w:tcW w:w="1164" w:type="dxa"/>
                  <w:noWrap w:val="0"/>
                  <w:vAlign w:val="center"/>
                </w:tcPr>
                <w:p w14:paraId="6047CD56">
                  <w:pPr>
                    <w:jc w:val="center"/>
                    <w:rPr>
                      <w:color w:val="auto"/>
                      <w:szCs w:val="21"/>
                    </w:rPr>
                  </w:pPr>
                  <w:r>
                    <w:rPr>
                      <w:rFonts w:hint="eastAsia"/>
                      <w:color w:val="auto"/>
                      <w:szCs w:val="21"/>
                      <w:lang w:val="en-US" w:eastAsia="zh-CN"/>
                    </w:rPr>
                    <w:t>厂界</w:t>
                  </w:r>
                </w:p>
              </w:tc>
              <w:tc>
                <w:tcPr>
                  <w:tcW w:w="1284" w:type="dxa"/>
                  <w:noWrap w:val="0"/>
                  <w:vAlign w:val="center"/>
                </w:tcPr>
                <w:p w14:paraId="7739626A">
                  <w:pPr>
                    <w:jc w:val="center"/>
                    <w:rPr>
                      <w:color w:val="auto"/>
                      <w:szCs w:val="21"/>
                    </w:rPr>
                  </w:pPr>
                  <w:r>
                    <w:rPr>
                      <w:color w:val="auto"/>
                      <w:szCs w:val="21"/>
                    </w:rPr>
                    <w:t>噪声</w:t>
                  </w:r>
                </w:p>
              </w:tc>
              <w:tc>
                <w:tcPr>
                  <w:tcW w:w="1488" w:type="dxa"/>
                  <w:noWrap w:val="0"/>
                  <w:vAlign w:val="center"/>
                </w:tcPr>
                <w:p w14:paraId="2F1508DA">
                  <w:pPr>
                    <w:jc w:val="center"/>
                    <w:rPr>
                      <w:szCs w:val="21"/>
                    </w:rPr>
                  </w:pPr>
                  <w:r>
                    <w:rPr>
                      <w:szCs w:val="21"/>
                    </w:rPr>
                    <w:t>1次/每季度</w:t>
                  </w:r>
                </w:p>
              </w:tc>
              <w:tc>
                <w:tcPr>
                  <w:tcW w:w="2207" w:type="dxa"/>
                  <w:noWrap w:val="0"/>
                  <w:vAlign w:val="center"/>
                </w:tcPr>
                <w:p w14:paraId="38F0E62D">
                  <w:pPr>
                    <w:jc w:val="center"/>
                    <w:rPr>
                      <w:szCs w:val="21"/>
                    </w:rPr>
                  </w:pPr>
                  <w:r>
                    <w:rPr>
                      <w:szCs w:val="21"/>
                    </w:rPr>
                    <w:t>《工业企业场界环境噪声排放标准》（GB12348-2008）</w:t>
                  </w:r>
                </w:p>
                <w:p w14:paraId="3A3D1A54">
                  <w:pPr>
                    <w:jc w:val="center"/>
                    <w:rPr>
                      <w:szCs w:val="21"/>
                    </w:rPr>
                  </w:pPr>
                  <w:r>
                    <w:rPr>
                      <w:szCs w:val="21"/>
                    </w:rPr>
                    <w:t>3类标准限值</w:t>
                  </w:r>
                </w:p>
              </w:tc>
            </w:tr>
          </w:tbl>
          <w:p w14:paraId="53AF2FA9">
            <w:pPr>
              <w:pStyle w:val="20"/>
              <w:adjustRightInd/>
              <w:spacing w:line="360" w:lineRule="auto"/>
              <w:rPr>
                <w:b/>
              </w:rPr>
            </w:pPr>
            <w:r>
              <w:rPr>
                <w:b/>
              </w:rPr>
              <w:t>4.固体废物</w:t>
            </w:r>
          </w:p>
          <w:p w14:paraId="3F350DC8">
            <w:pPr>
              <w:spacing w:line="360" w:lineRule="auto"/>
              <w:ind w:firstLine="480" w:firstLineChars="200"/>
              <w:rPr>
                <w:bCs/>
                <w:sz w:val="24"/>
              </w:rPr>
            </w:pPr>
            <w:r>
              <w:rPr>
                <w:bCs/>
                <w:sz w:val="24"/>
              </w:rPr>
              <w:t>本项目固体废物主要是除尘系统产生的粉尘、设备维修产生的废矿物油和废矿油桶以及生活垃圾。环评要求固废实施分类管理，及时清运，避免长期堆放。</w:t>
            </w:r>
          </w:p>
          <w:p w14:paraId="25DB8C25">
            <w:pPr>
              <w:spacing w:line="360" w:lineRule="auto"/>
              <w:ind w:firstLine="480" w:firstLineChars="200"/>
              <w:rPr>
                <w:bCs/>
                <w:sz w:val="24"/>
              </w:rPr>
            </w:pPr>
            <w:r>
              <w:rPr>
                <w:bCs/>
                <w:sz w:val="24"/>
              </w:rPr>
              <w:t>（1）除尘灰</w:t>
            </w:r>
          </w:p>
          <w:p w14:paraId="204ACAF8">
            <w:pPr>
              <w:spacing w:line="360" w:lineRule="auto"/>
              <w:ind w:firstLine="480" w:firstLineChars="200"/>
              <w:rPr>
                <w:bCs/>
                <w:sz w:val="24"/>
              </w:rPr>
            </w:pPr>
            <w:r>
              <w:rPr>
                <w:bCs/>
                <w:sz w:val="24"/>
              </w:rPr>
              <w:t>布袋除尘器内收集有除尘灰，各水泥筒仓除尘灰产生量共计33.26t/a，各粉煤灰筒仓除尘灰产生量共计7.62t/a，机制砂破碎机除尘灰产生量共计261.99t/a，除尘灰为生产原料，全部回用于再生产，不外排。</w:t>
            </w:r>
          </w:p>
          <w:p w14:paraId="74CFD7AA">
            <w:pPr>
              <w:pStyle w:val="24"/>
              <w:spacing w:line="360" w:lineRule="auto"/>
              <w:ind w:left="420" w:firstLine="0" w:firstLineChars="0"/>
              <w:rPr>
                <w:bCs/>
                <w:sz w:val="24"/>
              </w:rPr>
            </w:pPr>
            <w:r>
              <w:rPr>
                <w:bCs/>
                <w:sz w:val="24"/>
              </w:rPr>
              <w:t>（2）设备检修产生的废矿物油及废矿油桶</w:t>
            </w:r>
          </w:p>
          <w:p w14:paraId="46805CD8">
            <w:pPr>
              <w:pStyle w:val="2"/>
              <w:rPr>
                <w:bCs/>
              </w:rPr>
            </w:pPr>
            <w:r>
              <w:rPr>
                <w:bCs/>
              </w:rPr>
              <w:t>项目生产设备均由设备厂家定期维护保养；项目车辆在运转过程中机油、润滑油需要定期更换，产生废机油、废润滑油以及废矿物油桶为危险废物（HW08），收集于全封闭铁桶内暂存于全封闭危废库内定期交由有资质的单位进行处置。</w:t>
            </w:r>
          </w:p>
          <w:p w14:paraId="40A744E8">
            <w:pPr>
              <w:pStyle w:val="9"/>
              <w:spacing w:line="360" w:lineRule="auto"/>
              <w:ind w:left="0" w:leftChars="0" w:firstLine="480" w:firstLineChars="200"/>
              <w:jc w:val="left"/>
              <w:rPr>
                <w:rFonts w:hint="default"/>
                <w:color w:val="auto"/>
                <w:sz w:val="24"/>
                <w:szCs w:val="24"/>
                <w:lang w:val="en-US"/>
              </w:rPr>
            </w:pPr>
            <w:r>
              <w:rPr>
                <w:sz w:val="24"/>
                <w:szCs w:val="24"/>
              </w:rPr>
              <w:t>本项目新建1座危废品暂存库，占地面积30m</w:t>
            </w:r>
            <w:r>
              <w:rPr>
                <w:sz w:val="24"/>
                <w:szCs w:val="24"/>
                <w:vertAlign w:val="superscript"/>
              </w:rPr>
              <w:t>2</w:t>
            </w:r>
            <w:r>
              <w:rPr>
                <w:sz w:val="24"/>
                <w:szCs w:val="24"/>
              </w:rPr>
              <w:t>，年存储废机油、废润滑油1t、废油桶1t，储存周期1年，</w:t>
            </w:r>
            <w:r>
              <w:rPr>
                <w:kern w:val="0"/>
                <w:sz w:val="24"/>
                <w:szCs w:val="24"/>
                <w:lang w:bidi="ar"/>
              </w:rPr>
              <w:t>危废库基础整体</w:t>
            </w:r>
            <w:r>
              <w:rPr>
                <w:snapToGrid w:val="0"/>
                <w:sz w:val="24"/>
                <w:szCs w:val="24"/>
              </w:rPr>
              <w:t>按照《危险废物贮存污染控制标准》（GB18597-2023）要求设置，采用至少2mm厚HDPE或其他人工材料进行防渗处理，防渗系数不大于1.0×10</w:t>
            </w:r>
            <w:r>
              <w:rPr>
                <w:snapToGrid w:val="0"/>
                <w:sz w:val="24"/>
                <w:szCs w:val="24"/>
                <w:vertAlign w:val="superscript"/>
              </w:rPr>
              <w:t>-10</w:t>
            </w:r>
            <w:r>
              <w:rPr>
                <w:snapToGrid w:val="0"/>
                <w:sz w:val="24"/>
                <w:szCs w:val="24"/>
              </w:rPr>
              <w:t>cm/s</w:t>
            </w:r>
            <w:r>
              <w:rPr>
                <w:kern w:val="0"/>
                <w:sz w:val="24"/>
                <w:szCs w:val="24"/>
                <w:lang w:bidi="ar"/>
              </w:rPr>
              <w:t>；地面及墙身1.5m高整体涂刷绿色环氧树脂地坪漆2遍，地面、裙角、导流槽、集液池、围堰</w:t>
            </w:r>
            <w:r>
              <w:rPr>
                <w:sz w:val="24"/>
                <w:szCs w:val="24"/>
              </w:rPr>
              <w:t>防渗层为2mm厚高密度聚乙烯，或至少2mm厚</w:t>
            </w:r>
            <w:r>
              <w:rPr>
                <w:rFonts w:hint="eastAsia"/>
                <w:sz w:val="24"/>
                <w:szCs w:val="24"/>
                <w:lang w:eastAsia="zh-CN"/>
              </w:rPr>
              <w:t>的其他</w:t>
            </w:r>
            <w:r>
              <w:rPr>
                <w:sz w:val="24"/>
                <w:szCs w:val="24"/>
              </w:rPr>
              <w:t>人工材料，渗透系数≤10</w:t>
            </w:r>
            <w:r>
              <w:rPr>
                <w:sz w:val="24"/>
                <w:szCs w:val="24"/>
                <w:vertAlign w:val="superscript"/>
              </w:rPr>
              <w:t>-10</w:t>
            </w:r>
            <w:r>
              <w:rPr>
                <w:sz w:val="24"/>
                <w:szCs w:val="24"/>
              </w:rPr>
              <w:t>cm/s</w:t>
            </w:r>
            <w:r>
              <w:rPr>
                <w:color w:val="auto"/>
                <w:sz w:val="24"/>
                <w:szCs w:val="24"/>
              </w:rPr>
              <w:t>。危废库四周设导流槽，并且设置1个0.1m</w:t>
            </w:r>
            <w:r>
              <w:rPr>
                <w:color w:val="auto"/>
                <w:sz w:val="24"/>
                <w:szCs w:val="24"/>
                <w:vertAlign w:val="superscript"/>
              </w:rPr>
              <w:t>3</w:t>
            </w:r>
            <w:r>
              <w:rPr>
                <w:color w:val="auto"/>
                <w:sz w:val="24"/>
                <w:szCs w:val="24"/>
              </w:rPr>
              <w:t>的集液池，门口设置20cm高的围堰</w:t>
            </w:r>
            <w:r>
              <w:rPr>
                <w:rFonts w:hint="eastAsia"/>
                <w:color w:val="auto"/>
                <w:sz w:val="24"/>
                <w:szCs w:val="24"/>
                <w:lang w:eastAsia="zh-CN"/>
              </w:rPr>
              <w:t>；</w:t>
            </w:r>
            <w:r>
              <w:rPr>
                <w:rFonts w:hint="eastAsia"/>
                <w:color w:val="auto"/>
                <w:sz w:val="24"/>
                <w:szCs w:val="24"/>
                <w:lang w:val="en-US" w:eastAsia="zh-CN"/>
              </w:rPr>
              <w:t>危险废物暂存库设换气扇进行通风，并在库内摆放手提式灭火器用于应急灭火。</w:t>
            </w:r>
          </w:p>
          <w:p w14:paraId="46791764">
            <w:pPr>
              <w:pStyle w:val="2"/>
              <w:rPr>
                <w:bCs/>
                <w:color w:val="auto"/>
              </w:rPr>
            </w:pPr>
            <w:r>
              <w:rPr>
                <w:color w:val="auto"/>
              </w:rPr>
              <w:t>（</w:t>
            </w:r>
            <w:r>
              <w:rPr>
                <w:bCs/>
                <w:color w:val="auto"/>
              </w:rPr>
              <w:t>3）生活垃圾</w:t>
            </w:r>
          </w:p>
          <w:p w14:paraId="4E21B0FF">
            <w:pPr>
              <w:pStyle w:val="2"/>
              <w:rPr>
                <w:bCs/>
                <w:color w:val="auto"/>
              </w:rPr>
            </w:pPr>
            <w:r>
              <w:rPr>
                <w:bCs/>
                <w:color w:val="auto"/>
              </w:rPr>
              <w:t xml:space="preserve"> 本项目劳动定员为80人，年工作210天，平均每天每人按0.5kg/天计，生活垃圾产生量约为8.4t/a，收集后，</w:t>
            </w:r>
            <w:r>
              <w:rPr>
                <w:rFonts w:hint="eastAsia"/>
                <w:bCs/>
                <w:color w:val="auto"/>
                <w:lang w:val="en-US" w:eastAsia="zh-CN"/>
              </w:rPr>
              <w:t>由</w:t>
            </w:r>
            <w:r>
              <w:rPr>
                <w:bCs/>
                <w:color w:val="auto"/>
              </w:rPr>
              <w:t>园区环卫部门清运</w:t>
            </w:r>
          </w:p>
          <w:p w14:paraId="3E2AEDEC">
            <w:pPr>
              <w:pStyle w:val="25"/>
              <w:tabs>
                <w:tab w:val="left" w:pos="639"/>
              </w:tabs>
              <w:spacing w:line="360" w:lineRule="auto"/>
              <w:ind w:left="0"/>
              <w:rPr>
                <w:rFonts w:ascii="Times New Roman" w:hAnsi="Times New Roman" w:cs="Times New Roman"/>
                <w:bCs w:val="0"/>
                <w:color w:val="auto"/>
                <w:kern w:val="2"/>
                <w:lang w:val="en-US" w:bidi="ar-SA"/>
              </w:rPr>
            </w:pPr>
            <w:r>
              <w:rPr>
                <w:rFonts w:ascii="Times New Roman" w:hAnsi="Times New Roman" w:cs="Times New Roman"/>
                <w:bCs w:val="0"/>
                <w:color w:val="auto"/>
                <w:kern w:val="2"/>
                <w:lang w:val="en-US" w:bidi="ar-SA"/>
              </w:rPr>
              <w:t>5.地下水、土壤</w:t>
            </w:r>
          </w:p>
          <w:p w14:paraId="45B13CD5">
            <w:pPr>
              <w:widowControl/>
              <w:spacing w:line="360" w:lineRule="auto"/>
              <w:ind w:firstLine="480" w:firstLineChars="200"/>
              <w:jc w:val="left"/>
              <w:rPr>
                <w:sz w:val="24"/>
              </w:rPr>
            </w:pPr>
            <w:r>
              <w:rPr>
                <w:kern w:val="0"/>
                <w:sz w:val="24"/>
                <w:lang w:bidi="ar"/>
              </w:rPr>
              <w:t>（1）危险废物对地下水、土壤环境影响</w:t>
            </w:r>
          </w:p>
          <w:p w14:paraId="43FCB844">
            <w:pPr>
              <w:pStyle w:val="25"/>
              <w:tabs>
                <w:tab w:val="left" w:pos="639"/>
              </w:tabs>
              <w:spacing w:line="360" w:lineRule="auto"/>
              <w:ind w:left="0" w:firstLine="480" w:firstLineChars="200"/>
              <w:rPr>
                <w:rFonts w:ascii="Times New Roman" w:hAnsi="Times New Roman" w:cs="Times New Roman"/>
                <w:b w:val="0"/>
                <w:kern w:val="2"/>
                <w:lang w:val="en-US" w:bidi="ar-SA"/>
              </w:rPr>
            </w:pPr>
            <w:r>
              <w:rPr>
                <w:rFonts w:ascii="Times New Roman" w:hAnsi="Times New Roman" w:cs="Times New Roman"/>
                <w:b w:val="0"/>
                <w:bCs w:val="0"/>
                <w:lang w:bidi="ar"/>
              </w:rPr>
              <w:t>本项目</w:t>
            </w:r>
            <w:r>
              <w:rPr>
                <w:rFonts w:ascii="Times New Roman" w:hAnsi="Times New Roman" w:cs="Times New Roman"/>
                <w:b w:val="0"/>
                <w:bCs w:val="0"/>
                <w:lang w:val="en-US" w:bidi="ar"/>
              </w:rPr>
              <w:t>车辆在维护过程中会产生废机油以及废润滑油等废矿物油和废矿物油桶</w:t>
            </w:r>
            <w:r>
              <w:rPr>
                <w:rFonts w:ascii="Times New Roman" w:hAnsi="Times New Roman" w:cs="Times New Roman"/>
                <w:b w:val="0"/>
                <w:bCs w:val="0"/>
                <w:lang w:bidi="ar"/>
              </w:rPr>
              <w:t>，</w:t>
            </w:r>
            <w:r>
              <w:rPr>
                <w:rFonts w:ascii="Times New Roman" w:hAnsi="Times New Roman" w:cs="Times New Roman"/>
                <w:b w:val="0"/>
                <w:bCs w:val="0"/>
                <w:lang w:val="en-US" w:bidi="ar"/>
              </w:rPr>
              <w:t>如不妥善收集储存造成废油泄漏外溢会对周围土壤以及地下水造成污染</w:t>
            </w:r>
            <w:r>
              <w:rPr>
                <w:rFonts w:ascii="Times New Roman" w:hAnsi="Times New Roman" w:cs="Times New Roman"/>
                <w:b w:val="0"/>
                <w:bCs w:val="0"/>
                <w:lang w:val="en-US"/>
              </w:rPr>
              <w:t>。</w:t>
            </w:r>
          </w:p>
          <w:p w14:paraId="581B5AF9">
            <w:pPr>
              <w:pStyle w:val="25"/>
              <w:tabs>
                <w:tab w:val="left" w:pos="639"/>
              </w:tabs>
              <w:spacing w:line="360" w:lineRule="auto"/>
              <w:ind w:left="0" w:firstLine="480" w:firstLineChars="200"/>
              <w:rPr>
                <w:rFonts w:ascii="Times New Roman" w:hAnsi="Times New Roman" w:cs="Times New Roman"/>
                <w:b w:val="0"/>
                <w:bCs w:val="0"/>
                <w:lang w:val="en-US"/>
              </w:rPr>
            </w:pPr>
            <w:r>
              <w:rPr>
                <w:rFonts w:ascii="Times New Roman" w:hAnsi="Times New Roman" w:cs="Times New Roman"/>
                <w:b w:val="0"/>
                <w:bCs w:val="0"/>
                <w:lang w:val="en-US"/>
              </w:rPr>
              <w:t>（2）分区防控措施</w:t>
            </w:r>
          </w:p>
          <w:p w14:paraId="6BDA11C3">
            <w:pPr>
              <w:pStyle w:val="9"/>
              <w:spacing w:line="360" w:lineRule="auto"/>
              <w:ind w:left="0" w:leftChars="0" w:firstLine="480" w:firstLineChars="200"/>
              <w:jc w:val="left"/>
              <w:rPr>
                <w:sz w:val="24"/>
                <w:szCs w:val="24"/>
              </w:rPr>
            </w:pPr>
            <w:r>
              <w:rPr>
                <w:sz w:val="24"/>
                <w:szCs w:val="24"/>
              </w:rPr>
              <w:t>本项目危废暂存库为重点防渗区，按照重点防渗区要求进行防渗，</w:t>
            </w:r>
            <w:r>
              <w:rPr>
                <w:kern w:val="0"/>
                <w:sz w:val="24"/>
                <w:szCs w:val="24"/>
                <w:lang w:bidi="ar"/>
              </w:rPr>
              <w:t>基础整体</w:t>
            </w:r>
            <w:r>
              <w:rPr>
                <w:snapToGrid w:val="0"/>
                <w:sz w:val="24"/>
                <w:szCs w:val="24"/>
              </w:rPr>
              <w:t>采用至少2mm厚HDPE或其他人工材料进行防渗处理，防渗系数不大于1.0×10</w:t>
            </w:r>
            <w:r>
              <w:rPr>
                <w:snapToGrid w:val="0"/>
                <w:sz w:val="24"/>
                <w:szCs w:val="24"/>
                <w:vertAlign w:val="superscript"/>
              </w:rPr>
              <w:t>-10</w:t>
            </w:r>
            <w:r>
              <w:rPr>
                <w:snapToGrid w:val="0"/>
                <w:sz w:val="24"/>
                <w:szCs w:val="24"/>
              </w:rPr>
              <w:t>cm/s</w:t>
            </w:r>
            <w:r>
              <w:rPr>
                <w:kern w:val="0"/>
                <w:sz w:val="24"/>
                <w:szCs w:val="24"/>
                <w:lang w:bidi="ar"/>
              </w:rPr>
              <w:t>；地面及墙身1.5m高整体涂刷绿色环氧树脂地坪漆2遍，地面、裙角、导流槽、集液池、围堰</w:t>
            </w:r>
            <w:r>
              <w:rPr>
                <w:sz w:val="24"/>
                <w:szCs w:val="24"/>
              </w:rPr>
              <w:t>防渗层为2mm厚高密度聚乙烯，或至少2mm厚</w:t>
            </w:r>
            <w:r>
              <w:rPr>
                <w:rFonts w:hint="eastAsia"/>
                <w:sz w:val="24"/>
                <w:szCs w:val="24"/>
                <w:lang w:eastAsia="zh-CN"/>
              </w:rPr>
              <w:t>的其他</w:t>
            </w:r>
            <w:r>
              <w:rPr>
                <w:sz w:val="24"/>
                <w:szCs w:val="24"/>
              </w:rPr>
              <w:t>人工材料，渗透系数≤10</w:t>
            </w:r>
            <w:r>
              <w:rPr>
                <w:sz w:val="24"/>
                <w:szCs w:val="24"/>
                <w:vertAlign w:val="superscript"/>
              </w:rPr>
              <w:t>-10</w:t>
            </w:r>
            <w:r>
              <w:rPr>
                <w:sz w:val="24"/>
                <w:szCs w:val="24"/>
              </w:rPr>
              <w:t>cm/s。危废库四周设导流槽，并且设置1个0.1m³的集液池，门口设置20cm高的围堰。</w:t>
            </w:r>
          </w:p>
          <w:p w14:paraId="1E92A979">
            <w:pPr>
              <w:pStyle w:val="8"/>
              <w:spacing w:line="360" w:lineRule="auto"/>
              <w:ind w:firstLine="480" w:firstLineChars="200"/>
              <w:rPr>
                <w:sz w:val="24"/>
                <w:szCs w:val="24"/>
                <w:lang w:val="en-US" w:eastAsia="zh-CN"/>
              </w:rPr>
            </w:pPr>
            <w:r>
              <w:rPr>
                <w:sz w:val="24"/>
                <w:szCs w:val="24"/>
                <w:lang w:val="en-US" w:eastAsia="zh-CN"/>
              </w:rPr>
              <w:t>沉淀池为一般防渗区，按照一般防渗区要求进行防渗，等效黏土防渗层≥1.5m，渗透系数≤10</w:t>
            </w:r>
            <w:r>
              <w:rPr>
                <w:sz w:val="24"/>
                <w:szCs w:val="24"/>
                <w:vertAlign w:val="superscript"/>
                <w:lang w:val="en-US" w:eastAsia="zh-CN"/>
              </w:rPr>
              <w:t xml:space="preserve"> -7</w:t>
            </w:r>
            <w:r>
              <w:rPr>
                <w:sz w:val="24"/>
                <w:szCs w:val="24"/>
                <w:lang w:val="en-US" w:eastAsia="zh-CN"/>
              </w:rPr>
              <w:t>cm/s。其他区域全部为简单防渗区，地面全部进行硬化。</w:t>
            </w:r>
          </w:p>
          <w:p w14:paraId="7A2DA6AB">
            <w:pPr>
              <w:pStyle w:val="25"/>
              <w:tabs>
                <w:tab w:val="left" w:pos="639"/>
              </w:tabs>
              <w:spacing w:line="360" w:lineRule="auto"/>
              <w:ind w:left="0" w:firstLine="480" w:firstLineChars="200"/>
              <w:rPr>
                <w:rFonts w:ascii="Times New Roman" w:hAnsi="Times New Roman" w:cs="Times New Roman"/>
                <w:b w:val="0"/>
                <w:bCs w:val="0"/>
                <w:lang w:val="en-US"/>
              </w:rPr>
            </w:pPr>
            <w:r>
              <w:rPr>
                <w:rFonts w:ascii="Times New Roman" w:hAnsi="Times New Roman" w:cs="Times New Roman"/>
                <w:b w:val="0"/>
                <w:bCs w:val="0"/>
                <w:lang w:val="en-US"/>
              </w:rPr>
              <w:t>基于以上分析，本项目在采取报告中提出地下水、土壤环境保护措施后，本项目对地下水、土壤环境的影响程度较小，本项目建设从地下水、土壤环境保护角度而言是可行的。</w:t>
            </w:r>
          </w:p>
          <w:p w14:paraId="572583E5">
            <w:pPr>
              <w:pStyle w:val="7"/>
              <w:adjustRightInd w:val="0"/>
              <w:snapToGrid w:val="0"/>
              <w:spacing w:line="360" w:lineRule="auto"/>
              <w:ind w:firstLine="0" w:firstLineChars="0"/>
              <w:rPr>
                <w:b/>
                <w:spacing w:val="4"/>
                <w:sz w:val="24"/>
              </w:rPr>
            </w:pPr>
            <w:r>
              <w:rPr>
                <w:b/>
                <w:spacing w:val="4"/>
                <w:sz w:val="24"/>
              </w:rPr>
              <w:t>6.环境风险</w:t>
            </w:r>
          </w:p>
          <w:p w14:paraId="7B57A575">
            <w:pPr>
              <w:adjustRightInd w:val="0"/>
              <w:snapToGrid w:val="0"/>
              <w:spacing w:line="360" w:lineRule="auto"/>
              <w:ind w:firstLine="456" w:firstLineChars="200"/>
              <w:rPr>
                <w:spacing w:val="-6"/>
                <w:sz w:val="24"/>
              </w:rPr>
            </w:pPr>
            <w:r>
              <w:rPr>
                <w:spacing w:val="-6"/>
                <w:sz w:val="24"/>
              </w:rPr>
              <w:t>根据《建设项目环境风险评价技术导则》（HJ169－2018）中建设项目环境风险评价要求：对建设项目建设和运行期间发生的可预测突发性事件或事故（一般不包括人为破坏及自然灾害）引</w:t>
            </w:r>
            <w:r>
              <w:rPr>
                <w:rFonts w:hint="eastAsia"/>
                <w:spacing w:val="-6"/>
                <w:sz w:val="24"/>
                <w:lang w:eastAsia="zh-CN"/>
              </w:rPr>
              <w:t>起的</w:t>
            </w:r>
            <w:r>
              <w:rPr>
                <w:spacing w:val="-6"/>
                <w:sz w:val="24"/>
              </w:rPr>
              <w:t>有毒有害、易燃易爆等物质泄漏，或突发事件产生的新的有毒有害物质，所造成的对人身安全与环境的影响和损害，进行评估，提出防范、应急与减缓措施。</w:t>
            </w:r>
          </w:p>
          <w:p w14:paraId="77E5F25B">
            <w:pPr>
              <w:pStyle w:val="25"/>
              <w:tabs>
                <w:tab w:val="left" w:pos="639"/>
              </w:tabs>
              <w:spacing w:line="360" w:lineRule="auto"/>
              <w:ind w:left="0" w:firstLine="480" w:firstLineChars="200"/>
              <w:rPr>
                <w:rFonts w:ascii="Times New Roman" w:hAnsi="Times New Roman" w:cs="Times New Roman"/>
                <w:b w:val="0"/>
                <w:kern w:val="2"/>
                <w:lang w:val="en-US" w:bidi="ar-SA"/>
              </w:rPr>
            </w:pPr>
            <w:r>
              <w:rPr>
                <w:rFonts w:ascii="Times New Roman" w:hAnsi="Times New Roman" w:cs="Times New Roman"/>
                <w:b w:val="0"/>
                <w:kern w:val="2"/>
                <w:lang w:val="en-US" w:bidi="ar-SA"/>
              </w:rPr>
              <w:t>（1）环境风险识别</w:t>
            </w:r>
          </w:p>
          <w:p w14:paraId="502D0A5B">
            <w:pPr>
              <w:pStyle w:val="25"/>
              <w:tabs>
                <w:tab w:val="left" w:pos="639"/>
              </w:tabs>
              <w:spacing w:line="360" w:lineRule="auto"/>
              <w:ind w:left="0" w:firstLine="456" w:firstLineChars="200"/>
              <w:rPr>
                <w:rFonts w:ascii="Times New Roman" w:hAnsi="Times New Roman" w:cs="Times New Roman"/>
                <w:b w:val="0"/>
                <w:bCs w:val="0"/>
                <w:lang w:val="en-US"/>
              </w:rPr>
            </w:pPr>
            <w:r>
              <w:rPr>
                <w:rFonts w:ascii="Times New Roman" w:hAnsi="Times New Roman" w:cs="Times New Roman"/>
                <w:b w:val="0"/>
                <w:bCs w:val="0"/>
                <w:spacing w:val="-6"/>
                <w:lang w:val="en-US"/>
              </w:rPr>
              <w:t>本项目主要危险废物为机械维修过程中产生的废矿物油和废矿油桶</w:t>
            </w:r>
            <w:r>
              <w:rPr>
                <w:rFonts w:ascii="Times New Roman" w:hAnsi="Times New Roman" w:cs="Times New Roman"/>
                <w:b w:val="0"/>
                <w:bCs w:val="0"/>
                <w:lang w:val="en-US"/>
              </w:rPr>
              <w:t>。</w:t>
            </w:r>
          </w:p>
          <w:p w14:paraId="154588C7">
            <w:pPr>
              <w:pStyle w:val="25"/>
              <w:tabs>
                <w:tab w:val="left" w:pos="639"/>
              </w:tabs>
              <w:spacing w:line="360" w:lineRule="auto"/>
              <w:ind w:left="0" w:firstLine="480" w:firstLineChars="200"/>
              <w:rPr>
                <w:rFonts w:ascii="Times New Roman" w:hAnsi="Times New Roman" w:cs="Times New Roman"/>
                <w:b w:val="0"/>
                <w:lang w:val="en-US"/>
              </w:rPr>
            </w:pPr>
            <w:r>
              <w:rPr>
                <w:rFonts w:ascii="Times New Roman" w:hAnsi="Times New Roman" w:cs="Times New Roman"/>
                <w:b w:val="0"/>
                <w:kern w:val="2"/>
                <w:lang w:val="en-US" w:bidi="ar-SA"/>
              </w:rPr>
              <w:t>（2）环境影响途径</w:t>
            </w:r>
          </w:p>
          <w:p w14:paraId="0C438B21">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lang w:val="en-US"/>
              </w:rPr>
              <w:t>废矿物油及废矿物油桶具有毒性和易燃性，如果</w:t>
            </w:r>
            <w:r>
              <w:rPr>
                <w:rFonts w:ascii="Times New Roman" w:hAnsi="Times New Roman" w:cs="Times New Roman"/>
                <w:b w:val="0"/>
                <w:bCs w:val="0"/>
                <w:kern w:val="2"/>
                <w:lang w:val="en-US" w:bidi="ar-SA"/>
              </w:rPr>
              <w:t>在运输、储存过程中管理、操作不当造成危废发生火灾、泄漏，会对周围工作人员及环境空气、地下水、土壤等造成影响。</w:t>
            </w:r>
          </w:p>
          <w:p w14:paraId="5091DDD9">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kern w:val="2"/>
                <w:lang w:val="en-US" w:bidi="ar-SA"/>
              </w:rPr>
              <w:t>（3）风险防范措施</w:t>
            </w:r>
          </w:p>
          <w:p w14:paraId="463DD00A">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kern w:val="2"/>
                <w:lang w:val="en-US" w:bidi="ar-SA"/>
              </w:rPr>
              <w:t>①危险废物贮存要求</w:t>
            </w:r>
          </w:p>
          <w:p w14:paraId="6EB7260E">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kern w:val="2"/>
                <w:lang w:val="en-US" w:bidi="ar-SA"/>
              </w:rPr>
              <w:t>a.加强运行管理，定期检查，避免危废的泄漏；</w:t>
            </w:r>
          </w:p>
          <w:p w14:paraId="16A9070A">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kern w:val="2"/>
                <w:lang w:val="en-US" w:bidi="ar-SA"/>
              </w:rPr>
              <w:t>b.加强操作人员的岗位培训，严格遵守规程，对事故易发处按规定时间巡检，发现问题及早解决；该项目防火等消防安全措施必须到位；</w:t>
            </w:r>
          </w:p>
          <w:p w14:paraId="5EDD7073">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kern w:val="2"/>
                <w:lang w:val="en-US" w:bidi="ar-SA"/>
              </w:rPr>
              <w:t>c.当发生泄漏时应及时控制油水的扩散范围，保护周围环境；同时明确泄漏可能导致的后果，泄漏危</w:t>
            </w:r>
            <w:r>
              <w:rPr>
                <w:rFonts w:hint="eastAsia" w:ascii="Times New Roman" w:hAnsi="Times New Roman" w:cs="Times New Roman"/>
                <w:b w:val="0"/>
                <w:bCs w:val="0"/>
                <w:kern w:val="2"/>
                <w:lang w:val="en-US" w:eastAsia="zh-CN" w:bidi="ar-SA"/>
              </w:rPr>
              <w:t>及</w:t>
            </w:r>
            <w:r>
              <w:rPr>
                <w:rFonts w:ascii="Times New Roman" w:hAnsi="Times New Roman" w:cs="Times New Roman"/>
                <w:b w:val="0"/>
                <w:bCs w:val="0"/>
                <w:kern w:val="2"/>
                <w:lang w:val="en-US" w:bidi="ar-SA"/>
              </w:rPr>
              <w:t>周围环境的可能性，隔离泄漏区，周围设警告标志；</w:t>
            </w:r>
          </w:p>
          <w:p w14:paraId="33C72F3C">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kern w:val="2"/>
                <w:lang w:val="en-US" w:bidi="ar-SA"/>
              </w:rPr>
              <w:t>d.加强管理，建立并严格执行安全生产责任制度，消除故障隐患；</w:t>
            </w:r>
          </w:p>
          <w:p w14:paraId="424E10AD">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kern w:val="2"/>
                <w:lang w:val="en-US" w:bidi="ar-SA"/>
              </w:rPr>
              <w:t>e.制定定期巡查制度，发现异常及时处理和报告；</w:t>
            </w:r>
          </w:p>
          <w:p w14:paraId="1A3C35D8">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kern w:val="2"/>
                <w:lang w:val="en-US" w:bidi="ar-SA"/>
              </w:rPr>
              <w:t>f.建立应急响应机构，配备快捷的</w:t>
            </w:r>
            <w:r>
              <w:rPr>
                <w:rFonts w:hint="eastAsia" w:ascii="Times New Roman" w:hAnsi="Times New Roman" w:cs="Times New Roman"/>
                <w:b w:val="0"/>
                <w:bCs w:val="0"/>
                <w:kern w:val="2"/>
                <w:lang w:val="en-US" w:eastAsia="zh-CN" w:bidi="ar-SA"/>
              </w:rPr>
              <w:t>交通通信</w:t>
            </w:r>
            <w:r>
              <w:rPr>
                <w:rFonts w:ascii="Times New Roman" w:hAnsi="Times New Roman" w:cs="Times New Roman"/>
                <w:b w:val="0"/>
                <w:bCs w:val="0"/>
                <w:kern w:val="2"/>
                <w:lang w:val="en-US" w:bidi="ar-SA"/>
              </w:rPr>
              <w:t>工具，以便对泄漏事故及时作出反应和处理；</w:t>
            </w:r>
          </w:p>
          <w:p w14:paraId="6EB5339D">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kern w:val="2"/>
                <w:lang w:val="en-US" w:bidi="ar-SA"/>
              </w:rPr>
              <w:t>g.储存于阴凉、通风的</w:t>
            </w:r>
            <w:r>
              <w:rPr>
                <w:rFonts w:hint="eastAsia" w:ascii="Times New Roman" w:hAnsi="Times New Roman" w:cs="Times New Roman"/>
                <w:b w:val="0"/>
                <w:bCs w:val="0"/>
                <w:kern w:val="2"/>
                <w:lang w:val="en-US" w:eastAsia="zh-CN" w:bidi="ar-SA"/>
              </w:rPr>
              <w:t>房间内</w:t>
            </w:r>
            <w:r>
              <w:rPr>
                <w:rFonts w:ascii="Times New Roman" w:hAnsi="Times New Roman" w:cs="Times New Roman"/>
                <w:b w:val="0"/>
                <w:bCs w:val="0"/>
                <w:kern w:val="2"/>
                <w:lang w:val="en-US" w:bidi="ar-SA"/>
              </w:rPr>
              <w:t>。远离火种、热源。仓间温度不宜超过30℃。保持容器密闭。储存间内的照明、通风等设施应采用防爆型。配备相应品种和数量的消防器材；</w:t>
            </w:r>
          </w:p>
          <w:p w14:paraId="613C86A7">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kern w:val="2"/>
                <w:lang w:val="en-US" w:bidi="ar-SA"/>
              </w:rPr>
              <w:t>h.各种固体危险废物在场内按指定区域分别堆存，并设置明显的危险废物标识，盛装危险废物的容器上必须粘贴符合《危险废物储存污染控制标准》附录 A所示的标签。散落的固体危险废物及时回收，并清扫干净。</w:t>
            </w:r>
          </w:p>
          <w:p w14:paraId="5B2189AB">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kern w:val="2"/>
                <w:lang w:val="en-US" w:bidi="ar-SA"/>
              </w:rPr>
              <w:t>i.使用专用设施贮存，贮存前应进行检验，不应与不相容的废物混合，实行分类存放；</w:t>
            </w:r>
          </w:p>
          <w:p w14:paraId="778E9DF8">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kern w:val="2"/>
                <w:lang w:val="en-US" w:bidi="ar-SA"/>
              </w:rPr>
              <w:t>j.盛装容器应有足够的膨胀余量，预留容积应不少于总容积的5%；</w:t>
            </w:r>
          </w:p>
          <w:p w14:paraId="2703DA86">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kern w:val="2"/>
                <w:lang w:val="en-US" w:bidi="ar-SA"/>
              </w:rPr>
              <w:t>k.基础整体采用至少2mm厚HDPE或其他人工材料进行防渗处理，防渗系数不大于1.0×10</w:t>
            </w:r>
            <w:r>
              <w:rPr>
                <w:rFonts w:ascii="Times New Roman" w:hAnsi="Times New Roman" w:cs="Times New Roman"/>
                <w:b w:val="0"/>
                <w:bCs w:val="0"/>
                <w:kern w:val="2"/>
                <w:vertAlign w:val="superscript"/>
                <w:lang w:val="en-US" w:bidi="ar-SA"/>
              </w:rPr>
              <w:t>-10</w:t>
            </w:r>
            <w:r>
              <w:rPr>
                <w:rFonts w:ascii="Times New Roman" w:hAnsi="Times New Roman" w:cs="Times New Roman"/>
                <w:b w:val="0"/>
                <w:bCs w:val="0"/>
                <w:kern w:val="2"/>
                <w:lang w:val="en-US" w:bidi="ar-SA"/>
              </w:rPr>
              <w:t>cm/s；地面及墙身1.5m高整体涂刷绿色环氧树脂地坪漆2遍，地面、裙角、导流槽、集液池、围堰防渗层为2mm厚高密度聚乙烯，或至少2mm厚</w:t>
            </w:r>
            <w:r>
              <w:rPr>
                <w:rFonts w:hint="eastAsia" w:ascii="Times New Roman" w:hAnsi="Times New Roman" w:cs="Times New Roman"/>
                <w:b w:val="0"/>
                <w:bCs w:val="0"/>
                <w:kern w:val="2"/>
                <w:lang w:val="en-US" w:eastAsia="zh-CN" w:bidi="ar-SA"/>
              </w:rPr>
              <w:t>的其他</w:t>
            </w:r>
            <w:r>
              <w:rPr>
                <w:rFonts w:ascii="Times New Roman" w:hAnsi="Times New Roman" w:cs="Times New Roman"/>
                <w:b w:val="0"/>
                <w:bCs w:val="0"/>
                <w:kern w:val="2"/>
                <w:lang w:val="en-US" w:bidi="ar-SA"/>
              </w:rPr>
              <w:t>人工材料，渗透系数≤10</w:t>
            </w:r>
            <w:r>
              <w:rPr>
                <w:rFonts w:ascii="Times New Roman" w:hAnsi="Times New Roman" w:cs="Times New Roman"/>
                <w:b w:val="0"/>
                <w:bCs w:val="0"/>
                <w:kern w:val="2"/>
                <w:vertAlign w:val="superscript"/>
                <w:lang w:val="en-US" w:bidi="ar-SA"/>
              </w:rPr>
              <w:t>-10</w:t>
            </w:r>
            <w:r>
              <w:rPr>
                <w:rFonts w:ascii="Times New Roman" w:hAnsi="Times New Roman" w:cs="Times New Roman"/>
                <w:b w:val="0"/>
                <w:bCs w:val="0"/>
                <w:kern w:val="2"/>
                <w:lang w:val="en-US" w:bidi="ar-SA"/>
              </w:rPr>
              <w:t>cm/s。</w:t>
            </w:r>
          </w:p>
          <w:p w14:paraId="791EC25A">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kern w:val="2"/>
                <w:lang w:val="en-US" w:bidi="ar-SA"/>
              </w:rPr>
              <w:t>②废矿物油泄漏的风险防范措施</w:t>
            </w:r>
          </w:p>
          <w:p w14:paraId="51F0046D">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kern w:val="2"/>
                <w:lang w:val="en-US" w:bidi="ar-SA"/>
              </w:rPr>
              <w:t>在收集废油时，工作人员应使用密封铁桶来进行收集，然后由专人专车将废矿物油运至危废库内，运输过程中如铁桶因破损发生泄漏，工作人员要及时更换新的容器，泄漏在车内的危废应及时清理，泄漏到土壤里要将已污染的土壤区域用铁锹挖走并放至专有的固体收集箱中密闭保存，待危废处置单位上门处理危废一同拉走。</w:t>
            </w:r>
          </w:p>
          <w:p w14:paraId="2761226A">
            <w:pPr>
              <w:pStyle w:val="25"/>
              <w:tabs>
                <w:tab w:val="left" w:pos="639"/>
              </w:tabs>
              <w:spacing w:line="360" w:lineRule="auto"/>
              <w:ind w:left="0" w:firstLine="480" w:firstLineChars="200"/>
              <w:jc w:val="both"/>
              <w:outlineLvl w:val="9"/>
              <w:rPr>
                <w:rFonts w:ascii="Times New Roman" w:hAnsi="Times New Roman" w:cs="Times New Roman"/>
                <w:b w:val="0"/>
                <w:bCs w:val="0"/>
                <w:kern w:val="2"/>
                <w:lang w:val="en-US" w:bidi="ar-SA"/>
              </w:rPr>
            </w:pPr>
            <w:r>
              <w:rPr>
                <w:rFonts w:ascii="Times New Roman" w:hAnsi="Times New Roman" w:cs="Times New Roman"/>
                <w:b w:val="0"/>
                <w:bCs w:val="0"/>
                <w:kern w:val="2"/>
                <w:lang w:val="en-US" w:bidi="ar-SA"/>
              </w:rPr>
              <w:t>③火灾防范措施</w:t>
            </w:r>
          </w:p>
          <w:p w14:paraId="6017E83E">
            <w:pPr>
              <w:pStyle w:val="5"/>
              <w:spacing w:line="360" w:lineRule="auto"/>
              <w:ind w:left="0" w:leftChars="0" w:firstLine="0" w:firstLineChars="0"/>
              <w:rPr>
                <w:b/>
                <w:bCs/>
                <w:kern w:val="24"/>
                <w:szCs w:val="24"/>
                <w:lang w:val="en-US" w:eastAsia="zh-CN"/>
              </w:rPr>
            </w:pPr>
            <w:r>
              <w:rPr>
                <w:kern w:val="2"/>
                <w:szCs w:val="24"/>
                <w:lang w:val="en-US" w:eastAsia="zh-CN"/>
              </w:rPr>
              <w:t>废矿物油属于可燃液体，闪点较高，一般情况较为稳定，但遇明火或高温可能发生火灾危险。本项目区内严禁明火。油类发生火灾使用干粉灭火，不会产生大量的液体。要求企业按照消防规定设置消防设施及灭火器材，包括干粉灭火器、消防沙、防护服、防毒面具等</w:t>
            </w:r>
            <w:r>
              <w:rPr>
                <w:b/>
                <w:bCs/>
                <w:kern w:val="24"/>
                <w:szCs w:val="24"/>
                <w:lang w:val="en-US" w:eastAsia="zh-CN"/>
              </w:rPr>
              <w:t>。</w:t>
            </w:r>
          </w:p>
          <w:p w14:paraId="1D8085F9">
            <w:pPr>
              <w:pStyle w:val="7"/>
              <w:adjustRightInd w:val="0"/>
              <w:snapToGrid w:val="0"/>
              <w:spacing w:line="360" w:lineRule="auto"/>
              <w:ind w:firstLine="0" w:firstLineChars="0"/>
              <w:rPr>
                <w:b/>
                <w:spacing w:val="4"/>
                <w:sz w:val="24"/>
              </w:rPr>
            </w:pPr>
            <w:r>
              <w:rPr>
                <w:b/>
                <w:spacing w:val="4"/>
                <w:sz w:val="24"/>
              </w:rPr>
              <w:t>7.环保投资</w:t>
            </w:r>
          </w:p>
          <w:p w14:paraId="33C8759D">
            <w:pPr>
              <w:spacing w:line="360" w:lineRule="auto"/>
              <w:ind w:firstLine="480" w:firstLineChars="200"/>
              <w:rPr>
                <w:b/>
                <w:bCs/>
                <w:szCs w:val="22"/>
              </w:rPr>
            </w:pPr>
            <w:r>
              <w:rPr>
                <w:bCs/>
                <w:sz w:val="24"/>
              </w:rPr>
              <w:t>本项目总投资3371.9万元，环保投资496.5万元，占总投资14.72%，本项目环保投资估算见表4-</w:t>
            </w:r>
            <w:r>
              <w:rPr>
                <w:rFonts w:hint="eastAsia"/>
                <w:bCs/>
                <w:sz w:val="24"/>
                <w:lang w:val="en-US" w:eastAsia="zh-CN"/>
              </w:rPr>
              <w:t>9</w:t>
            </w:r>
            <w:r>
              <w:rPr>
                <w:bCs/>
                <w:sz w:val="24"/>
              </w:rPr>
              <w:t>。</w:t>
            </w:r>
          </w:p>
          <w:p w14:paraId="55710ED8">
            <w:pPr>
              <w:pStyle w:val="16"/>
              <w:spacing w:before="24" w:after="24"/>
              <w:rPr>
                <w:rFonts w:eastAsia="宋体"/>
                <w:color w:val="auto"/>
              </w:rPr>
            </w:pPr>
            <w:r>
              <w:rPr>
                <w:rFonts w:eastAsia="宋体"/>
              </w:rPr>
              <w:t>表4-</w:t>
            </w:r>
            <w:r>
              <w:rPr>
                <w:rFonts w:hint="eastAsia" w:eastAsia="宋体"/>
                <w:lang w:val="en-US" w:eastAsia="zh-CN"/>
              </w:rPr>
              <w:t>9</w:t>
            </w:r>
            <w:r>
              <w:rPr>
                <w:rFonts w:eastAsia="宋体"/>
              </w:rPr>
              <w:t xml:space="preserve"> </w:t>
            </w:r>
            <w:r>
              <w:rPr>
                <w:rFonts w:eastAsia="宋体"/>
                <w:color w:val="auto"/>
              </w:rPr>
              <w:t xml:space="preserve"> 环保措施及投资估算一览表</w:t>
            </w:r>
          </w:p>
          <w:tbl>
            <w:tblPr>
              <w:tblStyle w:val="1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36"/>
              <w:gridCol w:w="957"/>
              <w:gridCol w:w="4249"/>
              <w:gridCol w:w="1891"/>
            </w:tblGrid>
            <w:tr w14:paraId="0F977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27" w:type="pct"/>
                  <w:noWrap w:val="0"/>
                  <w:vAlign w:val="center"/>
                </w:tcPr>
                <w:p w14:paraId="24195A05">
                  <w:pPr>
                    <w:pStyle w:val="26"/>
                    <w:ind w:left="21" w:right="21"/>
                    <w:rPr>
                      <w:b/>
                      <w:bCs/>
                      <w:color w:val="auto"/>
                    </w:rPr>
                  </w:pPr>
                  <w:r>
                    <w:rPr>
                      <w:b/>
                      <w:bCs/>
                      <w:color w:val="auto"/>
                    </w:rPr>
                    <w:t>序号</w:t>
                  </w:r>
                </w:p>
              </w:tc>
              <w:tc>
                <w:tcPr>
                  <w:tcW w:w="602" w:type="pct"/>
                  <w:noWrap w:val="0"/>
                  <w:vAlign w:val="center"/>
                </w:tcPr>
                <w:p w14:paraId="42911118">
                  <w:pPr>
                    <w:pStyle w:val="26"/>
                    <w:ind w:left="21" w:right="21"/>
                    <w:rPr>
                      <w:b/>
                      <w:bCs/>
                      <w:color w:val="auto"/>
                    </w:rPr>
                  </w:pPr>
                  <w:r>
                    <w:rPr>
                      <w:b/>
                      <w:bCs/>
                      <w:color w:val="auto"/>
                    </w:rPr>
                    <w:t>项目</w:t>
                  </w:r>
                </w:p>
              </w:tc>
              <w:tc>
                <w:tcPr>
                  <w:tcW w:w="2677" w:type="pct"/>
                  <w:noWrap w:val="0"/>
                  <w:vAlign w:val="center"/>
                </w:tcPr>
                <w:p w14:paraId="2D12F5FA">
                  <w:pPr>
                    <w:pStyle w:val="26"/>
                    <w:ind w:left="21" w:right="21"/>
                    <w:rPr>
                      <w:b/>
                      <w:bCs/>
                      <w:color w:val="auto"/>
                    </w:rPr>
                  </w:pPr>
                  <w:r>
                    <w:rPr>
                      <w:b/>
                      <w:bCs/>
                      <w:color w:val="auto"/>
                    </w:rPr>
                    <w:t>内容</w:t>
                  </w:r>
                </w:p>
              </w:tc>
              <w:tc>
                <w:tcPr>
                  <w:tcW w:w="1192" w:type="pct"/>
                  <w:noWrap w:val="0"/>
                  <w:vAlign w:val="center"/>
                </w:tcPr>
                <w:p w14:paraId="4DA42CB2">
                  <w:pPr>
                    <w:pStyle w:val="26"/>
                    <w:ind w:left="21" w:right="21"/>
                    <w:rPr>
                      <w:b/>
                      <w:bCs/>
                      <w:color w:val="auto"/>
                    </w:rPr>
                  </w:pPr>
                  <w:r>
                    <w:rPr>
                      <w:b/>
                      <w:bCs/>
                      <w:color w:val="auto"/>
                    </w:rPr>
                    <w:t>投资（万元）</w:t>
                  </w:r>
                </w:p>
              </w:tc>
            </w:tr>
            <w:tr w14:paraId="51873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27" w:type="pct"/>
                  <w:vMerge w:val="restart"/>
                  <w:noWrap w:val="0"/>
                  <w:vAlign w:val="center"/>
                </w:tcPr>
                <w:p w14:paraId="17D636C2">
                  <w:pPr>
                    <w:pStyle w:val="26"/>
                    <w:ind w:left="21" w:right="21"/>
                    <w:rPr>
                      <w:color w:val="auto"/>
                    </w:rPr>
                  </w:pPr>
                  <w:r>
                    <w:rPr>
                      <w:color w:val="auto"/>
                    </w:rPr>
                    <w:t>1</w:t>
                  </w:r>
                </w:p>
              </w:tc>
              <w:tc>
                <w:tcPr>
                  <w:tcW w:w="602" w:type="pct"/>
                  <w:vMerge w:val="restart"/>
                  <w:noWrap w:val="0"/>
                  <w:vAlign w:val="center"/>
                </w:tcPr>
                <w:p w14:paraId="65E54594">
                  <w:pPr>
                    <w:pStyle w:val="26"/>
                    <w:ind w:left="21" w:right="21"/>
                    <w:rPr>
                      <w:color w:val="auto"/>
                    </w:rPr>
                  </w:pPr>
                  <w:r>
                    <w:rPr>
                      <w:color w:val="auto"/>
                    </w:rPr>
                    <w:t>废气</w:t>
                  </w:r>
                </w:p>
              </w:tc>
              <w:tc>
                <w:tcPr>
                  <w:tcW w:w="2677" w:type="pct"/>
                  <w:noWrap w:val="0"/>
                  <w:vAlign w:val="center"/>
                </w:tcPr>
                <w:p w14:paraId="55592077">
                  <w:pPr>
                    <w:pStyle w:val="26"/>
                    <w:ind w:left="21" w:right="21"/>
                    <w:rPr>
                      <w:rFonts w:hint="default" w:eastAsia="宋体"/>
                      <w:color w:val="auto"/>
                      <w:lang w:val="en-US" w:eastAsia="zh-CN"/>
                    </w:rPr>
                  </w:pPr>
                  <w:r>
                    <w:rPr>
                      <w:color w:val="auto"/>
                    </w:rPr>
                    <w:t>2个集气罩+9套布袋除尘器+</w:t>
                  </w:r>
                  <w:r>
                    <w:rPr>
                      <w:rFonts w:hint="eastAsia"/>
                      <w:color w:val="auto"/>
                      <w:lang w:val="en-US" w:eastAsia="zh-CN"/>
                    </w:rPr>
                    <w:t>1</w:t>
                  </w:r>
                  <w:r>
                    <w:rPr>
                      <w:color w:val="auto"/>
                    </w:rPr>
                    <w:t>根15m排气筒</w:t>
                  </w:r>
                  <w:r>
                    <w:rPr>
                      <w:rFonts w:hint="eastAsia"/>
                      <w:color w:val="auto"/>
                      <w:lang w:eastAsia="zh-CN"/>
                    </w:rPr>
                    <w:t>（</w:t>
                  </w:r>
                  <w:r>
                    <w:rPr>
                      <w:rFonts w:hint="eastAsia"/>
                      <w:color w:val="auto"/>
                      <w:lang w:val="en-US" w:eastAsia="zh-CN"/>
                    </w:rPr>
                    <w:t>筒仓废气经布袋除尘器处理后经仓顶直接排出）</w:t>
                  </w:r>
                </w:p>
              </w:tc>
              <w:tc>
                <w:tcPr>
                  <w:tcW w:w="1192" w:type="pct"/>
                  <w:noWrap w:val="0"/>
                  <w:vAlign w:val="center"/>
                </w:tcPr>
                <w:p w14:paraId="6B84C4D5">
                  <w:pPr>
                    <w:pStyle w:val="26"/>
                    <w:ind w:left="21" w:right="21"/>
                    <w:rPr>
                      <w:color w:val="auto"/>
                    </w:rPr>
                  </w:pPr>
                  <w:r>
                    <w:rPr>
                      <w:color w:val="auto"/>
                    </w:rPr>
                    <w:t>146</w:t>
                  </w:r>
                </w:p>
              </w:tc>
            </w:tr>
            <w:tr w14:paraId="6EAEB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527" w:type="pct"/>
                  <w:vMerge w:val="continue"/>
                  <w:noWrap w:val="0"/>
                  <w:vAlign w:val="center"/>
                </w:tcPr>
                <w:p w14:paraId="2057E98C">
                  <w:pPr>
                    <w:pStyle w:val="26"/>
                    <w:ind w:left="21" w:right="21"/>
                    <w:rPr>
                      <w:color w:val="auto"/>
                    </w:rPr>
                  </w:pPr>
                </w:p>
              </w:tc>
              <w:tc>
                <w:tcPr>
                  <w:tcW w:w="602" w:type="pct"/>
                  <w:vMerge w:val="continue"/>
                  <w:noWrap w:val="0"/>
                  <w:vAlign w:val="center"/>
                </w:tcPr>
                <w:p w14:paraId="783CFACF">
                  <w:pPr>
                    <w:pStyle w:val="26"/>
                    <w:ind w:left="21" w:right="21"/>
                    <w:rPr>
                      <w:color w:val="auto"/>
                    </w:rPr>
                  </w:pPr>
                </w:p>
              </w:tc>
              <w:tc>
                <w:tcPr>
                  <w:tcW w:w="2677" w:type="pct"/>
                  <w:noWrap w:val="0"/>
                  <w:vAlign w:val="center"/>
                </w:tcPr>
                <w:p w14:paraId="13388DDF">
                  <w:pPr>
                    <w:pStyle w:val="26"/>
                    <w:ind w:left="21" w:right="21"/>
                    <w:rPr>
                      <w:color w:val="auto"/>
                    </w:rPr>
                  </w:pPr>
                  <w:r>
                    <w:rPr>
                      <w:color w:val="auto"/>
                    </w:rPr>
                    <w:t>洒水车*1</w:t>
                  </w:r>
                </w:p>
              </w:tc>
              <w:tc>
                <w:tcPr>
                  <w:tcW w:w="1192" w:type="pct"/>
                  <w:noWrap w:val="0"/>
                  <w:vAlign w:val="center"/>
                </w:tcPr>
                <w:p w14:paraId="42B4E0F8">
                  <w:pPr>
                    <w:pStyle w:val="26"/>
                    <w:ind w:left="21" w:right="21"/>
                    <w:rPr>
                      <w:color w:val="auto"/>
                    </w:rPr>
                  </w:pPr>
                  <w:r>
                    <w:rPr>
                      <w:color w:val="auto"/>
                    </w:rPr>
                    <w:t>30</w:t>
                  </w:r>
                </w:p>
              </w:tc>
            </w:tr>
            <w:tr w14:paraId="7518F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527" w:type="pct"/>
                  <w:vMerge w:val="continue"/>
                  <w:noWrap w:val="0"/>
                  <w:vAlign w:val="center"/>
                </w:tcPr>
                <w:p w14:paraId="6695FBCC">
                  <w:pPr>
                    <w:pStyle w:val="26"/>
                    <w:ind w:left="21" w:right="21"/>
                    <w:rPr>
                      <w:color w:val="auto"/>
                    </w:rPr>
                  </w:pPr>
                </w:p>
              </w:tc>
              <w:tc>
                <w:tcPr>
                  <w:tcW w:w="602" w:type="pct"/>
                  <w:vMerge w:val="continue"/>
                  <w:noWrap w:val="0"/>
                  <w:vAlign w:val="center"/>
                </w:tcPr>
                <w:p w14:paraId="76BDCFC4">
                  <w:pPr>
                    <w:pStyle w:val="26"/>
                    <w:ind w:left="21" w:right="21"/>
                    <w:rPr>
                      <w:color w:val="auto"/>
                    </w:rPr>
                  </w:pPr>
                </w:p>
              </w:tc>
              <w:tc>
                <w:tcPr>
                  <w:tcW w:w="2677" w:type="pct"/>
                  <w:noWrap w:val="0"/>
                  <w:vAlign w:val="center"/>
                </w:tcPr>
                <w:p w14:paraId="045BEB35">
                  <w:pPr>
                    <w:pStyle w:val="26"/>
                    <w:ind w:left="21" w:right="21"/>
                    <w:rPr>
                      <w:color w:val="auto"/>
                    </w:rPr>
                  </w:pPr>
                  <w:r>
                    <w:rPr>
                      <w:color w:val="auto"/>
                    </w:rPr>
                    <w:t>全封闭式原料棚、筒仓、输送带</w:t>
                  </w:r>
                </w:p>
              </w:tc>
              <w:tc>
                <w:tcPr>
                  <w:tcW w:w="1192" w:type="pct"/>
                  <w:noWrap w:val="0"/>
                  <w:vAlign w:val="center"/>
                </w:tcPr>
                <w:p w14:paraId="49F6E9DE">
                  <w:pPr>
                    <w:pStyle w:val="26"/>
                    <w:ind w:left="21" w:right="21"/>
                    <w:rPr>
                      <w:color w:val="auto"/>
                    </w:rPr>
                  </w:pPr>
                  <w:r>
                    <w:rPr>
                      <w:color w:val="auto"/>
                    </w:rPr>
                    <w:t>290</w:t>
                  </w:r>
                </w:p>
              </w:tc>
            </w:tr>
            <w:tr w14:paraId="76E51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jc w:val="center"/>
              </w:trPr>
              <w:tc>
                <w:tcPr>
                  <w:tcW w:w="527" w:type="pct"/>
                  <w:noWrap w:val="0"/>
                  <w:vAlign w:val="center"/>
                </w:tcPr>
                <w:p w14:paraId="1DC39838">
                  <w:pPr>
                    <w:pStyle w:val="26"/>
                    <w:ind w:left="21" w:right="21"/>
                    <w:rPr>
                      <w:color w:val="auto"/>
                    </w:rPr>
                  </w:pPr>
                  <w:r>
                    <w:rPr>
                      <w:color w:val="auto"/>
                    </w:rPr>
                    <w:t>2</w:t>
                  </w:r>
                </w:p>
              </w:tc>
              <w:tc>
                <w:tcPr>
                  <w:tcW w:w="602" w:type="pct"/>
                  <w:noWrap w:val="0"/>
                  <w:vAlign w:val="center"/>
                </w:tcPr>
                <w:p w14:paraId="64A9FE88">
                  <w:pPr>
                    <w:pStyle w:val="26"/>
                    <w:ind w:left="21" w:right="21"/>
                    <w:rPr>
                      <w:color w:val="auto"/>
                    </w:rPr>
                  </w:pPr>
                  <w:r>
                    <w:rPr>
                      <w:color w:val="auto"/>
                    </w:rPr>
                    <w:t>废水</w:t>
                  </w:r>
                </w:p>
              </w:tc>
              <w:tc>
                <w:tcPr>
                  <w:tcW w:w="2677" w:type="pct"/>
                  <w:noWrap w:val="0"/>
                  <w:vAlign w:val="center"/>
                </w:tcPr>
                <w:p w14:paraId="08A8C57E">
                  <w:pPr>
                    <w:pStyle w:val="26"/>
                    <w:ind w:left="21" w:right="21"/>
                    <w:rPr>
                      <w:color w:val="auto"/>
                    </w:rPr>
                  </w:pPr>
                  <w:r>
                    <w:rPr>
                      <w:color w:val="auto"/>
                    </w:rPr>
                    <w:t>设一座沉淀池</w:t>
                  </w:r>
                </w:p>
              </w:tc>
              <w:tc>
                <w:tcPr>
                  <w:tcW w:w="1192" w:type="pct"/>
                  <w:noWrap w:val="0"/>
                  <w:vAlign w:val="center"/>
                </w:tcPr>
                <w:p w14:paraId="09778A3D">
                  <w:pPr>
                    <w:pStyle w:val="26"/>
                    <w:ind w:left="21" w:right="21"/>
                    <w:rPr>
                      <w:color w:val="auto"/>
                    </w:rPr>
                  </w:pPr>
                  <w:r>
                    <w:rPr>
                      <w:color w:val="auto"/>
                    </w:rPr>
                    <w:t>10</w:t>
                  </w:r>
                </w:p>
              </w:tc>
            </w:tr>
            <w:tr w14:paraId="60C0A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27" w:type="pct"/>
                  <w:vMerge w:val="restart"/>
                  <w:noWrap w:val="0"/>
                  <w:vAlign w:val="center"/>
                </w:tcPr>
                <w:p w14:paraId="7EB74011">
                  <w:pPr>
                    <w:pStyle w:val="26"/>
                    <w:ind w:left="21" w:right="21"/>
                    <w:rPr>
                      <w:color w:val="auto"/>
                    </w:rPr>
                  </w:pPr>
                  <w:r>
                    <w:rPr>
                      <w:color w:val="auto"/>
                    </w:rPr>
                    <w:t>3</w:t>
                  </w:r>
                </w:p>
              </w:tc>
              <w:tc>
                <w:tcPr>
                  <w:tcW w:w="602" w:type="pct"/>
                  <w:vMerge w:val="restart"/>
                  <w:noWrap w:val="0"/>
                  <w:vAlign w:val="center"/>
                </w:tcPr>
                <w:p w14:paraId="7B72F5E3">
                  <w:pPr>
                    <w:pStyle w:val="26"/>
                    <w:ind w:left="21" w:right="21"/>
                    <w:rPr>
                      <w:color w:val="auto"/>
                    </w:rPr>
                  </w:pPr>
                  <w:r>
                    <w:rPr>
                      <w:color w:val="auto"/>
                    </w:rPr>
                    <w:t>固废</w:t>
                  </w:r>
                </w:p>
              </w:tc>
              <w:tc>
                <w:tcPr>
                  <w:tcW w:w="2677" w:type="pct"/>
                  <w:noWrap w:val="0"/>
                  <w:vAlign w:val="center"/>
                </w:tcPr>
                <w:p w14:paraId="7B3A2C7F">
                  <w:pPr>
                    <w:pStyle w:val="26"/>
                    <w:ind w:left="21" w:right="21"/>
                    <w:rPr>
                      <w:color w:val="auto"/>
                    </w:rPr>
                  </w:pPr>
                  <w:r>
                    <w:rPr>
                      <w:color w:val="auto"/>
                    </w:rPr>
                    <w:t>垃圾箱（生活垃圾）</w:t>
                  </w:r>
                </w:p>
              </w:tc>
              <w:tc>
                <w:tcPr>
                  <w:tcW w:w="1192" w:type="pct"/>
                  <w:noWrap w:val="0"/>
                  <w:vAlign w:val="center"/>
                </w:tcPr>
                <w:p w14:paraId="0B528158">
                  <w:pPr>
                    <w:pStyle w:val="26"/>
                    <w:ind w:left="21" w:right="21"/>
                    <w:rPr>
                      <w:color w:val="auto"/>
                    </w:rPr>
                  </w:pPr>
                  <w:r>
                    <w:rPr>
                      <w:color w:val="auto"/>
                    </w:rPr>
                    <w:t>0.5</w:t>
                  </w:r>
                </w:p>
              </w:tc>
            </w:tr>
            <w:tr w14:paraId="7F999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27" w:type="pct"/>
                  <w:vMerge w:val="continue"/>
                  <w:noWrap w:val="0"/>
                  <w:vAlign w:val="center"/>
                </w:tcPr>
                <w:p w14:paraId="70E97DA5">
                  <w:pPr>
                    <w:pStyle w:val="26"/>
                    <w:ind w:left="21" w:right="21"/>
                    <w:rPr>
                      <w:color w:val="auto"/>
                    </w:rPr>
                  </w:pPr>
                </w:p>
              </w:tc>
              <w:tc>
                <w:tcPr>
                  <w:tcW w:w="602" w:type="pct"/>
                  <w:vMerge w:val="continue"/>
                  <w:noWrap w:val="0"/>
                  <w:vAlign w:val="center"/>
                </w:tcPr>
                <w:p w14:paraId="34422CBE">
                  <w:pPr>
                    <w:pStyle w:val="26"/>
                    <w:ind w:left="21" w:right="21"/>
                    <w:rPr>
                      <w:color w:val="auto"/>
                    </w:rPr>
                  </w:pPr>
                </w:p>
              </w:tc>
              <w:tc>
                <w:tcPr>
                  <w:tcW w:w="2677" w:type="pct"/>
                  <w:noWrap w:val="0"/>
                  <w:vAlign w:val="center"/>
                </w:tcPr>
                <w:p w14:paraId="1A1CE990">
                  <w:pPr>
                    <w:pStyle w:val="26"/>
                    <w:ind w:left="21" w:right="21"/>
                    <w:rPr>
                      <w:color w:val="auto"/>
                    </w:rPr>
                  </w:pPr>
                  <w:r>
                    <w:rPr>
                      <w:color w:val="auto"/>
                    </w:rPr>
                    <w:t>危废库</w:t>
                  </w:r>
                </w:p>
              </w:tc>
              <w:tc>
                <w:tcPr>
                  <w:tcW w:w="1192" w:type="pct"/>
                  <w:noWrap w:val="0"/>
                  <w:vAlign w:val="center"/>
                </w:tcPr>
                <w:p w14:paraId="39F8D9C5">
                  <w:pPr>
                    <w:pStyle w:val="26"/>
                    <w:ind w:left="21" w:right="21"/>
                    <w:rPr>
                      <w:color w:val="auto"/>
                    </w:rPr>
                  </w:pPr>
                  <w:r>
                    <w:rPr>
                      <w:color w:val="auto"/>
                    </w:rPr>
                    <w:t>10</w:t>
                  </w:r>
                </w:p>
              </w:tc>
            </w:tr>
            <w:tr w14:paraId="4519A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527" w:type="pct"/>
                  <w:noWrap w:val="0"/>
                  <w:vAlign w:val="center"/>
                </w:tcPr>
                <w:p w14:paraId="3A15C1C6">
                  <w:pPr>
                    <w:pStyle w:val="26"/>
                    <w:ind w:left="21" w:right="21"/>
                    <w:rPr>
                      <w:color w:val="auto"/>
                    </w:rPr>
                  </w:pPr>
                  <w:r>
                    <w:rPr>
                      <w:color w:val="auto"/>
                    </w:rPr>
                    <w:t>4</w:t>
                  </w:r>
                </w:p>
              </w:tc>
              <w:tc>
                <w:tcPr>
                  <w:tcW w:w="602" w:type="pct"/>
                  <w:noWrap w:val="0"/>
                  <w:vAlign w:val="center"/>
                </w:tcPr>
                <w:p w14:paraId="50307ADB">
                  <w:pPr>
                    <w:pStyle w:val="26"/>
                    <w:ind w:left="21" w:right="21"/>
                    <w:rPr>
                      <w:color w:val="auto"/>
                    </w:rPr>
                  </w:pPr>
                  <w:r>
                    <w:rPr>
                      <w:color w:val="auto"/>
                    </w:rPr>
                    <w:t>噪声</w:t>
                  </w:r>
                </w:p>
              </w:tc>
              <w:tc>
                <w:tcPr>
                  <w:tcW w:w="2677" w:type="pct"/>
                  <w:noWrap w:val="0"/>
                  <w:vAlign w:val="center"/>
                </w:tcPr>
                <w:p w14:paraId="6D87A8CD">
                  <w:pPr>
                    <w:pStyle w:val="26"/>
                    <w:ind w:left="21" w:right="21"/>
                    <w:rPr>
                      <w:rFonts w:hint="eastAsia" w:eastAsia="宋体"/>
                      <w:color w:val="auto"/>
                      <w:lang w:val="en-US" w:eastAsia="zh-CN"/>
                    </w:rPr>
                  </w:pPr>
                  <w:r>
                    <w:rPr>
                      <w:color w:val="auto"/>
                    </w:rPr>
                    <w:t>选用低噪声设备、基础减</w:t>
                  </w:r>
                  <w:r>
                    <w:rPr>
                      <w:rFonts w:hint="eastAsia"/>
                      <w:color w:val="auto"/>
                      <w:lang w:val="en-US" w:eastAsia="zh-CN"/>
                    </w:rPr>
                    <w:t>振</w:t>
                  </w:r>
                </w:p>
              </w:tc>
              <w:tc>
                <w:tcPr>
                  <w:tcW w:w="1192" w:type="pct"/>
                  <w:noWrap w:val="0"/>
                  <w:vAlign w:val="center"/>
                </w:tcPr>
                <w:p w14:paraId="514C96A0">
                  <w:pPr>
                    <w:pStyle w:val="26"/>
                    <w:ind w:left="21" w:right="21"/>
                    <w:rPr>
                      <w:color w:val="auto"/>
                    </w:rPr>
                  </w:pPr>
                  <w:r>
                    <w:rPr>
                      <w:color w:val="auto"/>
                    </w:rPr>
                    <w:t>10</w:t>
                  </w:r>
                </w:p>
              </w:tc>
            </w:tr>
            <w:tr w14:paraId="1947F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30" w:type="pct"/>
                  <w:gridSpan w:val="2"/>
                  <w:noWrap w:val="0"/>
                  <w:vAlign w:val="center"/>
                </w:tcPr>
                <w:p w14:paraId="158B64AE">
                  <w:pPr>
                    <w:pStyle w:val="26"/>
                    <w:ind w:left="21" w:right="21"/>
                    <w:rPr>
                      <w:color w:val="auto"/>
                    </w:rPr>
                  </w:pPr>
                  <w:r>
                    <w:rPr>
                      <w:b/>
                      <w:bCs/>
                      <w:color w:val="auto"/>
                    </w:rPr>
                    <w:t>合计</w:t>
                  </w:r>
                </w:p>
              </w:tc>
              <w:tc>
                <w:tcPr>
                  <w:tcW w:w="2677" w:type="pct"/>
                  <w:noWrap w:val="0"/>
                  <w:vAlign w:val="center"/>
                </w:tcPr>
                <w:p w14:paraId="62127A05">
                  <w:pPr>
                    <w:pStyle w:val="26"/>
                    <w:ind w:left="21" w:right="21"/>
                    <w:rPr>
                      <w:color w:val="auto"/>
                    </w:rPr>
                  </w:pPr>
                  <w:r>
                    <w:rPr>
                      <w:color w:val="auto"/>
                    </w:rPr>
                    <w:t>/</w:t>
                  </w:r>
                </w:p>
              </w:tc>
              <w:tc>
                <w:tcPr>
                  <w:tcW w:w="1192" w:type="pct"/>
                  <w:noWrap w:val="0"/>
                  <w:vAlign w:val="center"/>
                </w:tcPr>
                <w:p w14:paraId="2281E6F0">
                  <w:pPr>
                    <w:pStyle w:val="26"/>
                    <w:ind w:left="21" w:right="21"/>
                    <w:rPr>
                      <w:color w:val="auto"/>
                    </w:rPr>
                  </w:pPr>
                  <w:r>
                    <w:rPr>
                      <w:color w:val="auto"/>
                    </w:rPr>
                    <w:t>496.5</w:t>
                  </w:r>
                </w:p>
              </w:tc>
            </w:tr>
          </w:tbl>
          <w:p w14:paraId="2C5C89A4"/>
          <w:p w14:paraId="573B2C17"/>
          <w:p w14:paraId="579C117C"/>
          <w:p w14:paraId="09D5FAC5"/>
          <w:p w14:paraId="501E3662"/>
          <w:p w14:paraId="6CF34F51">
            <w:pPr>
              <w:rPr>
                <w:rFonts w:hint="eastAsia"/>
                <w:lang w:val="en-US" w:eastAsia="zh-CN"/>
              </w:rPr>
            </w:pPr>
          </w:p>
          <w:p w14:paraId="0FDBB432">
            <w:pPr>
              <w:rPr>
                <w:rFonts w:hint="eastAsia"/>
                <w:lang w:val="en-US" w:eastAsia="zh-CN"/>
              </w:rPr>
            </w:pPr>
          </w:p>
          <w:p w14:paraId="4E92B730">
            <w:pPr>
              <w:rPr>
                <w:rFonts w:hint="eastAsia"/>
                <w:lang w:val="en-US" w:eastAsia="zh-CN"/>
              </w:rPr>
            </w:pPr>
          </w:p>
          <w:p w14:paraId="20968F58">
            <w:pPr>
              <w:rPr>
                <w:rFonts w:hint="eastAsia"/>
                <w:lang w:val="en-US" w:eastAsia="zh-CN"/>
              </w:rPr>
            </w:pPr>
          </w:p>
          <w:p w14:paraId="5FD30023">
            <w:pPr>
              <w:rPr>
                <w:rFonts w:hint="eastAsia"/>
                <w:lang w:val="en-US" w:eastAsia="zh-CN"/>
              </w:rPr>
            </w:pPr>
          </w:p>
          <w:p w14:paraId="2C6A0DBC">
            <w:pPr>
              <w:rPr>
                <w:rFonts w:hint="eastAsia"/>
                <w:lang w:val="en-US" w:eastAsia="zh-CN"/>
              </w:rPr>
            </w:pPr>
          </w:p>
          <w:p w14:paraId="0972A786">
            <w:pPr>
              <w:rPr>
                <w:rFonts w:hint="eastAsia"/>
                <w:lang w:val="en-US" w:eastAsia="zh-CN"/>
              </w:rPr>
            </w:pPr>
          </w:p>
          <w:p w14:paraId="2E9B79B0">
            <w:pPr>
              <w:rPr>
                <w:rFonts w:hint="eastAsia"/>
                <w:lang w:val="en-US" w:eastAsia="zh-CN"/>
              </w:rPr>
            </w:pPr>
          </w:p>
          <w:p w14:paraId="787BCC8E">
            <w:pPr>
              <w:rPr>
                <w:rFonts w:hint="eastAsia"/>
                <w:lang w:val="en-US" w:eastAsia="zh-CN"/>
              </w:rPr>
            </w:pPr>
          </w:p>
          <w:p w14:paraId="34C29D07">
            <w:pPr>
              <w:rPr>
                <w:rFonts w:hint="eastAsia"/>
                <w:lang w:val="en-US" w:eastAsia="zh-CN"/>
              </w:rPr>
            </w:pPr>
          </w:p>
          <w:p w14:paraId="15A90ED3">
            <w:pPr>
              <w:rPr>
                <w:rFonts w:hint="eastAsia"/>
                <w:lang w:val="en-US" w:eastAsia="zh-CN"/>
              </w:rPr>
            </w:pPr>
          </w:p>
          <w:p w14:paraId="585DD68F">
            <w:pPr>
              <w:rPr>
                <w:rFonts w:hint="eastAsia"/>
                <w:lang w:val="en-US" w:eastAsia="zh-CN"/>
              </w:rPr>
            </w:pPr>
          </w:p>
          <w:p w14:paraId="12B27813">
            <w:pPr>
              <w:rPr>
                <w:rFonts w:hint="eastAsia"/>
                <w:lang w:val="en-US" w:eastAsia="zh-CN"/>
              </w:rPr>
            </w:pPr>
          </w:p>
          <w:p w14:paraId="1B75EE2F">
            <w:pPr>
              <w:rPr>
                <w:rFonts w:hint="eastAsia"/>
                <w:lang w:val="en-US" w:eastAsia="zh-CN"/>
              </w:rPr>
            </w:pPr>
          </w:p>
          <w:p w14:paraId="71BA5353">
            <w:pPr>
              <w:rPr>
                <w:rFonts w:hint="eastAsia"/>
                <w:lang w:val="en-US" w:eastAsia="zh-CN"/>
              </w:rPr>
            </w:pPr>
          </w:p>
          <w:p w14:paraId="710DC045">
            <w:pPr>
              <w:rPr>
                <w:rFonts w:hint="eastAsia"/>
                <w:lang w:val="en-US" w:eastAsia="zh-CN"/>
              </w:rPr>
            </w:pPr>
          </w:p>
          <w:p w14:paraId="0C78EC48">
            <w:pPr>
              <w:rPr>
                <w:rFonts w:hint="eastAsia"/>
                <w:lang w:val="en-US" w:eastAsia="zh-CN"/>
              </w:rPr>
            </w:pPr>
          </w:p>
          <w:p w14:paraId="784C746D">
            <w:pPr>
              <w:rPr>
                <w:rFonts w:hint="eastAsia"/>
                <w:lang w:val="en-US" w:eastAsia="zh-CN"/>
              </w:rPr>
            </w:pPr>
          </w:p>
          <w:p w14:paraId="45DD5362">
            <w:pPr>
              <w:rPr>
                <w:rFonts w:hint="eastAsia"/>
                <w:lang w:val="en-US" w:eastAsia="zh-CN"/>
              </w:rPr>
            </w:pPr>
          </w:p>
          <w:p w14:paraId="5E972014">
            <w:pPr>
              <w:rPr>
                <w:rFonts w:hint="eastAsia"/>
                <w:lang w:val="en-US" w:eastAsia="zh-CN"/>
              </w:rPr>
            </w:pPr>
          </w:p>
          <w:p w14:paraId="265BBBF4">
            <w:pPr>
              <w:rPr>
                <w:rFonts w:hint="eastAsia"/>
                <w:lang w:val="en-US" w:eastAsia="zh-CN"/>
              </w:rPr>
            </w:pPr>
          </w:p>
          <w:p w14:paraId="16DC0D47">
            <w:pPr>
              <w:rPr>
                <w:rFonts w:hint="eastAsia" w:eastAsia="宋体"/>
                <w:lang w:val="en-US" w:eastAsia="zh-CN"/>
              </w:rPr>
            </w:pPr>
          </w:p>
          <w:p w14:paraId="7A6AA485"/>
          <w:p w14:paraId="7BEDF79E"/>
          <w:p w14:paraId="5B598B09"/>
          <w:p w14:paraId="2BBEEA3C"/>
          <w:p w14:paraId="08A19407"/>
        </w:tc>
      </w:tr>
    </w:tbl>
    <w:p w14:paraId="68B03CAE">
      <w:pPr>
        <w:adjustRightInd w:val="0"/>
        <w:snapToGrid w:val="0"/>
        <w:spacing w:line="360" w:lineRule="auto"/>
        <w:rPr>
          <w:b/>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2F464AC1">
      <w:pPr>
        <w:pStyle w:val="10"/>
        <w:jc w:val="center"/>
        <w:outlineLvl w:val="0"/>
        <w:rPr>
          <w:rFonts w:ascii="Times New Roman" w:hAnsi="Times New Roman"/>
          <w:snapToGrid w:val="0"/>
          <w:sz w:val="30"/>
          <w:szCs w:val="30"/>
        </w:rPr>
      </w:pPr>
      <w:r>
        <w:rPr>
          <w:rFonts w:ascii="Times New Roman" w:hAnsi="Times New Roman"/>
          <w:snapToGrid w:val="0"/>
          <w:sz w:val="30"/>
          <w:szCs w:val="30"/>
        </w:rPr>
        <w:t>五、</w:t>
      </w:r>
      <w:bookmarkStart w:id="5" w:name="_Hlk54167917"/>
      <w:r>
        <w:rPr>
          <w:rFonts w:ascii="Times New Roman" w:hAnsi="Times New Roman"/>
          <w:snapToGrid w:val="0"/>
          <w:sz w:val="30"/>
          <w:szCs w:val="30"/>
        </w:rPr>
        <w:t>环境保护措施监督检查清单</w:t>
      </w:r>
      <w:bookmarkEnd w:id="5"/>
    </w:p>
    <w:tbl>
      <w:tblPr>
        <w:tblStyle w:val="1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82"/>
        <w:gridCol w:w="1637"/>
        <w:gridCol w:w="1313"/>
        <w:gridCol w:w="1512"/>
        <w:gridCol w:w="2856"/>
      </w:tblGrid>
      <w:tr w14:paraId="694F41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82" w:type="dxa"/>
            <w:tcBorders>
              <w:tl2br w:val="single" w:color="auto" w:sz="4" w:space="0"/>
            </w:tcBorders>
            <w:noWrap w:val="0"/>
            <w:vAlign w:val="top"/>
          </w:tcPr>
          <w:p w14:paraId="1CDD9D6A">
            <w:pPr>
              <w:adjustRightInd w:val="0"/>
              <w:snapToGrid w:val="0"/>
              <w:ind w:firstLine="840"/>
              <w:rPr>
                <w:szCs w:val="21"/>
              </w:rPr>
            </w:pPr>
            <w:r>
              <w:rPr>
                <w:szCs w:val="21"/>
              </w:rPr>
              <w:t>内容</w:t>
            </w:r>
          </w:p>
          <w:p w14:paraId="0B916A5B">
            <w:pPr>
              <w:adjustRightInd w:val="0"/>
              <w:snapToGrid w:val="0"/>
              <w:rPr>
                <w:szCs w:val="21"/>
              </w:rPr>
            </w:pPr>
            <w:r>
              <w:rPr>
                <w:szCs w:val="21"/>
              </w:rPr>
              <w:t>要素</w:t>
            </w:r>
          </w:p>
        </w:tc>
        <w:tc>
          <w:tcPr>
            <w:tcW w:w="1637" w:type="dxa"/>
            <w:noWrap w:val="0"/>
            <w:vAlign w:val="center"/>
          </w:tcPr>
          <w:p w14:paraId="6737245D">
            <w:pPr>
              <w:adjustRightInd w:val="0"/>
              <w:snapToGrid w:val="0"/>
              <w:jc w:val="center"/>
              <w:rPr>
                <w:szCs w:val="21"/>
              </w:rPr>
            </w:pPr>
            <w:r>
              <w:rPr>
                <w:szCs w:val="21"/>
              </w:rPr>
              <w:t>排放口</w:t>
            </w:r>
            <w:r>
              <w:rPr>
                <w:rFonts w:hint="eastAsia"/>
                <w:szCs w:val="21"/>
                <w:lang w:eastAsia="zh-CN"/>
              </w:rPr>
              <w:t>（</w:t>
            </w:r>
            <w:r>
              <w:rPr>
                <w:szCs w:val="21"/>
              </w:rPr>
              <w:t>编号、</w:t>
            </w:r>
          </w:p>
          <w:p w14:paraId="7663CC78">
            <w:pPr>
              <w:adjustRightInd w:val="0"/>
              <w:snapToGrid w:val="0"/>
              <w:jc w:val="center"/>
              <w:rPr>
                <w:szCs w:val="21"/>
              </w:rPr>
            </w:pPr>
            <w:r>
              <w:rPr>
                <w:szCs w:val="21"/>
              </w:rPr>
              <w:t>名称</w:t>
            </w:r>
            <w:r>
              <w:rPr>
                <w:rFonts w:hint="eastAsia"/>
                <w:szCs w:val="21"/>
                <w:lang w:eastAsia="zh-CN"/>
              </w:rPr>
              <w:t>）</w:t>
            </w:r>
            <w:r>
              <w:rPr>
                <w:szCs w:val="21"/>
              </w:rPr>
              <w:t>/污染源</w:t>
            </w:r>
          </w:p>
        </w:tc>
        <w:tc>
          <w:tcPr>
            <w:tcW w:w="1313" w:type="dxa"/>
            <w:noWrap w:val="0"/>
            <w:vAlign w:val="center"/>
          </w:tcPr>
          <w:p w14:paraId="26055BC7">
            <w:pPr>
              <w:adjustRightInd w:val="0"/>
              <w:snapToGrid w:val="0"/>
              <w:jc w:val="center"/>
              <w:rPr>
                <w:szCs w:val="21"/>
              </w:rPr>
            </w:pPr>
            <w:r>
              <w:rPr>
                <w:szCs w:val="21"/>
              </w:rPr>
              <w:t>污染物项目</w:t>
            </w:r>
          </w:p>
        </w:tc>
        <w:tc>
          <w:tcPr>
            <w:tcW w:w="1512" w:type="dxa"/>
            <w:noWrap w:val="0"/>
            <w:vAlign w:val="center"/>
          </w:tcPr>
          <w:p w14:paraId="454A3656">
            <w:pPr>
              <w:adjustRightInd w:val="0"/>
              <w:snapToGrid w:val="0"/>
              <w:jc w:val="center"/>
              <w:rPr>
                <w:szCs w:val="21"/>
              </w:rPr>
            </w:pPr>
            <w:r>
              <w:rPr>
                <w:szCs w:val="21"/>
              </w:rPr>
              <w:t>环境保护措施</w:t>
            </w:r>
          </w:p>
        </w:tc>
        <w:tc>
          <w:tcPr>
            <w:tcW w:w="2856" w:type="dxa"/>
            <w:noWrap w:val="0"/>
            <w:vAlign w:val="center"/>
          </w:tcPr>
          <w:p w14:paraId="76AF63F5">
            <w:pPr>
              <w:adjustRightInd w:val="0"/>
              <w:snapToGrid w:val="0"/>
              <w:jc w:val="center"/>
              <w:rPr>
                <w:szCs w:val="21"/>
              </w:rPr>
            </w:pPr>
            <w:r>
              <w:rPr>
                <w:szCs w:val="21"/>
              </w:rPr>
              <w:t>执行标准</w:t>
            </w:r>
          </w:p>
        </w:tc>
      </w:tr>
      <w:tr w14:paraId="5B3F56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82" w:type="dxa"/>
            <w:vMerge w:val="restart"/>
            <w:noWrap w:val="0"/>
            <w:vAlign w:val="center"/>
          </w:tcPr>
          <w:p w14:paraId="466BF4F2">
            <w:pPr>
              <w:adjustRightInd w:val="0"/>
              <w:snapToGrid w:val="0"/>
              <w:jc w:val="center"/>
              <w:rPr>
                <w:szCs w:val="21"/>
              </w:rPr>
            </w:pPr>
            <w:r>
              <w:rPr>
                <w:szCs w:val="21"/>
              </w:rPr>
              <w:t>大气环境</w:t>
            </w:r>
          </w:p>
        </w:tc>
        <w:tc>
          <w:tcPr>
            <w:tcW w:w="1637" w:type="dxa"/>
            <w:noWrap w:val="0"/>
            <w:vAlign w:val="center"/>
          </w:tcPr>
          <w:p w14:paraId="678E7D88">
            <w:pPr>
              <w:adjustRightInd w:val="0"/>
              <w:snapToGrid w:val="0"/>
              <w:jc w:val="center"/>
              <w:rPr>
                <w:szCs w:val="21"/>
              </w:rPr>
            </w:pPr>
            <w:r>
              <w:rPr>
                <w:szCs w:val="21"/>
              </w:rPr>
              <w:t>排气筒1</w:t>
            </w:r>
          </w:p>
        </w:tc>
        <w:tc>
          <w:tcPr>
            <w:tcW w:w="1313" w:type="dxa"/>
            <w:noWrap w:val="0"/>
            <w:vAlign w:val="center"/>
          </w:tcPr>
          <w:p w14:paraId="1A3C46EC">
            <w:pPr>
              <w:adjustRightInd w:val="0"/>
              <w:snapToGrid w:val="0"/>
              <w:jc w:val="center"/>
              <w:rPr>
                <w:szCs w:val="21"/>
              </w:rPr>
            </w:pPr>
            <w:r>
              <w:rPr>
                <w:szCs w:val="21"/>
              </w:rPr>
              <w:t>颗粒物</w:t>
            </w:r>
          </w:p>
        </w:tc>
        <w:tc>
          <w:tcPr>
            <w:tcW w:w="1512" w:type="dxa"/>
            <w:noWrap w:val="0"/>
            <w:vAlign w:val="center"/>
          </w:tcPr>
          <w:p w14:paraId="6B3F1F4C">
            <w:pPr>
              <w:adjustRightInd w:val="0"/>
              <w:snapToGrid w:val="0"/>
              <w:jc w:val="center"/>
              <w:rPr>
                <w:szCs w:val="21"/>
              </w:rPr>
            </w:pPr>
            <w:r>
              <w:rPr>
                <w:szCs w:val="21"/>
              </w:rPr>
              <w:t>集尘罩+布袋除尘器</w:t>
            </w:r>
          </w:p>
        </w:tc>
        <w:tc>
          <w:tcPr>
            <w:tcW w:w="2856" w:type="dxa"/>
            <w:noWrap w:val="0"/>
            <w:vAlign w:val="center"/>
          </w:tcPr>
          <w:p w14:paraId="4DB078B7">
            <w:pPr>
              <w:adjustRightInd w:val="0"/>
              <w:snapToGrid w:val="0"/>
              <w:jc w:val="center"/>
              <w:rPr>
                <w:szCs w:val="21"/>
              </w:rPr>
            </w:pPr>
            <w:r>
              <w:rPr>
                <w:kern w:val="0"/>
                <w:szCs w:val="21"/>
              </w:rPr>
              <w:t>《大气污染物综合排</w:t>
            </w:r>
            <w:r>
              <w:rPr>
                <w:kern w:val="24"/>
                <w:szCs w:val="21"/>
              </w:rPr>
              <w:t>放标准》（GB16297-1996）表2中排放浓度限值</w:t>
            </w:r>
          </w:p>
        </w:tc>
      </w:tr>
      <w:tr w14:paraId="74AE7C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82" w:type="dxa"/>
            <w:vMerge w:val="continue"/>
            <w:noWrap w:val="0"/>
            <w:vAlign w:val="center"/>
          </w:tcPr>
          <w:p w14:paraId="6A0D865B">
            <w:pPr>
              <w:adjustRightInd w:val="0"/>
              <w:snapToGrid w:val="0"/>
              <w:jc w:val="center"/>
              <w:rPr>
                <w:szCs w:val="21"/>
              </w:rPr>
            </w:pPr>
          </w:p>
        </w:tc>
        <w:tc>
          <w:tcPr>
            <w:tcW w:w="1637" w:type="dxa"/>
            <w:noWrap w:val="0"/>
            <w:vAlign w:val="center"/>
          </w:tcPr>
          <w:p w14:paraId="2BF8C4CD">
            <w:pPr>
              <w:adjustRightInd w:val="0"/>
              <w:snapToGrid w:val="0"/>
              <w:jc w:val="center"/>
              <w:rPr>
                <w:szCs w:val="21"/>
              </w:rPr>
            </w:pPr>
            <w:r>
              <w:rPr>
                <w:szCs w:val="21"/>
              </w:rPr>
              <w:t>排气筒2-5</w:t>
            </w:r>
          </w:p>
        </w:tc>
        <w:tc>
          <w:tcPr>
            <w:tcW w:w="1313" w:type="dxa"/>
            <w:noWrap w:val="0"/>
            <w:vAlign w:val="center"/>
          </w:tcPr>
          <w:p w14:paraId="2F87F4BF">
            <w:pPr>
              <w:adjustRightInd w:val="0"/>
              <w:snapToGrid w:val="0"/>
              <w:jc w:val="center"/>
              <w:rPr>
                <w:szCs w:val="21"/>
              </w:rPr>
            </w:pPr>
            <w:r>
              <w:rPr>
                <w:szCs w:val="21"/>
              </w:rPr>
              <w:t>颗粒物</w:t>
            </w:r>
          </w:p>
        </w:tc>
        <w:tc>
          <w:tcPr>
            <w:tcW w:w="1512" w:type="dxa"/>
            <w:noWrap w:val="0"/>
            <w:vAlign w:val="center"/>
          </w:tcPr>
          <w:p w14:paraId="003587A0">
            <w:pPr>
              <w:adjustRightInd w:val="0"/>
              <w:snapToGrid w:val="0"/>
              <w:jc w:val="center"/>
              <w:rPr>
                <w:szCs w:val="21"/>
              </w:rPr>
            </w:pPr>
            <w:r>
              <w:rPr>
                <w:szCs w:val="21"/>
              </w:rPr>
              <w:t>布袋除尘器</w:t>
            </w:r>
          </w:p>
        </w:tc>
        <w:tc>
          <w:tcPr>
            <w:tcW w:w="2856" w:type="dxa"/>
            <w:noWrap w:val="0"/>
            <w:vAlign w:val="center"/>
          </w:tcPr>
          <w:p w14:paraId="04DED250">
            <w:pPr>
              <w:adjustRightInd w:val="0"/>
              <w:snapToGrid w:val="0"/>
              <w:jc w:val="center"/>
              <w:rPr>
                <w:szCs w:val="21"/>
              </w:rPr>
            </w:pPr>
            <w:r>
              <w:rPr>
                <w:kern w:val="0"/>
                <w:szCs w:val="21"/>
              </w:rPr>
              <w:t>《水泥工业大气污染物排放标准》（GB4915-2013）表2中大气污染物特别排放限值</w:t>
            </w:r>
          </w:p>
        </w:tc>
      </w:tr>
      <w:tr w14:paraId="359C50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82" w:type="dxa"/>
            <w:vMerge w:val="continue"/>
            <w:noWrap w:val="0"/>
            <w:vAlign w:val="center"/>
          </w:tcPr>
          <w:p w14:paraId="494424FF">
            <w:pPr>
              <w:adjustRightInd w:val="0"/>
              <w:snapToGrid w:val="0"/>
              <w:jc w:val="center"/>
              <w:rPr>
                <w:szCs w:val="21"/>
              </w:rPr>
            </w:pPr>
          </w:p>
        </w:tc>
        <w:tc>
          <w:tcPr>
            <w:tcW w:w="1637" w:type="dxa"/>
            <w:noWrap w:val="0"/>
            <w:vAlign w:val="center"/>
          </w:tcPr>
          <w:p w14:paraId="0E2D1E75">
            <w:pPr>
              <w:adjustRightInd w:val="0"/>
              <w:snapToGrid w:val="0"/>
              <w:jc w:val="center"/>
              <w:rPr>
                <w:szCs w:val="21"/>
              </w:rPr>
            </w:pPr>
            <w:r>
              <w:rPr>
                <w:szCs w:val="21"/>
              </w:rPr>
              <w:t>排气筒6-9</w:t>
            </w:r>
          </w:p>
        </w:tc>
        <w:tc>
          <w:tcPr>
            <w:tcW w:w="1313" w:type="dxa"/>
            <w:noWrap w:val="0"/>
            <w:vAlign w:val="center"/>
          </w:tcPr>
          <w:p w14:paraId="115CD7B5">
            <w:pPr>
              <w:adjustRightInd w:val="0"/>
              <w:snapToGrid w:val="0"/>
              <w:jc w:val="center"/>
              <w:rPr>
                <w:szCs w:val="21"/>
              </w:rPr>
            </w:pPr>
            <w:r>
              <w:rPr>
                <w:szCs w:val="21"/>
              </w:rPr>
              <w:t>颗粒物</w:t>
            </w:r>
          </w:p>
        </w:tc>
        <w:tc>
          <w:tcPr>
            <w:tcW w:w="1512" w:type="dxa"/>
            <w:noWrap w:val="0"/>
            <w:vAlign w:val="center"/>
          </w:tcPr>
          <w:p w14:paraId="624B5B5F">
            <w:pPr>
              <w:adjustRightInd w:val="0"/>
              <w:snapToGrid w:val="0"/>
              <w:jc w:val="center"/>
              <w:rPr>
                <w:szCs w:val="21"/>
              </w:rPr>
            </w:pPr>
            <w:r>
              <w:rPr>
                <w:szCs w:val="21"/>
              </w:rPr>
              <w:t>布袋除尘器</w:t>
            </w:r>
          </w:p>
        </w:tc>
        <w:tc>
          <w:tcPr>
            <w:tcW w:w="2856" w:type="dxa"/>
            <w:noWrap w:val="0"/>
            <w:vAlign w:val="center"/>
          </w:tcPr>
          <w:p w14:paraId="6514C02B">
            <w:pPr>
              <w:adjustRightInd w:val="0"/>
              <w:snapToGrid w:val="0"/>
              <w:jc w:val="center"/>
              <w:rPr>
                <w:szCs w:val="21"/>
              </w:rPr>
            </w:pPr>
            <w:r>
              <w:rPr>
                <w:kern w:val="0"/>
                <w:szCs w:val="21"/>
              </w:rPr>
              <w:t>《大气污染物综合排</w:t>
            </w:r>
            <w:r>
              <w:rPr>
                <w:kern w:val="24"/>
                <w:szCs w:val="21"/>
              </w:rPr>
              <w:t>放标准》（GB16297-1996）表2中排放浓度限值</w:t>
            </w:r>
          </w:p>
        </w:tc>
      </w:tr>
      <w:tr w14:paraId="5651F6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82" w:type="dxa"/>
            <w:vMerge w:val="continue"/>
            <w:noWrap w:val="0"/>
            <w:vAlign w:val="center"/>
          </w:tcPr>
          <w:p w14:paraId="29DD9B9D">
            <w:pPr>
              <w:adjustRightInd w:val="0"/>
              <w:snapToGrid w:val="0"/>
              <w:jc w:val="center"/>
              <w:rPr>
                <w:szCs w:val="21"/>
              </w:rPr>
            </w:pPr>
          </w:p>
        </w:tc>
        <w:tc>
          <w:tcPr>
            <w:tcW w:w="1637" w:type="dxa"/>
            <w:noWrap w:val="0"/>
            <w:vAlign w:val="top"/>
          </w:tcPr>
          <w:p w14:paraId="4964FC3B">
            <w:pPr>
              <w:pStyle w:val="5"/>
              <w:ind w:left="0" w:leftChars="0" w:firstLine="0" w:firstLineChars="0"/>
              <w:rPr>
                <w:sz w:val="21"/>
                <w:szCs w:val="21"/>
                <w:lang w:val="en-US" w:eastAsia="zh-CN"/>
              </w:rPr>
            </w:pPr>
            <w:r>
              <w:rPr>
                <w:sz w:val="21"/>
                <w:szCs w:val="21"/>
                <w:lang w:val="en-US" w:eastAsia="zh-CN"/>
              </w:rPr>
              <w:t>机制砂破碎筛分无组织粉尘</w:t>
            </w:r>
          </w:p>
        </w:tc>
        <w:tc>
          <w:tcPr>
            <w:tcW w:w="1313" w:type="dxa"/>
            <w:noWrap w:val="0"/>
            <w:vAlign w:val="center"/>
          </w:tcPr>
          <w:p w14:paraId="3AE94477">
            <w:pPr>
              <w:adjustRightInd w:val="0"/>
              <w:snapToGrid w:val="0"/>
              <w:jc w:val="center"/>
              <w:rPr>
                <w:szCs w:val="21"/>
              </w:rPr>
            </w:pPr>
            <w:r>
              <w:rPr>
                <w:szCs w:val="21"/>
              </w:rPr>
              <w:t>颗粒物</w:t>
            </w:r>
          </w:p>
        </w:tc>
        <w:tc>
          <w:tcPr>
            <w:tcW w:w="1512" w:type="dxa"/>
            <w:noWrap w:val="0"/>
            <w:vAlign w:val="center"/>
          </w:tcPr>
          <w:p w14:paraId="09A99C9E">
            <w:pPr>
              <w:adjustRightInd w:val="0"/>
              <w:snapToGrid w:val="0"/>
              <w:jc w:val="center"/>
              <w:rPr>
                <w:szCs w:val="21"/>
              </w:rPr>
            </w:pPr>
            <w:r>
              <w:rPr>
                <w:szCs w:val="21"/>
              </w:rPr>
              <w:t>全封闭料棚+洒水</w:t>
            </w:r>
          </w:p>
        </w:tc>
        <w:tc>
          <w:tcPr>
            <w:tcW w:w="2856" w:type="dxa"/>
            <w:noWrap w:val="0"/>
            <w:vAlign w:val="center"/>
          </w:tcPr>
          <w:p w14:paraId="640166FB">
            <w:pPr>
              <w:adjustRightInd w:val="0"/>
              <w:snapToGrid w:val="0"/>
              <w:jc w:val="center"/>
              <w:rPr>
                <w:kern w:val="0"/>
                <w:szCs w:val="21"/>
              </w:rPr>
            </w:pPr>
            <w:r>
              <w:rPr>
                <w:kern w:val="0"/>
                <w:szCs w:val="21"/>
              </w:rPr>
              <w:t>《大气污染物综合排</w:t>
            </w:r>
            <w:r>
              <w:rPr>
                <w:kern w:val="24"/>
                <w:szCs w:val="21"/>
              </w:rPr>
              <w:t>放标准》（GB16297-1996）表2中排放浓度限值</w:t>
            </w:r>
          </w:p>
        </w:tc>
      </w:tr>
      <w:tr w14:paraId="148F61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82" w:type="dxa"/>
            <w:vMerge w:val="continue"/>
            <w:noWrap w:val="0"/>
            <w:vAlign w:val="center"/>
          </w:tcPr>
          <w:p w14:paraId="109FAC05">
            <w:pPr>
              <w:adjustRightInd w:val="0"/>
              <w:snapToGrid w:val="0"/>
              <w:jc w:val="center"/>
              <w:rPr>
                <w:szCs w:val="21"/>
              </w:rPr>
            </w:pPr>
          </w:p>
        </w:tc>
        <w:tc>
          <w:tcPr>
            <w:tcW w:w="1637" w:type="dxa"/>
            <w:noWrap w:val="0"/>
            <w:vAlign w:val="top"/>
          </w:tcPr>
          <w:p w14:paraId="2C861600">
            <w:pPr>
              <w:pStyle w:val="5"/>
              <w:ind w:left="0" w:leftChars="0" w:firstLine="0" w:firstLineChars="0"/>
              <w:rPr>
                <w:sz w:val="21"/>
                <w:szCs w:val="21"/>
                <w:lang w:val="en-US" w:eastAsia="zh-CN"/>
              </w:rPr>
            </w:pPr>
            <w:r>
              <w:rPr>
                <w:sz w:val="21"/>
                <w:szCs w:val="21"/>
                <w:lang w:val="en-US" w:eastAsia="zh-CN"/>
              </w:rPr>
              <w:t>砂石装卸无组织粉尘</w:t>
            </w:r>
          </w:p>
        </w:tc>
        <w:tc>
          <w:tcPr>
            <w:tcW w:w="1313" w:type="dxa"/>
            <w:noWrap w:val="0"/>
            <w:vAlign w:val="center"/>
          </w:tcPr>
          <w:p w14:paraId="3DC76288">
            <w:pPr>
              <w:adjustRightInd w:val="0"/>
              <w:snapToGrid w:val="0"/>
              <w:jc w:val="center"/>
              <w:rPr>
                <w:szCs w:val="21"/>
              </w:rPr>
            </w:pPr>
            <w:r>
              <w:rPr>
                <w:szCs w:val="21"/>
              </w:rPr>
              <w:t>颗粒物</w:t>
            </w:r>
          </w:p>
        </w:tc>
        <w:tc>
          <w:tcPr>
            <w:tcW w:w="1512" w:type="dxa"/>
            <w:noWrap w:val="0"/>
            <w:vAlign w:val="center"/>
          </w:tcPr>
          <w:p w14:paraId="5E5D78D4">
            <w:pPr>
              <w:adjustRightInd w:val="0"/>
              <w:snapToGrid w:val="0"/>
              <w:jc w:val="center"/>
              <w:rPr>
                <w:szCs w:val="21"/>
              </w:rPr>
            </w:pPr>
            <w:r>
              <w:rPr>
                <w:szCs w:val="21"/>
              </w:rPr>
              <w:t>全封闭料棚+洒水</w:t>
            </w:r>
          </w:p>
        </w:tc>
        <w:tc>
          <w:tcPr>
            <w:tcW w:w="2856" w:type="dxa"/>
            <w:noWrap w:val="0"/>
            <w:vAlign w:val="center"/>
          </w:tcPr>
          <w:p w14:paraId="4471FDD4">
            <w:pPr>
              <w:adjustRightInd w:val="0"/>
              <w:snapToGrid w:val="0"/>
              <w:jc w:val="center"/>
              <w:rPr>
                <w:kern w:val="0"/>
                <w:szCs w:val="21"/>
              </w:rPr>
            </w:pPr>
            <w:r>
              <w:rPr>
                <w:kern w:val="0"/>
                <w:szCs w:val="21"/>
              </w:rPr>
              <w:t>《大气污染物综合排</w:t>
            </w:r>
            <w:r>
              <w:rPr>
                <w:kern w:val="24"/>
                <w:szCs w:val="21"/>
              </w:rPr>
              <w:t>放标准》（GB16297-1996）表2中排放浓度限值</w:t>
            </w:r>
          </w:p>
        </w:tc>
      </w:tr>
      <w:tr w14:paraId="604BC7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1482" w:type="dxa"/>
            <w:vMerge w:val="restart"/>
            <w:noWrap w:val="0"/>
            <w:vAlign w:val="center"/>
          </w:tcPr>
          <w:p w14:paraId="6C1722FC">
            <w:pPr>
              <w:adjustRightInd w:val="0"/>
              <w:snapToGrid w:val="0"/>
              <w:jc w:val="center"/>
              <w:rPr>
                <w:szCs w:val="21"/>
              </w:rPr>
            </w:pPr>
            <w:r>
              <w:rPr>
                <w:szCs w:val="21"/>
              </w:rPr>
              <w:t>地表水环境</w:t>
            </w:r>
          </w:p>
        </w:tc>
        <w:tc>
          <w:tcPr>
            <w:tcW w:w="1637" w:type="dxa"/>
            <w:noWrap w:val="0"/>
            <w:vAlign w:val="center"/>
          </w:tcPr>
          <w:p w14:paraId="3C83113C">
            <w:pPr>
              <w:pStyle w:val="27"/>
              <w:rPr>
                <w:rFonts w:hint="default" w:cs="Times New Roman"/>
                <w:b w:val="0"/>
                <w:bCs w:val="0"/>
                <w:szCs w:val="21"/>
              </w:rPr>
            </w:pPr>
            <w:r>
              <w:rPr>
                <w:rFonts w:hint="default" w:cs="Times New Roman"/>
                <w:b w:val="0"/>
                <w:bCs w:val="0"/>
                <w:szCs w:val="21"/>
              </w:rPr>
              <w:t>设备冲洗水</w:t>
            </w:r>
          </w:p>
        </w:tc>
        <w:tc>
          <w:tcPr>
            <w:tcW w:w="1313" w:type="dxa"/>
            <w:noWrap w:val="0"/>
            <w:vAlign w:val="center"/>
          </w:tcPr>
          <w:p w14:paraId="59E768F1">
            <w:pPr>
              <w:pStyle w:val="27"/>
              <w:rPr>
                <w:rFonts w:hint="default" w:cs="Times New Roman"/>
                <w:b w:val="0"/>
                <w:bCs w:val="0"/>
                <w:szCs w:val="21"/>
              </w:rPr>
            </w:pPr>
            <w:r>
              <w:rPr>
                <w:rFonts w:hint="default" w:cs="Times New Roman"/>
                <w:b w:val="0"/>
                <w:bCs w:val="0"/>
                <w:szCs w:val="21"/>
              </w:rPr>
              <w:t>SS</w:t>
            </w:r>
          </w:p>
        </w:tc>
        <w:tc>
          <w:tcPr>
            <w:tcW w:w="1512" w:type="dxa"/>
            <w:noWrap w:val="0"/>
            <w:vAlign w:val="center"/>
          </w:tcPr>
          <w:p w14:paraId="6813D6C5">
            <w:pPr>
              <w:pStyle w:val="27"/>
              <w:rPr>
                <w:rFonts w:hint="default" w:cs="Times New Roman"/>
                <w:b w:val="0"/>
                <w:bCs w:val="0"/>
                <w:szCs w:val="21"/>
              </w:rPr>
            </w:pPr>
            <w:r>
              <w:rPr>
                <w:rFonts w:hint="default" w:cs="Times New Roman"/>
                <w:b w:val="0"/>
                <w:bCs w:val="0"/>
                <w:szCs w:val="21"/>
              </w:rPr>
              <w:t>经沉淀池收集沉淀后回用</w:t>
            </w:r>
          </w:p>
        </w:tc>
        <w:tc>
          <w:tcPr>
            <w:tcW w:w="2856" w:type="dxa"/>
            <w:noWrap w:val="0"/>
            <w:vAlign w:val="center"/>
          </w:tcPr>
          <w:p w14:paraId="1DEC2915">
            <w:pPr>
              <w:pStyle w:val="27"/>
              <w:rPr>
                <w:rFonts w:hint="default" w:cs="Times New Roman"/>
                <w:b w:val="0"/>
                <w:bCs w:val="0"/>
                <w:szCs w:val="21"/>
              </w:rPr>
            </w:pPr>
            <w:r>
              <w:rPr>
                <w:rFonts w:hint="default" w:cs="Times New Roman"/>
                <w:b w:val="0"/>
                <w:bCs w:val="0"/>
                <w:szCs w:val="21"/>
              </w:rPr>
              <w:t>/</w:t>
            </w:r>
          </w:p>
        </w:tc>
      </w:tr>
      <w:tr w14:paraId="090F8F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1482" w:type="dxa"/>
            <w:vMerge w:val="continue"/>
            <w:noWrap w:val="0"/>
            <w:vAlign w:val="center"/>
          </w:tcPr>
          <w:p w14:paraId="5F683966">
            <w:pPr>
              <w:adjustRightInd w:val="0"/>
              <w:snapToGrid w:val="0"/>
              <w:jc w:val="center"/>
              <w:rPr>
                <w:szCs w:val="21"/>
              </w:rPr>
            </w:pPr>
          </w:p>
        </w:tc>
        <w:tc>
          <w:tcPr>
            <w:tcW w:w="1637" w:type="dxa"/>
            <w:noWrap w:val="0"/>
            <w:vAlign w:val="center"/>
          </w:tcPr>
          <w:p w14:paraId="5716CAAC">
            <w:pPr>
              <w:pStyle w:val="27"/>
              <w:rPr>
                <w:rFonts w:hint="default" w:cs="Times New Roman"/>
                <w:szCs w:val="21"/>
              </w:rPr>
            </w:pPr>
            <w:r>
              <w:rPr>
                <w:rFonts w:hint="default" w:cs="Times New Roman"/>
                <w:b w:val="0"/>
                <w:bCs w:val="0"/>
                <w:szCs w:val="21"/>
              </w:rPr>
              <w:t>生活污水</w:t>
            </w:r>
          </w:p>
        </w:tc>
        <w:tc>
          <w:tcPr>
            <w:tcW w:w="1313" w:type="dxa"/>
            <w:noWrap w:val="0"/>
            <w:vAlign w:val="center"/>
          </w:tcPr>
          <w:p w14:paraId="2D08D122">
            <w:pPr>
              <w:pStyle w:val="27"/>
              <w:rPr>
                <w:rFonts w:hint="default" w:cs="Times New Roman"/>
                <w:b w:val="0"/>
                <w:bCs w:val="0"/>
                <w:szCs w:val="21"/>
              </w:rPr>
            </w:pPr>
            <w:r>
              <w:rPr>
                <w:rFonts w:hint="default" w:cs="Times New Roman"/>
                <w:b w:val="0"/>
                <w:bCs w:val="0"/>
                <w:szCs w:val="21"/>
              </w:rPr>
              <w:t>COD、BOD</w:t>
            </w:r>
            <w:r>
              <w:rPr>
                <w:rFonts w:hint="default" w:cs="Times New Roman"/>
                <w:b w:val="0"/>
                <w:bCs w:val="0"/>
                <w:szCs w:val="21"/>
                <w:vertAlign w:val="subscript"/>
              </w:rPr>
              <w:t>5</w:t>
            </w:r>
            <w:r>
              <w:rPr>
                <w:rFonts w:hint="default" w:cs="Times New Roman"/>
                <w:b w:val="0"/>
                <w:bCs w:val="0"/>
                <w:szCs w:val="21"/>
              </w:rPr>
              <w:t>、SS、NH</w:t>
            </w:r>
            <w:r>
              <w:rPr>
                <w:rFonts w:hint="default" w:cs="Times New Roman"/>
                <w:b w:val="0"/>
                <w:bCs w:val="0"/>
                <w:szCs w:val="21"/>
                <w:vertAlign w:val="subscript"/>
              </w:rPr>
              <w:t>3</w:t>
            </w:r>
            <w:r>
              <w:rPr>
                <w:rFonts w:hint="default" w:cs="Times New Roman"/>
                <w:b w:val="0"/>
                <w:bCs w:val="0"/>
                <w:szCs w:val="21"/>
              </w:rPr>
              <w:t>-N</w:t>
            </w:r>
          </w:p>
        </w:tc>
        <w:tc>
          <w:tcPr>
            <w:tcW w:w="1512" w:type="dxa"/>
            <w:noWrap w:val="0"/>
            <w:vAlign w:val="center"/>
          </w:tcPr>
          <w:p w14:paraId="09013A63">
            <w:pPr>
              <w:pStyle w:val="27"/>
              <w:rPr>
                <w:rFonts w:hint="default" w:cs="Times New Roman"/>
                <w:b w:val="0"/>
                <w:bCs w:val="0"/>
                <w:szCs w:val="21"/>
              </w:rPr>
            </w:pPr>
            <w:r>
              <w:rPr>
                <w:rFonts w:hint="default" w:cs="Times New Roman"/>
                <w:b w:val="0"/>
                <w:bCs w:val="0"/>
                <w:szCs w:val="21"/>
              </w:rPr>
              <w:t>排入工业园区管网</w:t>
            </w:r>
          </w:p>
        </w:tc>
        <w:tc>
          <w:tcPr>
            <w:tcW w:w="2856" w:type="dxa"/>
            <w:noWrap w:val="0"/>
            <w:vAlign w:val="center"/>
          </w:tcPr>
          <w:p w14:paraId="5A69406E">
            <w:pPr>
              <w:pStyle w:val="27"/>
              <w:rPr>
                <w:rFonts w:hint="default" w:cs="Times New Roman"/>
                <w:szCs w:val="21"/>
              </w:rPr>
            </w:pPr>
            <w:r>
              <w:rPr>
                <w:rFonts w:hint="default" w:cs="Times New Roman"/>
                <w:b w:val="0"/>
                <w:bCs w:val="0"/>
                <w:szCs w:val="21"/>
              </w:rPr>
              <w:t>《污水综合排放标准》（GB8978-1996）三级标准</w:t>
            </w:r>
          </w:p>
        </w:tc>
      </w:tr>
      <w:tr w14:paraId="3D7CF1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65" w:hRule="atLeast"/>
          <w:jc w:val="center"/>
        </w:trPr>
        <w:tc>
          <w:tcPr>
            <w:tcW w:w="1482" w:type="dxa"/>
            <w:noWrap w:val="0"/>
            <w:vAlign w:val="center"/>
          </w:tcPr>
          <w:p w14:paraId="4583C216">
            <w:pPr>
              <w:adjustRightInd w:val="0"/>
              <w:snapToGrid w:val="0"/>
              <w:jc w:val="center"/>
              <w:rPr>
                <w:szCs w:val="21"/>
              </w:rPr>
            </w:pPr>
            <w:r>
              <w:rPr>
                <w:szCs w:val="21"/>
              </w:rPr>
              <w:t>声环境</w:t>
            </w:r>
          </w:p>
        </w:tc>
        <w:tc>
          <w:tcPr>
            <w:tcW w:w="1637" w:type="dxa"/>
            <w:noWrap w:val="0"/>
            <w:vAlign w:val="center"/>
          </w:tcPr>
          <w:p w14:paraId="2B5106EF">
            <w:pPr>
              <w:pStyle w:val="27"/>
              <w:rPr>
                <w:rFonts w:hint="default" w:cs="Times New Roman"/>
                <w:szCs w:val="21"/>
              </w:rPr>
            </w:pPr>
            <w:r>
              <w:rPr>
                <w:rFonts w:hint="default" w:cs="Times New Roman"/>
                <w:b w:val="0"/>
                <w:bCs w:val="0"/>
                <w:szCs w:val="21"/>
              </w:rPr>
              <w:t>设备</w:t>
            </w:r>
          </w:p>
        </w:tc>
        <w:tc>
          <w:tcPr>
            <w:tcW w:w="1313" w:type="dxa"/>
            <w:noWrap w:val="0"/>
            <w:vAlign w:val="center"/>
          </w:tcPr>
          <w:p w14:paraId="2F716C52">
            <w:pPr>
              <w:pStyle w:val="27"/>
              <w:rPr>
                <w:rFonts w:hint="default" w:cs="Times New Roman"/>
                <w:szCs w:val="21"/>
              </w:rPr>
            </w:pPr>
            <w:r>
              <w:rPr>
                <w:rFonts w:hint="default" w:cs="Times New Roman"/>
                <w:b w:val="0"/>
                <w:bCs w:val="0"/>
                <w:szCs w:val="21"/>
              </w:rPr>
              <w:t>等效连续A声级</w:t>
            </w:r>
          </w:p>
        </w:tc>
        <w:tc>
          <w:tcPr>
            <w:tcW w:w="1512" w:type="dxa"/>
            <w:noWrap w:val="0"/>
            <w:vAlign w:val="center"/>
          </w:tcPr>
          <w:p w14:paraId="660249CB">
            <w:pPr>
              <w:pStyle w:val="27"/>
              <w:rPr>
                <w:rFonts w:hint="default" w:cs="Times New Roman"/>
                <w:szCs w:val="21"/>
              </w:rPr>
            </w:pPr>
            <w:r>
              <w:rPr>
                <w:rFonts w:hint="default" w:cs="Times New Roman"/>
                <w:b w:val="0"/>
                <w:bCs w:val="0"/>
                <w:szCs w:val="21"/>
              </w:rPr>
              <w:t>选用低噪声设备，采取基础减震、隔声等降噪措施</w:t>
            </w:r>
          </w:p>
        </w:tc>
        <w:tc>
          <w:tcPr>
            <w:tcW w:w="2856" w:type="dxa"/>
            <w:noWrap w:val="0"/>
            <w:vAlign w:val="center"/>
          </w:tcPr>
          <w:p w14:paraId="17052BF9">
            <w:pPr>
              <w:pStyle w:val="27"/>
              <w:rPr>
                <w:rFonts w:hint="default" w:cs="Times New Roman"/>
                <w:szCs w:val="21"/>
              </w:rPr>
            </w:pPr>
            <w:r>
              <w:rPr>
                <w:rFonts w:hint="default" w:cs="Times New Roman"/>
                <w:b w:val="0"/>
                <w:bCs w:val="0"/>
                <w:szCs w:val="21"/>
              </w:rPr>
              <w:t>《工业企业厂界环境噪声排放标准》（GB12348-2008）3类标准</w:t>
            </w:r>
          </w:p>
        </w:tc>
      </w:tr>
      <w:tr w14:paraId="7BA308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482" w:type="dxa"/>
            <w:noWrap w:val="0"/>
            <w:vAlign w:val="center"/>
          </w:tcPr>
          <w:p w14:paraId="422E0D4D">
            <w:pPr>
              <w:adjustRightInd w:val="0"/>
              <w:snapToGrid w:val="0"/>
              <w:jc w:val="center"/>
              <w:rPr>
                <w:szCs w:val="21"/>
              </w:rPr>
            </w:pPr>
            <w:r>
              <w:rPr>
                <w:szCs w:val="21"/>
              </w:rPr>
              <w:t>电磁辐射</w:t>
            </w:r>
          </w:p>
        </w:tc>
        <w:tc>
          <w:tcPr>
            <w:tcW w:w="1637" w:type="dxa"/>
            <w:noWrap w:val="0"/>
            <w:vAlign w:val="center"/>
          </w:tcPr>
          <w:p w14:paraId="56FBF370">
            <w:pPr>
              <w:adjustRightInd w:val="0"/>
              <w:snapToGrid w:val="0"/>
              <w:jc w:val="center"/>
              <w:rPr>
                <w:szCs w:val="21"/>
              </w:rPr>
            </w:pPr>
            <w:r>
              <w:rPr>
                <w:szCs w:val="21"/>
              </w:rPr>
              <w:t>/</w:t>
            </w:r>
          </w:p>
        </w:tc>
        <w:tc>
          <w:tcPr>
            <w:tcW w:w="1313" w:type="dxa"/>
            <w:noWrap w:val="0"/>
            <w:vAlign w:val="center"/>
          </w:tcPr>
          <w:p w14:paraId="7EB0EF00">
            <w:pPr>
              <w:adjustRightInd w:val="0"/>
              <w:snapToGrid w:val="0"/>
              <w:jc w:val="center"/>
              <w:rPr>
                <w:szCs w:val="21"/>
              </w:rPr>
            </w:pPr>
            <w:r>
              <w:rPr>
                <w:szCs w:val="21"/>
              </w:rPr>
              <w:t>/</w:t>
            </w:r>
          </w:p>
        </w:tc>
        <w:tc>
          <w:tcPr>
            <w:tcW w:w="1512" w:type="dxa"/>
            <w:noWrap w:val="0"/>
            <w:vAlign w:val="center"/>
          </w:tcPr>
          <w:p w14:paraId="705925FC">
            <w:pPr>
              <w:adjustRightInd w:val="0"/>
              <w:snapToGrid w:val="0"/>
              <w:jc w:val="center"/>
              <w:rPr>
                <w:szCs w:val="21"/>
              </w:rPr>
            </w:pPr>
            <w:r>
              <w:rPr>
                <w:szCs w:val="21"/>
              </w:rPr>
              <w:t>/</w:t>
            </w:r>
          </w:p>
        </w:tc>
        <w:tc>
          <w:tcPr>
            <w:tcW w:w="2856" w:type="dxa"/>
            <w:noWrap w:val="0"/>
            <w:vAlign w:val="center"/>
          </w:tcPr>
          <w:p w14:paraId="5D21510F">
            <w:pPr>
              <w:adjustRightInd w:val="0"/>
              <w:snapToGrid w:val="0"/>
              <w:jc w:val="center"/>
              <w:rPr>
                <w:szCs w:val="21"/>
              </w:rPr>
            </w:pPr>
            <w:r>
              <w:rPr>
                <w:szCs w:val="21"/>
              </w:rPr>
              <w:t>/</w:t>
            </w:r>
          </w:p>
        </w:tc>
      </w:tr>
      <w:tr w14:paraId="6B2C37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6" w:hRule="atLeast"/>
          <w:jc w:val="center"/>
        </w:trPr>
        <w:tc>
          <w:tcPr>
            <w:tcW w:w="1482" w:type="dxa"/>
            <w:noWrap w:val="0"/>
            <w:vAlign w:val="center"/>
          </w:tcPr>
          <w:p w14:paraId="68120360">
            <w:pPr>
              <w:adjustRightInd w:val="0"/>
              <w:snapToGrid w:val="0"/>
              <w:jc w:val="center"/>
              <w:rPr>
                <w:szCs w:val="21"/>
              </w:rPr>
            </w:pPr>
            <w:r>
              <w:rPr>
                <w:szCs w:val="21"/>
              </w:rPr>
              <w:t>固体废物</w:t>
            </w:r>
          </w:p>
        </w:tc>
        <w:tc>
          <w:tcPr>
            <w:tcW w:w="7318" w:type="dxa"/>
            <w:gridSpan w:val="4"/>
            <w:noWrap w:val="0"/>
            <w:vAlign w:val="center"/>
          </w:tcPr>
          <w:p w14:paraId="2176DD68">
            <w:pPr>
              <w:adjustRightInd w:val="0"/>
              <w:snapToGrid w:val="0"/>
              <w:jc w:val="center"/>
              <w:rPr>
                <w:szCs w:val="21"/>
              </w:rPr>
            </w:pPr>
            <w:r>
              <w:rPr>
                <w:szCs w:val="21"/>
              </w:rPr>
              <w:t>除尘灰：集中收集后回用于生产；废机油：暂存至危废间定期由有资质单位拉运处理；生活垃圾：由厂区垃圾箱集中收集后委托园区环卫部门统一处理。</w:t>
            </w:r>
          </w:p>
        </w:tc>
      </w:tr>
      <w:tr w14:paraId="3DCE83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82" w:type="dxa"/>
            <w:noWrap w:val="0"/>
            <w:vAlign w:val="center"/>
          </w:tcPr>
          <w:p w14:paraId="586891B3">
            <w:pPr>
              <w:adjustRightInd w:val="0"/>
              <w:snapToGrid w:val="0"/>
              <w:jc w:val="center"/>
              <w:rPr>
                <w:szCs w:val="21"/>
              </w:rPr>
            </w:pPr>
            <w:r>
              <w:rPr>
                <w:szCs w:val="21"/>
              </w:rPr>
              <w:t>土壤及地下水</w:t>
            </w:r>
          </w:p>
          <w:p w14:paraId="5E374A01">
            <w:pPr>
              <w:adjustRightInd w:val="0"/>
              <w:snapToGrid w:val="0"/>
              <w:jc w:val="center"/>
              <w:rPr>
                <w:szCs w:val="21"/>
              </w:rPr>
            </w:pPr>
            <w:r>
              <w:rPr>
                <w:szCs w:val="21"/>
              </w:rPr>
              <w:t>污染防治措施</w:t>
            </w:r>
          </w:p>
        </w:tc>
        <w:tc>
          <w:tcPr>
            <w:tcW w:w="7318" w:type="dxa"/>
            <w:gridSpan w:val="4"/>
            <w:noWrap w:val="0"/>
            <w:vAlign w:val="center"/>
          </w:tcPr>
          <w:p w14:paraId="631F05BA">
            <w:pPr>
              <w:adjustRightInd w:val="0"/>
              <w:snapToGrid w:val="0"/>
              <w:jc w:val="center"/>
              <w:rPr>
                <w:szCs w:val="21"/>
              </w:rPr>
            </w:pPr>
            <w:r>
              <w:rPr>
                <w:szCs w:val="21"/>
              </w:rPr>
              <w:t>沉淀池防渗采用</w:t>
            </w:r>
            <w:r>
              <w:rPr>
                <w:snapToGrid w:val="0"/>
                <w:szCs w:val="21"/>
              </w:rPr>
              <w:t>等效黏土防渗层Mb≥1.5m，等效渗透系数K≤1×10</w:t>
            </w:r>
            <w:r>
              <w:rPr>
                <w:snapToGrid w:val="0"/>
                <w:szCs w:val="21"/>
                <w:vertAlign w:val="superscript"/>
              </w:rPr>
              <w:t>-7</w:t>
            </w:r>
            <w:r>
              <w:rPr>
                <w:snapToGrid w:val="0"/>
                <w:szCs w:val="21"/>
              </w:rPr>
              <w:t>cm/s</w:t>
            </w:r>
            <w:r>
              <w:rPr>
                <w:rFonts w:hint="eastAsia"/>
                <w:snapToGrid w:val="0"/>
                <w:szCs w:val="21"/>
                <w:lang w:eastAsia="zh-CN"/>
              </w:rPr>
              <w:t>；</w:t>
            </w:r>
            <w:r>
              <w:rPr>
                <w:szCs w:val="21"/>
              </w:rPr>
              <w:t>危废库基础整体采用至少2mm厚HDPE或其他人工材料进行防渗处理，防渗系数不大于1.0×10</w:t>
            </w:r>
            <w:r>
              <w:rPr>
                <w:szCs w:val="21"/>
                <w:vertAlign w:val="superscript"/>
              </w:rPr>
              <w:t>-10</w:t>
            </w:r>
            <w:r>
              <w:rPr>
                <w:szCs w:val="21"/>
              </w:rPr>
              <w:t>cm/s；地面及墙身1.5m高整体涂刷绿色环氧树脂地坪漆2遍，地面、裙角、导流槽、集液池、围堰防渗层为2mm厚高密度聚乙烯，或至少2mm厚</w:t>
            </w:r>
            <w:r>
              <w:rPr>
                <w:rFonts w:hint="eastAsia"/>
                <w:szCs w:val="21"/>
                <w:lang w:eastAsia="zh-CN"/>
              </w:rPr>
              <w:t>的其他</w:t>
            </w:r>
            <w:r>
              <w:rPr>
                <w:szCs w:val="21"/>
              </w:rPr>
              <w:t>人工材料，渗透系数≤10</w:t>
            </w:r>
            <w:r>
              <w:rPr>
                <w:szCs w:val="21"/>
                <w:vertAlign w:val="superscript"/>
              </w:rPr>
              <w:t>-10</w:t>
            </w:r>
            <w:r>
              <w:rPr>
                <w:szCs w:val="21"/>
              </w:rPr>
              <w:t>cm/s</w:t>
            </w:r>
          </w:p>
        </w:tc>
      </w:tr>
      <w:tr w14:paraId="6B400E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82" w:type="dxa"/>
            <w:noWrap w:val="0"/>
            <w:vAlign w:val="center"/>
          </w:tcPr>
          <w:p w14:paraId="172C141D">
            <w:pPr>
              <w:adjustRightInd w:val="0"/>
              <w:snapToGrid w:val="0"/>
              <w:jc w:val="center"/>
              <w:rPr>
                <w:szCs w:val="21"/>
              </w:rPr>
            </w:pPr>
            <w:r>
              <w:rPr>
                <w:szCs w:val="21"/>
              </w:rPr>
              <w:t>生态保护措施</w:t>
            </w:r>
          </w:p>
        </w:tc>
        <w:tc>
          <w:tcPr>
            <w:tcW w:w="7318" w:type="dxa"/>
            <w:gridSpan w:val="4"/>
            <w:noWrap w:val="0"/>
            <w:vAlign w:val="center"/>
          </w:tcPr>
          <w:p w14:paraId="03B43272">
            <w:pPr>
              <w:adjustRightInd w:val="0"/>
              <w:snapToGrid w:val="0"/>
              <w:jc w:val="center"/>
              <w:rPr>
                <w:szCs w:val="21"/>
              </w:rPr>
            </w:pPr>
            <w:r>
              <w:rPr>
                <w:szCs w:val="21"/>
              </w:rPr>
              <w:t>/</w:t>
            </w:r>
          </w:p>
        </w:tc>
      </w:tr>
      <w:tr w14:paraId="0405D4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82" w:type="dxa"/>
            <w:noWrap w:val="0"/>
            <w:vAlign w:val="center"/>
          </w:tcPr>
          <w:p w14:paraId="4F77EBC4">
            <w:pPr>
              <w:adjustRightInd w:val="0"/>
              <w:snapToGrid w:val="0"/>
              <w:jc w:val="center"/>
              <w:rPr>
                <w:spacing w:val="-8"/>
                <w:szCs w:val="21"/>
              </w:rPr>
            </w:pPr>
            <w:r>
              <w:rPr>
                <w:spacing w:val="-8"/>
                <w:szCs w:val="21"/>
              </w:rPr>
              <w:t>环境风险</w:t>
            </w:r>
          </w:p>
          <w:p w14:paraId="11728A2B">
            <w:pPr>
              <w:adjustRightInd w:val="0"/>
              <w:snapToGrid w:val="0"/>
              <w:jc w:val="center"/>
              <w:rPr>
                <w:spacing w:val="-8"/>
                <w:szCs w:val="21"/>
              </w:rPr>
            </w:pPr>
            <w:r>
              <w:rPr>
                <w:spacing w:val="-8"/>
                <w:szCs w:val="21"/>
              </w:rPr>
              <w:t>防范措施</w:t>
            </w:r>
          </w:p>
        </w:tc>
        <w:tc>
          <w:tcPr>
            <w:tcW w:w="7318" w:type="dxa"/>
            <w:gridSpan w:val="4"/>
            <w:noWrap w:val="0"/>
            <w:vAlign w:val="center"/>
          </w:tcPr>
          <w:p w14:paraId="3EEE7EA5">
            <w:pPr>
              <w:adjustRightInd w:val="0"/>
              <w:snapToGrid w:val="0"/>
              <w:jc w:val="center"/>
              <w:rPr>
                <w:szCs w:val="21"/>
              </w:rPr>
            </w:pPr>
            <w:r>
              <w:rPr>
                <w:szCs w:val="21"/>
              </w:rPr>
              <w:t>危废间内四周设置导流渠，设置0.1m</w:t>
            </w:r>
            <w:r>
              <w:rPr>
                <w:szCs w:val="21"/>
                <w:vertAlign w:val="superscript"/>
              </w:rPr>
              <w:t>3</w:t>
            </w:r>
            <w:r>
              <w:rPr>
                <w:szCs w:val="21"/>
              </w:rPr>
              <w:t>集液池1座，导流渠、集液池及地面均采用2mm厚HDPE或其他人工材料进行防渗处理防渗，防渗系数小于1×10</w:t>
            </w:r>
            <w:r>
              <w:rPr>
                <w:szCs w:val="21"/>
                <w:vertAlign w:val="superscript"/>
              </w:rPr>
              <w:t>-10</w:t>
            </w:r>
            <w:r>
              <w:rPr>
                <w:szCs w:val="21"/>
              </w:rPr>
              <w:t>cm/s，用于暂存生产过程中产生的废机油。</w:t>
            </w:r>
          </w:p>
        </w:tc>
      </w:tr>
      <w:tr w14:paraId="48EF76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82" w:type="dxa"/>
            <w:noWrap w:val="0"/>
            <w:vAlign w:val="center"/>
          </w:tcPr>
          <w:p w14:paraId="21086BAB">
            <w:pPr>
              <w:adjustRightInd w:val="0"/>
              <w:snapToGrid w:val="0"/>
              <w:jc w:val="center"/>
              <w:rPr>
                <w:spacing w:val="-8"/>
                <w:szCs w:val="21"/>
              </w:rPr>
            </w:pPr>
            <w:r>
              <w:rPr>
                <w:spacing w:val="-8"/>
                <w:szCs w:val="21"/>
              </w:rPr>
              <w:t>其他环境</w:t>
            </w:r>
          </w:p>
          <w:p w14:paraId="6FFE7863">
            <w:pPr>
              <w:adjustRightInd w:val="0"/>
              <w:snapToGrid w:val="0"/>
              <w:jc w:val="center"/>
              <w:rPr>
                <w:spacing w:val="-8"/>
                <w:szCs w:val="21"/>
              </w:rPr>
            </w:pPr>
            <w:r>
              <w:rPr>
                <w:spacing w:val="-8"/>
                <w:szCs w:val="21"/>
              </w:rPr>
              <w:t>管理要求</w:t>
            </w:r>
          </w:p>
        </w:tc>
        <w:tc>
          <w:tcPr>
            <w:tcW w:w="7318" w:type="dxa"/>
            <w:gridSpan w:val="4"/>
            <w:noWrap w:val="0"/>
            <w:vAlign w:val="center"/>
          </w:tcPr>
          <w:p w14:paraId="2332FF7D">
            <w:pPr>
              <w:adjustRightInd w:val="0"/>
              <w:snapToGrid w:val="0"/>
              <w:jc w:val="center"/>
              <w:rPr>
                <w:szCs w:val="21"/>
              </w:rPr>
            </w:pPr>
            <w:r>
              <w:rPr>
                <w:szCs w:val="21"/>
              </w:rPr>
              <w:t>/</w:t>
            </w:r>
          </w:p>
        </w:tc>
      </w:tr>
    </w:tbl>
    <w:p w14:paraId="591F7724">
      <w:pPr>
        <w:pStyle w:val="10"/>
        <w:jc w:val="center"/>
        <w:outlineLvl w:val="0"/>
        <w:rPr>
          <w:rFonts w:ascii="Times New Roman" w:hAnsi="Times New Roman"/>
          <w:snapToGrid w:val="0"/>
          <w:sz w:val="30"/>
          <w:szCs w:val="30"/>
        </w:rPr>
      </w:pPr>
      <w:r>
        <w:rPr>
          <w:rFonts w:ascii="Times New Roman" w:hAnsi="Times New Roman"/>
          <w:snapToGrid w:val="0"/>
        </w:rPr>
        <w:br w:type="page"/>
      </w:r>
      <w:r>
        <w:rPr>
          <w:rFonts w:ascii="Times New Roman" w:hAnsi="Times New Roman"/>
          <w:snapToGrid w:val="0"/>
          <w:sz w:val="30"/>
          <w:szCs w:val="30"/>
        </w:rPr>
        <w:t>六、结论</w:t>
      </w:r>
    </w:p>
    <w:tbl>
      <w:tblPr>
        <w:tblStyle w:val="1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C87FD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65722CAA">
            <w:pPr>
              <w:spacing w:line="360" w:lineRule="auto"/>
              <w:ind w:firstLine="480" w:firstLineChars="200"/>
              <w:rPr>
                <w:sz w:val="24"/>
              </w:rPr>
            </w:pPr>
            <w:r>
              <w:rPr>
                <w:sz w:val="24"/>
              </w:rPr>
              <w:t>根据对本项目建设情况及环境影响分析，本项目建设符合国家和当地的产业政策，选址合理。经采取治理措施后，可实现污染物达标排放，对当地环境不会造成明显影响，从环境保护角度来看本建设项目是可行的。</w:t>
            </w:r>
          </w:p>
        </w:tc>
      </w:tr>
    </w:tbl>
    <w:p w14:paraId="534BE6D2">
      <w:p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20F11DA">
      <w:pPr>
        <w:pStyle w:val="10"/>
        <w:adjustRightInd w:val="0"/>
        <w:snapToGrid w:val="0"/>
        <w:spacing w:before="0" w:beforeAutospacing="0" w:after="0" w:afterAutospacing="0" w:line="648" w:lineRule="auto"/>
        <w:outlineLvl w:val="0"/>
        <w:rPr>
          <w:rFonts w:ascii="Times New Roman" w:hAnsi="Times New Roman"/>
          <w:snapToGrid w:val="0"/>
          <w:sz w:val="32"/>
          <w:szCs w:val="32"/>
        </w:rPr>
      </w:pPr>
      <w:r>
        <w:rPr>
          <w:rFonts w:ascii="Times New Roman" w:hAnsi="Times New Roman"/>
          <w:snapToGrid w:val="0"/>
          <w:sz w:val="32"/>
          <w:szCs w:val="32"/>
        </w:rPr>
        <w:t>附表</w:t>
      </w:r>
    </w:p>
    <w:p w14:paraId="240B70C1">
      <w:pPr>
        <w:pStyle w:val="10"/>
        <w:adjustRightInd w:val="0"/>
        <w:snapToGrid w:val="0"/>
        <w:spacing w:before="0" w:beforeAutospacing="0" w:after="0" w:afterAutospacing="0" w:line="552" w:lineRule="auto"/>
        <w:jc w:val="center"/>
        <w:outlineLvl w:val="0"/>
        <w:rPr>
          <w:rFonts w:ascii="Times New Roman" w:hAnsi="Times New Roman"/>
          <w:snapToGrid w:val="0"/>
          <w:sz w:val="38"/>
          <w:szCs w:val="38"/>
        </w:rPr>
      </w:pPr>
      <w:r>
        <w:rPr>
          <w:rFonts w:ascii="Times New Roman" w:hAnsi="Times New Roman"/>
          <w:snapToGrid w:val="0"/>
          <w:sz w:val="38"/>
          <w:szCs w:val="38"/>
        </w:rPr>
        <w:t>建设项目污染物排放量汇总表</w:t>
      </w:r>
    </w:p>
    <w:tbl>
      <w:tblPr>
        <w:tblStyle w:val="11"/>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959"/>
        <w:gridCol w:w="826"/>
      </w:tblGrid>
      <w:tr w14:paraId="4611FF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val="0"/>
            <w:tcMar>
              <w:left w:w="28" w:type="dxa"/>
              <w:right w:w="28" w:type="dxa"/>
            </w:tcMar>
            <w:vAlign w:val="center"/>
          </w:tcPr>
          <w:p w14:paraId="25AAC358">
            <w:pPr>
              <w:pStyle w:val="18"/>
              <w:spacing w:beforeLines="0" w:afterLines="0" w:line="240" w:lineRule="auto"/>
              <w:jc w:val="right"/>
              <w:rPr>
                <w:rFonts w:ascii="Times New Roman"/>
                <w:snapToGrid w:val="0"/>
                <w:spacing w:val="-6"/>
                <w:kern w:val="21"/>
                <w:szCs w:val="21"/>
                <w:lang w:val="en-US" w:eastAsia="zh-CN"/>
              </w:rPr>
            </w:pPr>
            <w:r>
              <w:rPr>
                <w:rFonts w:ascii="Times New Roman"/>
                <w:snapToGrid w:val="0"/>
                <w:spacing w:val="-6"/>
                <w:kern w:val="21"/>
                <w:szCs w:val="21"/>
                <w:lang w:val="en-US" w:eastAsia="zh-CN"/>
              </w:rPr>
              <w:t>项目</w:t>
            </w:r>
          </w:p>
          <w:p w14:paraId="4D2CEA52">
            <w:pPr>
              <w:pStyle w:val="18"/>
              <w:spacing w:beforeLines="0" w:afterLines="0" w:line="240" w:lineRule="auto"/>
              <w:jc w:val="left"/>
              <w:rPr>
                <w:rFonts w:ascii="Times New Roman"/>
                <w:snapToGrid w:val="0"/>
                <w:spacing w:val="-6"/>
                <w:kern w:val="21"/>
                <w:szCs w:val="21"/>
                <w:lang w:val="en-US" w:eastAsia="zh-CN"/>
              </w:rPr>
            </w:pPr>
            <w:r>
              <w:rPr>
                <w:rFonts w:ascii="Times New Roman"/>
                <w:snapToGrid w:val="0"/>
                <w:spacing w:val="-6"/>
                <w:kern w:val="21"/>
                <w:szCs w:val="21"/>
                <w:lang w:val="en-US" w:eastAsia="zh-CN"/>
              </w:rPr>
              <w:t>分类</w:t>
            </w:r>
          </w:p>
        </w:tc>
        <w:tc>
          <w:tcPr>
            <w:tcW w:w="1417" w:type="dxa"/>
            <w:noWrap w:val="0"/>
            <w:tcMar>
              <w:left w:w="28" w:type="dxa"/>
              <w:right w:w="28" w:type="dxa"/>
            </w:tcMar>
            <w:vAlign w:val="center"/>
          </w:tcPr>
          <w:p w14:paraId="49AC0D85">
            <w:pPr>
              <w:pStyle w:val="18"/>
              <w:spacing w:beforeLines="0" w:afterLines="0" w:line="240" w:lineRule="auto"/>
              <w:rPr>
                <w:rFonts w:ascii="Times New Roman"/>
                <w:snapToGrid w:val="0"/>
                <w:spacing w:val="-6"/>
                <w:kern w:val="21"/>
                <w:szCs w:val="21"/>
                <w:lang w:val="en-US" w:eastAsia="zh-CN"/>
              </w:rPr>
            </w:pPr>
            <w:r>
              <w:rPr>
                <w:rFonts w:ascii="Times New Roman"/>
                <w:snapToGrid w:val="0"/>
                <w:spacing w:val="-6"/>
                <w:kern w:val="21"/>
                <w:szCs w:val="21"/>
                <w:lang w:val="en-US" w:eastAsia="zh-CN"/>
              </w:rPr>
              <w:t>污染物名称</w:t>
            </w:r>
          </w:p>
        </w:tc>
        <w:tc>
          <w:tcPr>
            <w:tcW w:w="1701" w:type="dxa"/>
            <w:noWrap w:val="0"/>
            <w:tcMar>
              <w:left w:w="28" w:type="dxa"/>
              <w:right w:w="28" w:type="dxa"/>
            </w:tcMar>
            <w:vAlign w:val="center"/>
          </w:tcPr>
          <w:p w14:paraId="6E99F047">
            <w:pPr>
              <w:pStyle w:val="18"/>
              <w:spacing w:beforeLines="0" w:afterLines="0" w:line="240" w:lineRule="auto"/>
              <w:rPr>
                <w:rFonts w:ascii="Times New Roman"/>
                <w:snapToGrid w:val="0"/>
                <w:spacing w:val="-6"/>
                <w:kern w:val="21"/>
                <w:szCs w:val="21"/>
                <w:lang w:val="en-US" w:eastAsia="zh-CN"/>
              </w:rPr>
            </w:pPr>
            <w:r>
              <w:rPr>
                <w:rFonts w:ascii="Times New Roman"/>
                <w:snapToGrid w:val="0"/>
                <w:spacing w:val="-6"/>
                <w:kern w:val="21"/>
                <w:szCs w:val="21"/>
                <w:lang w:val="en-US" w:eastAsia="zh-CN"/>
              </w:rPr>
              <w:t>现有工程</w:t>
            </w:r>
          </w:p>
          <w:p w14:paraId="1543836B">
            <w:pPr>
              <w:pStyle w:val="18"/>
              <w:spacing w:beforeLines="0" w:afterLines="0" w:line="240" w:lineRule="auto"/>
              <w:rPr>
                <w:rFonts w:ascii="Times New Roman"/>
                <w:snapToGrid w:val="0"/>
                <w:spacing w:val="-6"/>
                <w:kern w:val="21"/>
                <w:szCs w:val="21"/>
                <w:lang w:val="en-US" w:eastAsia="zh-CN"/>
              </w:rPr>
            </w:pPr>
            <w:r>
              <w:rPr>
                <w:rFonts w:ascii="Times New Roman"/>
                <w:snapToGrid w:val="0"/>
                <w:spacing w:val="-6"/>
                <w:kern w:val="21"/>
                <w:szCs w:val="21"/>
                <w:lang w:val="en-US" w:eastAsia="zh-CN"/>
              </w:rPr>
              <w:t>排放量（固体废物产生量）</w:t>
            </w:r>
            <w:r>
              <w:rPr>
                <w:rFonts w:ascii="Times New Roman"/>
                <w:snapToGrid w:val="0"/>
                <w:spacing w:val="-6"/>
                <w:kern w:val="21"/>
                <w:szCs w:val="21"/>
                <w:lang w:val="en-US" w:eastAsia="zh-CN"/>
              </w:rPr>
              <w:fldChar w:fldCharType="begin"/>
            </w:r>
            <w:r>
              <w:rPr>
                <w:rFonts w:ascii="Times New Roman"/>
                <w:snapToGrid w:val="0"/>
                <w:spacing w:val="-6"/>
                <w:kern w:val="21"/>
                <w:szCs w:val="21"/>
                <w:lang w:val="en-US" w:eastAsia="zh-CN"/>
              </w:rPr>
              <w:instrText xml:space="preserve"> = 1 \* GB3 \* MERGEFORMAT </w:instrText>
            </w:r>
            <w:r>
              <w:rPr>
                <w:rFonts w:ascii="Times New Roman"/>
                <w:snapToGrid w:val="0"/>
                <w:spacing w:val="-6"/>
                <w:kern w:val="21"/>
                <w:szCs w:val="21"/>
                <w:lang w:val="en-US" w:eastAsia="zh-CN"/>
              </w:rPr>
              <w:fldChar w:fldCharType="separate"/>
            </w:r>
            <w:r>
              <w:rPr>
                <w:rFonts w:ascii="Times New Roman"/>
                <w:kern w:val="2"/>
                <w:szCs w:val="21"/>
                <w:lang w:val="en-US" w:eastAsia="zh-CN"/>
              </w:rPr>
              <w:t>①</w:t>
            </w:r>
            <w:r>
              <w:rPr>
                <w:rFonts w:ascii="Times New Roman"/>
                <w:snapToGrid w:val="0"/>
                <w:spacing w:val="-6"/>
                <w:kern w:val="21"/>
                <w:szCs w:val="21"/>
                <w:lang w:val="en-US" w:eastAsia="zh-CN"/>
              </w:rPr>
              <w:fldChar w:fldCharType="end"/>
            </w:r>
          </w:p>
        </w:tc>
        <w:tc>
          <w:tcPr>
            <w:tcW w:w="1276" w:type="dxa"/>
            <w:noWrap w:val="0"/>
            <w:tcMar>
              <w:left w:w="28" w:type="dxa"/>
              <w:right w:w="28" w:type="dxa"/>
            </w:tcMar>
            <w:vAlign w:val="center"/>
          </w:tcPr>
          <w:p w14:paraId="7A490B23">
            <w:pPr>
              <w:pStyle w:val="18"/>
              <w:spacing w:beforeLines="0" w:afterLines="0" w:line="240" w:lineRule="auto"/>
              <w:rPr>
                <w:rFonts w:ascii="Times New Roman"/>
                <w:snapToGrid w:val="0"/>
                <w:spacing w:val="-6"/>
                <w:kern w:val="21"/>
                <w:szCs w:val="21"/>
                <w:lang w:val="en-US" w:eastAsia="zh-CN"/>
              </w:rPr>
            </w:pPr>
            <w:r>
              <w:rPr>
                <w:rFonts w:ascii="Times New Roman"/>
                <w:snapToGrid w:val="0"/>
                <w:spacing w:val="-6"/>
                <w:kern w:val="21"/>
                <w:szCs w:val="21"/>
                <w:lang w:val="en-US" w:eastAsia="zh-CN"/>
              </w:rPr>
              <w:t>现有工程</w:t>
            </w:r>
          </w:p>
          <w:p w14:paraId="3E16E934">
            <w:pPr>
              <w:pStyle w:val="18"/>
              <w:spacing w:beforeLines="0" w:afterLines="0" w:line="240" w:lineRule="auto"/>
              <w:rPr>
                <w:rFonts w:ascii="Times New Roman"/>
                <w:snapToGrid w:val="0"/>
                <w:spacing w:val="-6"/>
                <w:kern w:val="21"/>
                <w:szCs w:val="21"/>
                <w:lang w:val="en-US" w:eastAsia="zh-CN"/>
              </w:rPr>
            </w:pPr>
            <w:r>
              <w:rPr>
                <w:rFonts w:ascii="Times New Roman"/>
                <w:snapToGrid w:val="0"/>
                <w:spacing w:val="-6"/>
                <w:kern w:val="21"/>
                <w:szCs w:val="21"/>
                <w:lang w:val="en-US" w:eastAsia="zh-CN"/>
              </w:rPr>
              <w:t>许可排放量</w:t>
            </w:r>
          </w:p>
          <w:p w14:paraId="56D56759">
            <w:pPr>
              <w:pStyle w:val="18"/>
              <w:spacing w:beforeLines="0" w:afterLines="0"/>
              <w:rPr>
                <w:rFonts w:ascii="Times New Roman"/>
                <w:snapToGrid w:val="0"/>
                <w:spacing w:val="-6"/>
                <w:kern w:val="21"/>
                <w:szCs w:val="21"/>
                <w:lang w:val="en-US" w:eastAsia="zh-CN"/>
              </w:rPr>
            </w:pPr>
            <w:r>
              <w:rPr>
                <w:rFonts w:ascii="Times New Roman"/>
                <w:snapToGrid w:val="0"/>
                <w:spacing w:val="-6"/>
                <w:kern w:val="21"/>
                <w:szCs w:val="21"/>
                <w:lang w:val="en-US" w:eastAsia="zh-CN"/>
              </w:rPr>
              <w:fldChar w:fldCharType="begin"/>
            </w:r>
            <w:r>
              <w:rPr>
                <w:rFonts w:ascii="Times New Roman"/>
                <w:snapToGrid w:val="0"/>
                <w:spacing w:val="-6"/>
                <w:kern w:val="21"/>
                <w:szCs w:val="21"/>
                <w:lang w:val="en-US" w:eastAsia="zh-CN"/>
              </w:rPr>
              <w:instrText xml:space="preserve"> = 2 \* GB3 \* MERGEFORMAT </w:instrText>
            </w:r>
            <w:r>
              <w:rPr>
                <w:rFonts w:ascii="Times New Roman"/>
                <w:snapToGrid w:val="0"/>
                <w:spacing w:val="-6"/>
                <w:kern w:val="21"/>
                <w:szCs w:val="21"/>
                <w:lang w:val="en-US" w:eastAsia="zh-CN"/>
              </w:rPr>
              <w:fldChar w:fldCharType="separate"/>
            </w:r>
            <w:r>
              <w:rPr>
                <w:rFonts w:ascii="Times New Roman"/>
                <w:snapToGrid w:val="0"/>
                <w:spacing w:val="-6"/>
                <w:kern w:val="21"/>
                <w:szCs w:val="21"/>
                <w:lang w:val="en-US" w:eastAsia="zh-CN"/>
              </w:rPr>
              <w:t>②</w:t>
            </w:r>
            <w:r>
              <w:rPr>
                <w:rFonts w:ascii="Times New Roman"/>
                <w:snapToGrid w:val="0"/>
                <w:spacing w:val="-6"/>
                <w:kern w:val="21"/>
                <w:szCs w:val="21"/>
                <w:lang w:val="en-US" w:eastAsia="zh-CN"/>
              </w:rPr>
              <w:fldChar w:fldCharType="end"/>
            </w:r>
          </w:p>
        </w:tc>
        <w:tc>
          <w:tcPr>
            <w:tcW w:w="1701" w:type="dxa"/>
            <w:noWrap w:val="0"/>
            <w:tcMar>
              <w:left w:w="28" w:type="dxa"/>
              <w:right w:w="28" w:type="dxa"/>
            </w:tcMar>
            <w:vAlign w:val="center"/>
          </w:tcPr>
          <w:p w14:paraId="2B4642F5">
            <w:pPr>
              <w:pStyle w:val="18"/>
              <w:spacing w:beforeLines="0" w:afterLines="0" w:line="240" w:lineRule="auto"/>
              <w:rPr>
                <w:rFonts w:ascii="Times New Roman"/>
                <w:snapToGrid w:val="0"/>
                <w:spacing w:val="-6"/>
                <w:kern w:val="21"/>
                <w:szCs w:val="21"/>
                <w:lang w:val="en-US" w:eastAsia="zh-CN"/>
              </w:rPr>
            </w:pPr>
            <w:r>
              <w:rPr>
                <w:rFonts w:ascii="Times New Roman"/>
                <w:snapToGrid w:val="0"/>
                <w:spacing w:val="-6"/>
                <w:kern w:val="21"/>
                <w:szCs w:val="21"/>
                <w:lang w:val="en-US" w:eastAsia="zh-CN"/>
              </w:rPr>
              <w:t>在建工程</w:t>
            </w:r>
          </w:p>
          <w:p w14:paraId="1828ABE9">
            <w:pPr>
              <w:pStyle w:val="18"/>
              <w:spacing w:beforeLines="0" w:afterLines="0" w:line="240" w:lineRule="auto"/>
              <w:rPr>
                <w:rFonts w:ascii="Times New Roman"/>
                <w:snapToGrid w:val="0"/>
                <w:spacing w:val="-6"/>
                <w:kern w:val="21"/>
                <w:szCs w:val="21"/>
                <w:lang w:val="en-US" w:eastAsia="zh-CN"/>
              </w:rPr>
            </w:pPr>
            <w:r>
              <w:rPr>
                <w:rFonts w:ascii="Times New Roman"/>
                <w:snapToGrid w:val="0"/>
                <w:spacing w:val="-6"/>
                <w:kern w:val="21"/>
                <w:szCs w:val="21"/>
                <w:lang w:val="en-US" w:eastAsia="zh-CN"/>
              </w:rPr>
              <w:t>排放量（固体废物产生量）</w:t>
            </w:r>
            <w:r>
              <w:rPr>
                <w:rFonts w:ascii="Times New Roman"/>
                <w:snapToGrid w:val="0"/>
                <w:spacing w:val="-6"/>
                <w:kern w:val="21"/>
                <w:szCs w:val="21"/>
                <w:lang w:val="en-US" w:eastAsia="zh-CN"/>
              </w:rPr>
              <w:fldChar w:fldCharType="begin"/>
            </w:r>
            <w:r>
              <w:rPr>
                <w:rFonts w:ascii="Times New Roman"/>
                <w:snapToGrid w:val="0"/>
                <w:spacing w:val="-6"/>
                <w:kern w:val="21"/>
                <w:szCs w:val="21"/>
                <w:lang w:val="en-US" w:eastAsia="zh-CN"/>
              </w:rPr>
              <w:instrText xml:space="preserve"> = 3 \* GB3 \* MERGEFORMAT </w:instrText>
            </w:r>
            <w:r>
              <w:rPr>
                <w:rFonts w:ascii="Times New Roman"/>
                <w:snapToGrid w:val="0"/>
                <w:spacing w:val="-6"/>
                <w:kern w:val="21"/>
                <w:szCs w:val="21"/>
                <w:lang w:val="en-US" w:eastAsia="zh-CN"/>
              </w:rPr>
              <w:fldChar w:fldCharType="separate"/>
            </w:r>
            <w:r>
              <w:rPr>
                <w:rFonts w:ascii="Times New Roman"/>
                <w:kern w:val="2"/>
                <w:szCs w:val="21"/>
                <w:lang w:val="en-US" w:eastAsia="zh-CN"/>
              </w:rPr>
              <w:t>③</w:t>
            </w:r>
            <w:r>
              <w:rPr>
                <w:rFonts w:ascii="Times New Roman"/>
                <w:snapToGrid w:val="0"/>
                <w:spacing w:val="-6"/>
                <w:kern w:val="21"/>
                <w:szCs w:val="21"/>
                <w:lang w:val="en-US" w:eastAsia="zh-CN"/>
              </w:rPr>
              <w:fldChar w:fldCharType="end"/>
            </w:r>
          </w:p>
        </w:tc>
        <w:tc>
          <w:tcPr>
            <w:tcW w:w="1559" w:type="dxa"/>
            <w:noWrap w:val="0"/>
            <w:tcMar>
              <w:left w:w="28" w:type="dxa"/>
              <w:right w:w="28" w:type="dxa"/>
            </w:tcMar>
            <w:vAlign w:val="center"/>
          </w:tcPr>
          <w:p w14:paraId="298F2EB8">
            <w:pPr>
              <w:pStyle w:val="18"/>
              <w:spacing w:beforeLines="0" w:afterLines="0" w:line="240" w:lineRule="auto"/>
              <w:rPr>
                <w:rFonts w:ascii="Times New Roman"/>
                <w:snapToGrid w:val="0"/>
                <w:spacing w:val="-6"/>
                <w:kern w:val="21"/>
                <w:szCs w:val="21"/>
                <w:lang w:val="en-US" w:eastAsia="zh-CN"/>
              </w:rPr>
            </w:pPr>
            <w:r>
              <w:rPr>
                <w:rFonts w:ascii="Times New Roman"/>
                <w:snapToGrid w:val="0"/>
                <w:spacing w:val="-6"/>
                <w:kern w:val="21"/>
                <w:szCs w:val="21"/>
                <w:lang w:val="en-US" w:eastAsia="zh-CN"/>
              </w:rPr>
              <w:t>本项目</w:t>
            </w:r>
          </w:p>
          <w:p w14:paraId="68B32514">
            <w:pPr>
              <w:pStyle w:val="18"/>
              <w:spacing w:beforeLines="0" w:afterLines="0" w:line="240" w:lineRule="auto"/>
              <w:rPr>
                <w:rFonts w:ascii="Times New Roman"/>
                <w:snapToGrid w:val="0"/>
                <w:spacing w:val="-6"/>
                <w:kern w:val="21"/>
                <w:szCs w:val="21"/>
                <w:lang w:val="en-US" w:eastAsia="zh-CN"/>
              </w:rPr>
            </w:pPr>
            <w:r>
              <w:rPr>
                <w:rFonts w:ascii="Times New Roman"/>
                <w:snapToGrid w:val="0"/>
                <w:spacing w:val="-6"/>
                <w:kern w:val="21"/>
                <w:szCs w:val="21"/>
                <w:lang w:val="en-US" w:eastAsia="zh-CN"/>
              </w:rPr>
              <w:t>排放量（固体废物产生量）</w:t>
            </w:r>
            <w:r>
              <w:rPr>
                <w:rFonts w:ascii="Times New Roman"/>
                <w:snapToGrid w:val="0"/>
                <w:spacing w:val="-6"/>
                <w:kern w:val="21"/>
                <w:szCs w:val="21"/>
                <w:lang w:val="en-US" w:eastAsia="zh-CN"/>
              </w:rPr>
              <w:fldChar w:fldCharType="begin"/>
            </w:r>
            <w:r>
              <w:rPr>
                <w:rFonts w:ascii="Times New Roman"/>
                <w:snapToGrid w:val="0"/>
                <w:spacing w:val="-6"/>
                <w:kern w:val="21"/>
                <w:szCs w:val="21"/>
                <w:lang w:val="en-US" w:eastAsia="zh-CN"/>
              </w:rPr>
              <w:instrText xml:space="preserve"> = 4 \* GB3 \* MERGEFORMAT </w:instrText>
            </w:r>
            <w:r>
              <w:rPr>
                <w:rFonts w:ascii="Times New Roman"/>
                <w:snapToGrid w:val="0"/>
                <w:spacing w:val="-6"/>
                <w:kern w:val="21"/>
                <w:szCs w:val="21"/>
                <w:lang w:val="en-US" w:eastAsia="zh-CN"/>
              </w:rPr>
              <w:fldChar w:fldCharType="separate"/>
            </w:r>
            <w:r>
              <w:rPr>
                <w:rFonts w:ascii="Times New Roman"/>
                <w:kern w:val="2"/>
                <w:szCs w:val="21"/>
                <w:lang w:val="en-US" w:eastAsia="zh-CN"/>
              </w:rPr>
              <w:t>④</w:t>
            </w:r>
            <w:r>
              <w:rPr>
                <w:rFonts w:ascii="Times New Roman"/>
                <w:snapToGrid w:val="0"/>
                <w:spacing w:val="-6"/>
                <w:kern w:val="21"/>
                <w:szCs w:val="21"/>
                <w:lang w:val="en-US" w:eastAsia="zh-CN"/>
              </w:rPr>
              <w:fldChar w:fldCharType="end"/>
            </w:r>
          </w:p>
        </w:tc>
        <w:tc>
          <w:tcPr>
            <w:tcW w:w="1761" w:type="dxa"/>
            <w:noWrap w:val="0"/>
            <w:tcMar>
              <w:left w:w="28" w:type="dxa"/>
              <w:right w:w="28" w:type="dxa"/>
            </w:tcMar>
            <w:vAlign w:val="center"/>
          </w:tcPr>
          <w:p w14:paraId="3FD79994">
            <w:pPr>
              <w:pStyle w:val="18"/>
              <w:spacing w:beforeLines="0" w:afterLines="0" w:line="240" w:lineRule="auto"/>
              <w:rPr>
                <w:rFonts w:ascii="Times New Roman"/>
                <w:snapToGrid w:val="0"/>
                <w:spacing w:val="-16"/>
                <w:kern w:val="21"/>
                <w:szCs w:val="21"/>
                <w:lang w:val="en-US" w:eastAsia="zh-CN"/>
              </w:rPr>
            </w:pPr>
            <w:r>
              <w:rPr>
                <w:rFonts w:ascii="Times New Roman"/>
                <w:snapToGrid w:val="0"/>
                <w:spacing w:val="-16"/>
                <w:kern w:val="21"/>
                <w:szCs w:val="21"/>
                <w:lang w:val="en-US" w:eastAsia="zh-CN"/>
              </w:rPr>
              <w:t>以新带老削减量</w:t>
            </w:r>
          </w:p>
          <w:p w14:paraId="31EED5CC">
            <w:pPr>
              <w:pStyle w:val="18"/>
              <w:spacing w:beforeLines="0" w:afterLines="0" w:line="240" w:lineRule="auto"/>
              <w:rPr>
                <w:rFonts w:ascii="Times New Roman"/>
                <w:snapToGrid w:val="0"/>
                <w:spacing w:val="-16"/>
                <w:kern w:val="21"/>
                <w:szCs w:val="21"/>
                <w:lang w:val="en-US" w:eastAsia="zh-CN"/>
              </w:rPr>
            </w:pPr>
            <w:r>
              <w:rPr>
                <w:rFonts w:ascii="Times New Roman"/>
                <w:snapToGrid w:val="0"/>
                <w:spacing w:val="-16"/>
                <w:kern w:val="21"/>
                <w:szCs w:val="21"/>
                <w:lang w:val="en-US" w:eastAsia="zh-CN"/>
              </w:rPr>
              <w:t>（新建项目不填）</w:t>
            </w:r>
            <w:r>
              <w:rPr>
                <w:rFonts w:ascii="Times New Roman"/>
                <w:snapToGrid w:val="0"/>
                <w:spacing w:val="-16"/>
                <w:kern w:val="21"/>
                <w:szCs w:val="21"/>
                <w:lang w:val="en-US" w:eastAsia="zh-CN"/>
              </w:rPr>
              <w:fldChar w:fldCharType="begin"/>
            </w:r>
            <w:r>
              <w:rPr>
                <w:rFonts w:ascii="Times New Roman"/>
                <w:snapToGrid w:val="0"/>
                <w:spacing w:val="-16"/>
                <w:kern w:val="21"/>
                <w:szCs w:val="21"/>
                <w:lang w:val="en-US" w:eastAsia="zh-CN"/>
              </w:rPr>
              <w:instrText xml:space="preserve"> = 5 \* GB3 \* MERGEFORMAT </w:instrText>
            </w:r>
            <w:r>
              <w:rPr>
                <w:rFonts w:ascii="Times New Roman"/>
                <w:snapToGrid w:val="0"/>
                <w:spacing w:val="-16"/>
                <w:kern w:val="21"/>
                <w:szCs w:val="21"/>
                <w:lang w:val="en-US" w:eastAsia="zh-CN"/>
              </w:rPr>
              <w:fldChar w:fldCharType="separate"/>
            </w:r>
            <w:r>
              <w:rPr>
                <w:rFonts w:ascii="Times New Roman"/>
                <w:kern w:val="2"/>
                <w:szCs w:val="21"/>
                <w:lang w:val="en-US" w:eastAsia="zh-CN"/>
              </w:rPr>
              <w:t>⑤</w:t>
            </w:r>
            <w:r>
              <w:rPr>
                <w:rFonts w:ascii="Times New Roman"/>
                <w:snapToGrid w:val="0"/>
                <w:spacing w:val="-16"/>
                <w:kern w:val="21"/>
                <w:szCs w:val="21"/>
                <w:lang w:val="en-US" w:eastAsia="zh-CN"/>
              </w:rPr>
              <w:fldChar w:fldCharType="end"/>
            </w:r>
          </w:p>
        </w:tc>
        <w:tc>
          <w:tcPr>
            <w:tcW w:w="1959" w:type="dxa"/>
            <w:noWrap w:val="0"/>
            <w:tcMar>
              <w:left w:w="28" w:type="dxa"/>
              <w:right w:w="28" w:type="dxa"/>
            </w:tcMar>
            <w:vAlign w:val="center"/>
          </w:tcPr>
          <w:p w14:paraId="35ECBB44">
            <w:pPr>
              <w:pStyle w:val="18"/>
              <w:spacing w:beforeLines="0" w:afterLines="0" w:line="240" w:lineRule="auto"/>
              <w:rPr>
                <w:rFonts w:ascii="Times New Roman"/>
                <w:snapToGrid w:val="0"/>
                <w:spacing w:val="-16"/>
                <w:kern w:val="21"/>
                <w:szCs w:val="21"/>
                <w:lang w:val="en-US" w:eastAsia="zh-CN"/>
              </w:rPr>
            </w:pPr>
            <w:r>
              <w:rPr>
                <w:rFonts w:ascii="Times New Roman"/>
                <w:snapToGrid w:val="0"/>
                <w:spacing w:val="-16"/>
                <w:kern w:val="21"/>
                <w:szCs w:val="21"/>
                <w:lang w:val="en-US" w:eastAsia="zh-CN"/>
              </w:rPr>
              <w:t>本项目建成后</w:t>
            </w:r>
          </w:p>
          <w:p w14:paraId="5BE3C2E1">
            <w:pPr>
              <w:pStyle w:val="18"/>
              <w:spacing w:beforeLines="0" w:afterLines="0" w:line="240" w:lineRule="auto"/>
              <w:rPr>
                <w:rFonts w:ascii="Times New Roman"/>
                <w:snapToGrid w:val="0"/>
                <w:spacing w:val="-16"/>
                <w:kern w:val="21"/>
                <w:szCs w:val="21"/>
                <w:lang w:val="en-US" w:eastAsia="zh-CN"/>
              </w:rPr>
            </w:pPr>
            <w:r>
              <w:rPr>
                <w:rFonts w:ascii="Times New Roman"/>
                <w:snapToGrid w:val="0"/>
                <w:spacing w:val="-16"/>
                <w:kern w:val="21"/>
                <w:szCs w:val="21"/>
                <w:lang w:val="en-US" w:eastAsia="zh-CN"/>
              </w:rPr>
              <w:t>全厂排放量（固体废物产生量）</w:t>
            </w:r>
            <w:r>
              <w:rPr>
                <w:rFonts w:ascii="Times New Roman"/>
                <w:snapToGrid w:val="0"/>
                <w:spacing w:val="-16"/>
                <w:kern w:val="21"/>
                <w:szCs w:val="21"/>
                <w:lang w:val="en-US" w:eastAsia="zh-CN"/>
              </w:rPr>
              <w:fldChar w:fldCharType="begin"/>
            </w:r>
            <w:r>
              <w:rPr>
                <w:rFonts w:ascii="Times New Roman"/>
                <w:snapToGrid w:val="0"/>
                <w:spacing w:val="-16"/>
                <w:kern w:val="21"/>
                <w:szCs w:val="21"/>
                <w:lang w:val="en-US" w:eastAsia="zh-CN"/>
              </w:rPr>
              <w:instrText xml:space="preserve"> = 6 \* GB3 \* MERGEFORMAT </w:instrText>
            </w:r>
            <w:r>
              <w:rPr>
                <w:rFonts w:ascii="Times New Roman"/>
                <w:snapToGrid w:val="0"/>
                <w:spacing w:val="-16"/>
                <w:kern w:val="21"/>
                <w:szCs w:val="21"/>
                <w:lang w:val="en-US" w:eastAsia="zh-CN"/>
              </w:rPr>
              <w:fldChar w:fldCharType="separate"/>
            </w:r>
            <w:r>
              <w:rPr>
                <w:rFonts w:ascii="Times New Roman"/>
                <w:kern w:val="2"/>
                <w:szCs w:val="21"/>
                <w:lang w:val="en-US" w:eastAsia="zh-CN"/>
              </w:rPr>
              <w:t>⑥</w:t>
            </w:r>
            <w:r>
              <w:rPr>
                <w:rFonts w:ascii="Times New Roman"/>
                <w:snapToGrid w:val="0"/>
                <w:spacing w:val="-16"/>
                <w:kern w:val="21"/>
                <w:szCs w:val="21"/>
                <w:lang w:val="en-US" w:eastAsia="zh-CN"/>
              </w:rPr>
              <w:fldChar w:fldCharType="end"/>
            </w:r>
          </w:p>
        </w:tc>
        <w:tc>
          <w:tcPr>
            <w:tcW w:w="826" w:type="dxa"/>
            <w:noWrap w:val="0"/>
            <w:tcMar>
              <w:left w:w="28" w:type="dxa"/>
              <w:right w:w="28" w:type="dxa"/>
            </w:tcMar>
            <w:vAlign w:val="center"/>
          </w:tcPr>
          <w:p w14:paraId="6BCC5F8D">
            <w:pPr>
              <w:pStyle w:val="18"/>
              <w:spacing w:beforeLines="0" w:afterLines="0" w:line="240" w:lineRule="auto"/>
              <w:rPr>
                <w:rFonts w:ascii="Times New Roman"/>
                <w:snapToGrid w:val="0"/>
                <w:spacing w:val="-6"/>
                <w:kern w:val="21"/>
                <w:szCs w:val="21"/>
                <w:lang w:val="en-US" w:eastAsia="zh-CN"/>
              </w:rPr>
            </w:pPr>
            <w:r>
              <w:rPr>
                <w:rFonts w:ascii="Times New Roman"/>
                <w:snapToGrid w:val="0"/>
                <w:spacing w:val="-6"/>
                <w:kern w:val="21"/>
                <w:szCs w:val="21"/>
                <w:lang w:val="en-US" w:eastAsia="zh-CN"/>
              </w:rPr>
              <w:t>变化量</w:t>
            </w:r>
          </w:p>
          <w:p w14:paraId="2FDB1608">
            <w:pPr>
              <w:pStyle w:val="18"/>
              <w:spacing w:beforeLines="0" w:afterLines="0" w:line="240" w:lineRule="auto"/>
              <w:rPr>
                <w:rFonts w:ascii="Times New Roman"/>
                <w:snapToGrid w:val="0"/>
                <w:spacing w:val="-6"/>
                <w:kern w:val="21"/>
                <w:szCs w:val="21"/>
                <w:lang w:val="en-US" w:eastAsia="zh-CN"/>
              </w:rPr>
            </w:pPr>
            <w:r>
              <w:rPr>
                <w:rFonts w:ascii="Times New Roman"/>
                <w:snapToGrid w:val="0"/>
                <w:spacing w:val="-6"/>
                <w:kern w:val="21"/>
                <w:szCs w:val="21"/>
                <w:lang w:val="en-US" w:eastAsia="zh-CN"/>
              </w:rPr>
              <w:fldChar w:fldCharType="begin"/>
            </w:r>
            <w:r>
              <w:rPr>
                <w:rFonts w:ascii="Times New Roman"/>
                <w:snapToGrid w:val="0"/>
                <w:spacing w:val="-6"/>
                <w:kern w:val="21"/>
                <w:szCs w:val="21"/>
                <w:lang w:val="en-US" w:eastAsia="zh-CN"/>
              </w:rPr>
              <w:instrText xml:space="preserve"> = 7 \* GB3 \* MERGEFORMAT </w:instrText>
            </w:r>
            <w:r>
              <w:rPr>
                <w:rFonts w:ascii="Times New Roman"/>
                <w:snapToGrid w:val="0"/>
                <w:spacing w:val="-6"/>
                <w:kern w:val="21"/>
                <w:szCs w:val="21"/>
                <w:lang w:val="en-US" w:eastAsia="zh-CN"/>
              </w:rPr>
              <w:fldChar w:fldCharType="separate"/>
            </w:r>
            <w:r>
              <w:rPr>
                <w:rFonts w:ascii="Times New Roman"/>
                <w:kern w:val="2"/>
                <w:szCs w:val="21"/>
                <w:lang w:val="en-US" w:eastAsia="zh-CN"/>
              </w:rPr>
              <w:t>⑦</w:t>
            </w:r>
            <w:r>
              <w:rPr>
                <w:rFonts w:ascii="Times New Roman"/>
                <w:snapToGrid w:val="0"/>
                <w:spacing w:val="-6"/>
                <w:kern w:val="21"/>
                <w:szCs w:val="21"/>
                <w:lang w:val="en-US" w:eastAsia="zh-CN"/>
              </w:rPr>
              <w:fldChar w:fldCharType="end"/>
            </w:r>
          </w:p>
        </w:tc>
      </w:tr>
      <w:tr w14:paraId="56B56D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noWrap w:val="0"/>
            <w:vAlign w:val="center"/>
          </w:tcPr>
          <w:p w14:paraId="00F8BA85">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废气</w:t>
            </w:r>
          </w:p>
        </w:tc>
        <w:tc>
          <w:tcPr>
            <w:tcW w:w="1417" w:type="dxa"/>
            <w:noWrap w:val="0"/>
            <w:vAlign w:val="center"/>
          </w:tcPr>
          <w:p w14:paraId="475F029B">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颗粒物</w:t>
            </w:r>
          </w:p>
        </w:tc>
        <w:tc>
          <w:tcPr>
            <w:tcW w:w="1701" w:type="dxa"/>
            <w:noWrap w:val="0"/>
            <w:vAlign w:val="center"/>
          </w:tcPr>
          <w:p w14:paraId="5A8F1262">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276" w:type="dxa"/>
            <w:noWrap w:val="0"/>
            <w:vAlign w:val="center"/>
          </w:tcPr>
          <w:p w14:paraId="66DB6A27">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701" w:type="dxa"/>
            <w:noWrap w:val="0"/>
            <w:vAlign w:val="center"/>
          </w:tcPr>
          <w:p w14:paraId="362F8786">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559" w:type="dxa"/>
            <w:noWrap w:val="0"/>
            <w:vAlign w:val="center"/>
          </w:tcPr>
          <w:p w14:paraId="4E28942F">
            <w:pPr>
              <w:pStyle w:val="18"/>
              <w:spacing w:beforeLines="0" w:afterLines="0" w:line="240" w:lineRule="auto"/>
              <w:rPr>
                <w:rFonts w:ascii="Times New Roman"/>
                <w:snapToGrid w:val="0"/>
                <w:color w:val="auto"/>
                <w:kern w:val="21"/>
                <w:szCs w:val="21"/>
                <w:lang w:val="en-US" w:eastAsia="zh-CN"/>
              </w:rPr>
            </w:pPr>
            <w:r>
              <w:rPr>
                <w:rFonts w:hint="eastAsia" w:ascii="Times New Roman"/>
                <w:snapToGrid w:val="0"/>
                <w:color w:val="auto"/>
                <w:kern w:val="21"/>
                <w:szCs w:val="21"/>
                <w:lang w:val="en-US" w:eastAsia="zh-CN"/>
              </w:rPr>
              <w:t>3.19</w:t>
            </w:r>
            <w:r>
              <w:rPr>
                <w:rFonts w:ascii="Times New Roman"/>
                <w:snapToGrid w:val="0"/>
                <w:color w:val="auto"/>
                <w:kern w:val="21"/>
                <w:szCs w:val="21"/>
                <w:lang w:val="en-US" w:eastAsia="zh-CN"/>
              </w:rPr>
              <w:t>t/a</w:t>
            </w:r>
          </w:p>
        </w:tc>
        <w:tc>
          <w:tcPr>
            <w:tcW w:w="1761" w:type="dxa"/>
            <w:noWrap w:val="0"/>
            <w:vAlign w:val="center"/>
          </w:tcPr>
          <w:p w14:paraId="78666460">
            <w:pPr>
              <w:pStyle w:val="18"/>
              <w:spacing w:beforeLines="0" w:afterLines="0" w:line="240" w:lineRule="auto"/>
              <w:rPr>
                <w:rFonts w:ascii="Times New Roman"/>
                <w:snapToGrid w:val="0"/>
                <w:color w:val="auto"/>
                <w:kern w:val="21"/>
                <w:szCs w:val="21"/>
                <w:lang w:val="en-US" w:eastAsia="zh-CN"/>
              </w:rPr>
            </w:pPr>
            <w:r>
              <w:rPr>
                <w:rFonts w:ascii="Times New Roman"/>
                <w:snapToGrid w:val="0"/>
                <w:color w:val="auto"/>
                <w:kern w:val="21"/>
                <w:szCs w:val="21"/>
                <w:lang w:val="en-US" w:eastAsia="zh-CN"/>
              </w:rPr>
              <w:t>/</w:t>
            </w:r>
          </w:p>
        </w:tc>
        <w:tc>
          <w:tcPr>
            <w:tcW w:w="1959" w:type="dxa"/>
            <w:noWrap w:val="0"/>
            <w:vAlign w:val="center"/>
          </w:tcPr>
          <w:p w14:paraId="799EC6C7">
            <w:pPr>
              <w:pStyle w:val="18"/>
              <w:spacing w:beforeLines="0" w:afterLines="0" w:line="240" w:lineRule="auto"/>
              <w:rPr>
                <w:rFonts w:ascii="Times New Roman"/>
                <w:snapToGrid w:val="0"/>
                <w:color w:val="auto"/>
                <w:kern w:val="21"/>
                <w:szCs w:val="21"/>
                <w:lang w:val="en-US" w:eastAsia="zh-CN"/>
              </w:rPr>
            </w:pPr>
            <w:r>
              <w:rPr>
                <w:rFonts w:hint="eastAsia" w:ascii="Times New Roman"/>
                <w:snapToGrid w:val="0"/>
                <w:color w:val="auto"/>
                <w:kern w:val="21"/>
                <w:szCs w:val="21"/>
                <w:lang w:val="en-US" w:eastAsia="zh-CN"/>
              </w:rPr>
              <w:t>3.19</w:t>
            </w:r>
            <w:r>
              <w:rPr>
                <w:rFonts w:ascii="Times New Roman"/>
                <w:snapToGrid w:val="0"/>
                <w:color w:val="auto"/>
                <w:kern w:val="21"/>
                <w:szCs w:val="21"/>
                <w:lang w:val="en-US" w:eastAsia="zh-CN"/>
              </w:rPr>
              <w:t>t/a</w:t>
            </w:r>
          </w:p>
        </w:tc>
        <w:tc>
          <w:tcPr>
            <w:tcW w:w="826" w:type="dxa"/>
            <w:noWrap w:val="0"/>
            <w:vAlign w:val="center"/>
          </w:tcPr>
          <w:p w14:paraId="33D3027A">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r>
      <w:tr w14:paraId="4813A2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noWrap w:val="0"/>
            <w:vAlign w:val="center"/>
          </w:tcPr>
          <w:p w14:paraId="610884A0">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废水</w:t>
            </w:r>
          </w:p>
        </w:tc>
        <w:tc>
          <w:tcPr>
            <w:tcW w:w="1417" w:type="dxa"/>
            <w:noWrap w:val="0"/>
            <w:vAlign w:val="center"/>
          </w:tcPr>
          <w:p w14:paraId="4D4D37E6">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生活污水</w:t>
            </w:r>
          </w:p>
        </w:tc>
        <w:tc>
          <w:tcPr>
            <w:tcW w:w="1701" w:type="dxa"/>
            <w:noWrap w:val="0"/>
            <w:vAlign w:val="center"/>
          </w:tcPr>
          <w:p w14:paraId="671D7350">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276" w:type="dxa"/>
            <w:noWrap w:val="0"/>
            <w:vAlign w:val="center"/>
          </w:tcPr>
          <w:p w14:paraId="515E4BA5">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701" w:type="dxa"/>
            <w:noWrap w:val="0"/>
            <w:vAlign w:val="center"/>
          </w:tcPr>
          <w:p w14:paraId="05F01C0F">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559" w:type="dxa"/>
            <w:noWrap w:val="0"/>
            <w:vAlign w:val="center"/>
          </w:tcPr>
          <w:p w14:paraId="06635835">
            <w:pPr>
              <w:pStyle w:val="18"/>
              <w:spacing w:beforeLines="0" w:afterLines="0" w:line="240" w:lineRule="auto"/>
              <w:rPr>
                <w:rFonts w:ascii="Times New Roman"/>
                <w:snapToGrid w:val="0"/>
                <w:color w:val="auto"/>
                <w:kern w:val="21"/>
                <w:szCs w:val="21"/>
                <w:lang w:val="en-US" w:eastAsia="zh-CN"/>
              </w:rPr>
            </w:pPr>
            <w:r>
              <w:rPr>
                <w:rFonts w:hint="eastAsia" w:ascii="Times New Roman"/>
                <w:snapToGrid w:val="0"/>
                <w:color w:val="auto"/>
                <w:kern w:val="21"/>
                <w:szCs w:val="21"/>
                <w:lang w:val="en-US" w:eastAsia="zh-CN"/>
              </w:rPr>
              <w:t>806.4</w:t>
            </w:r>
            <w:r>
              <w:rPr>
                <w:rFonts w:ascii="Times New Roman"/>
                <w:snapToGrid w:val="0"/>
                <w:color w:val="auto"/>
                <w:kern w:val="21"/>
                <w:szCs w:val="21"/>
                <w:lang w:val="en-US" w:eastAsia="zh-CN"/>
              </w:rPr>
              <w:t>t/a</w:t>
            </w:r>
          </w:p>
        </w:tc>
        <w:tc>
          <w:tcPr>
            <w:tcW w:w="1761" w:type="dxa"/>
            <w:noWrap w:val="0"/>
            <w:vAlign w:val="center"/>
          </w:tcPr>
          <w:p w14:paraId="5CB67864">
            <w:pPr>
              <w:pStyle w:val="18"/>
              <w:spacing w:beforeLines="0" w:afterLines="0" w:line="240" w:lineRule="auto"/>
              <w:rPr>
                <w:rFonts w:ascii="Times New Roman"/>
                <w:snapToGrid w:val="0"/>
                <w:color w:val="auto"/>
                <w:kern w:val="21"/>
                <w:szCs w:val="21"/>
                <w:lang w:val="en-US" w:eastAsia="zh-CN"/>
              </w:rPr>
            </w:pPr>
            <w:r>
              <w:rPr>
                <w:rFonts w:ascii="Times New Roman"/>
                <w:snapToGrid w:val="0"/>
                <w:color w:val="auto"/>
                <w:kern w:val="21"/>
                <w:szCs w:val="21"/>
                <w:lang w:val="en-US" w:eastAsia="zh-CN"/>
              </w:rPr>
              <w:t>/</w:t>
            </w:r>
          </w:p>
        </w:tc>
        <w:tc>
          <w:tcPr>
            <w:tcW w:w="1959" w:type="dxa"/>
            <w:noWrap w:val="0"/>
            <w:vAlign w:val="center"/>
          </w:tcPr>
          <w:p w14:paraId="27661027">
            <w:pPr>
              <w:pStyle w:val="18"/>
              <w:spacing w:beforeLines="0" w:afterLines="0" w:line="240" w:lineRule="auto"/>
              <w:rPr>
                <w:rFonts w:ascii="Times New Roman"/>
                <w:snapToGrid w:val="0"/>
                <w:color w:val="auto"/>
                <w:kern w:val="21"/>
                <w:szCs w:val="21"/>
                <w:lang w:val="en-US" w:eastAsia="zh-CN"/>
              </w:rPr>
            </w:pPr>
            <w:r>
              <w:rPr>
                <w:rFonts w:hint="eastAsia" w:ascii="Times New Roman"/>
                <w:snapToGrid w:val="0"/>
                <w:color w:val="auto"/>
                <w:kern w:val="21"/>
                <w:szCs w:val="21"/>
                <w:lang w:val="en-US" w:eastAsia="zh-CN"/>
              </w:rPr>
              <w:t>806.4</w:t>
            </w:r>
            <w:r>
              <w:rPr>
                <w:rFonts w:ascii="Times New Roman"/>
                <w:snapToGrid w:val="0"/>
                <w:color w:val="auto"/>
                <w:kern w:val="21"/>
                <w:szCs w:val="21"/>
                <w:lang w:val="en-US" w:eastAsia="zh-CN"/>
              </w:rPr>
              <w:t>t/a</w:t>
            </w:r>
          </w:p>
        </w:tc>
        <w:tc>
          <w:tcPr>
            <w:tcW w:w="826" w:type="dxa"/>
            <w:noWrap w:val="0"/>
            <w:vAlign w:val="center"/>
          </w:tcPr>
          <w:p w14:paraId="1C0CCC28">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r>
      <w:tr w14:paraId="03E0BE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noWrap w:val="0"/>
            <w:vAlign w:val="center"/>
          </w:tcPr>
          <w:p w14:paraId="2AD5E596">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一般工业</w:t>
            </w:r>
          </w:p>
          <w:p w14:paraId="7BBD121C">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固体废物</w:t>
            </w:r>
          </w:p>
        </w:tc>
        <w:tc>
          <w:tcPr>
            <w:tcW w:w="1417" w:type="dxa"/>
            <w:noWrap w:val="0"/>
            <w:vAlign w:val="center"/>
          </w:tcPr>
          <w:p w14:paraId="61D850F8">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701" w:type="dxa"/>
            <w:noWrap w:val="0"/>
            <w:vAlign w:val="center"/>
          </w:tcPr>
          <w:p w14:paraId="25C92D29">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276" w:type="dxa"/>
            <w:noWrap w:val="0"/>
            <w:vAlign w:val="center"/>
          </w:tcPr>
          <w:p w14:paraId="377D7774">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701" w:type="dxa"/>
            <w:noWrap w:val="0"/>
            <w:vAlign w:val="center"/>
          </w:tcPr>
          <w:p w14:paraId="5308C8B9">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559" w:type="dxa"/>
            <w:noWrap w:val="0"/>
            <w:vAlign w:val="center"/>
          </w:tcPr>
          <w:p w14:paraId="40B2278A">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761" w:type="dxa"/>
            <w:noWrap w:val="0"/>
            <w:vAlign w:val="center"/>
          </w:tcPr>
          <w:p w14:paraId="75BA08D8">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959" w:type="dxa"/>
            <w:noWrap w:val="0"/>
            <w:vAlign w:val="center"/>
          </w:tcPr>
          <w:p w14:paraId="3EEB4C50">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826" w:type="dxa"/>
            <w:noWrap w:val="0"/>
            <w:vAlign w:val="center"/>
          </w:tcPr>
          <w:p w14:paraId="5C8B6191">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r>
      <w:tr w14:paraId="089343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0"/>
            <w:vAlign w:val="center"/>
          </w:tcPr>
          <w:p w14:paraId="47346468">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危险废物</w:t>
            </w:r>
          </w:p>
        </w:tc>
        <w:tc>
          <w:tcPr>
            <w:tcW w:w="1417" w:type="dxa"/>
            <w:noWrap w:val="0"/>
            <w:vAlign w:val="center"/>
          </w:tcPr>
          <w:p w14:paraId="1B90B19E">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废矿物油</w:t>
            </w:r>
          </w:p>
        </w:tc>
        <w:tc>
          <w:tcPr>
            <w:tcW w:w="1701" w:type="dxa"/>
            <w:noWrap w:val="0"/>
            <w:vAlign w:val="center"/>
          </w:tcPr>
          <w:p w14:paraId="225C46C1">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276" w:type="dxa"/>
            <w:noWrap w:val="0"/>
            <w:vAlign w:val="center"/>
          </w:tcPr>
          <w:p w14:paraId="3384B64B">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701" w:type="dxa"/>
            <w:noWrap w:val="0"/>
            <w:vAlign w:val="center"/>
          </w:tcPr>
          <w:p w14:paraId="6B25E7E5">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559" w:type="dxa"/>
            <w:noWrap w:val="0"/>
            <w:vAlign w:val="center"/>
          </w:tcPr>
          <w:p w14:paraId="326CE3C8">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1t/a</w:t>
            </w:r>
          </w:p>
        </w:tc>
        <w:tc>
          <w:tcPr>
            <w:tcW w:w="1761" w:type="dxa"/>
            <w:noWrap w:val="0"/>
            <w:vAlign w:val="center"/>
          </w:tcPr>
          <w:p w14:paraId="70C08936">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959" w:type="dxa"/>
            <w:noWrap w:val="0"/>
            <w:vAlign w:val="center"/>
          </w:tcPr>
          <w:p w14:paraId="4B13D2B5">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1t/a</w:t>
            </w:r>
          </w:p>
        </w:tc>
        <w:tc>
          <w:tcPr>
            <w:tcW w:w="826" w:type="dxa"/>
            <w:noWrap w:val="0"/>
            <w:vAlign w:val="center"/>
          </w:tcPr>
          <w:p w14:paraId="68D99B0C">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r>
      <w:tr w14:paraId="532288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0"/>
            <w:vAlign w:val="center"/>
          </w:tcPr>
          <w:p w14:paraId="14199B87">
            <w:pPr>
              <w:pStyle w:val="18"/>
              <w:spacing w:beforeLines="0" w:afterLines="0" w:line="240" w:lineRule="auto"/>
              <w:rPr>
                <w:rFonts w:ascii="Times New Roman"/>
                <w:snapToGrid w:val="0"/>
                <w:kern w:val="21"/>
                <w:szCs w:val="21"/>
                <w:lang w:val="en-US" w:eastAsia="zh-CN"/>
              </w:rPr>
            </w:pPr>
          </w:p>
        </w:tc>
        <w:tc>
          <w:tcPr>
            <w:tcW w:w="1417" w:type="dxa"/>
            <w:noWrap w:val="0"/>
            <w:vAlign w:val="center"/>
          </w:tcPr>
          <w:p w14:paraId="6FEF6E73">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废矿物油桶</w:t>
            </w:r>
          </w:p>
        </w:tc>
        <w:tc>
          <w:tcPr>
            <w:tcW w:w="1701" w:type="dxa"/>
            <w:noWrap w:val="0"/>
            <w:vAlign w:val="center"/>
          </w:tcPr>
          <w:p w14:paraId="53FD32CC">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276" w:type="dxa"/>
            <w:noWrap w:val="0"/>
            <w:vAlign w:val="center"/>
          </w:tcPr>
          <w:p w14:paraId="2D99F419">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701" w:type="dxa"/>
            <w:noWrap w:val="0"/>
            <w:vAlign w:val="center"/>
          </w:tcPr>
          <w:p w14:paraId="567B795F">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559" w:type="dxa"/>
            <w:noWrap w:val="0"/>
            <w:vAlign w:val="center"/>
          </w:tcPr>
          <w:p w14:paraId="548F55B1">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1t/a</w:t>
            </w:r>
          </w:p>
        </w:tc>
        <w:tc>
          <w:tcPr>
            <w:tcW w:w="1761" w:type="dxa"/>
            <w:noWrap w:val="0"/>
            <w:vAlign w:val="center"/>
          </w:tcPr>
          <w:p w14:paraId="48CC4617">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c>
          <w:tcPr>
            <w:tcW w:w="1959" w:type="dxa"/>
            <w:noWrap w:val="0"/>
            <w:vAlign w:val="center"/>
          </w:tcPr>
          <w:p w14:paraId="3F585E81">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1t/a</w:t>
            </w:r>
          </w:p>
        </w:tc>
        <w:tc>
          <w:tcPr>
            <w:tcW w:w="826" w:type="dxa"/>
            <w:noWrap w:val="0"/>
            <w:vAlign w:val="center"/>
          </w:tcPr>
          <w:p w14:paraId="2462D25D">
            <w:pPr>
              <w:pStyle w:val="18"/>
              <w:spacing w:beforeLines="0" w:afterLines="0" w:line="240" w:lineRule="auto"/>
              <w:rPr>
                <w:rFonts w:ascii="Times New Roman"/>
                <w:snapToGrid w:val="0"/>
                <w:kern w:val="21"/>
                <w:szCs w:val="21"/>
                <w:lang w:val="en-US" w:eastAsia="zh-CN"/>
              </w:rPr>
            </w:pPr>
            <w:r>
              <w:rPr>
                <w:rFonts w:ascii="Times New Roman"/>
                <w:snapToGrid w:val="0"/>
                <w:kern w:val="21"/>
                <w:szCs w:val="21"/>
                <w:lang w:val="en-US" w:eastAsia="zh-CN"/>
              </w:rPr>
              <w:t>/</w:t>
            </w:r>
          </w:p>
        </w:tc>
      </w:tr>
    </w:tbl>
    <w:p w14:paraId="153519BF">
      <w:pPr>
        <w:pStyle w:val="18"/>
        <w:spacing w:before="192" w:beforeLines="80" w:after="24"/>
        <w:jc w:val="left"/>
        <w:rPr>
          <w:rFonts w:ascii="Times New Roman"/>
          <w:snapToGrid w:val="0"/>
          <w:spacing w:val="-6"/>
          <w:kern w:val="21"/>
          <w:szCs w:val="21"/>
        </w:rPr>
      </w:pPr>
      <w:r>
        <w:rPr>
          <w:rFonts w:ascii="Times New Roman"/>
          <w:snapToGrid w:val="0"/>
          <w:kern w:val="21"/>
          <w:szCs w:val="21"/>
        </w:rPr>
        <w:t>注：</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ascii="Times New Roman"/>
          <w:szCs w:val="21"/>
        </w:rPr>
        <w:t>③</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ascii="Times New Roman"/>
          <w:szCs w:val="21"/>
        </w:rPr>
        <w:t>④</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ascii="Times New Roman"/>
          <w:szCs w:val="21"/>
        </w:rPr>
        <w:t>⑤</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ascii="Times New Roman"/>
          <w:szCs w:val="21"/>
        </w:rPr>
        <w:t>⑦</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p>
    <w:p w14:paraId="5D350C8E"/>
    <w:p w14:paraId="146D1D2C">
      <w:p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4190B298">
      <w:pPr>
        <w:spacing w:line="360" w:lineRule="auto"/>
      </w:pPr>
      <w:r>
        <w:rPr>
          <w:color w:val="auto"/>
          <w:sz w:val="24"/>
        </w:rPr>
        <mc:AlternateContent>
          <mc:Choice Requires="wps">
            <w:drawing>
              <wp:anchor distT="0" distB="0" distL="114300" distR="114300" simplePos="0" relativeHeight="251662336" behindDoc="0" locked="0" layoutInCell="1" allowOverlap="1">
                <wp:simplePos x="0" y="0"/>
                <wp:positionH relativeFrom="column">
                  <wp:posOffset>4478020</wp:posOffset>
                </wp:positionH>
                <wp:positionV relativeFrom="paragraph">
                  <wp:posOffset>7649210</wp:posOffset>
                </wp:positionV>
                <wp:extent cx="806450" cy="374650"/>
                <wp:effectExtent l="12700" t="12700" r="19050" b="12700"/>
                <wp:wrapNone/>
                <wp:docPr id="106" name="矩形 106"/>
                <wp:cNvGraphicFramePr/>
                <a:graphic xmlns:a="http://schemas.openxmlformats.org/drawingml/2006/main">
                  <a:graphicData uri="http://schemas.microsoft.com/office/word/2010/wordprocessingShape">
                    <wps:wsp>
                      <wps:cNvSpPr/>
                      <wps:spPr>
                        <a:xfrm>
                          <a:off x="5268595" y="8070850"/>
                          <a:ext cx="806450" cy="374650"/>
                        </a:xfrm>
                        <a:prstGeom prst="rect">
                          <a:avLst/>
                        </a:prstGeom>
                        <a:noFill/>
                        <a:ln w="25400" cap="flat" cmpd="sng" algn="ctr">
                          <a:solidFill>
                            <a:srgbClr val="000000"/>
                          </a:solidFill>
                          <a:prstDash val="solid"/>
                        </a:ln>
                        <a:effectLst/>
                      </wps:spPr>
                      <wps:txbx>
                        <w:txbxContent>
                          <w:p w14:paraId="19366EAF">
                            <w:pPr>
                              <w:jc w:val="center"/>
                              <w:rPr>
                                <w:rFonts w:hint="default" w:eastAsia="宋体"/>
                                <w:color w:val="000000"/>
                                <w:lang w:val="en-US" w:eastAsia="zh-CN"/>
                              </w:rPr>
                            </w:pPr>
                            <w:r>
                              <w:rPr>
                                <w:rFonts w:hint="eastAsia" w:eastAsia="宋体"/>
                                <w:color w:val="000000"/>
                                <w:lang w:val="en-US" w:eastAsia="zh-CN"/>
                              </w:rPr>
                              <w:t>1：105万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2.6pt;margin-top:602.3pt;height:29.5pt;width:63.5pt;z-index:251662336;v-text-anchor:middle;mso-width-relative:page;mso-height-relative:page;" filled="f" stroked="t" coordsize="21600,21600" o:gfxdata="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DjqLiNoAAAANAQAADwAAAAAAAAABACAAAAAiAAAA&#10;ZHJzL2Rvd25yZXYueG1sUEsBAhQAFAAAAAgAh07iQDjxBe93AgAA3AQAAA4AAAAAAAAAAQAgAAAA&#10;KQEAAGRycy9lMm9Eb2MueG1sUEsFBgAAAAAGAAYAWQEAABIGAAAAAA==&#10;">
                <v:fill on="f" focussize="0,0"/>
                <v:stroke weight="2pt" color="#000000" joinstyle="round"/>
                <v:imagedata o:title=""/>
                <o:lock v:ext="edit" aspectratio="f"/>
                <v:textbox>
                  <w:txbxContent>
                    <w:p w14:paraId="19366EAF">
                      <w:pPr>
                        <w:jc w:val="center"/>
                        <w:rPr>
                          <w:rFonts w:hint="default" w:eastAsia="宋体"/>
                          <w:color w:val="000000"/>
                          <w:lang w:val="en-US" w:eastAsia="zh-CN"/>
                        </w:rPr>
                      </w:pPr>
                      <w:r>
                        <w:rPr>
                          <w:rFonts w:hint="eastAsia" w:eastAsia="宋体"/>
                          <w:color w:val="000000"/>
                          <w:lang w:val="en-US" w:eastAsia="zh-CN"/>
                        </w:rPr>
                        <w:t>1：105万</w:t>
                      </w:r>
                    </w:p>
                  </w:txbxContent>
                </v:textbox>
              </v:rect>
            </w:pict>
          </mc:Fallback>
        </mc:AlternateContent>
      </w:r>
      <w:r>
        <w:drawing>
          <wp:anchor distT="0" distB="0" distL="114300" distR="114300" simplePos="0" relativeHeight="251661312" behindDoc="0" locked="0" layoutInCell="1" allowOverlap="1">
            <wp:simplePos x="0" y="0"/>
            <wp:positionH relativeFrom="column">
              <wp:posOffset>4404995</wp:posOffset>
            </wp:positionH>
            <wp:positionV relativeFrom="paragraph">
              <wp:posOffset>3810</wp:posOffset>
            </wp:positionV>
            <wp:extent cx="878840" cy="770255"/>
            <wp:effectExtent l="0" t="0" r="16510" b="10795"/>
            <wp:wrapNone/>
            <wp:docPr id="32"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3.jpeg"/>
                    <pic:cNvPicPr>
                      <a:picLocks noChangeAspect="1"/>
                    </pic:cNvPicPr>
                  </pic:nvPicPr>
                  <pic:blipFill>
                    <a:blip r:embed="rId11"/>
                    <a:stretch>
                      <a:fillRect/>
                    </a:stretch>
                  </pic:blipFill>
                  <pic:spPr>
                    <a:xfrm>
                      <a:off x="0" y="0"/>
                      <a:ext cx="878840" cy="770255"/>
                    </a:xfrm>
                    <a:prstGeom prst="rect">
                      <a:avLst/>
                    </a:prstGeom>
                    <a:noFill/>
                    <a:ln>
                      <a:noFill/>
                    </a:ln>
                  </pic:spPr>
                </pic:pic>
              </a:graphicData>
            </a:graphic>
          </wp:anchor>
        </w:drawing>
      </w:r>
      <w:r>
        <mc:AlternateContent>
          <mc:Choice Requires="wps">
            <w:drawing>
              <wp:anchor distT="0" distB="0" distL="114300" distR="114300" simplePos="0" relativeHeight="251660288" behindDoc="0" locked="0" layoutInCell="1" allowOverlap="1">
                <wp:simplePos x="0" y="0"/>
                <wp:positionH relativeFrom="column">
                  <wp:posOffset>459740</wp:posOffset>
                </wp:positionH>
                <wp:positionV relativeFrom="paragraph">
                  <wp:posOffset>1327150</wp:posOffset>
                </wp:positionV>
                <wp:extent cx="654685" cy="309880"/>
                <wp:effectExtent l="255270" t="4445" r="23495" b="428625"/>
                <wp:wrapNone/>
                <wp:docPr id="31" name="矩形标注 31"/>
                <wp:cNvGraphicFramePr/>
                <a:graphic xmlns:a="http://schemas.openxmlformats.org/drawingml/2006/main">
                  <a:graphicData uri="http://schemas.microsoft.com/office/word/2010/wordprocessingShape">
                    <wps:wsp>
                      <wps:cNvSpPr/>
                      <wps:spPr>
                        <a:xfrm>
                          <a:off x="0" y="0"/>
                          <a:ext cx="654685" cy="309880"/>
                        </a:xfrm>
                        <a:prstGeom prst="wedgeRectCallout">
                          <a:avLst>
                            <a:gd name="adj1" fmla="val -84718"/>
                            <a:gd name="adj2" fmla="val 177662"/>
                          </a:avLst>
                        </a:prstGeom>
                        <a:solidFill>
                          <a:srgbClr val="FFFFFF"/>
                        </a:solidFill>
                        <a:ln w="9525" cap="flat" cmpd="sng">
                          <a:solidFill>
                            <a:srgbClr val="000000"/>
                          </a:solidFill>
                          <a:prstDash val="solid"/>
                          <a:miter/>
                          <a:headEnd type="none" w="med" len="med"/>
                          <a:tailEnd type="none" w="med" len="med"/>
                        </a:ln>
                      </wps:spPr>
                      <wps:txbx>
                        <w:txbxContent>
                          <w:p w14:paraId="5B3467EA">
                            <w:pPr>
                              <w:rPr>
                                <w:rFonts w:hint="eastAsia"/>
                              </w:rPr>
                            </w:pPr>
                            <w:r>
                              <w:rPr>
                                <w:rFonts w:hint="eastAsia"/>
                              </w:rPr>
                              <w:t>本项目</w:t>
                            </w:r>
                          </w:p>
                        </w:txbxContent>
                      </wps:txbx>
                      <wps:bodyPr upright="1"/>
                    </wps:wsp>
                  </a:graphicData>
                </a:graphic>
              </wp:anchor>
            </w:drawing>
          </mc:Choice>
          <mc:Fallback>
            <w:pict>
              <v:shape id="_x0000_s1026" o:spid="_x0000_s1026" o:spt="61" type="#_x0000_t61" style="position:absolute;left:0pt;margin-left:36.2pt;margin-top:104.5pt;height:24.4pt;width:51.55pt;z-index:251660288;mso-width-relative:page;mso-height-relative:page;" fillcolor="#FFFFFF" filled="t" stroked="t" coordsize="21600,21600" o:gfxdata="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Phh/fNgAAAAKAQAADwAAAAAAAAABACAAAAAiAAAAZHJzL2Rv&#10;d25yZXYueG1sUEsBAhQAFAAAAAgAh07iQAu1B606AgAAjwQAAA4AAAAAAAAAAQAgAAAAJwEAAGRy&#10;cy9lMm9Eb2MueG1sUEsFBgAAAAAGAAYAWQEAANMFAAAAAA==&#10;" adj="-7499,49175">
                <v:fill on="t" focussize="0,0"/>
                <v:stroke color="#000000" joinstyle="miter"/>
                <v:imagedata o:title=""/>
                <o:lock v:ext="edit" aspectratio="f"/>
                <v:textbox>
                  <w:txbxContent>
                    <w:p w14:paraId="5B3467EA">
                      <w:pPr>
                        <w:rPr>
                          <w:rFonts w:hint="eastAsia"/>
                        </w:rPr>
                      </w:pPr>
                      <w:r>
                        <w:rPr>
                          <w:rFonts w:hint="eastAsia"/>
                        </w:rPr>
                        <w:t>本项目</w:t>
                      </w:r>
                    </w:p>
                  </w:txbxContent>
                </v:textbox>
              </v:shape>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156845</wp:posOffset>
                </wp:positionH>
                <wp:positionV relativeFrom="paragraph">
                  <wp:posOffset>2030730</wp:posOffset>
                </wp:positionV>
                <wp:extent cx="75565" cy="75565"/>
                <wp:effectExtent l="4445" t="4445" r="15240" b="15240"/>
                <wp:wrapNone/>
                <wp:docPr id="30" name="椭圆 30"/>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2.35pt;margin-top:159.9pt;height:5.95pt;width:5.95pt;z-index:251659264;mso-width-relative:page;mso-height-relative:page;" fillcolor="#FF0000" filled="t" stroked="t" coordsize="21600,21600" o:gfxdata="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aWBGv2AAAAAkBAAAPAAAAAAAAAAEAIAAAACIAAABkcnMvZG93bnJldi54bWxQSwECFAAU&#10;AAAACACHTuJA0NBTefEBAAAWBAAADgAAAAAAAAABACAAAAAnAQAAZHJzL2Uyb0RvYy54bWxQSwUG&#10;AAAAAAYABgBZAQAAigUAAAAA&#10;">
                <v:fill on="t" focussize="0,0"/>
                <v:stroke color="#FF0000" joinstyle="round"/>
                <v:imagedata o:title=""/>
                <o:lock v:ext="edit" aspectratio="f"/>
              </v:shape>
            </w:pict>
          </mc:Fallback>
        </mc:AlternateContent>
      </w:r>
      <w:r>
        <w:drawing>
          <wp:inline distT="0" distB="0" distL="114300" distR="114300">
            <wp:extent cx="5274310" cy="8023225"/>
            <wp:effectExtent l="9525" t="9525" r="12065" b="25400"/>
            <wp:docPr id="29" name="图片 3" descr="鄂托克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descr="鄂托克旗"/>
                    <pic:cNvPicPr>
                      <a:picLocks noChangeAspect="1"/>
                    </pic:cNvPicPr>
                  </pic:nvPicPr>
                  <pic:blipFill>
                    <a:blip r:embed="rId12"/>
                    <a:stretch>
                      <a:fillRect/>
                    </a:stretch>
                  </pic:blipFill>
                  <pic:spPr>
                    <a:xfrm>
                      <a:off x="0" y="0"/>
                      <a:ext cx="5274310" cy="8023225"/>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28BA593B">
      <w:pPr>
        <w:pStyle w:val="5"/>
        <w:ind w:firstLine="482"/>
        <w:jc w:val="center"/>
        <w:rPr>
          <w:b/>
          <w:bCs/>
          <w:lang w:eastAsia="zh-CN"/>
        </w:rPr>
        <w:sectPr>
          <w:footerReference r:id="rId7"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b/>
          <w:bCs/>
          <w:lang w:eastAsia="zh-CN"/>
        </w:rPr>
        <w:t>附图一  本项目地理位置图</w:t>
      </w:r>
    </w:p>
    <w:p w14:paraId="56B40477">
      <w:pPr>
        <w:pStyle w:val="5"/>
        <w:ind w:firstLine="480"/>
        <w:jc w:val="center"/>
      </w:pPr>
      <w:r>
        <w:drawing>
          <wp:inline distT="0" distB="0" distL="114300" distR="114300">
            <wp:extent cx="6962775" cy="4906010"/>
            <wp:effectExtent l="0" t="0" r="9525" b="889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13"/>
                    <a:stretch>
                      <a:fillRect/>
                    </a:stretch>
                  </pic:blipFill>
                  <pic:spPr>
                    <a:xfrm>
                      <a:off x="0" y="0"/>
                      <a:ext cx="6962775" cy="4906010"/>
                    </a:xfrm>
                    <a:prstGeom prst="rect">
                      <a:avLst/>
                    </a:prstGeom>
                    <a:noFill/>
                    <a:ln>
                      <a:noFill/>
                    </a:ln>
                  </pic:spPr>
                </pic:pic>
              </a:graphicData>
            </a:graphic>
          </wp:inline>
        </w:drawing>
      </w:r>
    </w:p>
    <w:p w14:paraId="3B49CE37">
      <w:pPr>
        <w:pStyle w:val="5"/>
        <w:ind w:firstLine="480"/>
        <w:jc w:val="center"/>
      </w:pPr>
    </w:p>
    <w:p w14:paraId="3151F675">
      <w:pPr>
        <w:pStyle w:val="2"/>
        <w:ind w:firstLine="0"/>
        <w:jc w:val="center"/>
        <w:rPr>
          <w:b/>
          <w:bCs/>
          <w:color w:val="FF0000"/>
        </w:rPr>
      </w:pPr>
      <w:r>
        <w:rPr>
          <w:b/>
          <w:bCs/>
          <w:color w:val="FF0000"/>
        </w:rPr>
        <w:t>附图二  生态环境分区管控单元位置图</w:t>
      </w:r>
    </w:p>
    <w:p w14:paraId="3250BB88">
      <w:pPr>
        <w:pStyle w:val="5"/>
        <w:ind w:firstLine="480"/>
        <w:jc w:val="center"/>
        <w:rPr>
          <w:lang w:val="en-US" w:eastAsia="zh-CN"/>
        </w:rPr>
      </w:pPr>
    </w:p>
    <w:p w14:paraId="2CDC8524">
      <w:pPr>
        <w:jc w:val="center"/>
      </w:pPr>
      <w:r>
        <w:drawing>
          <wp:inline distT="0" distB="0" distL="114300" distR="114300">
            <wp:extent cx="6817995" cy="4823460"/>
            <wp:effectExtent l="9525" t="9525" r="49530" b="43815"/>
            <wp:docPr id="27" name="图片 5" descr="平面布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descr="平面布置"/>
                    <pic:cNvPicPr>
                      <a:picLocks noChangeAspect="1"/>
                    </pic:cNvPicPr>
                  </pic:nvPicPr>
                  <pic:blipFill>
                    <a:blip r:embed="rId14"/>
                    <a:stretch>
                      <a:fillRect/>
                    </a:stretch>
                  </pic:blipFill>
                  <pic:spPr>
                    <a:xfrm>
                      <a:off x="0" y="0"/>
                      <a:ext cx="6817995" cy="4823460"/>
                    </a:xfrm>
                    <a:prstGeom prst="rect">
                      <a:avLst/>
                    </a:prstGeom>
                    <a:noFill/>
                    <a:ln w="9525" cap="flat" cmpd="sng">
                      <a:solidFill>
                        <a:srgbClr val="000000"/>
                      </a:solidFill>
                      <a:prstDash val="solid"/>
                      <a:miter/>
                      <a:headEnd type="none" w="med" len="med"/>
                      <a:tailEnd type="none" w="med" len="med"/>
                    </a:ln>
                    <a:effectLst>
                      <a:outerShdw dist="35921" dir="2699999" algn="ctr" rotWithShape="0">
                        <a:srgbClr val="FFFFFF"/>
                      </a:outerShdw>
                    </a:effectLst>
                  </pic:spPr>
                </pic:pic>
              </a:graphicData>
            </a:graphic>
          </wp:inline>
        </w:drawing>
      </w:r>
    </w:p>
    <w:p w14:paraId="5699CE1F">
      <w:pPr>
        <w:pStyle w:val="5"/>
        <w:ind w:firstLine="480"/>
        <w:rPr>
          <w:lang w:val="en-US" w:eastAsia="zh-CN"/>
        </w:rPr>
      </w:pPr>
    </w:p>
    <w:p w14:paraId="624F0F4E">
      <w:pPr>
        <w:jc w:val="center"/>
        <w:rPr>
          <w:b/>
          <w:bCs/>
          <w:sz w:val="24"/>
        </w:rPr>
      </w:pPr>
      <w:r>
        <w:rPr>
          <w:b/>
          <w:bCs/>
          <w:sz w:val="24"/>
        </w:rPr>
        <w:t>附图三  平面布置图</w:t>
      </w:r>
    </w:p>
    <w:p w14:paraId="33569C5C">
      <w:pPr>
        <w:pStyle w:val="5"/>
        <w:ind w:firstLine="482"/>
        <w:rPr>
          <w:b/>
          <w:bCs/>
          <w:kern w:val="2"/>
          <w:szCs w:val="24"/>
          <w:lang w:val="en-US" w:eastAsia="zh-CN"/>
        </w:rPr>
      </w:pPr>
    </w:p>
    <w:p w14:paraId="1CDFF0CD">
      <w:r>
        <w:drawing>
          <wp:inline distT="0" distB="0" distL="114300" distR="114300">
            <wp:extent cx="8523605" cy="4330065"/>
            <wp:effectExtent l="9525" t="9525" r="20320" b="22860"/>
            <wp:docPr id="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1"/>
                    </pic:cNvPicPr>
                  </pic:nvPicPr>
                  <pic:blipFill>
                    <a:blip r:embed="rId15"/>
                    <a:stretch>
                      <a:fillRect/>
                    </a:stretch>
                  </pic:blipFill>
                  <pic:spPr>
                    <a:xfrm>
                      <a:off x="0" y="0"/>
                      <a:ext cx="8523605" cy="4330065"/>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3535E4D3">
      <w:pPr>
        <w:pStyle w:val="5"/>
        <w:ind w:firstLine="480"/>
      </w:pPr>
    </w:p>
    <w:p w14:paraId="3C12FE21">
      <w:pPr>
        <w:jc w:val="center"/>
        <w:rPr>
          <w:b/>
          <w:bCs/>
        </w:rPr>
      </w:pPr>
      <w:r>
        <w:rPr>
          <w:b/>
          <w:bCs/>
        </w:rPr>
        <w:t>附图四  环境现状监测点位布置图</w:t>
      </w:r>
    </w:p>
    <w:p w14:paraId="113E4AF4">
      <w:pPr>
        <w:pStyle w:val="5"/>
        <w:ind w:firstLine="482"/>
        <w:rPr>
          <w:b/>
          <w:bCs/>
          <w:lang w:val="en-US" w:eastAsia="zh-CN"/>
        </w:rPr>
      </w:pPr>
    </w:p>
    <w:p w14:paraId="169CA07C">
      <w:pPr>
        <w:rPr>
          <w:b/>
          <w:bCs/>
        </w:rPr>
      </w:pPr>
    </w:p>
    <w:p w14:paraId="7ACDB6E7">
      <w:pPr>
        <w:pStyle w:val="5"/>
        <w:ind w:firstLine="482"/>
        <w:rPr>
          <w:b/>
          <w:bCs/>
          <w:lang w:val="en-US" w:eastAsia="zh-CN"/>
        </w:rPr>
      </w:pPr>
    </w:p>
    <w:p w14:paraId="08CCDF28">
      <w:pPr>
        <w:pStyle w:val="5"/>
        <w:ind w:left="0" w:leftChars="0" w:firstLine="0" w:firstLineChars="0"/>
        <w:rPr>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1073DE5A">
      <w:pPr>
        <w:spacing w:line="360" w:lineRule="auto"/>
        <w:rPr>
          <w:sz w:val="24"/>
        </w:rPr>
      </w:pPr>
      <w:r>
        <w:rPr>
          <w:sz w:val="24"/>
        </w:rPr>
        <w:t>附件1  环评委托书</w:t>
      </w:r>
    </w:p>
    <w:p w14:paraId="388E3318">
      <w:pPr>
        <w:pStyle w:val="5"/>
        <w:spacing w:line="360" w:lineRule="auto"/>
        <w:ind w:left="0" w:leftChars="0" w:firstLine="0" w:firstLineChars="0"/>
        <w:rPr>
          <w:szCs w:val="24"/>
          <w:lang w:val="en-US" w:eastAsia="zh-CN"/>
        </w:rPr>
      </w:pPr>
    </w:p>
    <w:p w14:paraId="379C9728">
      <w:pPr>
        <w:spacing w:line="360" w:lineRule="auto"/>
        <w:jc w:val="center"/>
        <w:rPr>
          <w:rFonts w:hint="default" w:ascii="Times New Roman" w:hAnsi="Times New Roman" w:eastAsia="宋体" w:cs="Times New Roman"/>
          <w:b/>
          <w:bCs/>
          <w:color w:val="auto"/>
          <w:sz w:val="44"/>
          <w:szCs w:val="44"/>
          <w:highlight w:val="none"/>
          <w:lang w:val="en-US" w:eastAsia="zh-CN"/>
        </w:rPr>
      </w:pPr>
      <w:r>
        <w:rPr>
          <w:rFonts w:hint="default" w:ascii="Times New Roman" w:hAnsi="Times New Roman" w:eastAsia="宋体" w:cs="Times New Roman"/>
          <w:b/>
          <w:bCs/>
          <w:color w:val="auto"/>
          <w:sz w:val="44"/>
          <w:szCs w:val="44"/>
          <w:highlight w:val="none"/>
          <w:lang w:val="en-US" w:eastAsia="zh-CN"/>
        </w:rPr>
        <w:t>环评委托书</w:t>
      </w:r>
    </w:p>
    <w:p w14:paraId="0BA7A950">
      <w:pPr>
        <w:spacing w:line="360" w:lineRule="auto"/>
        <w:ind w:firstLine="2891" w:firstLineChars="900"/>
        <w:jc w:val="both"/>
        <w:rPr>
          <w:rFonts w:hint="default" w:ascii="Times New Roman" w:hAnsi="Times New Roman" w:eastAsia="宋体" w:cs="Times New Roman"/>
          <w:b/>
          <w:bCs/>
          <w:color w:val="auto"/>
          <w:sz w:val="32"/>
          <w:szCs w:val="32"/>
          <w:highlight w:val="none"/>
          <w:lang w:val="en-US" w:eastAsia="zh-CN"/>
        </w:rPr>
      </w:pPr>
    </w:p>
    <w:p w14:paraId="01C46414">
      <w:pPr>
        <w:spacing w:line="360" w:lineRule="auto"/>
        <w:jc w:val="both"/>
        <w:rPr>
          <w:rFonts w:hint="default" w:ascii="Times New Roman" w:hAnsi="Times New Roman" w:eastAsia="宋体" w:cs="Times New Roman"/>
          <w:b w:val="0"/>
          <w:i w:val="0"/>
          <w:caps w:val="0"/>
          <w:color w:val="auto"/>
          <w:spacing w:val="0"/>
          <w:sz w:val="32"/>
          <w:szCs w:val="32"/>
          <w:highlight w:val="none"/>
          <w:shd w:val="clear" w:color="auto" w:fill="auto"/>
          <w:lang w:eastAsia="zh-CN"/>
        </w:rPr>
      </w:pPr>
      <w:r>
        <w:rPr>
          <w:rFonts w:hint="default" w:ascii="Times New Roman" w:hAnsi="Times New Roman" w:eastAsia="宋体" w:cs="Times New Roman"/>
          <w:b w:val="0"/>
          <w:i w:val="0"/>
          <w:caps w:val="0"/>
          <w:color w:val="auto"/>
          <w:spacing w:val="0"/>
          <w:sz w:val="32"/>
          <w:szCs w:val="32"/>
          <w:highlight w:val="none"/>
          <w:shd w:val="clear" w:color="auto" w:fill="auto"/>
          <w:lang w:val="en-US" w:eastAsia="zh-CN"/>
        </w:rPr>
        <w:t>内蒙古希隆环保科技有限公司</w:t>
      </w:r>
      <w:r>
        <w:rPr>
          <w:rFonts w:hint="default" w:ascii="Times New Roman" w:hAnsi="Times New Roman" w:eastAsia="宋体" w:cs="Times New Roman"/>
          <w:b w:val="0"/>
          <w:i w:val="0"/>
          <w:caps w:val="0"/>
          <w:color w:val="auto"/>
          <w:spacing w:val="0"/>
          <w:sz w:val="32"/>
          <w:szCs w:val="32"/>
          <w:highlight w:val="none"/>
          <w:shd w:val="clear" w:color="auto" w:fill="auto"/>
          <w:lang w:eastAsia="zh-CN"/>
        </w:rPr>
        <w:t>：</w:t>
      </w:r>
    </w:p>
    <w:p w14:paraId="4D20706F">
      <w:pPr>
        <w:spacing w:line="360" w:lineRule="auto"/>
        <w:ind w:firstLine="640" w:firstLineChars="200"/>
        <w:jc w:val="both"/>
        <w:rPr>
          <w:rFonts w:hint="default" w:ascii="Times New Roman" w:hAnsi="Times New Roman" w:eastAsia="宋体" w:cs="Times New Roman"/>
          <w:b w:val="0"/>
          <w:i w:val="0"/>
          <w:caps w:val="0"/>
          <w:color w:val="auto"/>
          <w:spacing w:val="0"/>
          <w:sz w:val="32"/>
          <w:szCs w:val="32"/>
          <w:highlight w:val="none"/>
          <w:shd w:val="clear" w:color="auto" w:fill="auto"/>
          <w:lang w:val="en-US" w:eastAsia="zh-CN"/>
        </w:rPr>
      </w:pPr>
      <w:r>
        <w:rPr>
          <w:rFonts w:hint="default" w:ascii="Times New Roman" w:hAnsi="Times New Roman" w:eastAsia="宋体" w:cs="Times New Roman"/>
          <w:b w:val="0"/>
          <w:i w:val="0"/>
          <w:caps w:val="0"/>
          <w:color w:val="auto"/>
          <w:spacing w:val="0"/>
          <w:sz w:val="32"/>
          <w:szCs w:val="32"/>
          <w:highlight w:val="none"/>
          <w:shd w:val="clear" w:color="auto" w:fill="auto"/>
          <w:lang w:val="en-US" w:eastAsia="zh-CN"/>
        </w:rPr>
        <w:t>根据《中华人民共和国环境影响评价法》、《建设项目环境保护管理条例》和《建设项目环境影响评价分类管理名录》的相关规定，我单位现委托贵公司承担《</w:t>
      </w:r>
      <w:r>
        <w:rPr>
          <w:rFonts w:hint="eastAsia" w:cs="Times New Roman"/>
          <w:b w:val="0"/>
          <w:i w:val="0"/>
          <w:caps w:val="0"/>
          <w:color w:val="auto"/>
          <w:spacing w:val="0"/>
          <w:sz w:val="32"/>
          <w:szCs w:val="32"/>
          <w:highlight w:val="none"/>
          <w:shd w:val="clear" w:color="auto" w:fill="auto"/>
          <w:lang w:val="en-US" w:eastAsia="zh-CN"/>
        </w:rPr>
        <w:t>内蒙古恒泽鑫建筑材料销售有限公司40万立方米/年预拌混凝土项目</w:t>
      </w:r>
      <w:r>
        <w:rPr>
          <w:rFonts w:hint="default" w:ascii="Times New Roman" w:hAnsi="Times New Roman" w:eastAsia="宋体" w:cs="Times New Roman"/>
          <w:b w:val="0"/>
          <w:i w:val="0"/>
          <w:caps w:val="0"/>
          <w:color w:val="auto"/>
          <w:spacing w:val="0"/>
          <w:sz w:val="32"/>
          <w:szCs w:val="32"/>
          <w:highlight w:val="none"/>
          <w:shd w:val="clear" w:color="auto" w:fill="auto"/>
          <w:lang w:val="en-US" w:eastAsia="zh-CN"/>
        </w:rPr>
        <w:t>》环境影响评价工作，请</w:t>
      </w:r>
      <w:r>
        <w:rPr>
          <w:rFonts w:hint="eastAsia" w:ascii="Times New Roman" w:hAnsi="Times New Roman" w:eastAsia="宋体" w:cs="Times New Roman"/>
          <w:b w:val="0"/>
          <w:i w:val="0"/>
          <w:caps w:val="0"/>
          <w:color w:val="auto"/>
          <w:spacing w:val="0"/>
          <w:sz w:val="32"/>
          <w:szCs w:val="32"/>
          <w:highlight w:val="none"/>
          <w:shd w:val="clear" w:color="auto" w:fill="auto"/>
          <w:lang w:val="en-US" w:eastAsia="zh-CN"/>
        </w:rPr>
        <w:t>接受</w:t>
      </w:r>
      <w:r>
        <w:rPr>
          <w:rFonts w:hint="default" w:ascii="Times New Roman" w:hAnsi="Times New Roman" w:eastAsia="宋体" w:cs="Times New Roman"/>
          <w:b w:val="0"/>
          <w:i w:val="0"/>
          <w:caps w:val="0"/>
          <w:color w:val="auto"/>
          <w:spacing w:val="0"/>
          <w:sz w:val="32"/>
          <w:szCs w:val="32"/>
          <w:highlight w:val="none"/>
          <w:shd w:val="clear" w:color="auto" w:fill="auto"/>
          <w:lang w:val="en-US" w:eastAsia="zh-CN"/>
        </w:rPr>
        <w:t>委托后尽快开展工作。</w:t>
      </w:r>
    </w:p>
    <w:p w14:paraId="2FE1D9D5">
      <w:pPr>
        <w:spacing w:line="360" w:lineRule="auto"/>
        <w:jc w:val="center"/>
        <w:rPr>
          <w:rFonts w:hint="default" w:ascii="Times New Roman" w:hAnsi="Times New Roman" w:eastAsia="宋体" w:cs="Times New Roman"/>
          <w:color w:val="auto"/>
          <w:sz w:val="32"/>
          <w:szCs w:val="32"/>
          <w:highlight w:val="none"/>
        </w:rPr>
      </w:pPr>
    </w:p>
    <w:p w14:paraId="1684FEF5">
      <w:pPr>
        <w:spacing w:line="360" w:lineRule="auto"/>
        <w:jc w:val="right"/>
        <w:rPr>
          <w:rFonts w:hint="default" w:ascii="Times New Roman" w:hAnsi="Times New Roman" w:eastAsia="宋体" w:cs="Times New Roman"/>
          <w:b w:val="0"/>
          <w:i w:val="0"/>
          <w:caps w:val="0"/>
          <w:color w:val="auto"/>
          <w:spacing w:val="0"/>
          <w:sz w:val="32"/>
          <w:szCs w:val="32"/>
          <w:highlight w:val="none"/>
          <w:shd w:val="clear" w:color="auto" w:fill="auto"/>
          <w:lang w:val="en-US" w:eastAsia="zh-CN"/>
        </w:rPr>
      </w:pPr>
    </w:p>
    <w:p w14:paraId="6050254A">
      <w:pPr>
        <w:spacing w:line="360" w:lineRule="auto"/>
        <w:jc w:val="right"/>
        <w:rPr>
          <w:rFonts w:hint="default" w:ascii="Times New Roman" w:hAnsi="Times New Roman" w:eastAsia="宋体" w:cs="Times New Roman"/>
          <w:color w:val="auto"/>
          <w:sz w:val="32"/>
          <w:szCs w:val="32"/>
          <w:highlight w:val="none"/>
          <w:lang w:val="en-US" w:eastAsia="zh-CN"/>
        </w:rPr>
      </w:pPr>
      <w:r>
        <w:rPr>
          <w:rFonts w:hint="eastAsia" w:cs="Times New Roman"/>
          <w:color w:val="auto"/>
          <w:sz w:val="32"/>
          <w:szCs w:val="32"/>
          <w:highlight w:val="none"/>
          <w:lang w:val="en-US" w:eastAsia="zh-CN"/>
        </w:rPr>
        <w:t>内蒙古恒泽鑫建筑材料销售有限公司</w:t>
      </w:r>
      <w:r>
        <w:rPr>
          <w:rFonts w:hint="default" w:ascii="Times New Roman" w:hAnsi="Times New Roman" w:eastAsia="宋体" w:cs="Times New Roman"/>
          <w:color w:val="auto"/>
          <w:sz w:val="32"/>
          <w:szCs w:val="32"/>
          <w:highlight w:val="none"/>
          <w:lang w:val="en-US" w:eastAsia="zh-CN"/>
        </w:rPr>
        <w:t xml:space="preserve"> </w:t>
      </w:r>
    </w:p>
    <w:p w14:paraId="05840EB7">
      <w:pPr>
        <w:jc w:val="right"/>
        <w:rPr>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eastAsia="宋体" w:cs="Times New Roman"/>
          <w:color w:val="auto"/>
          <w:sz w:val="32"/>
          <w:szCs w:val="32"/>
          <w:highlight w:val="none"/>
          <w:lang w:val="en-US" w:eastAsia="zh-CN"/>
        </w:rPr>
        <w:t xml:space="preserve"> </w:t>
      </w:r>
      <w:r>
        <w:rPr>
          <w:rFonts w:hint="eastAsia" w:cs="Times New Roman"/>
          <w:color w:val="auto"/>
          <w:sz w:val="32"/>
          <w:szCs w:val="32"/>
          <w:highlight w:val="none"/>
          <w:lang w:val="en-US" w:eastAsia="zh-CN"/>
        </w:rPr>
        <w:t xml:space="preserve"> 2024</w:t>
      </w:r>
      <w:r>
        <w:rPr>
          <w:rFonts w:hint="default" w:ascii="Times New Roman" w:hAnsi="Times New Roman" w:eastAsia="宋体" w:cs="Times New Roman"/>
          <w:color w:val="auto"/>
          <w:sz w:val="32"/>
          <w:szCs w:val="32"/>
          <w:highlight w:val="none"/>
          <w:lang w:eastAsia="zh-CN"/>
        </w:rPr>
        <w:t>年</w:t>
      </w:r>
      <w:r>
        <w:rPr>
          <w:rFonts w:hint="eastAsia" w:cs="Times New Roman"/>
          <w:color w:val="auto"/>
          <w:sz w:val="32"/>
          <w:szCs w:val="32"/>
          <w:highlight w:val="none"/>
          <w:lang w:val="en-US" w:eastAsia="zh-CN"/>
        </w:rPr>
        <w:t>2</w:t>
      </w:r>
      <w:r>
        <w:rPr>
          <w:rFonts w:hint="default" w:ascii="Times New Roman" w:hAnsi="Times New Roman" w:eastAsia="宋体" w:cs="Times New Roman"/>
          <w:color w:val="auto"/>
          <w:sz w:val="32"/>
          <w:szCs w:val="32"/>
          <w:highlight w:val="none"/>
          <w:lang w:val="en-US" w:eastAsia="zh-CN"/>
        </w:rPr>
        <w:t>月</w:t>
      </w:r>
      <w:r>
        <w:rPr>
          <w:rFonts w:hint="eastAsia" w:cs="Times New Roman"/>
          <w:color w:val="auto"/>
          <w:sz w:val="32"/>
          <w:szCs w:val="32"/>
          <w:highlight w:val="none"/>
          <w:lang w:val="en-US" w:eastAsia="zh-CN"/>
        </w:rPr>
        <w:t>2</w:t>
      </w:r>
      <w:r>
        <w:rPr>
          <w:rFonts w:hint="default" w:ascii="Times New Roman" w:hAnsi="Times New Roman" w:eastAsia="宋体" w:cs="Times New Roman"/>
          <w:color w:val="auto"/>
          <w:sz w:val="32"/>
          <w:szCs w:val="32"/>
          <w:highlight w:val="none"/>
          <w:lang w:val="en-US" w:eastAsia="zh-CN"/>
        </w:rPr>
        <w:t>日</w:t>
      </w:r>
    </w:p>
    <w:p w14:paraId="655FF762">
      <w:pPr>
        <w:pStyle w:val="5"/>
        <w:spacing w:line="360" w:lineRule="auto"/>
        <w:ind w:left="0" w:leftChars="0" w:firstLine="0" w:firstLineChars="0"/>
        <w:rPr>
          <w:szCs w:val="24"/>
          <w:lang w:val="en-US" w:eastAsia="zh-CN"/>
        </w:rPr>
      </w:pPr>
      <w:r>
        <w:rPr>
          <w:szCs w:val="24"/>
          <w:lang w:val="en-US" w:eastAsia="zh-CN"/>
        </w:rPr>
        <w:t>附件2本项目立项</w:t>
      </w:r>
    </w:p>
    <w:p w14:paraId="05A808CE">
      <w:pPr>
        <w:pStyle w:val="5"/>
        <w:spacing w:line="360" w:lineRule="auto"/>
        <w:ind w:left="0" w:leftChars="0" w:firstLine="0" w:firstLineChars="0"/>
        <w:rPr>
          <w:szCs w:val="24"/>
          <w:lang w:val="en-US" w:eastAsia="zh-CN"/>
        </w:rPr>
      </w:pPr>
    </w:p>
    <w:p w14:paraId="74AC1CED">
      <w:pPr>
        <w:pStyle w:val="5"/>
        <w:spacing w:line="360" w:lineRule="auto"/>
        <w:ind w:left="0" w:leftChars="0" w:firstLine="0" w:firstLineChars="0"/>
        <w:rPr>
          <w:szCs w:val="24"/>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609590" cy="7419340"/>
            <wp:effectExtent l="0" t="0" r="10160" b="10160"/>
            <wp:docPr id="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1"/>
                    </pic:cNvPicPr>
                  </pic:nvPicPr>
                  <pic:blipFill>
                    <a:blip r:embed="rId16"/>
                    <a:stretch>
                      <a:fillRect/>
                    </a:stretch>
                  </pic:blipFill>
                  <pic:spPr>
                    <a:xfrm>
                      <a:off x="0" y="0"/>
                      <a:ext cx="5609590" cy="7419340"/>
                    </a:xfrm>
                    <a:prstGeom prst="rect">
                      <a:avLst/>
                    </a:prstGeom>
                    <a:noFill/>
                    <a:ln>
                      <a:noFill/>
                    </a:ln>
                  </pic:spPr>
                </pic:pic>
              </a:graphicData>
            </a:graphic>
          </wp:inline>
        </w:drawing>
      </w:r>
      <w:r>
        <w:drawing>
          <wp:inline distT="0" distB="0" distL="114300" distR="114300">
            <wp:extent cx="5614035" cy="7524115"/>
            <wp:effectExtent l="0" t="0" r="5715" b="635"/>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17"/>
                    <a:stretch>
                      <a:fillRect/>
                    </a:stretch>
                  </pic:blipFill>
                  <pic:spPr>
                    <a:xfrm>
                      <a:off x="0" y="0"/>
                      <a:ext cx="5614035" cy="7524115"/>
                    </a:xfrm>
                    <a:prstGeom prst="rect">
                      <a:avLst/>
                    </a:prstGeom>
                    <a:noFill/>
                    <a:ln>
                      <a:noFill/>
                    </a:ln>
                  </pic:spPr>
                </pic:pic>
              </a:graphicData>
            </a:graphic>
          </wp:inline>
        </w:drawing>
      </w:r>
    </w:p>
    <w:p w14:paraId="338FFC81">
      <w:pPr>
        <w:pStyle w:val="5"/>
        <w:spacing w:line="360" w:lineRule="auto"/>
        <w:ind w:left="0" w:leftChars="0" w:firstLine="0" w:firstLineChars="0"/>
        <w:rPr>
          <w:szCs w:val="24"/>
          <w:lang w:val="en-US" w:eastAsia="zh-CN"/>
        </w:rPr>
      </w:pPr>
      <w:r>
        <w:rPr>
          <w:szCs w:val="24"/>
          <w:lang w:val="en-US" w:eastAsia="zh-CN"/>
        </w:rPr>
        <w:t>附件3关于同意入园的会议纪要（关于本项目节选）</w:t>
      </w:r>
    </w:p>
    <w:p w14:paraId="685ACAC5">
      <w:p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603240" cy="7705090"/>
            <wp:effectExtent l="0" t="0" r="16510" b="10160"/>
            <wp:docPr id="23" name="图片 9" descr="05af5c92a0f56ab43ab0f637924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descr="05af5c92a0f56ab43ab0f6379241235"/>
                    <pic:cNvPicPr>
                      <a:picLocks noChangeAspect="1"/>
                    </pic:cNvPicPr>
                  </pic:nvPicPr>
                  <pic:blipFill>
                    <a:blip r:embed="rId18"/>
                    <a:stretch>
                      <a:fillRect/>
                    </a:stretch>
                  </pic:blipFill>
                  <pic:spPr>
                    <a:xfrm>
                      <a:off x="0" y="0"/>
                      <a:ext cx="5603240" cy="7705090"/>
                    </a:xfrm>
                    <a:prstGeom prst="rect">
                      <a:avLst/>
                    </a:prstGeom>
                    <a:noFill/>
                    <a:ln>
                      <a:noFill/>
                    </a:ln>
                  </pic:spPr>
                </pic:pic>
              </a:graphicData>
            </a:graphic>
          </wp:inline>
        </w:drawing>
      </w:r>
      <w:r>
        <w:drawing>
          <wp:inline distT="0" distB="0" distL="114300" distR="114300">
            <wp:extent cx="5603240" cy="7705090"/>
            <wp:effectExtent l="0" t="0" r="16510" b="10160"/>
            <wp:docPr id="22" name="图片 10" descr="1b5b9e856917f32115bbabb4718bb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descr="1b5b9e856917f32115bbabb4718bb36"/>
                    <pic:cNvPicPr>
                      <a:picLocks noChangeAspect="1"/>
                    </pic:cNvPicPr>
                  </pic:nvPicPr>
                  <pic:blipFill>
                    <a:blip r:embed="rId19"/>
                    <a:stretch>
                      <a:fillRect/>
                    </a:stretch>
                  </pic:blipFill>
                  <pic:spPr>
                    <a:xfrm>
                      <a:off x="0" y="0"/>
                      <a:ext cx="5603240" cy="7705090"/>
                    </a:xfrm>
                    <a:prstGeom prst="rect">
                      <a:avLst/>
                    </a:prstGeom>
                    <a:noFill/>
                    <a:ln>
                      <a:noFill/>
                    </a:ln>
                  </pic:spPr>
                </pic:pic>
              </a:graphicData>
            </a:graphic>
          </wp:inline>
        </w:drawing>
      </w:r>
      <w:r>
        <w:drawing>
          <wp:inline distT="0" distB="0" distL="114300" distR="114300">
            <wp:extent cx="5603240" cy="7705090"/>
            <wp:effectExtent l="0" t="0" r="16510" b="10160"/>
            <wp:docPr id="21" name="图片 11" descr="f8d81830b6d76fb3f759f707e6ee2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descr="f8d81830b6d76fb3f759f707e6ee2f0"/>
                    <pic:cNvPicPr>
                      <a:picLocks noChangeAspect="1"/>
                    </pic:cNvPicPr>
                  </pic:nvPicPr>
                  <pic:blipFill>
                    <a:blip r:embed="rId20"/>
                    <a:stretch>
                      <a:fillRect/>
                    </a:stretch>
                  </pic:blipFill>
                  <pic:spPr>
                    <a:xfrm>
                      <a:off x="0" y="0"/>
                      <a:ext cx="5603240" cy="7705090"/>
                    </a:xfrm>
                    <a:prstGeom prst="rect">
                      <a:avLst/>
                    </a:prstGeom>
                    <a:noFill/>
                    <a:ln>
                      <a:noFill/>
                    </a:ln>
                  </pic:spPr>
                </pic:pic>
              </a:graphicData>
            </a:graphic>
          </wp:inline>
        </w:drawing>
      </w:r>
      <w:r>
        <w:drawing>
          <wp:inline distT="0" distB="0" distL="114300" distR="114300">
            <wp:extent cx="5603240" cy="7705090"/>
            <wp:effectExtent l="0" t="0" r="16510" b="10160"/>
            <wp:docPr id="20" name="图片 12" descr="069598e236ae0595dfea9e49f3f7b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descr="069598e236ae0595dfea9e49f3f7b38"/>
                    <pic:cNvPicPr>
                      <a:picLocks noChangeAspect="1"/>
                    </pic:cNvPicPr>
                  </pic:nvPicPr>
                  <pic:blipFill>
                    <a:blip r:embed="rId21"/>
                    <a:stretch>
                      <a:fillRect/>
                    </a:stretch>
                  </pic:blipFill>
                  <pic:spPr>
                    <a:xfrm>
                      <a:off x="0" y="0"/>
                      <a:ext cx="5603240" cy="7705090"/>
                    </a:xfrm>
                    <a:prstGeom prst="rect">
                      <a:avLst/>
                    </a:prstGeom>
                    <a:noFill/>
                    <a:ln>
                      <a:noFill/>
                    </a:ln>
                  </pic:spPr>
                </pic:pic>
              </a:graphicData>
            </a:graphic>
          </wp:inline>
        </w:drawing>
      </w:r>
    </w:p>
    <w:p w14:paraId="0C79B74E">
      <w:pPr>
        <w:pStyle w:val="5"/>
        <w:spacing w:line="360" w:lineRule="auto"/>
        <w:ind w:left="0" w:leftChars="0" w:firstLine="0" w:firstLineChars="0"/>
        <w:rPr>
          <w:szCs w:val="24"/>
          <w:lang w:val="en-US" w:eastAsia="zh-CN"/>
        </w:rPr>
      </w:pPr>
      <w:r>
        <w:rPr>
          <w:szCs w:val="24"/>
          <w:lang w:val="en-US" w:eastAsia="zh-CN"/>
        </w:rPr>
        <w:t>附件4环境监测报告</w:t>
      </w:r>
    </w:p>
    <w:p w14:paraId="417FA11F">
      <w:r>
        <w:drawing>
          <wp:inline distT="0" distB="0" distL="114300" distR="114300">
            <wp:extent cx="5613400" cy="6409055"/>
            <wp:effectExtent l="0" t="0" r="6350" b="10795"/>
            <wp:docPr id="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pic:cNvPicPr>
                      <a:picLocks noChangeAspect="1"/>
                    </pic:cNvPicPr>
                  </pic:nvPicPr>
                  <pic:blipFill>
                    <a:blip r:embed="rId22"/>
                    <a:stretch>
                      <a:fillRect/>
                    </a:stretch>
                  </pic:blipFill>
                  <pic:spPr>
                    <a:xfrm>
                      <a:off x="0" y="0"/>
                      <a:ext cx="5613400" cy="6409055"/>
                    </a:xfrm>
                    <a:prstGeom prst="rect">
                      <a:avLst/>
                    </a:prstGeom>
                    <a:noFill/>
                    <a:ln>
                      <a:noFill/>
                    </a:ln>
                  </pic:spPr>
                </pic:pic>
              </a:graphicData>
            </a:graphic>
          </wp:inline>
        </w:drawing>
      </w:r>
      <w:r>
        <w:drawing>
          <wp:inline distT="0" distB="0" distL="114300" distR="114300">
            <wp:extent cx="5615305" cy="7696200"/>
            <wp:effectExtent l="0" t="0" r="4445" b="0"/>
            <wp:docPr id="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pic:cNvPicPr>
                      <a:picLocks noChangeAspect="1"/>
                    </pic:cNvPicPr>
                  </pic:nvPicPr>
                  <pic:blipFill>
                    <a:blip r:embed="rId23"/>
                    <a:srcRect b="7126"/>
                    <a:stretch>
                      <a:fillRect/>
                    </a:stretch>
                  </pic:blipFill>
                  <pic:spPr>
                    <a:xfrm>
                      <a:off x="0" y="0"/>
                      <a:ext cx="5615305" cy="7696200"/>
                    </a:xfrm>
                    <a:prstGeom prst="rect">
                      <a:avLst/>
                    </a:prstGeom>
                    <a:noFill/>
                    <a:ln>
                      <a:noFill/>
                    </a:ln>
                  </pic:spPr>
                </pic:pic>
              </a:graphicData>
            </a:graphic>
          </wp:inline>
        </w:drawing>
      </w:r>
      <w:r>
        <w:drawing>
          <wp:inline distT="0" distB="0" distL="114300" distR="114300">
            <wp:extent cx="5614035" cy="7703820"/>
            <wp:effectExtent l="0" t="0" r="5715" b="1143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24"/>
                    <a:srcRect b="7538"/>
                    <a:stretch>
                      <a:fillRect/>
                    </a:stretch>
                  </pic:blipFill>
                  <pic:spPr>
                    <a:xfrm>
                      <a:off x="0" y="0"/>
                      <a:ext cx="5614035" cy="7703820"/>
                    </a:xfrm>
                    <a:prstGeom prst="rect">
                      <a:avLst/>
                    </a:prstGeom>
                    <a:noFill/>
                    <a:ln>
                      <a:noFill/>
                    </a:ln>
                  </pic:spPr>
                </pic:pic>
              </a:graphicData>
            </a:graphic>
          </wp:inline>
        </w:drawing>
      </w:r>
      <w:r>
        <w:drawing>
          <wp:inline distT="0" distB="0" distL="114300" distR="114300">
            <wp:extent cx="5610860" cy="7394575"/>
            <wp:effectExtent l="0" t="0" r="8890" b="1587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5"/>
                    <a:srcRect b="9250"/>
                    <a:stretch>
                      <a:fillRect/>
                    </a:stretch>
                  </pic:blipFill>
                  <pic:spPr>
                    <a:xfrm>
                      <a:off x="0" y="0"/>
                      <a:ext cx="5610860" cy="7394575"/>
                    </a:xfrm>
                    <a:prstGeom prst="rect">
                      <a:avLst/>
                    </a:prstGeom>
                    <a:noFill/>
                    <a:ln>
                      <a:noFill/>
                    </a:ln>
                  </pic:spPr>
                </pic:pic>
              </a:graphicData>
            </a:graphic>
          </wp:inline>
        </w:drawing>
      </w:r>
      <w:r>
        <w:drawing>
          <wp:inline distT="0" distB="0" distL="114300" distR="114300">
            <wp:extent cx="5612765" cy="7287895"/>
            <wp:effectExtent l="0" t="0" r="6985" b="8255"/>
            <wp:docPr id="1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
                    <pic:cNvPicPr>
                      <a:picLocks noChangeAspect="1"/>
                    </pic:cNvPicPr>
                  </pic:nvPicPr>
                  <pic:blipFill>
                    <a:blip r:embed="rId26"/>
                    <a:stretch>
                      <a:fillRect/>
                    </a:stretch>
                  </pic:blipFill>
                  <pic:spPr>
                    <a:xfrm>
                      <a:off x="0" y="0"/>
                      <a:ext cx="5612765" cy="7287895"/>
                    </a:xfrm>
                    <a:prstGeom prst="rect">
                      <a:avLst/>
                    </a:prstGeom>
                    <a:noFill/>
                    <a:ln>
                      <a:noFill/>
                    </a:ln>
                  </pic:spPr>
                </pic:pic>
              </a:graphicData>
            </a:graphic>
          </wp:inline>
        </w:drawing>
      </w:r>
    </w:p>
    <w:p w14:paraId="18851351">
      <w:pPr>
        <w:pStyle w:val="5"/>
        <w:ind w:firstLine="480"/>
      </w:pPr>
    </w:p>
    <w:p w14:paraId="65DF6782"/>
    <w:p w14:paraId="0029B660">
      <w:pPr>
        <w:pStyle w:val="5"/>
        <w:ind w:firstLine="480"/>
      </w:pPr>
    </w:p>
    <w:p w14:paraId="2D9F3529">
      <w:pPr>
        <w:rPr>
          <w:rFonts w:hint="eastAsia" w:eastAsia="宋体"/>
          <w:lang w:eastAsia="zh-CN"/>
        </w:rPr>
      </w:pPr>
      <w:r>
        <w:rPr>
          <w:rFonts w:hint="eastAsia" w:eastAsia="宋体"/>
          <w:lang w:eastAsia="zh-CN"/>
        </w:rPr>
        <w:drawing>
          <wp:inline distT="0" distB="0" distL="114300" distR="114300">
            <wp:extent cx="5615305" cy="7945755"/>
            <wp:effectExtent l="0" t="0" r="4445" b="17145"/>
            <wp:docPr id="14" name="图片 18" descr="CDJC-XZS-2024-006 内蒙古美力坚科技化工有限公司30000吨年多功能化学助剂项目环境现状检测 2024.04.29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8" descr="CDJC-XZS-2024-006 内蒙古美力坚科技化工有限公司30000吨年多功能化学助剂项目环境现状检测 2024.04.29_00"/>
                    <pic:cNvPicPr>
                      <a:picLocks noChangeAspect="1"/>
                    </pic:cNvPicPr>
                  </pic:nvPicPr>
                  <pic:blipFill>
                    <a:blip r:embed="rId27"/>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13" name="图片 19" descr="CDJC-XZS-2024-006 内蒙古美力坚科技化工有限公司30000吨年多功能化学助剂项目环境现状检测 2024.04.2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9" descr="CDJC-XZS-2024-006 内蒙古美力坚科技化工有限公司30000吨年多功能化学助剂项目环境现状检测 2024.04.29_01"/>
                    <pic:cNvPicPr>
                      <a:picLocks noChangeAspect="1"/>
                    </pic:cNvPicPr>
                  </pic:nvPicPr>
                  <pic:blipFill>
                    <a:blip r:embed="rId28"/>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12" name="图片 20" descr="CDJC-XZS-2024-006 内蒙古美力坚科技化工有限公司30000吨年多功能化学助剂项目环境现状检测 2024.04.29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0" descr="CDJC-XZS-2024-006 内蒙古美力坚科技化工有限公司30000吨年多功能化学助剂项目环境现状检测 2024.04.29_02"/>
                    <pic:cNvPicPr>
                      <a:picLocks noChangeAspect="1"/>
                    </pic:cNvPicPr>
                  </pic:nvPicPr>
                  <pic:blipFill>
                    <a:blip r:embed="rId29"/>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11" name="图片 21" descr="CDJC-XZS-2024-006 内蒙古美力坚科技化工有限公司30000吨年多功能化学助剂项目环境现状检测 2024.04.29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1" descr="CDJC-XZS-2024-006 内蒙古美力坚科技化工有限公司30000吨年多功能化学助剂项目环境现状检测 2024.04.29_03"/>
                    <pic:cNvPicPr>
                      <a:picLocks noChangeAspect="1"/>
                    </pic:cNvPicPr>
                  </pic:nvPicPr>
                  <pic:blipFill>
                    <a:blip r:embed="rId30"/>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10" name="图片 22" descr="CDJC-XZS-2024-006 内蒙古美力坚科技化工有限公司30000吨年多功能化学助剂项目环境现状检测 2024.04.29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2" descr="CDJC-XZS-2024-006 内蒙古美力坚科技化工有限公司30000吨年多功能化学助剂项目环境现状检测 2024.04.29_04"/>
                    <pic:cNvPicPr>
                      <a:picLocks noChangeAspect="1"/>
                    </pic:cNvPicPr>
                  </pic:nvPicPr>
                  <pic:blipFill>
                    <a:blip r:embed="rId31"/>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9" name="图片 23" descr="CDJC-XZS-2024-006 内蒙古美力坚科技化工有限公司30000吨年多功能化学助剂项目环境现状检测 2024.04.29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3" descr="CDJC-XZS-2024-006 内蒙古美力坚科技化工有限公司30000吨年多功能化学助剂项目环境现状检测 2024.04.29_05"/>
                    <pic:cNvPicPr>
                      <a:picLocks noChangeAspect="1"/>
                    </pic:cNvPicPr>
                  </pic:nvPicPr>
                  <pic:blipFill>
                    <a:blip r:embed="rId32"/>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8" name="图片 24" descr="CDJC-XZS-2024-006 内蒙古美力坚科技化工有限公司30000吨年多功能化学助剂项目环境现状检测 2024.04.29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4" descr="CDJC-XZS-2024-006 内蒙古美力坚科技化工有限公司30000吨年多功能化学助剂项目环境现状检测 2024.04.29_06"/>
                    <pic:cNvPicPr>
                      <a:picLocks noChangeAspect="1"/>
                    </pic:cNvPicPr>
                  </pic:nvPicPr>
                  <pic:blipFill>
                    <a:blip r:embed="rId33"/>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7" name="图片 25" descr="CDJC-XZS-2024-006 内蒙古美力坚科技化工有限公司30000吨年多功能化学助剂项目环境现状检测 2024.04.29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5" descr="CDJC-XZS-2024-006 内蒙古美力坚科技化工有限公司30000吨年多功能化学助剂项目环境现状检测 2024.04.29_07"/>
                    <pic:cNvPicPr>
                      <a:picLocks noChangeAspect="1"/>
                    </pic:cNvPicPr>
                  </pic:nvPicPr>
                  <pic:blipFill>
                    <a:blip r:embed="rId34"/>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6" name="图片 26" descr="CDJC-XZS-2024-006 内蒙古美力坚科技化工有限公司30000吨年多功能化学助剂项目环境现状检测 2024.04.29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6" descr="CDJC-XZS-2024-006 内蒙古美力坚科技化工有限公司30000吨年多功能化学助剂项目环境现状检测 2024.04.29_08"/>
                    <pic:cNvPicPr>
                      <a:picLocks noChangeAspect="1"/>
                    </pic:cNvPicPr>
                  </pic:nvPicPr>
                  <pic:blipFill>
                    <a:blip r:embed="rId35"/>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5" name="图片 27" descr="CDJC-XZS-2024-006 内蒙古美力坚科技化工有限公司30000吨年多功能化学助剂项目环境现状检测 2024.04.29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7" descr="CDJC-XZS-2024-006 内蒙古美力坚科技化工有限公司30000吨年多功能化学助剂项目环境现状检测 2024.04.29_09"/>
                    <pic:cNvPicPr>
                      <a:picLocks noChangeAspect="1"/>
                    </pic:cNvPicPr>
                  </pic:nvPicPr>
                  <pic:blipFill>
                    <a:blip r:embed="rId36"/>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4" name="图片 28" descr="CDJC-XZS-2024-006 内蒙古美力坚科技化工有限公司30000吨年多功能化学助剂项目环境现状检测 2024.04.29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8" descr="CDJC-XZS-2024-006 内蒙古美力坚科技化工有限公司30000吨年多功能化学助剂项目环境现状检测 2024.04.29_10"/>
                    <pic:cNvPicPr>
                      <a:picLocks noChangeAspect="1"/>
                    </pic:cNvPicPr>
                  </pic:nvPicPr>
                  <pic:blipFill>
                    <a:blip r:embed="rId37"/>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3" name="图片 29" descr="CDJC-XZS-2024-006 内蒙古美力坚科技化工有限公司30000吨年多功能化学助剂项目环境现状检测 2024.04.29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9" descr="CDJC-XZS-2024-006 内蒙古美力坚科技化工有限公司30000吨年多功能化学助剂项目环境现状检测 2024.04.29_11"/>
                    <pic:cNvPicPr>
                      <a:picLocks noChangeAspect="1"/>
                    </pic:cNvPicPr>
                  </pic:nvPicPr>
                  <pic:blipFill>
                    <a:blip r:embed="rId38"/>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2" name="图片 30" descr="CDJC-XZS-2024-006 内蒙古美力坚科技化工有限公司30000吨年多功能化学助剂项目环境现状检测 2024.04.29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0" descr="CDJC-XZS-2024-006 内蒙古美力坚科技化工有限公司30000吨年多功能化学助剂项目环境现状检测 2024.04.29_12"/>
                    <pic:cNvPicPr>
                      <a:picLocks noChangeAspect="1"/>
                    </pic:cNvPicPr>
                  </pic:nvPicPr>
                  <pic:blipFill>
                    <a:blip r:embed="rId39"/>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1" name="图片 31" descr="CDJC-XZS-2024-006 内蒙古美力坚科技化工有限公司30000吨年多功能化学助剂项目环境现状检测 2024.04.29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1" descr="CDJC-XZS-2024-006 内蒙古美力坚科技化工有限公司30000吨年多功能化学助剂项目环境现状检测 2024.04.29_13"/>
                    <pic:cNvPicPr>
                      <a:picLocks noChangeAspect="1"/>
                    </pic:cNvPicPr>
                  </pic:nvPicPr>
                  <pic:blipFill>
                    <a:blip r:embed="rId40"/>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35" name="图片 32" descr="CDJC-XZS-2024-006 内蒙古美力坚科技化工有限公司30000吨年多功能化学助剂项目环境现状检测 2024.04.29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2" descr="CDJC-XZS-2024-006 内蒙古美力坚科技化工有限公司30000吨年多功能化学助剂项目环境现状检测 2024.04.29_14"/>
                    <pic:cNvPicPr>
                      <a:picLocks noChangeAspect="1"/>
                    </pic:cNvPicPr>
                  </pic:nvPicPr>
                  <pic:blipFill>
                    <a:blip r:embed="rId41"/>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36" name="图片 33" descr="CDJC-XZS-2024-006 内蒙古美力坚科技化工有限公司30000吨年多功能化学助剂项目环境现状检测 2024.04.29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3" descr="CDJC-XZS-2024-006 内蒙古美力坚科技化工有限公司30000吨年多功能化学助剂项目环境现状检测 2024.04.29_15"/>
                    <pic:cNvPicPr>
                      <a:picLocks noChangeAspect="1"/>
                    </pic:cNvPicPr>
                  </pic:nvPicPr>
                  <pic:blipFill>
                    <a:blip r:embed="rId42"/>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37" name="图片 34" descr="CDJC-XZS-2024-006 内蒙古美力坚科技化工有限公司30000吨年多功能化学助剂项目环境现状检测 2024.04.29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4" descr="CDJC-XZS-2024-006 内蒙古美力坚科技化工有限公司30000吨年多功能化学助剂项目环境现状检测 2024.04.29_16"/>
                    <pic:cNvPicPr>
                      <a:picLocks noChangeAspect="1"/>
                    </pic:cNvPicPr>
                  </pic:nvPicPr>
                  <pic:blipFill>
                    <a:blip r:embed="rId43"/>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38" name="图片 35" descr="CDJC-XZS-2024-006 内蒙古美力坚科技化工有限公司30000吨年多功能化学助剂项目环境现状检测 2024.04.29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5" descr="CDJC-XZS-2024-006 内蒙古美力坚科技化工有限公司30000吨年多功能化学助剂项目环境现状检测 2024.04.29_17"/>
                    <pic:cNvPicPr>
                      <a:picLocks noChangeAspect="1"/>
                    </pic:cNvPicPr>
                  </pic:nvPicPr>
                  <pic:blipFill>
                    <a:blip r:embed="rId44"/>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39" name="图片 36" descr="CDJC-XZS-2024-006 内蒙古美力坚科技化工有限公司30000吨年多功能化学助剂项目环境现状检测 2024.04.29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6" descr="CDJC-XZS-2024-006 内蒙古美力坚科技化工有限公司30000吨年多功能化学助剂项目环境现状检测 2024.04.29_18"/>
                    <pic:cNvPicPr>
                      <a:picLocks noChangeAspect="1"/>
                    </pic:cNvPicPr>
                  </pic:nvPicPr>
                  <pic:blipFill>
                    <a:blip r:embed="rId45"/>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40" name="图片 37" descr="CDJC-XZS-2024-006 内蒙古美力坚科技化工有限公司30000吨年多功能化学助剂项目环境现状检测 2024.04.29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7" descr="CDJC-XZS-2024-006 内蒙古美力坚科技化工有限公司30000吨年多功能化学助剂项目环境现状检测 2024.04.29_19"/>
                    <pic:cNvPicPr>
                      <a:picLocks noChangeAspect="1"/>
                    </pic:cNvPicPr>
                  </pic:nvPicPr>
                  <pic:blipFill>
                    <a:blip r:embed="rId46"/>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41" name="图片 38" descr="CDJC-XZS-2024-006 内蒙古美力坚科技化工有限公司30000吨年多功能化学助剂项目环境现状检测 2024.04.29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8" descr="CDJC-XZS-2024-006 内蒙古美力坚科技化工有限公司30000吨年多功能化学助剂项目环境现状检测 2024.04.29_20"/>
                    <pic:cNvPicPr>
                      <a:picLocks noChangeAspect="1"/>
                    </pic:cNvPicPr>
                  </pic:nvPicPr>
                  <pic:blipFill>
                    <a:blip r:embed="rId47"/>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42" name="图片 39" descr="CDJC-XZS-2024-006 内蒙古美力坚科技化工有限公司30000吨年多功能化学助剂项目环境现状检测 2024.04.29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9" descr="CDJC-XZS-2024-006 内蒙古美力坚科技化工有限公司30000吨年多功能化学助剂项目环境现状检测 2024.04.29_21"/>
                    <pic:cNvPicPr>
                      <a:picLocks noChangeAspect="1"/>
                    </pic:cNvPicPr>
                  </pic:nvPicPr>
                  <pic:blipFill>
                    <a:blip r:embed="rId48"/>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43" name="图片 40" descr="CDJC-XZS-2024-006 内蒙古美力坚科技化工有限公司30000吨年多功能化学助剂项目环境现状检测 2024.04.29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0" descr="CDJC-XZS-2024-006 内蒙古美力坚科技化工有限公司30000吨年多功能化学助剂项目环境现状检测 2024.04.29_22"/>
                    <pic:cNvPicPr>
                      <a:picLocks noChangeAspect="1"/>
                    </pic:cNvPicPr>
                  </pic:nvPicPr>
                  <pic:blipFill>
                    <a:blip r:embed="rId49"/>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44" name="图片 41" descr="CDJC-XZS-2024-006 内蒙古美力坚科技化工有限公司30000吨年多功能化学助剂项目环境现状检测 2024.04.29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1" descr="CDJC-XZS-2024-006 内蒙古美力坚科技化工有限公司30000吨年多功能化学助剂项目环境现状检测 2024.04.29_23"/>
                    <pic:cNvPicPr>
                      <a:picLocks noChangeAspect="1"/>
                    </pic:cNvPicPr>
                  </pic:nvPicPr>
                  <pic:blipFill>
                    <a:blip r:embed="rId50"/>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45" name="图片 42" descr="CDJC-XZS-2024-006 内蒙古美力坚科技化工有限公司30000吨年多功能化学助剂项目环境现状检测 2024.04.29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2" descr="CDJC-XZS-2024-006 内蒙古美力坚科技化工有限公司30000吨年多功能化学助剂项目环境现状检测 2024.04.29_24"/>
                    <pic:cNvPicPr>
                      <a:picLocks noChangeAspect="1"/>
                    </pic:cNvPicPr>
                  </pic:nvPicPr>
                  <pic:blipFill>
                    <a:blip r:embed="rId51"/>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46" name="图片 43" descr="CDJC-XZS-2024-006 内蒙古美力坚科技化工有限公司30000吨年多功能化学助剂项目环境现状检测 2024.04.29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3" descr="CDJC-XZS-2024-006 内蒙古美力坚科技化工有限公司30000吨年多功能化学助剂项目环境现状检测 2024.04.29_25"/>
                    <pic:cNvPicPr>
                      <a:picLocks noChangeAspect="1"/>
                    </pic:cNvPicPr>
                  </pic:nvPicPr>
                  <pic:blipFill>
                    <a:blip r:embed="rId52"/>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47" name="图片 44" descr="CDJC-XZS-2024-006 内蒙古美力坚科技化工有限公司30000吨年多功能化学助剂项目环境现状检测 2024.04.29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4" descr="CDJC-XZS-2024-006 内蒙古美力坚科技化工有限公司30000吨年多功能化学助剂项目环境现状检测 2024.04.29_26"/>
                    <pic:cNvPicPr>
                      <a:picLocks noChangeAspect="1"/>
                    </pic:cNvPicPr>
                  </pic:nvPicPr>
                  <pic:blipFill>
                    <a:blip r:embed="rId53"/>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48" name="图片 45" descr="CDJC-XZS-2024-006 内蒙古美力坚科技化工有限公司30000吨年多功能化学助剂项目环境现状检测 2024.04.29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5" descr="CDJC-XZS-2024-006 内蒙古美力坚科技化工有限公司30000吨年多功能化学助剂项目环境现状检测 2024.04.29_27"/>
                    <pic:cNvPicPr>
                      <a:picLocks noChangeAspect="1"/>
                    </pic:cNvPicPr>
                  </pic:nvPicPr>
                  <pic:blipFill>
                    <a:blip r:embed="rId54"/>
                    <a:stretch>
                      <a:fillRect/>
                    </a:stretch>
                  </pic:blipFill>
                  <pic:spPr>
                    <a:xfrm>
                      <a:off x="0" y="0"/>
                      <a:ext cx="5615305" cy="7945755"/>
                    </a:xfrm>
                    <a:prstGeom prst="rect">
                      <a:avLst/>
                    </a:prstGeom>
                    <a:noFill/>
                    <a:ln>
                      <a:noFill/>
                    </a:ln>
                  </pic:spPr>
                </pic:pic>
              </a:graphicData>
            </a:graphic>
          </wp:inline>
        </w:drawing>
      </w:r>
      <w:r>
        <w:rPr>
          <w:rFonts w:hint="eastAsia" w:eastAsia="宋体"/>
          <w:lang w:eastAsia="zh-CN"/>
        </w:rPr>
        <w:drawing>
          <wp:inline distT="0" distB="0" distL="114300" distR="114300">
            <wp:extent cx="5615305" cy="7945755"/>
            <wp:effectExtent l="0" t="0" r="4445" b="17145"/>
            <wp:docPr id="49" name="图片 46" descr="CDJC-XZS-2024-006 内蒙古美力坚科技化工有限公司30000吨年多功能化学助剂项目环境现状检测 2024.04.29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6" descr="CDJC-XZS-2024-006 内蒙古美力坚科技化工有限公司30000吨年多功能化学助剂项目环境现状检测 2024.04.29_28"/>
                    <pic:cNvPicPr>
                      <a:picLocks noChangeAspect="1"/>
                    </pic:cNvPicPr>
                  </pic:nvPicPr>
                  <pic:blipFill>
                    <a:blip r:embed="rId55"/>
                    <a:stretch>
                      <a:fillRect/>
                    </a:stretch>
                  </pic:blipFill>
                  <pic:spPr>
                    <a:xfrm>
                      <a:off x="0" y="0"/>
                      <a:ext cx="5615305" cy="7945755"/>
                    </a:xfrm>
                    <a:prstGeom prst="rect">
                      <a:avLst/>
                    </a:prstGeom>
                    <a:noFill/>
                    <a:ln>
                      <a:noFill/>
                    </a:ln>
                  </pic:spPr>
                </pic:pic>
              </a:graphicData>
            </a:graphic>
          </wp:inline>
        </w:drawing>
      </w:r>
    </w:p>
    <w:p w14:paraId="73F81E6D">
      <w:pPr>
        <w:pStyle w:val="5"/>
        <w:ind w:firstLine="480"/>
      </w:pPr>
    </w:p>
    <w:p w14:paraId="7AA3013F"/>
    <w:p w14:paraId="73D219BE">
      <w:pPr>
        <w:pStyle w:val="5"/>
        <w:ind w:left="0" w:leftChars="0" w:firstLine="0" w:firstLineChars="0"/>
        <w:rPr>
          <w:lang w:val="en-US" w:eastAsia="zh-CN"/>
        </w:rPr>
      </w:pPr>
      <w:r>
        <w:rPr>
          <w:lang w:val="en-US" w:eastAsia="zh-CN"/>
        </w:rPr>
        <w:t>附件5用水协议</w:t>
      </w:r>
    </w:p>
    <w:p w14:paraId="082579F9">
      <w:r>
        <w:drawing>
          <wp:inline distT="0" distB="0" distL="114300" distR="114300">
            <wp:extent cx="5610860" cy="8072755"/>
            <wp:effectExtent l="0" t="0" r="8890" b="4445"/>
            <wp:docPr id="5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7"/>
                    <pic:cNvPicPr>
                      <a:picLocks noChangeAspect="1"/>
                    </pic:cNvPicPr>
                  </pic:nvPicPr>
                  <pic:blipFill>
                    <a:blip r:embed="rId56"/>
                    <a:stretch>
                      <a:fillRect/>
                    </a:stretch>
                  </pic:blipFill>
                  <pic:spPr>
                    <a:xfrm>
                      <a:off x="0" y="0"/>
                      <a:ext cx="5610860" cy="8072755"/>
                    </a:xfrm>
                    <a:prstGeom prst="rect">
                      <a:avLst/>
                    </a:prstGeom>
                    <a:noFill/>
                    <a:ln>
                      <a:noFill/>
                    </a:ln>
                  </pic:spPr>
                </pic:pic>
              </a:graphicData>
            </a:graphic>
          </wp:inline>
        </w:drawing>
      </w:r>
    </w:p>
    <w:p w14:paraId="45193344">
      <w:r>
        <w:drawing>
          <wp:inline distT="0" distB="0" distL="114300" distR="114300">
            <wp:extent cx="5609590" cy="7656195"/>
            <wp:effectExtent l="0" t="0" r="10160" b="1905"/>
            <wp:docPr id="5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8"/>
                    <pic:cNvPicPr>
                      <a:picLocks noChangeAspect="1"/>
                    </pic:cNvPicPr>
                  </pic:nvPicPr>
                  <pic:blipFill>
                    <a:blip r:embed="rId57"/>
                    <a:srcRect b="11522"/>
                    <a:stretch>
                      <a:fillRect/>
                    </a:stretch>
                  </pic:blipFill>
                  <pic:spPr>
                    <a:xfrm>
                      <a:off x="0" y="0"/>
                      <a:ext cx="5609590" cy="7656195"/>
                    </a:xfrm>
                    <a:prstGeom prst="rect">
                      <a:avLst/>
                    </a:prstGeom>
                    <a:noFill/>
                    <a:ln>
                      <a:noFill/>
                    </a:ln>
                  </pic:spPr>
                </pic:pic>
              </a:graphicData>
            </a:graphic>
          </wp:inline>
        </w:drawing>
      </w:r>
      <w:r>
        <w:drawing>
          <wp:inline distT="0" distB="0" distL="114300" distR="114300">
            <wp:extent cx="5611495" cy="7957820"/>
            <wp:effectExtent l="0" t="0" r="8255" b="5080"/>
            <wp:docPr id="5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9"/>
                    <pic:cNvPicPr>
                      <a:picLocks noChangeAspect="1"/>
                    </pic:cNvPicPr>
                  </pic:nvPicPr>
                  <pic:blipFill>
                    <a:blip r:embed="rId58"/>
                    <a:srcRect t="6277" b="8679"/>
                    <a:stretch>
                      <a:fillRect/>
                    </a:stretch>
                  </pic:blipFill>
                  <pic:spPr>
                    <a:xfrm>
                      <a:off x="0" y="0"/>
                      <a:ext cx="5611495" cy="7957820"/>
                    </a:xfrm>
                    <a:prstGeom prst="rect">
                      <a:avLst/>
                    </a:prstGeom>
                    <a:noFill/>
                    <a:ln>
                      <a:noFill/>
                    </a:ln>
                  </pic:spPr>
                </pic:pic>
              </a:graphicData>
            </a:graphic>
          </wp:inline>
        </w:drawing>
      </w:r>
      <w:r>
        <w:drawing>
          <wp:inline distT="0" distB="0" distL="114300" distR="114300">
            <wp:extent cx="5611495" cy="7761605"/>
            <wp:effectExtent l="0" t="0" r="8255" b="10795"/>
            <wp:docPr id="5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0"/>
                    <pic:cNvPicPr>
                      <a:picLocks noChangeAspect="1"/>
                    </pic:cNvPicPr>
                  </pic:nvPicPr>
                  <pic:blipFill>
                    <a:blip r:embed="rId59"/>
                    <a:srcRect b="8090"/>
                    <a:stretch>
                      <a:fillRect/>
                    </a:stretch>
                  </pic:blipFill>
                  <pic:spPr>
                    <a:xfrm>
                      <a:off x="0" y="0"/>
                      <a:ext cx="5611495" cy="7761605"/>
                    </a:xfrm>
                    <a:prstGeom prst="rect">
                      <a:avLst/>
                    </a:prstGeom>
                    <a:noFill/>
                    <a:ln>
                      <a:noFill/>
                    </a:ln>
                  </pic:spPr>
                </pic:pic>
              </a:graphicData>
            </a:graphic>
          </wp:inline>
        </w:drawing>
      </w:r>
      <w:r>
        <w:drawing>
          <wp:inline distT="0" distB="0" distL="114300" distR="114300">
            <wp:extent cx="5610860" cy="7823200"/>
            <wp:effectExtent l="0" t="0" r="8890" b="6350"/>
            <wp:docPr id="5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1"/>
                    <pic:cNvPicPr>
                      <a:picLocks noChangeAspect="1"/>
                    </pic:cNvPicPr>
                  </pic:nvPicPr>
                  <pic:blipFill>
                    <a:blip r:embed="rId60"/>
                    <a:srcRect b="15605"/>
                    <a:stretch>
                      <a:fillRect/>
                    </a:stretch>
                  </pic:blipFill>
                  <pic:spPr>
                    <a:xfrm>
                      <a:off x="0" y="0"/>
                      <a:ext cx="5610860" cy="7823200"/>
                    </a:xfrm>
                    <a:prstGeom prst="rect">
                      <a:avLst/>
                    </a:prstGeom>
                    <a:noFill/>
                    <a:ln>
                      <a:noFill/>
                    </a:ln>
                  </pic:spPr>
                </pic:pic>
              </a:graphicData>
            </a:graphic>
          </wp:inline>
        </w:drawing>
      </w:r>
      <w:r>
        <w:drawing>
          <wp:inline distT="0" distB="0" distL="114300" distR="114300">
            <wp:extent cx="5614035" cy="7853680"/>
            <wp:effectExtent l="0" t="0" r="5715" b="13970"/>
            <wp:docPr id="5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2"/>
                    <pic:cNvPicPr>
                      <a:picLocks noChangeAspect="1"/>
                    </pic:cNvPicPr>
                  </pic:nvPicPr>
                  <pic:blipFill>
                    <a:blip r:embed="rId61"/>
                    <a:stretch>
                      <a:fillRect/>
                    </a:stretch>
                  </pic:blipFill>
                  <pic:spPr>
                    <a:xfrm>
                      <a:off x="0" y="0"/>
                      <a:ext cx="5614035" cy="7853680"/>
                    </a:xfrm>
                    <a:prstGeom prst="rect">
                      <a:avLst/>
                    </a:prstGeom>
                    <a:noFill/>
                    <a:ln>
                      <a:noFill/>
                    </a:ln>
                  </pic:spPr>
                </pic:pic>
              </a:graphicData>
            </a:graphic>
          </wp:inline>
        </w:drawing>
      </w:r>
    </w:p>
    <w:p w14:paraId="46A10FFB"/>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Wingdings 2">
    <w:altName w:val="Wingdings"/>
    <w:panose1 w:val="05020102010507070707"/>
    <w:charset w:val="02"/>
    <w:family w:val="auto"/>
    <w:pitch w:val="default"/>
    <w:sig w:usb0="00000000" w:usb1="00000000" w:usb2="00000000" w:usb3="00000000" w:csb0="80000000" w:csb1="00000000"/>
  </w:font>
  <w:font w:name="Kingsoft Symbol">
    <w:altName w:val="Symbol"/>
    <w:panose1 w:val="00000000000000000000"/>
    <w:charset w:val="00"/>
    <w:family w:val="auto"/>
    <w:pitch w:val="default"/>
    <w:sig w:usb0="00000000" w:usb1="00000000" w:usb2="00000000" w:usb3="00000000" w:csb0="00000000" w:csb1="00000000"/>
  </w:font>
  <w:font w:name="Symbol">
    <w:panose1 w:val="050501020107060205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CD887A">
    <w:pPr>
      <w:pStyle w:val="8"/>
      <w:framePr w:wrap="around" w:vAnchor="text" w:hAnchor="margin" w:xAlign="outside" w:y="1"/>
      <w:rPr>
        <w:rStyle w:val="14"/>
        <w:rFonts w:ascii="宋体" w:hAnsi="宋体"/>
        <w:sz w:val="28"/>
        <w:szCs w:val="28"/>
      </w:rPr>
    </w:pPr>
    <w:r>
      <w:rPr>
        <w:rStyle w:val="14"/>
        <w:rFonts w:hint="eastAsia" w:ascii="宋体" w:hAnsi="宋体"/>
        <w:sz w:val="28"/>
        <w:szCs w:val="28"/>
      </w:rPr>
      <w:t>—</w:t>
    </w:r>
    <w:r>
      <w:rPr>
        <w:rStyle w:val="14"/>
        <w:rFonts w:hint="eastAsia" w:ascii="宋体" w:hAnsi="宋体"/>
        <w:sz w:val="20"/>
      </w:rPr>
      <w:t xml:space="preserve">  </w:t>
    </w:r>
    <w:r>
      <w:rPr>
        <w:rStyle w:val="14"/>
        <w:rFonts w:ascii="宋体" w:hAnsi="宋体"/>
        <w:sz w:val="26"/>
        <w:szCs w:val="26"/>
      </w:rPr>
      <w:fldChar w:fldCharType="begin"/>
    </w:r>
    <w:r>
      <w:rPr>
        <w:rStyle w:val="14"/>
        <w:rFonts w:ascii="宋体" w:hAnsi="宋体"/>
        <w:sz w:val="26"/>
        <w:szCs w:val="26"/>
      </w:rPr>
      <w:instrText xml:space="preserve">PAGE  </w:instrText>
    </w:r>
    <w:r>
      <w:rPr>
        <w:rStyle w:val="14"/>
        <w:rFonts w:ascii="宋体" w:hAnsi="宋体"/>
        <w:sz w:val="26"/>
        <w:szCs w:val="26"/>
      </w:rPr>
      <w:fldChar w:fldCharType="separate"/>
    </w:r>
    <w:r>
      <w:rPr>
        <w:rStyle w:val="14"/>
        <w:rFonts w:ascii="宋体" w:hAnsi="宋体"/>
        <w:sz w:val="26"/>
        <w:szCs w:val="26"/>
      </w:rPr>
      <w:t>3</w:t>
    </w:r>
    <w:r>
      <w:rPr>
        <w:rStyle w:val="14"/>
        <w:rFonts w:ascii="宋体" w:hAnsi="宋体"/>
        <w:sz w:val="26"/>
        <w:szCs w:val="26"/>
      </w:rPr>
      <w:fldChar w:fldCharType="end"/>
    </w:r>
    <w:r>
      <w:rPr>
        <w:rStyle w:val="14"/>
        <w:rFonts w:hint="eastAsia" w:ascii="宋体" w:hAnsi="宋体"/>
        <w:sz w:val="20"/>
      </w:rPr>
      <w:t xml:space="preserve">  </w:t>
    </w:r>
    <w:r>
      <w:rPr>
        <w:rStyle w:val="14"/>
        <w:rFonts w:hint="eastAsia" w:ascii="宋体" w:hAnsi="宋体"/>
        <w:sz w:val="28"/>
        <w:szCs w:val="28"/>
      </w:rPr>
      <w:t>—</w:t>
    </w:r>
  </w:p>
  <w:p w14:paraId="1BA6F42B">
    <w:pPr>
      <w:pStyle w:val="8"/>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49D685">
    <w:pPr>
      <w:pStyle w:val="8"/>
      <w:framePr w:wrap="around" w:vAnchor="text" w:hAnchor="margin" w:xAlign="center" w:y="1"/>
      <w:rPr>
        <w:rStyle w:val="14"/>
      </w:rPr>
    </w:pPr>
    <w:r>
      <w:fldChar w:fldCharType="begin"/>
    </w:r>
    <w:r>
      <w:rPr>
        <w:rStyle w:val="14"/>
      </w:rPr>
      <w:instrText xml:space="preserve">PAGE  </w:instrText>
    </w:r>
    <w:r>
      <w:fldChar w:fldCharType="end"/>
    </w:r>
  </w:p>
  <w:p w14:paraId="18F51AE6">
    <w:pPr>
      <w:pStyle w:val="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A6C7BF">
    <w:pPr>
      <w:pStyle w:val="8"/>
      <w:framePr w:wrap="around" w:vAnchor="text" w:hAnchor="margin" w:xAlign="outside" w:y="1"/>
      <w:rPr>
        <w:rStyle w:val="14"/>
        <w:rFonts w:ascii="宋体" w:hAnsi="宋体"/>
        <w:sz w:val="28"/>
        <w:szCs w:val="28"/>
      </w:rPr>
    </w:pPr>
    <w:r>
      <w:rPr>
        <w:rStyle w:val="14"/>
        <w:rFonts w:hint="eastAsia" w:ascii="宋体" w:hAnsi="宋体"/>
        <w:sz w:val="28"/>
        <w:szCs w:val="28"/>
      </w:rPr>
      <w:t>—</w:t>
    </w:r>
    <w:r>
      <w:rPr>
        <w:rStyle w:val="14"/>
        <w:rFonts w:hint="eastAsia" w:ascii="宋体" w:hAnsi="宋体"/>
        <w:sz w:val="20"/>
      </w:rPr>
      <w:t xml:space="preserve">  </w:t>
    </w:r>
    <w:r>
      <w:rPr>
        <w:rStyle w:val="14"/>
        <w:rFonts w:ascii="宋体" w:hAnsi="宋体"/>
        <w:sz w:val="26"/>
        <w:szCs w:val="26"/>
      </w:rPr>
      <w:fldChar w:fldCharType="begin"/>
    </w:r>
    <w:r>
      <w:rPr>
        <w:rStyle w:val="14"/>
        <w:rFonts w:ascii="宋体" w:hAnsi="宋体"/>
        <w:sz w:val="26"/>
        <w:szCs w:val="26"/>
      </w:rPr>
      <w:instrText xml:space="preserve">PAGE  </w:instrText>
    </w:r>
    <w:r>
      <w:rPr>
        <w:rStyle w:val="14"/>
        <w:rFonts w:ascii="宋体" w:hAnsi="宋体"/>
        <w:sz w:val="26"/>
        <w:szCs w:val="26"/>
      </w:rPr>
      <w:fldChar w:fldCharType="separate"/>
    </w:r>
    <w:r>
      <w:rPr>
        <w:rStyle w:val="14"/>
        <w:rFonts w:ascii="宋体" w:hAnsi="宋体"/>
        <w:sz w:val="26"/>
        <w:szCs w:val="26"/>
      </w:rPr>
      <w:t>19</w:t>
    </w:r>
    <w:r>
      <w:rPr>
        <w:rStyle w:val="14"/>
        <w:rFonts w:ascii="宋体" w:hAnsi="宋体"/>
        <w:sz w:val="26"/>
        <w:szCs w:val="26"/>
      </w:rPr>
      <w:fldChar w:fldCharType="end"/>
    </w:r>
    <w:r>
      <w:rPr>
        <w:rStyle w:val="14"/>
        <w:rFonts w:hint="eastAsia" w:ascii="宋体" w:hAnsi="宋体"/>
        <w:sz w:val="20"/>
      </w:rPr>
      <w:t xml:space="preserve">  </w:t>
    </w:r>
    <w:r>
      <w:rPr>
        <w:rStyle w:val="14"/>
        <w:rFonts w:hint="eastAsia" w:ascii="宋体" w:hAnsi="宋体"/>
        <w:sz w:val="28"/>
        <w:szCs w:val="28"/>
      </w:rPr>
      <w:t>—</w:t>
    </w:r>
  </w:p>
  <w:p w14:paraId="6DF4CA57">
    <w:pPr>
      <w:pStyle w:val="8"/>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72E4AF">
    <w:pPr>
      <w:pStyle w:val="8"/>
      <w:framePr w:wrap="around" w:vAnchor="text" w:hAnchor="margin" w:xAlign="center" w:y="1"/>
      <w:rPr>
        <w:rStyle w:val="14"/>
        <w:rFonts w:ascii="宋体" w:hAnsi="宋体"/>
        <w:sz w:val="28"/>
        <w:szCs w:val="28"/>
      </w:rPr>
    </w:pPr>
    <w:r>
      <w:rPr>
        <w:rStyle w:val="14"/>
        <w:rFonts w:hint="eastAsia" w:ascii="宋体" w:hAnsi="宋体"/>
        <w:sz w:val="28"/>
        <w:szCs w:val="28"/>
      </w:rPr>
      <w:t>—</w:t>
    </w:r>
    <w:r>
      <w:rPr>
        <w:rStyle w:val="14"/>
        <w:rFonts w:hint="eastAsia" w:ascii="宋体" w:hAnsi="宋体"/>
        <w:sz w:val="20"/>
      </w:rPr>
      <w:t xml:space="preserve">  </w:t>
    </w:r>
    <w:r>
      <w:rPr>
        <w:rStyle w:val="14"/>
        <w:rFonts w:ascii="宋体" w:hAnsi="宋体"/>
        <w:sz w:val="26"/>
        <w:szCs w:val="26"/>
      </w:rPr>
      <w:fldChar w:fldCharType="begin"/>
    </w:r>
    <w:r>
      <w:rPr>
        <w:rStyle w:val="14"/>
        <w:rFonts w:ascii="宋体" w:hAnsi="宋体"/>
        <w:sz w:val="26"/>
        <w:szCs w:val="26"/>
      </w:rPr>
      <w:instrText xml:space="preserve">PAGE  </w:instrText>
    </w:r>
    <w:r>
      <w:rPr>
        <w:rStyle w:val="14"/>
        <w:rFonts w:ascii="宋体" w:hAnsi="宋体"/>
        <w:sz w:val="26"/>
        <w:szCs w:val="26"/>
      </w:rPr>
      <w:fldChar w:fldCharType="separate"/>
    </w:r>
    <w:r>
      <w:rPr>
        <w:rStyle w:val="14"/>
        <w:rFonts w:ascii="宋体" w:hAnsi="宋体"/>
        <w:sz w:val="26"/>
        <w:szCs w:val="26"/>
      </w:rPr>
      <w:t>36</w:t>
    </w:r>
    <w:r>
      <w:rPr>
        <w:rStyle w:val="14"/>
        <w:rFonts w:ascii="宋体" w:hAnsi="宋体"/>
        <w:sz w:val="26"/>
        <w:szCs w:val="26"/>
      </w:rPr>
      <w:fldChar w:fldCharType="end"/>
    </w:r>
    <w:r>
      <w:rPr>
        <w:rStyle w:val="14"/>
        <w:rFonts w:hint="eastAsia" w:ascii="宋体" w:hAnsi="宋体"/>
        <w:sz w:val="20"/>
      </w:rPr>
      <w:t xml:space="preserve">  </w:t>
    </w:r>
    <w:r>
      <w:rPr>
        <w:rStyle w:val="14"/>
        <w:rFonts w:hint="eastAsia" w:ascii="宋体" w:hAnsi="宋体"/>
        <w:sz w:val="28"/>
        <w:szCs w:val="28"/>
      </w:rPr>
      <w:t>—</w:t>
    </w:r>
  </w:p>
  <w:p w14:paraId="7DC177CC">
    <w:pPr>
      <w:pStyle w:val="8"/>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65DD50">
    <w:pPr>
      <w:pStyle w:val="8"/>
      <w:framePr w:wrap="around" w:vAnchor="text" w:hAnchor="margin" w:xAlign="outside" w:y="1"/>
      <w:rPr>
        <w:rStyle w:val="14"/>
        <w:rFonts w:ascii="宋体" w:hAnsi="宋体"/>
        <w:sz w:val="28"/>
        <w:szCs w:val="28"/>
      </w:rPr>
    </w:pPr>
    <w:r>
      <w:rPr>
        <w:rStyle w:val="14"/>
        <w:rFonts w:hint="eastAsia" w:ascii="宋体" w:hAnsi="宋体"/>
        <w:sz w:val="28"/>
        <w:szCs w:val="28"/>
      </w:rPr>
      <w:t>—</w:t>
    </w:r>
    <w:r>
      <w:rPr>
        <w:rStyle w:val="14"/>
        <w:rFonts w:hint="eastAsia" w:ascii="宋体" w:hAnsi="宋体"/>
        <w:sz w:val="20"/>
      </w:rPr>
      <w:t xml:space="preserve">  </w:t>
    </w:r>
    <w:r>
      <w:rPr>
        <w:rStyle w:val="14"/>
        <w:rFonts w:ascii="宋体" w:hAnsi="宋体"/>
        <w:sz w:val="26"/>
        <w:szCs w:val="26"/>
      </w:rPr>
      <w:fldChar w:fldCharType="begin"/>
    </w:r>
    <w:r>
      <w:rPr>
        <w:rStyle w:val="14"/>
        <w:rFonts w:ascii="宋体" w:hAnsi="宋体"/>
        <w:sz w:val="26"/>
        <w:szCs w:val="26"/>
      </w:rPr>
      <w:instrText xml:space="preserve">PAGE  </w:instrText>
    </w:r>
    <w:r>
      <w:rPr>
        <w:rStyle w:val="14"/>
        <w:rFonts w:ascii="宋体" w:hAnsi="宋体"/>
        <w:sz w:val="26"/>
        <w:szCs w:val="26"/>
      </w:rPr>
      <w:fldChar w:fldCharType="separate"/>
    </w:r>
    <w:r>
      <w:rPr>
        <w:rStyle w:val="14"/>
        <w:rFonts w:ascii="宋体" w:hAnsi="宋体"/>
        <w:sz w:val="26"/>
        <w:szCs w:val="26"/>
      </w:rPr>
      <w:t>58</w:t>
    </w:r>
    <w:r>
      <w:rPr>
        <w:rStyle w:val="14"/>
        <w:rFonts w:ascii="宋体" w:hAnsi="宋体"/>
        <w:sz w:val="26"/>
        <w:szCs w:val="26"/>
      </w:rPr>
      <w:fldChar w:fldCharType="end"/>
    </w:r>
    <w:r>
      <w:rPr>
        <w:rStyle w:val="14"/>
        <w:rFonts w:hint="eastAsia" w:ascii="宋体" w:hAnsi="宋体"/>
        <w:sz w:val="20"/>
      </w:rPr>
      <w:t xml:space="preserve">  </w:t>
    </w:r>
    <w:r>
      <w:rPr>
        <w:rStyle w:val="14"/>
        <w:rFonts w:hint="eastAsia" w:ascii="宋体" w:hAnsi="宋体"/>
        <w:sz w:val="28"/>
        <w:szCs w:val="28"/>
      </w:rPr>
      <w:t>—</w:t>
    </w:r>
  </w:p>
  <w:p w14:paraId="6384F4FD">
    <w:pPr>
      <w:pStyle w:val="8"/>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6D52EA"/>
    <w:multiLevelType w:val="singleLevel"/>
    <w:tmpl w:val="806D52EA"/>
    <w:lvl w:ilvl="0" w:tentative="0">
      <w:start w:val="1"/>
      <w:numFmt w:val="decimal"/>
      <w:lvlText w:val="%1."/>
      <w:lvlJc w:val="left"/>
      <w:pPr>
        <w:tabs>
          <w:tab w:val="left" w:pos="312"/>
        </w:tabs>
      </w:pPr>
    </w:lvl>
  </w:abstractNum>
  <w:abstractNum w:abstractNumId="1">
    <w:nsid w:val="4F1AC368"/>
    <w:multiLevelType w:val="singleLevel"/>
    <w:tmpl w:val="4F1AC368"/>
    <w:lvl w:ilvl="0" w:tentative="0">
      <w:start w:val="3"/>
      <w:numFmt w:val="decimal"/>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ljY2Q5YjI3OWFkZTE2NWRhMGM2ZGM5YTNhOGIwODAifQ=="/>
  </w:docVars>
  <w:rsids>
    <w:rsidRoot w:val="0DA062E8"/>
    <w:rsid w:val="0DA062E8"/>
    <w:rsid w:val="530A0F4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qFormat="1" w:uiPriority="99"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3">
    <w:name w:val="Default Paragraph Font"/>
    <w:semiHidden/>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2">
    <w:name w:val="Normal Indent"/>
    <w:basedOn w:val="1"/>
    <w:next w:val="1"/>
    <w:qFormat/>
    <w:uiPriority w:val="0"/>
    <w:pPr>
      <w:spacing w:line="360" w:lineRule="auto"/>
      <w:ind w:firstLine="420"/>
    </w:pPr>
    <w:rPr>
      <w:sz w:val="24"/>
      <w:szCs w:val="24"/>
    </w:rPr>
  </w:style>
  <w:style w:type="paragraph" w:styleId="3">
    <w:name w:val="Body Text"/>
    <w:basedOn w:val="1"/>
    <w:qFormat/>
    <w:uiPriority w:val="0"/>
    <w:pPr>
      <w:widowControl/>
      <w:snapToGrid w:val="0"/>
      <w:spacing w:before="60" w:after="160" w:line="259" w:lineRule="auto"/>
      <w:ind w:right="113"/>
    </w:pPr>
    <w:rPr>
      <w:kern w:val="0"/>
      <w:sz w:val="18"/>
      <w:szCs w:val="20"/>
    </w:rPr>
  </w:style>
  <w:style w:type="paragraph" w:styleId="4">
    <w:name w:val="Body Text Indent"/>
    <w:basedOn w:val="1"/>
    <w:next w:val="5"/>
    <w:qFormat/>
    <w:uiPriority w:val="0"/>
    <w:pPr>
      <w:spacing w:after="120"/>
      <w:ind w:left="420" w:leftChars="200"/>
    </w:pPr>
    <w:rPr>
      <w:kern w:val="0"/>
      <w:sz w:val="24"/>
      <w:szCs w:val="20"/>
    </w:rPr>
  </w:style>
  <w:style w:type="paragraph" w:styleId="5">
    <w:name w:val="Body Text First Indent 2"/>
    <w:basedOn w:val="4"/>
    <w:next w:val="1"/>
    <w:unhideWhenUsed/>
    <w:qFormat/>
    <w:uiPriority w:val="99"/>
    <w:pPr>
      <w:ind w:firstLine="420" w:firstLineChars="200"/>
    </w:pPr>
  </w:style>
  <w:style w:type="paragraph" w:styleId="6">
    <w:name w:val="Plain Text"/>
    <w:basedOn w:val="1"/>
    <w:qFormat/>
    <w:uiPriority w:val="0"/>
    <w:rPr>
      <w:rFonts w:ascii="宋体" w:hAnsi="Courier New"/>
      <w:spacing w:val="10"/>
    </w:rPr>
  </w:style>
  <w:style w:type="paragraph" w:styleId="7">
    <w:name w:val="Body Text Indent 2"/>
    <w:basedOn w:val="1"/>
    <w:next w:val="1"/>
    <w:qFormat/>
    <w:uiPriority w:val="0"/>
    <w:pPr>
      <w:spacing w:line="560" w:lineRule="exact"/>
      <w:ind w:firstLine="280" w:firstLineChars="100"/>
    </w:pPr>
    <w:rPr>
      <w:sz w:val="28"/>
    </w:rPr>
  </w:style>
  <w:style w:type="paragraph" w:styleId="8">
    <w:name w:val="footer"/>
    <w:basedOn w:val="1"/>
    <w:qFormat/>
    <w:uiPriority w:val="99"/>
    <w:pPr>
      <w:tabs>
        <w:tab w:val="center" w:pos="4153"/>
        <w:tab w:val="right" w:pos="8306"/>
      </w:tabs>
      <w:snapToGrid w:val="0"/>
      <w:jc w:val="left"/>
    </w:pPr>
    <w:rPr>
      <w:kern w:val="0"/>
      <w:sz w:val="18"/>
      <w:szCs w:val="20"/>
    </w:rPr>
  </w:style>
  <w:style w:type="paragraph" w:styleId="9">
    <w:name w:val="table of figures"/>
    <w:basedOn w:val="1"/>
    <w:next w:val="1"/>
    <w:unhideWhenUsed/>
    <w:qFormat/>
    <w:uiPriority w:val="99"/>
    <w:pPr>
      <w:ind w:left="200" w:leftChars="200" w:hanging="200" w:hangingChars="200"/>
    </w:pPr>
    <w:rPr>
      <w:szCs w:val="20"/>
    </w:rPr>
  </w:style>
  <w:style w:type="paragraph" w:styleId="10">
    <w:name w:val="Normal (Web)"/>
    <w:basedOn w:val="1"/>
    <w:qFormat/>
    <w:uiPriority w:val="0"/>
    <w:pPr>
      <w:widowControl/>
      <w:spacing w:before="100" w:beforeAutospacing="1" w:after="100" w:afterAutospacing="1"/>
      <w:jc w:val="left"/>
    </w:pPr>
    <w:rPr>
      <w:rFonts w:ascii="宋体" w:hAnsi="宋体"/>
      <w:kern w:val="0"/>
      <w:sz w:val="24"/>
      <w:szCs w:val="20"/>
    </w:rPr>
  </w:style>
  <w:style w:type="table" w:styleId="12">
    <w:name w:val="Table Grid"/>
    <w:basedOn w:val="11"/>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page number"/>
    <w:basedOn w:val="13"/>
    <w:qFormat/>
    <w:uiPriority w:val="0"/>
  </w:style>
  <w:style w:type="character" w:styleId="15">
    <w:name w:val="annotation reference"/>
    <w:semiHidden/>
    <w:qFormat/>
    <w:uiPriority w:val="0"/>
    <w:rPr>
      <w:sz w:val="21"/>
    </w:rPr>
  </w:style>
  <w:style w:type="paragraph" w:customStyle="1" w:styleId="16">
    <w:name w:val="TX-表头"/>
    <w:next w:val="17"/>
    <w:qFormat/>
    <w:uiPriority w:val="0"/>
    <w:pPr>
      <w:spacing w:before="10" w:beforeLines="10" w:after="10" w:afterLines="10" w:line="360" w:lineRule="auto"/>
      <w:jc w:val="center"/>
    </w:pPr>
    <w:rPr>
      <w:rFonts w:ascii="Times New Roman" w:hAnsi="Times New Roman" w:eastAsia="仿宋" w:cs="Times New Roman"/>
      <w:b/>
      <w:kern w:val="2"/>
      <w:sz w:val="24"/>
      <w:szCs w:val="22"/>
      <w:lang w:val="en-US" w:eastAsia="zh-CN" w:bidi="ar-SA"/>
    </w:rPr>
  </w:style>
  <w:style w:type="paragraph" w:customStyle="1" w:styleId="17">
    <w:name w:val="表格样式"/>
    <w:basedOn w:val="1"/>
    <w:qFormat/>
    <w:uiPriority w:val="0"/>
    <w:pPr>
      <w:spacing w:line="240" w:lineRule="auto"/>
      <w:ind w:left="24" w:leftChars="10" w:right="24" w:rightChars="10" w:firstLine="0" w:firstLineChars="0"/>
      <w:jc w:val="center"/>
    </w:pPr>
    <w:rPr>
      <w:sz w:val="21"/>
    </w:rPr>
  </w:style>
  <w:style w:type="paragraph" w:customStyle="1" w:styleId="18">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19">
    <w:name w:val="新正文"/>
    <w:basedOn w:val="1"/>
    <w:qFormat/>
    <w:uiPriority w:val="0"/>
    <w:pPr>
      <w:topLinePunct/>
      <w:spacing w:line="360" w:lineRule="auto"/>
      <w:ind w:firstLine="200" w:firstLineChars="200"/>
    </w:pPr>
    <w:rPr>
      <w:rFonts w:ascii="Times New Roman" w:hAnsi="Times New Roman"/>
      <w:kern w:val="0"/>
      <w:sz w:val="24"/>
      <w:szCs w:val="20"/>
      <w:lang w:val="zh-CN"/>
    </w:rPr>
  </w:style>
  <w:style w:type="paragraph" w:customStyle="1" w:styleId="20">
    <w:name w:val="中文报告书样式"/>
    <w:basedOn w:val="1"/>
    <w:qFormat/>
    <w:uiPriority w:val="0"/>
    <w:pPr>
      <w:adjustRightInd w:val="0"/>
      <w:spacing w:line="420" w:lineRule="atLeast"/>
      <w:textAlignment w:val="baseline"/>
    </w:pPr>
    <w:rPr>
      <w:kern w:val="24"/>
      <w:sz w:val="24"/>
    </w:rPr>
  </w:style>
  <w:style w:type="paragraph" w:customStyle="1" w:styleId="21">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2">
    <w:name w:val="0正文"/>
    <w:basedOn w:val="1"/>
    <w:qFormat/>
    <w:uiPriority w:val="0"/>
    <w:pPr>
      <w:spacing w:line="440" w:lineRule="exact"/>
      <w:ind w:firstLine="200" w:firstLineChars="200"/>
    </w:pPr>
    <w:rPr>
      <w:rFonts w:ascii="Times New Roman" w:hAnsi="Times New Roman" w:eastAsia="宋体"/>
      <w:kern w:val="0"/>
      <w:sz w:val="24"/>
      <w:szCs w:val="24"/>
    </w:rPr>
  </w:style>
  <w:style w:type="paragraph" w:customStyle="1" w:styleId="23">
    <w:name w:val="0表头"/>
    <w:qFormat/>
    <w:uiPriority w:val="0"/>
    <w:pPr>
      <w:widowControl w:val="0"/>
      <w:autoSpaceDE w:val="0"/>
      <w:autoSpaceDN w:val="0"/>
      <w:adjustRightInd w:val="0"/>
      <w:spacing w:line="440" w:lineRule="exact"/>
      <w:ind w:firstLine="200" w:firstLineChars="200"/>
    </w:pPr>
    <w:rPr>
      <w:rFonts w:ascii="Times New Roman" w:hAnsi="Times New Roman" w:eastAsia="宋体" w:cs="宋体"/>
      <w:b/>
      <w:color w:val="000000"/>
      <w:sz w:val="24"/>
      <w:szCs w:val="24"/>
      <w:lang w:val="en-US" w:eastAsia="zh-CN" w:bidi="ar-SA"/>
    </w:rPr>
  </w:style>
  <w:style w:type="paragraph" w:customStyle="1" w:styleId="24">
    <w:name w:val="列出段落2"/>
    <w:basedOn w:val="1"/>
    <w:qFormat/>
    <w:uiPriority w:val="0"/>
    <w:pPr>
      <w:ind w:firstLine="420" w:firstLineChars="200"/>
    </w:pPr>
  </w:style>
  <w:style w:type="paragraph" w:customStyle="1" w:styleId="25">
    <w:name w:val="Heading 3"/>
    <w:basedOn w:val="1"/>
    <w:qFormat/>
    <w:uiPriority w:val="1"/>
    <w:pPr>
      <w:autoSpaceDE w:val="0"/>
      <w:autoSpaceDN w:val="0"/>
      <w:ind w:left="278"/>
      <w:jc w:val="left"/>
      <w:outlineLvl w:val="3"/>
    </w:pPr>
    <w:rPr>
      <w:rFonts w:ascii="宋体" w:hAnsi="宋体" w:cs="宋体"/>
      <w:b/>
      <w:bCs/>
      <w:kern w:val="0"/>
      <w:sz w:val="24"/>
      <w:lang w:val="zh-CN" w:bidi="zh-CN"/>
    </w:rPr>
  </w:style>
  <w:style w:type="paragraph" w:customStyle="1" w:styleId="26">
    <w:name w:val="TX-表格文字"/>
    <w:basedOn w:val="6"/>
    <w:qFormat/>
    <w:uiPriority w:val="0"/>
    <w:pPr>
      <w:widowControl w:val="0"/>
      <w:autoSpaceDE w:val="0"/>
      <w:autoSpaceDN w:val="0"/>
      <w:adjustRightInd w:val="0"/>
      <w:spacing w:line="240" w:lineRule="auto"/>
      <w:ind w:left="24" w:leftChars="10" w:right="24" w:rightChars="10" w:firstLine="0" w:firstLineChars="0"/>
      <w:jc w:val="center"/>
      <w:textAlignment w:val="baseline"/>
    </w:pPr>
    <w:rPr>
      <w:rFonts w:ascii="Times New Roman" w:hAnsi="Times New Roman" w:cs="Times New Roman"/>
      <w:color w:val="000000"/>
      <w:spacing w:val="11"/>
      <w:sz w:val="21"/>
    </w:rPr>
  </w:style>
  <w:style w:type="paragraph" w:customStyle="1" w:styleId="27">
    <w:name w:val="标题栏"/>
    <w:basedOn w:val="1"/>
    <w:qFormat/>
    <w:uiPriority w:val="0"/>
    <w:pPr>
      <w:adjustRightInd w:val="0"/>
      <w:snapToGrid w:val="0"/>
      <w:spacing w:line="240" w:lineRule="auto"/>
      <w:ind w:left="21" w:leftChars="10" w:right="21" w:rightChars="10" w:firstLine="0" w:firstLineChars="0"/>
      <w:jc w:val="center"/>
    </w:pPr>
    <w:rPr>
      <w:rFonts w:hint="eastAsia" w:cs="宋体"/>
      <w:b/>
      <w:bCs/>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4" Type="http://schemas.openxmlformats.org/officeDocument/2006/relationships/fontTable" Target="fontTable.xml"/><Relationship Id="rId63" Type="http://schemas.openxmlformats.org/officeDocument/2006/relationships/numbering" Target="numbering.xml"/><Relationship Id="rId62" Type="http://schemas.openxmlformats.org/officeDocument/2006/relationships/customXml" Target="../customXml/item1.xml"/><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4.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footer" Target="footer3.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jpeg"/><Relationship Id="rId45" Type="http://schemas.openxmlformats.org/officeDocument/2006/relationships/image" Target="media/image37.jpeg"/><Relationship Id="rId44" Type="http://schemas.openxmlformats.org/officeDocument/2006/relationships/image" Target="media/image36.jpeg"/><Relationship Id="rId43" Type="http://schemas.openxmlformats.org/officeDocument/2006/relationships/image" Target="media/image35.jpeg"/><Relationship Id="rId42" Type="http://schemas.openxmlformats.org/officeDocument/2006/relationships/image" Target="media/image34.jpe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footer" Target="footer2.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footer" Target="footer1.xml"/><Relationship Id="rId29" Type="http://schemas.openxmlformats.org/officeDocument/2006/relationships/image" Target="media/image21.jpe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jpeg"/><Relationship Id="rId13" Type="http://schemas.openxmlformats.org/officeDocument/2006/relationships/image" Target="media/image5.pn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91</Pages>
  <Words>19158</Words>
  <Characters>22294</Characters>
  <Lines>0</Lines>
  <Paragraphs>0</Paragraphs>
  <TotalTime>0</TotalTime>
  <ScaleCrop>false</ScaleCrop>
  <LinksUpToDate>false</LinksUpToDate>
  <CharactersWithSpaces>22499</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2024-07-26T03:35:00Z</dcterms:created>
  <dc:creator>ᠡᠪᠥᠯᠴᠡᠴᠡᠭ冬梅</dc:creator>
  <cp:lastModifiedBy>aying</cp:lastModifiedBy>
  <dcterms:modified xsi:type="dcterms:W3CDTF">2024-07-29T06:31:45Z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53784BDB6D914AC78FE7B46E082CED7B_11</vt:lpwstr>
  </property>
</Properties>
</file>