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EF0B1">
      <w:pPr>
        <w:rPr>
          <w:color w:val="000000"/>
          <w:sz w:val="36"/>
          <w:szCs w:val="36"/>
          <w:highlight w:val="none"/>
        </w:rPr>
      </w:pPr>
    </w:p>
    <w:p w14:paraId="4B4F6607">
      <w:pPr>
        <w:rPr>
          <w:color w:val="000000"/>
          <w:sz w:val="36"/>
          <w:szCs w:val="36"/>
          <w:highlight w:val="none"/>
        </w:rPr>
      </w:pPr>
    </w:p>
    <w:p w14:paraId="518EB353">
      <w:pPr>
        <w:rPr>
          <w:color w:val="000000"/>
          <w:sz w:val="36"/>
          <w:szCs w:val="36"/>
          <w:highlight w:val="none"/>
        </w:rPr>
      </w:pPr>
    </w:p>
    <w:p w14:paraId="2466EBF5">
      <w:pPr>
        <w:adjustRightInd w:val="0"/>
        <w:snapToGrid w:val="0"/>
        <w:jc w:val="center"/>
        <w:outlineLvl w:val="0"/>
        <w:rPr>
          <w:bCs/>
          <w:color w:val="000000"/>
          <w:sz w:val="72"/>
          <w:szCs w:val="72"/>
          <w:highlight w:val="none"/>
        </w:rPr>
      </w:pPr>
      <w:r>
        <w:rPr>
          <w:bCs/>
          <w:color w:val="000000"/>
          <w:sz w:val="72"/>
          <w:szCs w:val="72"/>
          <w:highlight w:val="none"/>
        </w:rPr>
        <w:t>建设项目环境影响报告表</w:t>
      </w:r>
    </w:p>
    <w:p w14:paraId="01D0ABC2">
      <w:pPr>
        <w:adjustRightInd w:val="0"/>
        <w:snapToGrid w:val="0"/>
        <w:spacing w:before="192" w:beforeLines="80"/>
        <w:jc w:val="center"/>
        <w:rPr>
          <w:color w:val="000000"/>
          <w:kern w:val="44"/>
          <w:sz w:val="44"/>
          <w:szCs w:val="44"/>
          <w:highlight w:val="none"/>
        </w:rPr>
      </w:pPr>
      <w:r>
        <w:rPr>
          <w:bCs/>
          <w:color w:val="000000"/>
          <w:sz w:val="48"/>
          <w:szCs w:val="48"/>
          <w:highlight w:val="none"/>
        </w:rPr>
        <w:t>（污染影响类）</w:t>
      </w:r>
    </w:p>
    <w:p w14:paraId="3029DD68">
      <w:pPr>
        <w:rPr>
          <w:color w:val="000000"/>
          <w:sz w:val="36"/>
          <w:szCs w:val="36"/>
          <w:highlight w:val="none"/>
        </w:rPr>
      </w:pPr>
    </w:p>
    <w:p w14:paraId="7E57C57D">
      <w:pPr>
        <w:rPr>
          <w:color w:val="000000"/>
          <w:sz w:val="36"/>
          <w:szCs w:val="36"/>
          <w:highlight w:val="none"/>
        </w:rPr>
      </w:pPr>
    </w:p>
    <w:p w14:paraId="7B61A4DF">
      <w:pPr>
        <w:rPr>
          <w:color w:val="000000"/>
          <w:sz w:val="36"/>
          <w:szCs w:val="36"/>
          <w:highlight w:val="none"/>
        </w:rPr>
      </w:pPr>
    </w:p>
    <w:p w14:paraId="0250BD35">
      <w:pPr>
        <w:rPr>
          <w:color w:val="000000"/>
          <w:sz w:val="36"/>
          <w:szCs w:val="36"/>
          <w:highlight w:val="none"/>
        </w:rPr>
      </w:pPr>
    </w:p>
    <w:p w14:paraId="098A81DE">
      <w:pPr>
        <w:pStyle w:val="7"/>
        <w:rPr>
          <w:color w:val="000000"/>
          <w:highlight w:val="none"/>
        </w:rPr>
      </w:pPr>
    </w:p>
    <w:p w14:paraId="59BF7942">
      <w:pPr>
        <w:rPr>
          <w:color w:val="000000"/>
          <w:highlight w:val="none"/>
        </w:rPr>
      </w:pPr>
    </w:p>
    <w:p w14:paraId="0B10BF86">
      <w:pPr>
        <w:rPr>
          <w:color w:val="000000"/>
          <w:sz w:val="36"/>
          <w:szCs w:val="36"/>
          <w:highlight w:val="none"/>
        </w:rPr>
      </w:pPr>
    </w:p>
    <w:p w14:paraId="4C30DAC1">
      <w:pPr>
        <w:rPr>
          <w:color w:val="000000"/>
          <w:sz w:val="36"/>
          <w:szCs w:val="36"/>
          <w:highlight w:val="none"/>
        </w:rPr>
      </w:pPr>
    </w:p>
    <w:p w14:paraId="542BE0E4">
      <w:pPr>
        <w:keepNext/>
        <w:keepLines/>
        <w:pageBreakBefore w:val="0"/>
        <w:widowControl w:val="0"/>
        <w:kinsoku/>
        <w:wordWrap/>
        <w:overflowPunct/>
        <w:topLinePunct w:val="0"/>
        <w:autoSpaceDE/>
        <w:autoSpaceDN/>
        <w:bidi w:val="0"/>
        <w:adjustRightInd/>
        <w:snapToGrid/>
        <w:spacing w:before="313" w:beforeLines="100" w:after="313" w:afterLines="100" w:line="276" w:lineRule="auto"/>
        <w:ind w:left="2367" w:leftChars="458" w:hanging="1405" w:hangingChars="500"/>
        <w:textAlignment w:val="auto"/>
        <w:outlineLvl w:val="9"/>
        <w:rPr>
          <w:rFonts w:hint="eastAsia" w:ascii="Arial" w:hAnsi="Arial" w:eastAsia="宋体" w:cs="Times New Roman"/>
          <w:b/>
          <w:bCs w:val="0"/>
          <w:color w:val="000000"/>
          <w:sz w:val="28"/>
          <w:szCs w:val="28"/>
          <w:highlight w:val="none"/>
          <w:u w:val="single"/>
          <w:lang w:eastAsia="zh-CN"/>
        </w:rPr>
      </w:pPr>
      <w:r>
        <w:rPr>
          <w:rFonts w:ascii="Arial" w:hAnsi="Arial" w:eastAsia="宋体" w:cs="Times New Roman"/>
          <w:b/>
          <w:bCs w:val="0"/>
          <w:color w:val="000000"/>
          <w:sz w:val="28"/>
          <w:szCs w:val="28"/>
          <w:highlight w:val="none"/>
        </w:rPr>
        <w:t>项目名称：</w:t>
      </w:r>
      <w:bookmarkStart w:id="38" w:name="_GoBack"/>
      <w:r>
        <w:rPr>
          <w:rFonts w:hint="eastAsia" w:ascii="Arial" w:hAnsi="Arial" w:eastAsia="宋体" w:cs="Times New Roman"/>
          <w:b/>
          <w:bCs w:val="0"/>
          <w:color w:val="000000"/>
          <w:sz w:val="28"/>
          <w:szCs w:val="28"/>
          <w:highlight w:val="none"/>
          <w:u w:val="single"/>
          <w:lang w:eastAsia="zh-CN"/>
        </w:rPr>
        <w:t>内蒙古星光煤炭集团鄂托克旗华誉煤焦化有限公司</w:t>
      </w:r>
    </w:p>
    <w:p w14:paraId="14D7C887">
      <w:pPr>
        <w:keepNext/>
        <w:keepLines/>
        <w:pageBreakBefore w:val="0"/>
        <w:widowControl w:val="0"/>
        <w:kinsoku/>
        <w:wordWrap/>
        <w:overflowPunct/>
        <w:topLinePunct w:val="0"/>
        <w:autoSpaceDE/>
        <w:autoSpaceDN/>
        <w:bidi w:val="0"/>
        <w:adjustRightInd/>
        <w:snapToGrid/>
        <w:spacing w:before="313" w:beforeLines="100" w:after="313" w:afterLines="100" w:line="276" w:lineRule="auto"/>
        <w:ind w:left="2358" w:leftChars="1123" w:firstLine="0" w:firstLineChars="0"/>
        <w:textAlignment w:val="auto"/>
        <w:outlineLvl w:val="9"/>
        <w:rPr>
          <w:rFonts w:hint="eastAsia" w:eastAsia="宋体"/>
          <w:b/>
          <w:bCs w:val="0"/>
          <w:color w:val="000000"/>
          <w:sz w:val="28"/>
          <w:szCs w:val="28"/>
          <w:highlight w:val="none"/>
          <w:u w:val="single"/>
          <w:lang w:eastAsia="zh-CN"/>
        </w:rPr>
      </w:pPr>
      <w:r>
        <w:rPr>
          <w:rFonts w:hint="eastAsia" w:ascii="Arial" w:hAnsi="Arial" w:eastAsia="宋体" w:cs="Times New Roman"/>
          <w:b/>
          <w:bCs w:val="0"/>
          <w:color w:val="000000"/>
          <w:sz w:val="28"/>
          <w:szCs w:val="28"/>
          <w:highlight w:val="none"/>
          <w:u w:val="single"/>
          <w:lang w:eastAsia="zh-CN"/>
        </w:rPr>
        <w:t>中水回用及零排放系统工程项目</w:t>
      </w:r>
    </w:p>
    <w:bookmarkEnd w:id="38"/>
    <w:p w14:paraId="3B2F9B0C">
      <w:pPr>
        <w:keepNext/>
        <w:keepLines/>
        <w:pageBreakBefore w:val="0"/>
        <w:widowControl w:val="0"/>
        <w:kinsoku/>
        <w:wordWrap/>
        <w:overflowPunct/>
        <w:topLinePunct w:val="0"/>
        <w:autoSpaceDE/>
        <w:autoSpaceDN/>
        <w:bidi w:val="0"/>
        <w:adjustRightInd/>
        <w:snapToGrid/>
        <w:spacing w:before="313" w:beforeLines="100" w:after="313" w:afterLines="100" w:line="276" w:lineRule="auto"/>
        <w:ind w:left="2363" w:leftChars="456" w:hanging="1405" w:hangingChars="500"/>
        <w:textAlignment w:val="auto"/>
        <w:outlineLvl w:val="9"/>
        <w:rPr>
          <w:rFonts w:hint="eastAsia"/>
          <w:b/>
          <w:bCs w:val="0"/>
          <w:color w:val="000000"/>
          <w:sz w:val="28"/>
          <w:szCs w:val="28"/>
          <w:highlight w:val="none"/>
          <w:u w:val="single"/>
          <w:lang w:eastAsia="zh-CN"/>
        </w:rPr>
      </w:pPr>
      <w:r>
        <w:rPr>
          <w:b/>
          <w:bCs w:val="0"/>
          <w:color w:val="000000"/>
          <w:sz w:val="28"/>
          <w:szCs w:val="28"/>
          <w:highlight w:val="none"/>
        </w:rPr>
        <w:t>建设单位（盖章）：</w:t>
      </w:r>
      <w:r>
        <w:rPr>
          <w:rFonts w:hint="eastAsia"/>
          <w:b/>
          <w:bCs w:val="0"/>
          <w:color w:val="000000"/>
          <w:sz w:val="28"/>
          <w:szCs w:val="28"/>
          <w:highlight w:val="none"/>
          <w:u w:val="single"/>
          <w:lang w:eastAsia="zh-CN"/>
        </w:rPr>
        <w:t>内蒙古星光煤炭集团鄂托克旗华誉煤焦化</w:t>
      </w:r>
    </w:p>
    <w:p w14:paraId="0EAC984A">
      <w:pPr>
        <w:keepNext/>
        <w:keepLines/>
        <w:pageBreakBefore w:val="0"/>
        <w:widowControl w:val="0"/>
        <w:kinsoku/>
        <w:wordWrap/>
        <w:overflowPunct/>
        <w:topLinePunct w:val="0"/>
        <w:autoSpaceDE/>
        <w:autoSpaceDN/>
        <w:bidi w:val="0"/>
        <w:adjustRightInd/>
        <w:snapToGrid/>
        <w:spacing w:before="313" w:beforeLines="100" w:after="313" w:afterLines="100" w:line="276" w:lineRule="auto"/>
        <w:ind w:left="2354" w:leftChars="1121" w:firstLine="1124" w:firstLineChars="400"/>
        <w:textAlignment w:val="auto"/>
        <w:outlineLvl w:val="9"/>
        <w:rPr>
          <w:rFonts w:hint="eastAsia" w:eastAsia="宋体"/>
          <w:b/>
          <w:bCs w:val="0"/>
          <w:color w:val="000000"/>
          <w:sz w:val="28"/>
          <w:szCs w:val="28"/>
          <w:highlight w:val="none"/>
          <w:u w:val="single"/>
          <w:lang w:eastAsia="zh-CN"/>
        </w:rPr>
      </w:pPr>
      <w:r>
        <w:rPr>
          <w:rFonts w:hint="eastAsia"/>
          <w:b/>
          <w:bCs w:val="0"/>
          <w:color w:val="000000"/>
          <w:sz w:val="28"/>
          <w:szCs w:val="28"/>
          <w:highlight w:val="none"/>
          <w:u w:val="single"/>
          <w:lang w:eastAsia="zh-CN"/>
        </w:rPr>
        <w:t>有限公司</w:t>
      </w:r>
    </w:p>
    <w:p w14:paraId="5BFA2DB9">
      <w:pPr>
        <w:keepNext/>
        <w:keepLines/>
        <w:pageBreakBefore w:val="0"/>
        <w:widowControl w:val="0"/>
        <w:kinsoku/>
        <w:wordWrap/>
        <w:overflowPunct/>
        <w:topLinePunct w:val="0"/>
        <w:autoSpaceDE/>
        <w:autoSpaceDN/>
        <w:bidi w:val="0"/>
        <w:adjustRightInd/>
        <w:snapToGrid/>
        <w:spacing w:before="313" w:beforeLines="100" w:after="313" w:afterLines="100" w:line="276" w:lineRule="auto"/>
        <w:ind w:firstLine="843" w:firstLineChars="300"/>
        <w:textAlignment w:val="auto"/>
        <w:outlineLvl w:val="9"/>
        <w:rPr>
          <w:color w:val="000000"/>
          <w:highlight w:val="none"/>
        </w:rPr>
      </w:pPr>
      <w:r>
        <w:rPr>
          <w:b/>
          <w:bCs w:val="0"/>
          <w:color w:val="000000"/>
          <w:sz w:val="28"/>
          <w:szCs w:val="28"/>
          <w:highlight w:val="none"/>
        </w:rPr>
        <w:t>编制日期：</w:t>
      </w:r>
      <w:r>
        <w:rPr>
          <w:rFonts w:hint="eastAsia"/>
          <w:b/>
          <w:bCs w:val="0"/>
          <w:color w:val="000000"/>
          <w:sz w:val="28"/>
          <w:szCs w:val="28"/>
          <w:highlight w:val="none"/>
          <w:u w:val="single"/>
          <w:lang w:val="en-US" w:eastAsia="zh-CN"/>
        </w:rPr>
        <w:t xml:space="preserve">    二</w:t>
      </w:r>
      <w:r>
        <w:rPr>
          <w:b/>
          <w:bCs w:val="0"/>
          <w:color w:val="000000"/>
          <w:sz w:val="28"/>
          <w:szCs w:val="28"/>
          <w:highlight w:val="none"/>
          <w:u w:val="single"/>
        </w:rPr>
        <w:t>〇二</w:t>
      </w:r>
      <w:r>
        <w:rPr>
          <w:rFonts w:hint="eastAsia"/>
          <w:b/>
          <w:bCs w:val="0"/>
          <w:color w:val="000000"/>
          <w:sz w:val="28"/>
          <w:szCs w:val="28"/>
          <w:highlight w:val="none"/>
          <w:u w:val="single"/>
          <w:lang w:val="en-US" w:eastAsia="zh-CN"/>
        </w:rPr>
        <w:t>三</w:t>
      </w:r>
      <w:r>
        <w:rPr>
          <w:b/>
          <w:bCs w:val="0"/>
          <w:color w:val="000000"/>
          <w:sz w:val="28"/>
          <w:szCs w:val="28"/>
          <w:highlight w:val="none"/>
          <w:u w:val="single"/>
        </w:rPr>
        <w:t>年</w:t>
      </w:r>
      <w:r>
        <w:rPr>
          <w:rFonts w:hint="eastAsia"/>
          <w:b/>
          <w:bCs w:val="0"/>
          <w:color w:val="000000"/>
          <w:sz w:val="28"/>
          <w:szCs w:val="28"/>
          <w:highlight w:val="none"/>
          <w:u w:val="single"/>
          <w:lang w:val="en-US" w:eastAsia="zh-CN"/>
        </w:rPr>
        <w:t xml:space="preserve">十月     </w:t>
      </w:r>
    </w:p>
    <w:p w14:paraId="5BBC40B8">
      <w:pPr>
        <w:pStyle w:val="12"/>
        <w:ind w:left="0" w:leftChars="0" w:firstLine="0"/>
        <w:rPr>
          <w:color w:val="000000"/>
          <w:highlight w:val="none"/>
        </w:rPr>
      </w:pPr>
    </w:p>
    <w:p w14:paraId="118C0122">
      <w:pPr>
        <w:pStyle w:val="11"/>
        <w:ind w:firstLine="180"/>
        <w:rPr>
          <w:color w:val="000000"/>
          <w:highlight w:val="none"/>
        </w:rPr>
      </w:pPr>
    </w:p>
    <w:p w14:paraId="16BA1FD1">
      <w:pPr>
        <w:rPr>
          <w:color w:val="000000"/>
          <w:highlight w:val="none"/>
        </w:rPr>
      </w:pPr>
    </w:p>
    <w:p w14:paraId="4063B8DA">
      <w:pPr>
        <w:pStyle w:val="12"/>
        <w:rPr>
          <w:color w:val="000000"/>
          <w:highlight w:val="none"/>
        </w:rPr>
      </w:pPr>
    </w:p>
    <w:p w14:paraId="62F195C0">
      <w:pPr>
        <w:pStyle w:val="11"/>
        <w:ind w:firstLine="180"/>
        <w:rPr>
          <w:color w:val="000000"/>
          <w:highlight w:val="none"/>
        </w:rPr>
      </w:pPr>
    </w:p>
    <w:p w14:paraId="2F3CFAC0">
      <w:pPr>
        <w:rPr>
          <w:color w:val="000000"/>
          <w:highlight w:val="none"/>
        </w:rPr>
      </w:pPr>
    </w:p>
    <w:p w14:paraId="639C51E1">
      <w:pPr>
        <w:pStyle w:val="2"/>
        <w:rPr>
          <w:color w:val="000000"/>
          <w:highlight w:val="none"/>
        </w:rPr>
      </w:pPr>
    </w:p>
    <w:p w14:paraId="4C42188E">
      <w:pPr>
        <w:rPr>
          <w:color w:val="000000"/>
          <w:highlight w:val="none"/>
        </w:rPr>
      </w:pPr>
    </w:p>
    <w:p w14:paraId="188EA66C">
      <w:pPr>
        <w:spacing w:line="360" w:lineRule="auto"/>
        <w:jc w:val="center"/>
        <w:rPr>
          <w:b/>
          <w:bCs/>
          <w:color w:val="000000"/>
          <w:sz w:val="32"/>
          <w:szCs w:val="20"/>
          <w:highlight w:val="none"/>
        </w:rPr>
      </w:pPr>
      <w:r>
        <w:rPr>
          <w:b/>
          <w:bCs/>
          <w:color w:val="000000"/>
          <w:sz w:val="32"/>
          <w:szCs w:val="20"/>
          <w:highlight w:val="none"/>
        </w:rPr>
        <w:t>中华人民共和国生态环境部制</w:t>
      </w:r>
    </w:p>
    <w:p w14:paraId="7CB0440A">
      <w:pPr>
        <w:adjustRightInd w:val="0"/>
        <w:snapToGrid w:val="0"/>
        <w:spacing w:line="288" w:lineRule="auto"/>
        <w:rPr>
          <w:color w:val="000000"/>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2ACA8AC">
      <w:pPr>
        <w:snapToGrid w:val="0"/>
        <w:spacing w:line="288" w:lineRule="auto"/>
        <w:jc w:val="center"/>
        <w:outlineLvl w:val="0"/>
        <w:rPr>
          <w:b/>
          <w:snapToGrid w:val="0"/>
          <w:color w:val="000000"/>
          <w:sz w:val="32"/>
          <w:szCs w:val="32"/>
          <w:highlight w:val="none"/>
        </w:rPr>
      </w:pPr>
      <w:r>
        <w:rPr>
          <w:b/>
          <w:snapToGrid w:val="0"/>
          <w:color w:val="000000"/>
          <w:sz w:val="32"/>
          <w:szCs w:val="32"/>
          <w:highlight w:val="none"/>
        </w:rPr>
        <w:t>一、建设项目基本情况</w:t>
      </w:r>
    </w:p>
    <w:tbl>
      <w:tblPr>
        <w:tblStyle w:val="13"/>
        <w:tblW w:w="94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86"/>
        <w:gridCol w:w="688"/>
        <w:gridCol w:w="2565"/>
        <w:gridCol w:w="2333"/>
        <w:gridCol w:w="2899"/>
      </w:tblGrid>
      <w:tr w14:paraId="780A7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042877B8">
            <w:pPr>
              <w:adjustRightInd w:val="0"/>
              <w:snapToGrid w:val="0"/>
              <w:jc w:val="center"/>
              <w:rPr>
                <w:b/>
                <w:color w:val="000000"/>
                <w:sz w:val="24"/>
                <w:szCs w:val="24"/>
                <w:highlight w:val="none"/>
              </w:rPr>
            </w:pPr>
            <w:r>
              <w:rPr>
                <w:b/>
                <w:color w:val="000000"/>
                <w:sz w:val="24"/>
                <w:szCs w:val="24"/>
                <w:highlight w:val="none"/>
              </w:rPr>
              <w:t>建设项目名称</w:t>
            </w:r>
          </w:p>
        </w:tc>
        <w:tc>
          <w:tcPr>
            <w:tcW w:w="7797" w:type="dxa"/>
            <w:gridSpan w:val="3"/>
            <w:noWrap w:val="0"/>
            <w:vAlign w:val="center"/>
          </w:tcPr>
          <w:p w14:paraId="089C0154">
            <w:pPr>
              <w:pStyle w:val="17"/>
              <w:jc w:val="center"/>
              <w:rPr>
                <w:rFonts w:hint="eastAsia" w:eastAsia="宋体"/>
                <w:color w:val="000000"/>
                <w:sz w:val="24"/>
                <w:szCs w:val="24"/>
                <w:highlight w:val="none"/>
                <w:lang w:eastAsia="zh-CN"/>
              </w:rPr>
            </w:pPr>
            <w:r>
              <w:rPr>
                <w:rFonts w:hint="eastAsia"/>
                <w:color w:val="000000"/>
                <w:sz w:val="24"/>
                <w:szCs w:val="24"/>
                <w:highlight w:val="none"/>
                <w:lang w:eastAsia="zh-CN"/>
              </w:rPr>
              <w:t>内蒙古星光煤炭集团鄂托克旗华誉煤焦化有限公司中水回用及零排放系统工程项目</w:t>
            </w:r>
          </w:p>
        </w:tc>
      </w:tr>
      <w:tr w14:paraId="232F5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176E0F58">
            <w:pPr>
              <w:adjustRightInd w:val="0"/>
              <w:snapToGrid w:val="0"/>
              <w:jc w:val="center"/>
              <w:rPr>
                <w:b/>
                <w:color w:val="000000"/>
                <w:sz w:val="24"/>
                <w:szCs w:val="24"/>
                <w:highlight w:val="none"/>
              </w:rPr>
            </w:pPr>
            <w:r>
              <w:rPr>
                <w:b/>
                <w:color w:val="000000"/>
                <w:sz w:val="24"/>
                <w:szCs w:val="24"/>
                <w:highlight w:val="none"/>
              </w:rPr>
              <w:t>项目代码</w:t>
            </w:r>
          </w:p>
        </w:tc>
        <w:tc>
          <w:tcPr>
            <w:tcW w:w="7797" w:type="dxa"/>
            <w:gridSpan w:val="3"/>
            <w:noWrap w:val="0"/>
            <w:vAlign w:val="center"/>
          </w:tcPr>
          <w:p w14:paraId="1B2F752D">
            <w:pPr>
              <w:pStyle w:val="17"/>
              <w:jc w:val="center"/>
              <w:rPr>
                <w:color w:val="000000"/>
                <w:sz w:val="24"/>
                <w:szCs w:val="24"/>
                <w:highlight w:val="none"/>
              </w:rPr>
            </w:pPr>
            <w:r>
              <w:rPr>
                <w:rFonts w:hint="eastAsia"/>
                <w:color w:val="000000"/>
                <w:sz w:val="24"/>
                <w:szCs w:val="24"/>
                <w:highlight w:val="none"/>
              </w:rPr>
              <w:t>无</w:t>
            </w:r>
          </w:p>
        </w:tc>
      </w:tr>
      <w:tr w14:paraId="47363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49B46191">
            <w:pPr>
              <w:adjustRightInd w:val="0"/>
              <w:snapToGrid w:val="0"/>
              <w:jc w:val="center"/>
              <w:rPr>
                <w:b/>
                <w:color w:val="000000"/>
                <w:sz w:val="24"/>
                <w:szCs w:val="24"/>
                <w:highlight w:val="none"/>
              </w:rPr>
            </w:pPr>
            <w:r>
              <w:rPr>
                <w:b/>
                <w:color w:val="000000"/>
                <w:sz w:val="24"/>
                <w:szCs w:val="24"/>
                <w:highlight w:val="none"/>
              </w:rPr>
              <w:t>建设单位联系人</w:t>
            </w:r>
          </w:p>
        </w:tc>
        <w:tc>
          <w:tcPr>
            <w:tcW w:w="2565" w:type="dxa"/>
            <w:noWrap w:val="0"/>
            <w:vAlign w:val="center"/>
          </w:tcPr>
          <w:p w14:paraId="2A8BA95F">
            <w:pPr>
              <w:pStyle w:val="17"/>
              <w:jc w:val="center"/>
              <w:rPr>
                <w:rFonts w:hint="eastAsia" w:eastAsia="宋体"/>
                <w:color w:val="000000"/>
                <w:sz w:val="24"/>
                <w:szCs w:val="24"/>
                <w:highlight w:val="none"/>
                <w:lang w:eastAsia="zh-CN"/>
              </w:rPr>
            </w:pPr>
            <w:r>
              <w:rPr>
                <w:rFonts w:hint="eastAsia"/>
                <w:color w:val="000000"/>
                <w:sz w:val="24"/>
                <w:szCs w:val="24"/>
                <w:highlight w:val="none"/>
                <w:lang w:val="en-US" w:eastAsia="zh-CN"/>
              </w:rPr>
              <w:t>刘帅</w:t>
            </w:r>
          </w:p>
        </w:tc>
        <w:tc>
          <w:tcPr>
            <w:tcW w:w="2333" w:type="dxa"/>
            <w:noWrap w:val="0"/>
            <w:vAlign w:val="center"/>
          </w:tcPr>
          <w:p w14:paraId="7313D3FF">
            <w:pPr>
              <w:pStyle w:val="17"/>
              <w:jc w:val="center"/>
              <w:rPr>
                <w:color w:val="000000"/>
                <w:sz w:val="24"/>
                <w:szCs w:val="24"/>
                <w:highlight w:val="none"/>
              </w:rPr>
            </w:pPr>
            <w:r>
              <w:rPr>
                <w:color w:val="000000"/>
                <w:sz w:val="24"/>
                <w:szCs w:val="24"/>
                <w:highlight w:val="none"/>
              </w:rPr>
              <w:t>联系方式</w:t>
            </w:r>
          </w:p>
        </w:tc>
        <w:tc>
          <w:tcPr>
            <w:tcW w:w="2899" w:type="dxa"/>
            <w:noWrap w:val="0"/>
            <w:vAlign w:val="center"/>
          </w:tcPr>
          <w:p w14:paraId="71B115EF">
            <w:pPr>
              <w:pStyle w:val="17"/>
              <w:jc w:val="center"/>
              <w:rPr>
                <w:rFonts w:hint="default" w:eastAsia="宋体"/>
                <w:color w:val="000000"/>
                <w:sz w:val="24"/>
                <w:szCs w:val="24"/>
                <w:highlight w:val="none"/>
                <w:lang w:val="en-US" w:eastAsia="zh-CN"/>
              </w:rPr>
            </w:pPr>
            <w:r>
              <w:rPr>
                <w:rFonts w:hint="eastAsia"/>
                <w:color w:val="000000"/>
                <w:sz w:val="24"/>
                <w:szCs w:val="24"/>
                <w:highlight w:val="none"/>
                <w:lang w:eastAsia="zh-CN"/>
              </w:rPr>
              <w:t>1</w:t>
            </w:r>
            <w:r>
              <w:rPr>
                <w:rFonts w:hint="eastAsia"/>
                <w:color w:val="000000"/>
                <w:sz w:val="24"/>
                <w:szCs w:val="24"/>
                <w:highlight w:val="none"/>
                <w:lang w:val="en-US" w:eastAsia="zh-CN"/>
              </w:rPr>
              <w:t>8647329467</w:t>
            </w:r>
          </w:p>
        </w:tc>
      </w:tr>
      <w:tr w14:paraId="2DE82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7FC86DA8">
            <w:pPr>
              <w:adjustRightInd w:val="0"/>
              <w:snapToGrid w:val="0"/>
              <w:jc w:val="center"/>
              <w:rPr>
                <w:b/>
                <w:color w:val="000000"/>
                <w:sz w:val="24"/>
                <w:szCs w:val="24"/>
                <w:highlight w:val="none"/>
              </w:rPr>
            </w:pPr>
            <w:r>
              <w:rPr>
                <w:b/>
                <w:color w:val="000000"/>
                <w:sz w:val="24"/>
                <w:szCs w:val="24"/>
                <w:highlight w:val="none"/>
              </w:rPr>
              <w:t>建设地点</w:t>
            </w:r>
          </w:p>
        </w:tc>
        <w:tc>
          <w:tcPr>
            <w:tcW w:w="7797" w:type="dxa"/>
            <w:gridSpan w:val="3"/>
            <w:noWrap w:val="0"/>
            <w:vAlign w:val="center"/>
          </w:tcPr>
          <w:p w14:paraId="547A5A22">
            <w:pPr>
              <w:pStyle w:val="17"/>
              <w:jc w:val="center"/>
              <w:rPr>
                <w:color w:val="000000"/>
                <w:sz w:val="24"/>
                <w:szCs w:val="24"/>
                <w:highlight w:val="none"/>
              </w:rPr>
            </w:pPr>
            <w:r>
              <w:rPr>
                <w:rFonts w:hint="eastAsia"/>
                <w:color w:val="000000"/>
                <w:sz w:val="24"/>
                <w:szCs w:val="24"/>
                <w:highlight w:val="none"/>
              </w:rPr>
              <w:t>内蒙古自治区鄂尔多斯市</w:t>
            </w:r>
            <w:r>
              <w:rPr>
                <w:rFonts w:hint="eastAsia"/>
                <w:color w:val="000000"/>
                <w:sz w:val="24"/>
                <w:szCs w:val="24"/>
                <w:highlight w:val="none"/>
                <w:lang w:eastAsia="zh-CN"/>
              </w:rPr>
              <w:t>鄂托克旗蒙西工业园区内蒙古星光煤炭集团鄂托克旗华誉煤焦化有限公司</w:t>
            </w:r>
            <w:r>
              <w:rPr>
                <w:rFonts w:hint="eastAsia"/>
                <w:color w:val="000000"/>
                <w:sz w:val="24"/>
                <w:szCs w:val="24"/>
                <w:highlight w:val="none"/>
              </w:rPr>
              <w:t>厂区内</w:t>
            </w:r>
          </w:p>
        </w:tc>
      </w:tr>
      <w:tr w14:paraId="7CE24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7A9B1234">
            <w:pPr>
              <w:adjustRightInd w:val="0"/>
              <w:snapToGrid w:val="0"/>
              <w:jc w:val="center"/>
              <w:rPr>
                <w:b/>
                <w:color w:val="000000"/>
                <w:sz w:val="24"/>
                <w:szCs w:val="24"/>
                <w:highlight w:val="none"/>
              </w:rPr>
            </w:pPr>
            <w:r>
              <w:rPr>
                <w:b/>
                <w:color w:val="000000"/>
                <w:sz w:val="24"/>
                <w:szCs w:val="24"/>
                <w:highlight w:val="none"/>
              </w:rPr>
              <w:t>地理坐标</w:t>
            </w:r>
          </w:p>
        </w:tc>
        <w:tc>
          <w:tcPr>
            <w:tcW w:w="7797" w:type="dxa"/>
            <w:gridSpan w:val="3"/>
            <w:noWrap w:val="0"/>
            <w:vAlign w:val="center"/>
          </w:tcPr>
          <w:p w14:paraId="50B41705">
            <w:pPr>
              <w:jc w:val="center"/>
              <w:rPr>
                <w:color w:val="000000"/>
                <w:sz w:val="24"/>
                <w:szCs w:val="24"/>
                <w:highlight w:val="none"/>
              </w:rPr>
            </w:pPr>
            <w:r>
              <w:rPr>
                <w:color w:val="000000"/>
                <w:sz w:val="24"/>
                <w:szCs w:val="24"/>
                <w:highlight w:val="none"/>
              </w:rPr>
              <w:t>N</w:t>
            </w:r>
            <w:r>
              <w:rPr>
                <w:rFonts w:hint="eastAsia"/>
                <w:color w:val="000000"/>
                <w:sz w:val="24"/>
                <w:szCs w:val="24"/>
                <w:highlight w:val="none"/>
                <w:lang w:eastAsia="zh-CN"/>
              </w:rPr>
              <w:t>：</w:t>
            </w:r>
            <w:r>
              <w:rPr>
                <w:rFonts w:hint="eastAsia"/>
                <w:color w:val="000000"/>
                <w:sz w:val="24"/>
                <w:szCs w:val="24"/>
                <w:highlight w:val="none"/>
                <w:lang w:val="en-US" w:eastAsia="zh-CN"/>
              </w:rPr>
              <w:t xml:space="preserve"> </w:t>
            </w:r>
            <w:r>
              <w:rPr>
                <w:rFonts w:hint="eastAsia"/>
                <w:color w:val="000000"/>
                <w:sz w:val="24"/>
                <w:szCs w:val="24"/>
                <w:highlight w:val="none"/>
                <w:u w:val="single"/>
              </w:rPr>
              <w:t>3</w:t>
            </w:r>
            <w:r>
              <w:rPr>
                <w:rFonts w:hint="eastAsia"/>
                <w:color w:val="000000"/>
                <w:sz w:val="24"/>
                <w:szCs w:val="24"/>
                <w:highlight w:val="none"/>
                <w:u w:val="single"/>
                <w:lang w:val="en-US" w:eastAsia="zh-CN"/>
              </w:rPr>
              <w:t>8</w:t>
            </w:r>
            <w:r>
              <w:rPr>
                <w:color w:val="000000"/>
                <w:sz w:val="24"/>
                <w:szCs w:val="24"/>
                <w:highlight w:val="none"/>
                <w:u w:val="single"/>
              </w:rPr>
              <w:t xml:space="preserve"> </w:t>
            </w:r>
            <w:r>
              <w:rPr>
                <w:color w:val="000000"/>
                <w:sz w:val="24"/>
                <w:szCs w:val="24"/>
                <w:highlight w:val="none"/>
              </w:rPr>
              <w:t>度</w:t>
            </w:r>
            <w:r>
              <w:rPr>
                <w:rFonts w:hint="eastAsia"/>
                <w:color w:val="000000"/>
                <w:sz w:val="24"/>
                <w:szCs w:val="24"/>
                <w:highlight w:val="none"/>
                <w:u w:val="single"/>
                <w:lang w:val="en-US" w:eastAsia="zh-CN"/>
              </w:rPr>
              <w:t>52</w:t>
            </w:r>
            <w:r>
              <w:rPr>
                <w:color w:val="000000"/>
                <w:sz w:val="24"/>
                <w:szCs w:val="24"/>
                <w:highlight w:val="none"/>
              </w:rPr>
              <w:t>分</w:t>
            </w:r>
            <w:r>
              <w:rPr>
                <w:rFonts w:hint="eastAsia"/>
                <w:color w:val="000000"/>
                <w:sz w:val="24"/>
                <w:szCs w:val="24"/>
                <w:highlight w:val="none"/>
                <w:u w:val="single"/>
                <w:lang w:val="en-US" w:eastAsia="zh-CN"/>
              </w:rPr>
              <w:t>21.798</w:t>
            </w:r>
            <w:r>
              <w:rPr>
                <w:color w:val="000000"/>
                <w:sz w:val="24"/>
                <w:szCs w:val="24"/>
                <w:highlight w:val="none"/>
              </w:rPr>
              <w:t>秒，E：</w:t>
            </w:r>
            <w:r>
              <w:rPr>
                <w:color w:val="000000"/>
                <w:sz w:val="24"/>
                <w:szCs w:val="24"/>
                <w:highlight w:val="none"/>
                <w:u w:val="single"/>
              </w:rPr>
              <w:t xml:space="preserve"> </w:t>
            </w:r>
            <w:r>
              <w:rPr>
                <w:rFonts w:hint="eastAsia"/>
                <w:color w:val="000000"/>
                <w:sz w:val="24"/>
                <w:szCs w:val="24"/>
                <w:highlight w:val="none"/>
                <w:u w:val="single"/>
              </w:rPr>
              <w:t>10</w:t>
            </w:r>
            <w:r>
              <w:rPr>
                <w:rFonts w:hint="eastAsia"/>
                <w:color w:val="000000"/>
                <w:sz w:val="24"/>
                <w:szCs w:val="24"/>
                <w:highlight w:val="none"/>
                <w:u w:val="single"/>
                <w:lang w:val="en-US" w:eastAsia="zh-CN"/>
              </w:rPr>
              <w:t>6</w:t>
            </w:r>
            <w:r>
              <w:rPr>
                <w:color w:val="000000"/>
                <w:sz w:val="24"/>
                <w:szCs w:val="24"/>
                <w:highlight w:val="none"/>
              </w:rPr>
              <w:t>度</w:t>
            </w:r>
            <w:r>
              <w:rPr>
                <w:rFonts w:hint="eastAsia"/>
                <w:color w:val="000000"/>
                <w:sz w:val="24"/>
                <w:szCs w:val="24"/>
                <w:highlight w:val="none"/>
                <w:u w:val="single"/>
                <w:lang w:val="en-US" w:eastAsia="zh-CN"/>
              </w:rPr>
              <w:t>47</w:t>
            </w:r>
            <w:r>
              <w:rPr>
                <w:color w:val="000000"/>
                <w:sz w:val="24"/>
                <w:szCs w:val="24"/>
                <w:highlight w:val="none"/>
                <w:u w:val="single"/>
              </w:rPr>
              <w:t xml:space="preserve"> </w:t>
            </w:r>
            <w:r>
              <w:rPr>
                <w:color w:val="000000"/>
                <w:sz w:val="24"/>
                <w:szCs w:val="24"/>
                <w:highlight w:val="none"/>
              </w:rPr>
              <w:t>分</w:t>
            </w:r>
            <w:r>
              <w:rPr>
                <w:rFonts w:hint="eastAsia"/>
                <w:color w:val="000000"/>
                <w:sz w:val="24"/>
                <w:szCs w:val="24"/>
                <w:highlight w:val="none"/>
                <w:u w:val="single"/>
                <w:lang w:val="en-US" w:eastAsia="zh-CN"/>
              </w:rPr>
              <w:t>05.869</w:t>
            </w:r>
            <w:r>
              <w:rPr>
                <w:color w:val="000000"/>
                <w:sz w:val="24"/>
                <w:szCs w:val="24"/>
                <w:highlight w:val="none"/>
              </w:rPr>
              <w:t>秒</w:t>
            </w:r>
          </w:p>
        </w:tc>
      </w:tr>
      <w:tr w14:paraId="599A1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402337FC">
            <w:pPr>
              <w:adjustRightInd w:val="0"/>
              <w:snapToGrid w:val="0"/>
              <w:jc w:val="center"/>
              <w:rPr>
                <w:b/>
                <w:color w:val="000000"/>
                <w:sz w:val="24"/>
                <w:szCs w:val="24"/>
                <w:highlight w:val="none"/>
              </w:rPr>
            </w:pPr>
            <w:r>
              <w:rPr>
                <w:b/>
                <w:color w:val="000000"/>
                <w:sz w:val="24"/>
                <w:szCs w:val="24"/>
                <w:highlight w:val="none"/>
              </w:rPr>
              <w:t>国民经济</w:t>
            </w:r>
          </w:p>
          <w:p w14:paraId="72E9E304">
            <w:pPr>
              <w:adjustRightInd w:val="0"/>
              <w:snapToGrid w:val="0"/>
              <w:jc w:val="center"/>
              <w:rPr>
                <w:b/>
                <w:color w:val="000000"/>
                <w:sz w:val="24"/>
                <w:szCs w:val="24"/>
                <w:highlight w:val="none"/>
              </w:rPr>
            </w:pPr>
            <w:r>
              <w:rPr>
                <w:b/>
                <w:color w:val="000000"/>
                <w:sz w:val="24"/>
                <w:szCs w:val="24"/>
                <w:highlight w:val="none"/>
              </w:rPr>
              <w:t>行业类别</w:t>
            </w:r>
          </w:p>
        </w:tc>
        <w:tc>
          <w:tcPr>
            <w:tcW w:w="2565" w:type="dxa"/>
            <w:noWrap w:val="0"/>
            <w:vAlign w:val="center"/>
          </w:tcPr>
          <w:p w14:paraId="119CB188">
            <w:pPr>
              <w:adjustRightInd w:val="0"/>
              <w:snapToGrid w:val="0"/>
              <w:jc w:val="center"/>
              <w:rPr>
                <w:rFonts w:hint="eastAsia"/>
                <w:color w:val="000000"/>
                <w:sz w:val="24"/>
                <w:szCs w:val="24"/>
                <w:highlight w:val="none"/>
              </w:rPr>
            </w:pPr>
            <w:r>
              <w:rPr>
                <w:rFonts w:hint="eastAsia" w:eastAsia="微软雅黑"/>
                <w:color w:val="000000"/>
                <w:sz w:val="24"/>
                <w:highlight w:val="none"/>
                <w:lang w:eastAsia="zh-CN"/>
              </w:rPr>
              <w:t xml:space="preserve">E4620 </w:t>
            </w:r>
            <w:r>
              <w:rPr>
                <w:rFonts w:hint="eastAsia" w:ascii="Times New Roman" w:hAnsi="Times New Roman" w:eastAsia="宋体" w:cs="Times New Roman"/>
                <w:color w:val="000000"/>
                <w:sz w:val="24"/>
                <w:highlight w:val="none"/>
                <w:lang w:eastAsia="zh-CN"/>
              </w:rPr>
              <w:t>污水处理及其再生利用</w:t>
            </w:r>
          </w:p>
        </w:tc>
        <w:tc>
          <w:tcPr>
            <w:tcW w:w="2333" w:type="dxa"/>
            <w:noWrap w:val="0"/>
            <w:vAlign w:val="center"/>
          </w:tcPr>
          <w:p w14:paraId="160FD79A">
            <w:pPr>
              <w:adjustRightInd w:val="0"/>
              <w:snapToGrid w:val="0"/>
              <w:jc w:val="center"/>
              <w:rPr>
                <w:b/>
                <w:color w:val="000000"/>
                <w:sz w:val="24"/>
                <w:szCs w:val="24"/>
                <w:highlight w:val="none"/>
              </w:rPr>
            </w:pPr>
            <w:bookmarkStart w:id="0" w:name="_Hlk49843745"/>
            <w:r>
              <w:rPr>
                <w:b/>
                <w:color w:val="000000"/>
                <w:sz w:val="24"/>
                <w:szCs w:val="24"/>
                <w:highlight w:val="none"/>
              </w:rPr>
              <w:t>建设项目</w:t>
            </w:r>
          </w:p>
          <w:p w14:paraId="75C99C49">
            <w:pPr>
              <w:adjustRightInd w:val="0"/>
              <w:snapToGrid w:val="0"/>
              <w:jc w:val="center"/>
              <w:rPr>
                <w:b/>
                <w:color w:val="000000"/>
                <w:sz w:val="24"/>
                <w:szCs w:val="24"/>
                <w:highlight w:val="none"/>
              </w:rPr>
            </w:pPr>
            <w:r>
              <w:rPr>
                <w:b/>
                <w:color w:val="000000"/>
                <w:sz w:val="24"/>
                <w:szCs w:val="24"/>
                <w:highlight w:val="none"/>
              </w:rPr>
              <w:t>行业类别</w:t>
            </w:r>
            <w:bookmarkEnd w:id="0"/>
          </w:p>
        </w:tc>
        <w:tc>
          <w:tcPr>
            <w:tcW w:w="2899" w:type="dxa"/>
            <w:noWrap w:val="0"/>
            <w:vAlign w:val="center"/>
          </w:tcPr>
          <w:p w14:paraId="6DBD3105">
            <w:pPr>
              <w:adjustRightInd w:val="0"/>
              <w:snapToGrid w:val="0"/>
              <w:rPr>
                <w:rFonts w:hint="eastAsia" w:eastAsia="宋体"/>
                <w:color w:val="000000"/>
                <w:sz w:val="24"/>
                <w:szCs w:val="24"/>
                <w:highlight w:val="none"/>
                <w:lang w:eastAsia="zh-CN"/>
              </w:rPr>
            </w:pPr>
            <w:r>
              <w:rPr>
                <w:rFonts w:hint="eastAsia"/>
                <w:color w:val="000000"/>
                <w:sz w:val="24"/>
                <w:szCs w:val="24"/>
                <w:highlight w:val="none"/>
              </w:rPr>
              <w:t>四十三、水的生产和供应业 95污水处理及其再生利用</w:t>
            </w:r>
            <w:r>
              <w:rPr>
                <w:rFonts w:hint="eastAsia"/>
                <w:color w:val="000000"/>
                <w:sz w:val="24"/>
                <w:szCs w:val="24"/>
                <w:highlight w:val="none"/>
                <w:lang w:eastAsia="zh-CN"/>
              </w:rPr>
              <w:t>：</w:t>
            </w:r>
            <w:r>
              <w:rPr>
                <w:rFonts w:hint="eastAsia"/>
                <w:color w:val="000000"/>
                <w:sz w:val="24"/>
                <w:szCs w:val="24"/>
                <w:highlight w:val="none"/>
              </w:rPr>
              <w:t>新建、扩建其他工业废水处理的（不含建设单位自建自用仅处理生活污水的；不含出水间接排入地表水体且不排放重金属的）</w:t>
            </w:r>
          </w:p>
        </w:tc>
      </w:tr>
      <w:tr w14:paraId="3311B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5F0DB668">
            <w:pPr>
              <w:adjustRightInd w:val="0"/>
              <w:snapToGrid w:val="0"/>
              <w:jc w:val="center"/>
              <w:rPr>
                <w:b/>
                <w:color w:val="000000"/>
                <w:sz w:val="24"/>
                <w:szCs w:val="24"/>
                <w:highlight w:val="none"/>
              </w:rPr>
            </w:pPr>
            <w:r>
              <w:rPr>
                <w:b/>
                <w:color w:val="000000"/>
                <w:sz w:val="24"/>
                <w:szCs w:val="24"/>
                <w:highlight w:val="none"/>
              </w:rPr>
              <w:t>建设性质</w:t>
            </w:r>
          </w:p>
        </w:tc>
        <w:tc>
          <w:tcPr>
            <w:tcW w:w="2565" w:type="dxa"/>
            <w:noWrap w:val="0"/>
            <w:vAlign w:val="center"/>
          </w:tcPr>
          <w:p w14:paraId="3B09F78A">
            <w:pPr>
              <w:jc w:val="left"/>
              <w:rPr>
                <w:color w:val="000000"/>
                <w:sz w:val="24"/>
                <w:szCs w:val="24"/>
                <w:highlight w:val="none"/>
              </w:rPr>
            </w:pPr>
            <w:r>
              <w:rPr>
                <w:rFonts w:hint="eastAsia"/>
                <w:color w:val="000000"/>
                <w:sz w:val="24"/>
                <w:szCs w:val="24"/>
                <w:highlight w:val="none"/>
              </w:rPr>
              <w:t>□</w:t>
            </w:r>
            <w:r>
              <w:rPr>
                <w:color w:val="000000"/>
                <w:sz w:val="24"/>
                <w:szCs w:val="24"/>
                <w:highlight w:val="none"/>
              </w:rPr>
              <w:t>新建（迁建）</w:t>
            </w:r>
          </w:p>
          <w:p w14:paraId="16A23035">
            <w:pPr>
              <w:jc w:val="left"/>
              <w:rPr>
                <w:color w:val="000000"/>
                <w:sz w:val="24"/>
                <w:szCs w:val="24"/>
                <w:highlight w:val="none"/>
              </w:rPr>
            </w:pPr>
            <w:r>
              <w:rPr>
                <w:rFonts w:hint="eastAsia"/>
                <w:color w:val="000000"/>
                <w:sz w:val="24"/>
                <w:szCs w:val="24"/>
                <w:highlight w:val="none"/>
                <w:lang w:eastAsia="zh-CN"/>
              </w:rPr>
              <w:t>☑</w:t>
            </w:r>
            <w:r>
              <w:rPr>
                <w:color w:val="000000"/>
                <w:sz w:val="24"/>
                <w:szCs w:val="24"/>
                <w:highlight w:val="none"/>
              </w:rPr>
              <w:t>改建</w:t>
            </w:r>
          </w:p>
          <w:p w14:paraId="134078C6">
            <w:pPr>
              <w:jc w:val="left"/>
              <w:rPr>
                <w:color w:val="000000"/>
                <w:sz w:val="24"/>
                <w:szCs w:val="24"/>
                <w:highlight w:val="none"/>
              </w:rPr>
            </w:pPr>
            <w:r>
              <w:rPr>
                <w:rFonts w:hint="eastAsia"/>
                <w:color w:val="000000"/>
                <w:sz w:val="24"/>
                <w:szCs w:val="24"/>
                <w:highlight w:val="none"/>
                <w:lang w:eastAsia="zh-CN"/>
              </w:rPr>
              <w:t>☑</w:t>
            </w:r>
            <w:r>
              <w:rPr>
                <w:color w:val="000000"/>
                <w:sz w:val="24"/>
                <w:szCs w:val="24"/>
                <w:highlight w:val="none"/>
              </w:rPr>
              <w:t>扩建</w:t>
            </w:r>
          </w:p>
          <w:p w14:paraId="707B9520">
            <w:pPr>
              <w:jc w:val="left"/>
              <w:rPr>
                <w:color w:val="000000"/>
                <w:sz w:val="24"/>
                <w:szCs w:val="24"/>
                <w:highlight w:val="none"/>
              </w:rPr>
            </w:pPr>
            <w:r>
              <w:rPr>
                <w:rFonts w:hint="eastAsia"/>
                <w:color w:val="000000"/>
                <w:sz w:val="24"/>
                <w:szCs w:val="24"/>
                <w:highlight w:val="none"/>
                <w:lang w:eastAsia="zh-CN"/>
              </w:rPr>
              <w:t>□</w:t>
            </w:r>
            <w:r>
              <w:rPr>
                <w:color w:val="000000"/>
                <w:sz w:val="24"/>
                <w:szCs w:val="24"/>
                <w:highlight w:val="none"/>
              </w:rPr>
              <w:t>技术改造</w:t>
            </w:r>
          </w:p>
        </w:tc>
        <w:tc>
          <w:tcPr>
            <w:tcW w:w="2333" w:type="dxa"/>
            <w:noWrap w:val="0"/>
            <w:vAlign w:val="center"/>
          </w:tcPr>
          <w:p w14:paraId="12935C4A">
            <w:pPr>
              <w:adjustRightInd w:val="0"/>
              <w:snapToGrid w:val="0"/>
              <w:jc w:val="center"/>
              <w:rPr>
                <w:b/>
                <w:color w:val="000000"/>
                <w:sz w:val="24"/>
                <w:szCs w:val="24"/>
                <w:highlight w:val="none"/>
              </w:rPr>
            </w:pPr>
            <w:r>
              <w:rPr>
                <w:b/>
                <w:color w:val="000000"/>
                <w:sz w:val="24"/>
                <w:szCs w:val="24"/>
                <w:highlight w:val="none"/>
              </w:rPr>
              <w:t>建设项目</w:t>
            </w:r>
          </w:p>
          <w:p w14:paraId="6EC57330">
            <w:pPr>
              <w:adjustRightInd w:val="0"/>
              <w:snapToGrid w:val="0"/>
              <w:jc w:val="center"/>
              <w:rPr>
                <w:b/>
                <w:color w:val="000000"/>
                <w:sz w:val="24"/>
                <w:szCs w:val="24"/>
                <w:highlight w:val="none"/>
              </w:rPr>
            </w:pPr>
            <w:r>
              <w:rPr>
                <w:b/>
                <w:color w:val="000000"/>
                <w:sz w:val="24"/>
                <w:szCs w:val="24"/>
                <w:highlight w:val="none"/>
              </w:rPr>
              <w:t>申报情形</w:t>
            </w:r>
          </w:p>
        </w:tc>
        <w:tc>
          <w:tcPr>
            <w:tcW w:w="2899" w:type="dxa"/>
            <w:noWrap w:val="0"/>
            <w:vAlign w:val="center"/>
          </w:tcPr>
          <w:p w14:paraId="56ADB517">
            <w:pPr>
              <w:jc w:val="left"/>
              <w:rPr>
                <w:color w:val="000000"/>
                <w:sz w:val="24"/>
                <w:szCs w:val="24"/>
                <w:highlight w:val="none"/>
              </w:rPr>
            </w:pPr>
            <w:r>
              <w:rPr>
                <w:rFonts w:hint="eastAsia"/>
                <w:color w:val="000000"/>
                <w:sz w:val="24"/>
                <w:szCs w:val="24"/>
                <w:highlight w:val="none"/>
              </w:rPr>
              <w:t>☑</w:t>
            </w:r>
            <w:r>
              <w:rPr>
                <w:color w:val="000000"/>
                <w:sz w:val="24"/>
                <w:szCs w:val="24"/>
                <w:highlight w:val="none"/>
              </w:rPr>
              <w:t xml:space="preserve">首次申报项目             </w:t>
            </w:r>
          </w:p>
          <w:p w14:paraId="31E1FA09">
            <w:pPr>
              <w:jc w:val="left"/>
              <w:rPr>
                <w:color w:val="000000"/>
                <w:sz w:val="24"/>
                <w:szCs w:val="24"/>
                <w:highlight w:val="none"/>
              </w:rPr>
            </w:pPr>
            <w:r>
              <w:rPr>
                <w:color w:val="000000"/>
                <w:sz w:val="24"/>
                <w:szCs w:val="24"/>
                <w:highlight w:val="none"/>
              </w:rPr>
              <w:t>□不予批准后再次申报项目</w:t>
            </w:r>
          </w:p>
          <w:p w14:paraId="30B3436B">
            <w:pPr>
              <w:jc w:val="left"/>
              <w:rPr>
                <w:color w:val="000000"/>
                <w:sz w:val="24"/>
                <w:szCs w:val="24"/>
                <w:highlight w:val="none"/>
              </w:rPr>
            </w:pPr>
            <w:r>
              <w:rPr>
                <w:color w:val="000000"/>
                <w:sz w:val="24"/>
                <w:szCs w:val="24"/>
                <w:highlight w:val="none"/>
              </w:rPr>
              <w:t xml:space="preserve">□超五年重新审核项目     </w:t>
            </w:r>
          </w:p>
          <w:p w14:paraId="6FDBE65C">
            <w:pPr>
              <w:jc w:val="left"/>
              <w:rPr>
                <w:color w:val="000000"/>
                <w:sz w:val="24"/>
                <w:szCs w:val="24"/>
                <w:highlight w:val="none"/>
              </w:rPr>
            </w:pPr>
            <w:r>
              <w:rPr>
                <w:color w:val="000000"/>
                <w:sz w:val="24"/>
                <w:szCs w:val="24"/>
                <w:highlight w:val="none"/>
              </w:rPr>
              <w:t>□重大变动重新报批项目</w:t>
            </w:r>
          </w:p>
        </w:tc>
      </w:tr>
      <w:tr w14:paraId="67A58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32843314">
            <w:pPr>
              <w:adjustRightInd w:val="0"/>
              <w:snapToGrid w:val="0"/>
              <w:jc w:val="center"/>
              <w:rPr>
                <w:b/>
                <w:color w:val="000000"/>
                <w:sz w:val="24"/>
                <w:szCs w:val="24"/>
                <w:highlight w:val="none"/>
              </w:rPr>
            </w:pPr>
            <w:r>
              <w:rPr>
                <w:b/>
                <w:color w:val="000000"/>
                <w:sz w:val="24"/>
                <w:szCs w:val="24"/>
                <w:highlight w:val="none"/>
              </w:rPr>
              <w:t>项目审批（核准/备案）部门（选填）</w:t>
            </w:r>
          </w:p>
        </w:tc>
        <w:tc>
          <w:tcPr>
            <w:tcW w:w="2565" w:type="dxa"/>
            <w:noWrap w:val="0"/>
            <w:vAlign w:val="center"/>
          </w:tcPr>
          <w:p w14:paraId="11C7A1AB">
            <w:pPr>
              <w:adjustRightInd w:val="0"/>
              <w:snapToGrid w:val="0"/>
              <w:jc w:val="center"/>
              <w:rPr>
                <w:color w:val="000000"/>
                <w:sz w:val="24"/>
                <w:szCs w:val="24"/>
                <w:highlight w:val="none"/>
              </w:rPr>
            </w:pPr>
            <w:r>
              <w:rPr>
                <w:color w:val="000000"/>
                <w:sz w:val="24"/>
                <w:szCs w:val="24"/>
                <w:highlight w:val="none"/>
              </w:rPr>
              <w:t>/</w:t>
            </w:r>
          </w:p>
        </w:tc>
        <w:tc>
          <w:tcPr>
            <w:tcW w:w="2333" w:type="dxa"/>
            <w:noWrap w:val="0"/>
            <w:vAlign w:val="center"/>
          </w:tcPr>
          <w:p w14:paraId="12BCC4CD">
            <w:pPr>
              <w:adjustRightInd w:val="0"/>
              <w:snapToGrid w:val="0"/>
              <w:jc w:val="center"/>
              <w:rPr>
                <w:b/>
                <w:color w:val="000000"/>
                <w:sz w:val="24"/>
                <w:szCs w:val="24"/>
                <w:highlight w:val="none"/>
              </w:rPr>
            </w:pPr>
            <w:r>
              <w:rPr>
                <w:b/>
                <w:color w:val="000000"/>
                <w:sz w:val="24"/>
                <w:szCs w:val="24"/>
                <w:highlight w:val="none"/>
              </w:rPr>
              <w:t>项目审批（核准/</w:t>
            </w:r>
          </w:p>
          <w:p w14:paraId="4EBF6F2C">
            <w:pPr>
              <w:adjustRightInd w:val="0"/>
              <w:snapToGrid w:val="0"/>
              <w:jc w:val="center"/>
              <w:rPr>
                <w:b/>
                <w:color w:val="000000"/>
                <w:sz w:val="24"/>
                <w:szCs w:val="24"/>
                <w:highlight w:val="none"/>
              </w:rPr>
            </w:pPr>
            <w:r>
              <w:rPr>
                <w:b/>
                <w:color w:val="000000"/>
                <w:sz w:val="24"/>
                <w:szCs w:val="24"/>
                <w:highlight w:val="none"/>
              </w:rPr>
              <w:t>备案）文号（选填）</w:t>
            </w:r>
          </w:p>
        </w:tc>
        <w:tc>
          <w:tcPr>
            <w:tcW w:w="2899" w:type="dxa"/>
            <w:noWrap w:val="0"/>
            <w:vAlign w:val="center"/>
          </w:tcPr>
          <w:p w14:paraId="70C036CD">
            <w:pPr>
              <w:adjustRightInd w:val="0"/>
              <w:snapToGrid w:val="0"/>
              <w:jc w:val="center"/>
              <w:rPr>
                <w:color w:val="000000"/>
                <w:sz w:val="24"/>
                <w:szCs w:val="24"/>
                <w:highlight w:val="none"/>
              </w:rPr>
            </w:pPr>
            <w:r>
              <w:rPr>
                <w:color w:val="000000"/>
                <w:sz w:val="24"/>
                <w:szCs w:val="24"/>
                <w:highlight w:val="none"/>
              </w:rPr>
              <w:t>/</w:t>
            </w:r>
          </w:p>
        </w:tc>
      </w:tr>
      <w:tr w14:paraId="091D6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4381DA9A">
            <w:pPr>
              <w:adjustRightInd w:val="0"/>
              <w:snapToGrid w:val="0"/>
              <w:jc w:val="center"/>
              <w:rPr>
                <w:b/>
                <w:color w:val="000000"/>
                <w:sz w:val="24"/>
                <w:szCs w:val="24"/>
                <w:highlight w:val="none"/>
              </w:rPr>
            </w:pPr>
            <w:r>
              <w:rPr>
                <w:b/>
                <w:color w:val="000000"/>
                <w:sz w:val="24"/>
                <w:szCs w:val="24"/>
                <w:highlight w:val="none"/>
              </w:rPr>
              <w:t>总投资（万元）</w:t>
            </w:r>
          </w:p>
        </w:tc>
        <w:tc>
          <w:tcPr>
            <w:tcW w:w="2565" w:type="dxa"/>
            <w:noWrap w:val="0"/>
            <w:vAlign w:val="center"/>
          </w:tcPr>
          <w:p w14:paraId="1F91B3EA">
            <w:pPr>
              <w:adjustRightInd w:val="0"/>
              <w:snapToGrid w:val="0"/>
              <w:jc w:val="center"/>
              <w:rPr>
                <w:color w:val="000000"/>
                <w:sz w:val="24"/>
                <w:szCs w:val="24"/>
                <w:highlight w:val="none"/>
              </w:rPr>
            </w:pPr>
            <w:r>
              <w:rPr>
                <w:rFonts w:hint="eastAsia"/>
                <w:color w:val="000000"/>
                <w:sz w:val="24"/>
                <w:szCs w:val="24"/>
                <w:highlight w:val="none"/>
                <w:lang w:val="en-US" w:eastAsia="zh-CN"/>
              </w:rPr>
              <w:t>5700</w:t>
            </w:r>
          </w:p>
        </w:tc>
        <w:tc>
          <w:tcPr>
            <w:tcW w:w="2333" w:type="dxa"/>
            <w:noWrap w:val="0"/>
            <w:tcMar>
              <w:top w:w="16" w:type="dxa"/>
              <w:left w:w="16" w:type="dxa"/>
              <w:right w:w="16" w:type="dxa"/>
            </w:tcMar>
            <w:vAlign w:val="center"/>
          </w:tcPr>
          <w:p w14:paraId="574260A9">
            <w:pPr>
              <w:adjustRightInd w:val="0"/>
              <w:snapToGrid w:val="0"/>
              <w:jc w:val="center"/>
              <w:rPr>
                <w:b/>
                <w:color w:val="000000"/>
                <w:sz w:val="24"/>
                <w:szCs w:val="24"/>
                <w:highlight w:val="none"/>
              </w:rPr>
            </w:pPr>
            <w:r>
              <w:rPr>
                <w:b/>
                <w:color w:val="000000"/>
                <w:sz w:val="24"/>
                <w:szCs w:val="24"/>
                <w:highlight w:val="none"/>
              </w:rPr>
              <w:t>环保投资（万</w:t>
            </w:r>
            <w:r>
              <w:rPr>
                <w:b/>
                <w:color w:val="000000"/>
                <w:sz w:val="24"/>
                <w:highlight w:val="none"/>
              </w:rPr>
              <w:t>）</w:t>
            </w:r>
          </w:p>
        </w:tc>
        <w:tc>
          <w:tcPr>
            <w:tcW w:w="2899" w:type="dxa"/>
            <w:noWrap w:val="0"/>
            <w:vAlign w:val="center"/>
          </w:tcPr>
          <w:p w14:paraId="0AA2153B">
            <w:pPr>
              <w:adjustRightInd w:val="0"/>
              <w:snapToGrid w:val="0"/>
              <w:jc w:val="center"/>
              <w:rPr>
                <w:rFonts w:hint="default" w:eastAsia="宋体"/>
                <w:color w:val="000000"/>
                <w:sz w:val="24"/>
                <w:szCs w:val="24"/>
                <w:highlight w:val="none"/>
                <w:lang w:val="en-US" w:eastAsia="zh-CN"/>
              </w:rPr>
            </w:pPr>
            <w:r>
              <w:rPr>
                <w:rFonts w:hint="eastAsia"/>
                <w:color w:val="000000"/>
                <w:sz w:val="24"/>
                <w:szCs w:val="24"/>
                <w:highlight w:val="none"/>
                <w:lang w:val="en-US" w:eastAsia="zh-CN"/>
              </w:rPr>
              <w:t>500</w:t>
            </w:r>
          </w:p>
        </w:tc>
      </w:tr>
      <w:tr w14:paraId="0C79A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1CA9F2E2">
            <w:pPr>
              <w:adjustRightInd w:val="0"/>
              <w:snapToGrid w:val="0"/>
              <w:jc w:val="center"/>
              <w:rPr>
                <w:b/>
                <w:color w:val="000000"/>
                <w:sz w:val="24"/>
                <w:szCs w:val="24"/>
                <w:highlight w:val="none"/>
              </w:rPr>
            </w:pPr>
            <w:r>
              <w:rPr>
                <w:b/>
                <w:color w:val="000000"/>
                <w:sz w:val="24"/>
                <w:szCs w:val="24"/>
                <w:highlight w:val="none"/>
              </w:rPr>
              <w:t>环保投资占比（%）</w:t>
            </w:r>
          </w:p>
        </w:tc>
        <w:tc>
          <w:tcPr>
            <w:tcW w:w="2565" w:type="dxa"/>
            <w:noWrap w:val="0"/>
            <w:vAlign w:val="center"/>
          </w:tcPr>
          <w:p w14:paraId="41A6034C">
            <w:pPr>
              <w:adjustRightInd w:val="0"/>
              <w:snapToGrid w:val="0"/>
              <w:jc w:val="center"/>
              <w:rPr>
                <w:rFonts w:hint="default" w:eastAsia="宋体"/>
                <w:color w:val="000000"/>
                <w:sz w:val="24"/>
                <w:szCs w:val="24"/>
                <w:highlight w:val="none"/>
                <w:lang w:val="en-US" w:eastAsia="zh-CN"/>
              </w:rPr>
            </w:pPr>
            <w:r>
              <w:rPr>
                <w:rFonts w:hint="eastAsia"/>
                <w:color w:val="000000"/>
                <w:sz w:val="24"/>
                <w:szCs w:val="24"/>
                <w:highlight w:val="none"/>
                <w:lang w:val="en-US" w:eastAsia="zh-CN"/>
              </w:rPr>
              <w:t>8.77</w:t>
            </w:r>
          </w:p>
        </w:tc>
        <w:tc>
          <w:tcPr>
            <w:tcW w:w="2333" w:type="dxa"/>
            <w:noWrap w:val="0"/>
            <w:tcMar>
              <w:top w:w="16" w:type="dxa"/>
              <w:left w:w="16" w:type="dxa"/>
              <w:right w:w="16" w:type="dxa"/>
            </w:tcMar>
            <w:vAlign w:val="center"/>
          </w:tcPr>
          <w:p w14:paraId="3252DC4C">
            <w:pPr>
              <w:adjustRightInd w:val="0"/>
              <w:snapToGrid w:val="0"/>
              <w:jc w:val="center"/>
              <w:rPr>
                <w:b/>
                <w:color w:val="000000"/>
                <w:sz w:val="24"/>
                <w:szCs w:val="24"/>
                <w:highlight w:val="none"/>
              </w:rPr>
            </w:pPr>
            <w:r>
              <w:rPr>
                <w:b/>
                <w:color w:val="000000"/>
                <w:sz w:val="24"/>
                <w:szCs w:val="24"/>
                <w:highlight w:val="none"/>
              </w:rPr>
              <w:t>施工工期</w:t>
            </w:r>
          </w:p>
        </w:tc>
        <w:tc>
          <w:tcPr>
            <w:tcW w:w="2899" w:type="dxa"/>
            <w:noWrap w:val="0"/>
            <w:vAlign w:val="center"/>
          </w:tcPr>
          <w:p w14:paraId="55AA4EE7">
            <w:pPr>
              <w:adjustRightInd w:val="0"/>
              <w:snapToGrid w:val="0"/>
              <w:jc w:val="center"/>
              <w:rPr>
                <w:rFonts w:hint="eastAsia" w:eastAsia="宋体"/>
                <w:color w:val="000000"/>
                <w:sz w:val="24"/>
                <w:szCs w:val="24"/>
                <w:highlight w:val="none"/>
                <w:lang w:eastAsia="zh-CN"/>
              </w:rPr>
            </w:pPr>
            <w:r>
              <w:rPr>
                <w:rFonts w:hint="eastAsia"/>
                <w:color w:val="000000"/>
                <w:sz w:val="24"/>
                <w:szCs w:val="24"/>
                <w:highlight w:val="none"/>
                <w:lang w:val="en-US" w:eastAsia="zh-CN"/>
              </w:rPr>
              <w:t>3个月</w:t>
            </w:r>
          </w:p>
        </w:tc>
      </w:tr>
      <w:tr w14:paraId="111BA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74" w:type="dxa"/>
            <w:gridSpan w:val="2"/>
            <w:noWrap w:val="0"/>
            <w:tcMar>
              <w:top w:w="16" w:type="dxa"/>
              <w:left w:w="16" w:type="dxa"/>
              <w:right w:w="16" w:type="dxa"/>
            </w:tcMar>
            <w:vAlign w:val="center"/>
          </w:tcPr>
          <w:p w14:paraId="4D0E5246">
            <w:pPr>
              <w:adjustRightInd w:val="0"/>
              <w:snapToGrid w:val="0"/>
              <w:jc w:val="center"/>
              <w:rPr>
                <w:b/>
                <w:color w:val="000000"/>
                <w:sz w:val="24"/>
                <w:szCs w:val="24"/>
                <w:highlight w:val="none"/>
              </w:rPr>
            </w:pPr>
            <w:r>
              <w:rPr>
                <w:b/>
                <w:color w:val="000000"/>
                <w:sz w:val="24"/>
                <w:szCs w:val="24"/>
                <w:highlight w:val="none"/>
              </w:rPr>
              <w:t>是否开工建设</w:t>
            </w:r>
          </w:p>
        </w:tc>
        <w:tc>
          <w:tcPr>
            <w:tcW w:w="2565" w:type="dxa"/>
            <w:noWrap w:val="0"/>
            <w:vAlign w:val="center"/>
          </w:tcPr>
          <w:p w14:paraId="535F5D10">
            <w:pPr>
              <w:adjustRightInd w:val="0"/>
              <w:snapToGrid w:val="0"/>
              <w:rPr>
                <w:color w:val="000000"/>
                <w:sz w:val="24"/>
                <w:szCs w:val="24"/>
                <w:highlight w:val="none"/>
              </w:rPr>
            </w:pPr>
            <w:r>
              <w:rPr>
                <w:rFonts w:hint="default" w:ascii="Times New Roman" w:hAnsi="Times New Roman" w:cs="Times New Roman"/>
                <w:color w:val="000000"/>
                <w:sz w:val="24"/>
                <w:szCs w:val="24"/>
                <w:highlight w:val="none"/>
                <w:lang w:eastAsia="zh-CN"/>
              </w:rPr>
              <w:t>☑</w:t>
            </w:r>
            <w:r>
              <w:rPr>
                <w:color w:val="000000"/>
                <w:sz w:val="24"/>
                <w:szCs w:val="24"/>
                <w:highlight w:val="none"/>
              </w:rPr>
              <w:t>否</w:t>
            </w:r>
          </w:p>
          <w:p w14:paraId="765C2620">
            <w:pPr>
              <w:adjustRightInd w:val="0"/>
              <w:snapToGrid w:val="0"/>
              <w:rPr>
                <w:color w:val="000000"/>
                <w:sz w:val="24"/>
                <w:szCs w:val="24"/>
                <w:highlight w:val="none"/>
              </w:rPr>
            </w:pPr>
            <w:r>
              <w:rPr>
                <w:rFonts w:hint="eastAsia" w:ascii="Times New Roman" w:hAnsi="Times New Roman" w:cs="Times New Roman"/>
                <w:color w:val="000000"/>
                <w:sz w:val="24"/>
                <w:szCs w:val="24"/>
                <w:highlight w:val="none"/>
                <w:lang w:eastAsia="zh-CN"/>
              </w:rPr>
              <w:t>□</w:t>
            </w:r>
            <w:r>
              <w:rPr>
                <w:color w:val="000000"/>
                <w:sz w:val="24"/>
                <w:szCs w:val="24"/>
                <w:highlight w:val="none"/>
              </w:rPr>
              <w:t>是</w:t>
            </w:r>
          </w:p>
        </w:tc>
        <w:tc>
          <w:tcPr>
            <w:tcW w:w="2333" w:type="dxa"/>
            <w:noWrap w:val="0"/>
            <w:tcMar>
              <w:top w:w="16" w:type="dxa"/>
              <w:left w:w="16" w:type="dxa"/>
              <w:right w:w="16" w:type="dxa"/>
            </w:tcMar>
            <w:vAlign w:val="center"/>
          </w:tcPr>
          <w:p w14:paraId="20ED1B58">
            <w:pPr>
              <w:adjustRightInd w:val="0"/>
              <w:snapToGrid w:val="0"/>
              <w:rPr>
                <w:b/>
                <w:color w:val="000000"/>
                <w:sz w:val="24"/>
                <w:szCs w:val="24"/>
                <w:highlight w:val="none"/>
              </w:rPr>
            </w:pPr>
            <w:r>
              <w:rPr>
                <w:b/>
                <w:color w:val="000000"/>
                <w:spacing w:val="-6"/>
                <w:sz w:val="24"/>
                <w:szCs w:val="24"/>
                <w:highlight w:val="none"/>
              </w:rPr>
              <w:t>用地面积（m</w:t>
            </w:r>
            <w:r>
              <w:rPr>
                <w:b/>
                <w:color w:val="000000"/>
                <w:spacing w:val="-6"/>
                <w:sz w:val="24"/>
                <w:szCs w:val="24"/>
                <w:highlight w:val="none"/>
                <w:vertAlign w:val="superscript"/>
              </w:rPr>
              <w:t>2</w:t>
            </w:r>
            <w:r>
              <w:rPr>
                <w:b/>
                <w:color w:val="000000"/>
                <w:spacing w:val="-6"/>
                <w:sz w:val="24"/>
                <w:szCs w:val="24"/>
                <w:highlight w:val="none"/>
              </w:rPr>
              <w:t>）</w:t>
            </w:r>
          </w:p>
        </w:tc>
        <w:tc>
          <w:tcPr>
            <w:tcW w:w="2899" w:type="dxa"/>
            <w:noWrap w:val="0"/>
            <w:vAlign w:val="center"/>
          </w:tcPr>
          <w:p w14:paraId="0F4AFE5C">
            <w:pPr>
              <w:adjustRightInd w:val="0"/>
              <w:snapToGrid w:val="0"/>
              <w:jc w:val="center"/>
              <w:rPr>
                <w:rFonts w:hint="default"/>
                <w:color w:val="000000"/>
                <w:sz w:val="24"/>
                <w:szCs w:val="24"/>
                <w:highlight w:val="none"/>
                <w:lang w:val="en-US"/>
              </w:rPr>
            </w:pPr>
            <w:r>
              <w:rPr>
                <w:rFonts w:hint="eastAsia"/>
                <w:b w:val="0"/>
                <w:bCs/>
                <w:color w:val="000000"/>
                <w:sz w:val="24"/>
                <w:szCs w:val="24"/>
                <w:highlight w:val="none"/>
                <w:lang w:val="en-US" w:eastAsia="zh-CN"/>
              </w:rPr>
              <w:t>6796.6</w:t>
            </w:r>
          </w:p>
        </w:tc>
      </w:tr>
      <w:tr w14:paraId="5A426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dxa"/>
            <w:gridSpan w:val="2"/>
            <w:noWrap w:val="0"/>
            <w:vAlign w:val="center"/>
          </w:tcPr>
          <w:p w14:paraId="2702EF20">
            <w:pPr>
              <w:autoSpaceDE w:val="0"/>
              <w:autoSpaceDN w:val="0"/>
              <w:adjustRightInd w:val="0"/>
              <w:snapToGrid w:val="0"/>
              <w:jc w:val="center"/>
              <w:rPr>
                <w:b/>
                <w:color w:val="000000"/>
                <w:kern w:val="0"/>
                <w:sz w:val="24"/>
                <w:szCs w:val="24"/>
                <w:highlight w:val="none"/>
              </w:rPr>
            </w:pPr>
            <w:r>
              <w:rPr>
                <w:b/>
                <w:color w:val="000000"/>
                <w:kern w:val="0"/>
                <w:sz w:val="24"/>
                <w:szCs w:val="24"/>
                <w:highlight w:val="none"/>
              </w:rPr>
              <w:t>专项评价设置情况</w:t>
            </w:r>
          </w:p>
        </w:tc>
        <w:tc>
          <w:tcPr>
            <w:tcW w:w="7797" w:type="dxa"/>
            <w:gridSpan w:val="3"/>
            <w:noWrap w:val="0"/>
            <w:vAlign w:val="center"/>
          </w:tcPr>
          <w:p w14:paraId="47FCE486">
            <w:pPr>
              <w:keepNext w:val="0"/>
              <w:keepLines w:val="0"/>
              <w:pageBreakBefore w:val="0"/>
              <w:widowControl w:val="0"/>
              <w:wordWrap/>
              <w:topLinePunct w:val="0"/>
              <w:autoSpaceDE w:val="0"/>
              <w:autoSpaceDN w:val="0"/>
              <w:bidi w:val="0"/>
              <w:adjustRightInd w:val="0"/>
              <w:snapToGrid w:val="0"/>
              <w:spacing w:line="360" w:lineRule="auto"/>
              <w:ind w:right="0" w:rightChars="0"/>
              <w:jc w:val="center"/>
              <w:textAlignment w:val="auto"/>
              <w:rPr>
                <w:color w:val="000000"/>
                <w:kern w:val="0"/>
                <w:szCs w:val="21"/>
                <w:highlight w:val="none"/>
              </w:rPr>
            </w:pPr>
            <w:r>
              <w:rPr>
                <w:color w:val="000000"/>
                <w:kern w:val="0"/>
                <w:szCs w:val="21"/>
                <w:highlight w:val="none"/>
              </w:rPr>
              <w:t>无</w:t>
            </w:r>
          </w:p>
        </w:tc>
      </w:tr>
      <w:tr w14:paraId="7EF67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dxa"/>
            <w:gridSpan w:val="2"/>
            <w:noWrap w:val="0"/>
            <w:vAlign w:val="center"/>
          </w:tcPr>
          <w:p w14:paraId="63FC1B17">
            <w:pPr>
              <w:autoSpaceDE w:val="0"/>
              <w:autoSpaceDN w:val="0"/>
              <w:adjustRightInd w:val="0"/>
              <w:snapToGrid w:val="0"/>
              <w:jc w:val="center"/>
              <w:rPr>
                <w:b/>
                <w:color w:val="000000"/>
                <w:kern w:val="0"/>
                <w:sz w:val="24"/>
                <w:szCs w:val="24"/>
                <w:highlight w:val="none"/>
              </w:rPr>
            </w:pPr>
            <w:r>
              <w:rPr>
                <w:b/>
                <w:color w:val="000000"/>
                <w:sz w:val="24"/>
                <w:szCs w:val="24"/>
                <w:highlight w:val="none"/>
              </w:rPr>
              <w:t>规划情况</w:t>
            </w:r>
          </w:p>
        </w:tc>
        <w:tc>
          <w:tcPr>
            <w:tcW w:w="7797" w:type="dxa"/>
            <w:gridSpan w:val="3"/>
            <w:noWrap w:val="0"/>
            <w:vAlign w:val="center"/>
          </w:tcPr>
          <w:p w14:paraId="05FBB1B5">
            <w:pPr>
              <w:pStyle w:val="18"/>
              <w:keepNext w:val="0"/>
              <w:keepLines w:val="0"/>
              <w:pageBreakBefore w:val="0"/>
              <w:widowControl w:val="0"/>
              <w:kinsoku/>
              <w:wordWrap/>
              <w:overflowPunct/>
              <w:topLinePunct w:val="0"/>
              <w:bidi w:val="0"/>
              <w:adjustRightInd w:val="0"/>
              <w:snapToGrid w:val="0"/>
              <w:spacing w:line="276" w:lineRule="auto"/>
              <w:textAlignment w:val="auto"/>
              <w:rPr>
                <w:rFonts w:hint="default"/>
                <w:color w:val="000000"/>
                <w:highlight w:val="none"/>
              </w:rPr>
            </w:pPr>
            <w:r>
              <w:rPr>
                <w:color w:val="000000"/>
                <w:highlight w:val="none"/>
              </w:rPr>
              <w:t>规划名称：《鄂尔多斯蒙西镇（蒙西高新技术工业园区）城市总体规划（2010-2030年）》；</w:t>
            </w:r>
          </w:p>
          <w:p w14:paraId="180E2D38">
            <w:pPr>
              <w:pStyle w:val="18"/>
              <w:keepNext w:val="0"/>
              <w:keepLines w:val="0"/>
              <w:pageBreakBefore w:val="0"/>
              <w:widowControl w:val="0"/>
              <w:kinsoku/>
              <w:wordWrap/>
              <w:overflowPunct/>
              <w:topLinePunct w:val="0"/>
              <w:bidi w:val="0"/>
              <w:adjustRightInd w:val="0"/>
              <w:snapToGrid w:val="0"/>
              <w:spacing w:line="276" w:lineRule="auto"/>
              <w:textAlignment w:val="auto"/>
              <w:rPr>
                <w:rFonts w:hint="default"/>
                <w:color w:val="000000"/>
                <w:highlight w:val="none"/>
              </w:rPr>
            </w:pPr>
            <w:r>
              <w:rPr>
                <w:color w:val="000000"/>
                <w:highlight w:val="none"/>
              </w:rPr>
              <w:t>审批机关：鄂尔多斯市人民政府；</w:t>
            </w:r>
          </w:p>
          <w:p w14:paraId="7C6A3771">
            <w:pPr>
              <w:pStyle w:val="18"/>
              <w:keepNext w:val="0"/>
              <w:keepLines w:val="0"/>
              <w:pageBreakBefore w:val="0"/>
              <w:widowControl w:val="0"/>
              <w:kinsoku/>
              <w:wordWrap/>
              <w:overflowPunct/>
              <w:topLinePunct w:val="0"/>
              <w:bidi w:val="0"/>
              <w:adjustRightInd w:val="0"/>
              <w:snapToGrid w:val="0"/>
              <w:spacing w:line="276" w:lineRule="auto"/>
              <w:ind w:firstLine="480" w:firstLineChars="200"/>
              <w:textAlignment w:val="auto"/>
              <w:rPr>
                <w:color w:val="000000"/>
                <w:kern w:val="0"/>
                <w:sz w:val="24"/>
                <w:szCs w:val="24"/>
                <w:highlight w:val="none"/>
              </w:rPr>
            </w:pPr>
            <w:r>
              <w:rPr>
                <w:color w:val="000000"/>
                <w:highlight w:val="none"/>
              </w:rPr>
              <w:t>审批文件名称：《关于鄂尔多斯蒙西镇（蒙西高新技术工业园区）城市总体规划的批复》（鄂府函[2012]222号）</w:t>
            </w:r>
          </w:p>
        </w:tc>
      </w:tr>
      <w:tr w14:paraId="4CC81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dxa"/>
            <w:gridSpan w:val="2"/>
            <w:noWrap w:val="0"/>
            <w:vAlign w:val="center"/>
          </w:tcPr>
          <w:p w14:paraId="68256BC6">
            <w:pPr>
              <w:adjustRightInd w:val="0"/>
              <w:snapToGrid w:val="0"/>
              <w:jc w:val="center"/>
              <w:rPr>
                <w:b/>
                <w:color w:val="000000"/>
                <w:sz w:val="24"/>
                <w:szCs w:val="24"/>
                <w:highlight w:val="none"/>
              </w:rPr>
            </w:pPr>
            <w:r>
              <w:rPr>
                <w:b/>
                <w:color w:val="000000"/>
                <w:sz w:val="24"/>
                <w:szCs w:val="24"/>
                <w:highlight w:val="none"/>
              </w:rPr>
              <w:t>规划环境影响</w:t>
            </w:r>
          </w:p>
          <w:p w14:paraId="7C9C5BFE">
            <w:pPr>
              <w:adjustRightInd w:val="0"/>
              <w:snapToGrid w:val="0"/>
              <w:jc w:val="center"/>
              <w:rPr>
                <w:color w:val="000000"/>
                <w:kern w:val="0"/>
                <w:sz w:val="24"/>
                <w:szCs w:val="24"/>
                <w:highlight w:val="none"/>
              </w:rPr>
            </w:pPr>
            <w:r>
              <w:rPr>
                <w:b/>
                <w:color w:val="000000"/>
                <w:sz w:val="24"/>
                <w:szCs w:val="24"/>
                <w:highlight w:val="none"/>
              </w:rPr>
              <w:t>评价情况</w:t>
            </w:r>
          </w:p>
        </w:tc>
        <w:tc>
          <w:tcPr>
            <w:tcW w:w="7797" w:type="dxa"/>
            <w:gridSpan w:val="3"/>
            <w:noWrap w:val="0"/>
            <w:vAlign w:val="center"/>
          </w:tcPr>
          <w:p w14:paraId="79C779D6">
            <w:pPr>
              <w:pStyle w:val="18"/>
              <w:keepNext w:val="0"/>
              <w:keepLines w:val="0"/>
              <w:pageBreakBefore w:val="0"/>
              <w:widowControl w:val="0"/>
              <w:kinsoku/>
              <w:wordWrap/>
              <w:overflowPunct/>
              <w:topLinePunct w:val="0"/>
              <w:bidi w:val="0"/>
              <w:adjustRightInd w:val="0"/>
              <w:snapToGrid w:val="0"/>
              <w:spacing w:line="276" w:lineRule="auto"/>
              <w:textAlignment w:val="auto"/>
              <w:rPr>
                <w:rFonts w:hint="default"/>
                <w:color w:val="000000"/>
                <w:highlight w:val="none"/>
              </w:rPr>
            </w:pPr>
            <w:r>
              <w:rPr>
                <w:color w:val="000000"/>
                <w:highlight w:val="none"/>
              </w:rPr>
              <w:t>规划环境影响评价文件名称：《蒙西高新技术工业园区总体规划环境影响报告书》；</w:t>
            </w:r>
          </w:p>
          <w:p w14:paraId="162807CC">
            <w:pPr>
              <w:pStyle w:val="18"/>
              <w:keepNext w:val="0"/>
              <w:keepLines w:val="0"/>
              <w:pageBreakBefore w:val="0"/>
              <w:widowControl w:val="0"/>
              <w:kinsoku/>
              <w:wordWrap/>
              <w:overflowPunct/>
              <w:topLinePunct w:val="0"/>
              <w:bidi w:val="0"/>
              <w:adjustRightInd w:val="0"/>
              <w:snapToGrid w:val="0"/>
              <w:spacing w:line="276" w:lineRule="auto"/>
              <w:textAlignment w:val="auto"/>
              <w:rPr>
                <w:rFonts w:hint="default"/>
                <w:color w:val="000000"/>
                <w:highlight w:val="none"/>
              </w:rPr>
            </w:pPr>
            <w:r>
              <w:rPr>
                <w:color w:val="000000"/>
                <w:highlight w:val="none"/>
              </w:rPr>
              <w:t>审查机关：原内蒙古自治区环境保护厅；</w:t>
            </w:r>
          </w:p>
          <w:p w14:paraId="610FF8D2">
            <w:pPr>
              <w:pStyle w:val="18"/>
              <w:keepNext w:val="0"/>
              <w:keepLines w:val="0"/>
              <w:pageBreakBefore w:val="0"/>
              <w:widowControl w:val="0"/>
              <w:kinsoku/>
              <w:wordWrap/>
              <w:overflowPunct/>
              <w:topLinePunct w:val="0"/>
              <w:bidi w:val="0"/>
              <w:adjustRightInd w:val="0"/>
              <w:snapToGrid w:val="0"/>
              <w:spacing w:line="276" w:lineRule="auto"/>
              <w:ind w:firstLine="480" w:firstLineChars="200"/>
              <w:textAlignment w:val="auto"/>
              <w:rPr>
                <w:color w:val="000000"/>
                <w:sz w:val="24"/>
                <w:szCs w:val="24"/>
                <w:highlight w:val="none"/>
              </w:rPr>
            </w:pPr>
            <w:r>
              <w:rPr>
                <w:color w:val="000000"/>
                <w:highlight w:val="none"/>
              </w:rPr>
              <w:t>审查文件名称：《内蒙古自治区环境保护厅关于蒙西高新技术工业园区总体规划环境影响报告书的审查意见》（内环审[2013]10号）。</w:t>
            </w:r>
          </w:p>
        </w:tc>
      </w:tr>
      <w:tr w14:paraId="0B225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dxa"/>
            <w:gridSpan w:val="2"/>
            <w:noWrap w:val="0"/>
            <w:vAlign w:val="center"/>
          </w:tcPr>
          <w:p w14:paraId="7C78720F">
            <w:pPr>
              <w:autoSpaceDE w:val="0"/>
              <w:autoSpaceDN w:val="0"/>
              <w:adjustRightInd w:val="0"/>
              <w:snapToGrid w:val="0"/>
              <w:jc w:val="center"/>
              <w:rPr>
                <w:b/>
                <w:color w:val="000000"/>
                <w:kern w:val="0"/>
                <w:sz w:val="24"/>
                <w:szCs w:val="24"/>
                <w:highlight w:val="none"/>
              </w:rPr>
            </w:pPr>
            <w:r>
              <w:rPr>
                <w:b/>
                <w:color w:val="000000"/>
                <w:kern w:val="0"/>
                <w:sz w:val="24"/>
                <w:szCs w:val="24"/>
                <w:highlight w:val="none"/>
              </w:rPr>
              <w:t>规划及规划环境影响评价符合性分析</w:t>
            </w:r>
          </w:p>
        </w:tc>
        <w:tc>
          <w:tcPr>
            <w:tcW w:w="7797" w:type="dxa"/>
            <w:gridSpan w:val="3"/>
            <w:noWrap w:val="0"/>
            <w:vAlign w:val="center"/>
          </w:tcPr>
          <w:p w14:paraId="0FCEA15B">
            <w:pPr>
              <w:keepNext w:val="0"/>
              <w:keepLines w:val="0"/>
              <w:pageBreakBefore w:val="0"/>
              <w:widowControl w:val="0"/>
              <w:kinsoku/>
              <w:wordWrap/>
              <w:overflowPunct/>
              <w:topLinePunct w:val="0"/>
              <w:autoSpaceDE w:val="0"/>
              <w:autoSpaceDN w:val="0"/>
              <w:bidi w:val="0"/>
              <w:adjustRightInd w:val="0"/>
              <w:snapToGrid w:val="0"/>
              <w:spacing w:line="276" w:lineRule="auto"/>
              <w:jc w:val="both"/>
              <w:textAlignment w:val="auto"/>
              <w:rPr>
                <w:rFonts w:hint="eastAsia"/>
                <w:color w:val="000000"/>
                <w:kern w:val="0"/>
                <w:sz w:val="24"/>
                <w:highlight w:val="none"/>
              </w:rPr>
            </w:pPr>
            <w:r>
              <w:rPr>
                <w:rFonts w:hint="eastAsia"/>
                <w:color w:val="000000"/>
                <w:kern w:val="0"/>
                <w:sz w:val="24"/>
                <w:highlight w:val="none"/>
                <w:lang w:eastAsia="zh-CN"/>
              </w:rPr>
              <w:t>规划范围：</w:t>
            </w:r>
            <w:r>
              <w:rPr>
                <w:rFonts w:hint="eastAsia"/>
                <w:color w:val="000000"/>
                <w:kern w:val="0"/>
                <w:sz w:val="24"/>
                <w:highlight w:val="none"/>
              </w:rPr>
              <w:t>西园区东南侧为蒙西镇新镇区，西侧为蒙西镇旧镇区。蒙西园区西侧以西外环为界，东侧以京藏高速为界，南侧以新千公路为界，北侧以现状基础设施覆盖范围为界，规划面积45.1平方公里。</w:t>
            </w:r>
          </w:p>
          <w:p w14:paraId="70A40B32">
            <w:pPr>
              <w:keepNext w:val="0"/>
              <w:keepLines w:val="0"/>
              <w:pageBreakBefore w:val="0"/>
              <w:widowControl w:val="0"/>
              <w:kinsoku/>
              <w:wordWrap/>
              <w:overflowPunct/>
              <w:topLinePunct w:val="0"/>
              <w:autoSpaceDE w:val="0"/>
              <w:autoSpaceDN w:val="0"/>
              <w:bidi w:val="0"/>
              <w:adjustRightInd w:val="0"/>
              <w:snapToGrid w:val="0"/>
              <w:spacing w:line="276" w:lineRule="auto"/>
              <w:jc w:val="both"/>
              <w:textAlignment w:val="auto"/>
              <w:rPr>
                <w:color w:val="000000"/>
                <w:sz w:val="24"/>
                <w:szCs w:val="24"/>
                <w:highlight w:val="none"/>
              </w:rPr>
            </w:pPr>
            <w:r>
              <w:rPr>
                <w:rFonts w:hint="eastAsia"/>
                <w:color w:val="000000"/>
                <w:kern w:val="0"/>
                <w:sz w:val="24"/>
                <w:highlight w:val="none"/>
              </w:rPr>
              <w:t>产业定位：以现状产业为基础，严控基础化工原料项目，适度向下游延伸产业链；积极引进专用化学品和化学新材料等低消耗、低污染、高附加值项目。在延链、补链、强链的同时，逐步形成以“2（化工、新材料）+N（特色产业）”创新发展为主线，传统产业升级与战略性新兴产业布局为重点，氯碱升级、焦化提升、可降解塑料等多产业板块相融合为特色的产业集群，促进产业向高端化、绿色化、智能化提升，打造国家级现代工业产业园。</w:t>
            </w:r>
            <w:r>
              <w:rPr>
                <w:rFonts w:hint="eastAsia"/>
                <w:color w:val="000000"/>
                <w:kern w:val="0"/>
                <w:sz w:val="24"/>
                <w:highlight w:val="none"/>
                <w:lang w:eastAsia="zh-CN"/>
              </w:rPr>
              <w:t>本项目为原有厂区配套的</w:t>
            </w:r>
            <w:r>
              <w:rPr>
                <w:rFonts w:hint="eastAsia"/>
                <w:color w:val="000000"/>
                <w:kern w:val="0"/>
                <w:sz w:val="24"/>
                <w:highlight w:val="none"/>
                <w:lang w:val="en-US" w:eastAsia="zh-CN"/>
              </w:rPr>
              <w:t>中水回用及零排放系统工程</w:t>
            </w:r>
            <w:r>
              <w:rPr>
                <w:rFonts w:hint="eastAsia"/>
                <w:color w:val="000000"/>
                <w:kern w:val="0"/>
                <w:sz w:val="24"/>
                <w:highlight w:val="none"/>
                <w:lang w:eastAsia="zh-CN"/>
              </w:rPr>
              <w:t>项目，既提高了水资源利用率，节约了生产成本，还降低了环境污染，有利于环境保护。</w:t>
            </w:r>
          </w:p>
        </w:tc>
      </w:tr>
      <w:tr w14:paraId="1855D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6" w:type="dxa"/>
            <w:noWrap w:val="0"/>
            <w:vAlign w:val="center"/>
          </w:tcPr>
          <w:p w14:paraId="64171711">
            <w:pPr>
              <w:autoSpaceDE w:val="0"/>
              <w:autoSpaceDN w:val="0"/>
              <w:adjustRightInd w:val="0"/>
              <w:snapToGrid w:val="0"/>
              <w:jc w:val="center"/>
              <w:rPr>
                <w:b/>
                <w:color w:val="000000"/>
                <w:kern w:val="0"/>
                <w:sz w:val="24"/>
                <w:szCs w:val="24"/>
                <w:highlight w:val="none"/>
              </w:rPr>
            </w:pPr>
            <w:r>
              <w:rPr>
                <w:b/>
                <w:color w:val="000000"/>
                <w:kern w:val="0"/>
                <w:sz w:val="24"/>
                <w:szCs w:val="24"/>
                <w:highlight w:val="none"/>
              </w:rPr>
              <w:t>其他符合性分析</w:t>
            </w:r>
          </w:p>
        </w:tc>
        <w:tc>
          <w:tcPr>
            <w:tcW w:w="8485" w:type="dxa"/>
            <w:gridSpan w:val="4"/>
            <w:noWrap w:val="0"/>
            <w:vAlign w:val="center"/>
          </w:tcPr>
          <w:p w14:paraId="41E05199">
            <w:pPr>
              <w:adjustRightInd w:val="0"/>
              <w:snapToGrid w:val="0"/>
              <w:spacing w:line="360" w:lineRule="auto"/>
              <w:ind w:firstLine="480" w:firstLineChars="200"/>
              <w:rPr>
                <w:bCs/>
                <w:color w:val="000000"/>
                <w:sz w:val="24"/>
                <w:highlight w:val="none"/>
              </w:rPr>
            </w:pPr>
            <w:r>
              <w:rPr>
                <w:bCs/>
                <w:color w:val="000000"/>
                <w:sz w:val="24"/>
                <w:highlight w:val="none"/>
              </w:rPr>
              <w:t>一、选址合理性分析</w:t>
            </w:r>
          </w:p>
          <w:p w14:paraId="678D9359">
            <w:pPr>
              <w:pStyle w:val="19"/>
              <w:rPr>
                <w:color w:val="000000"/>
                <w:highlight w:val="none"/>
              </w:rPr>
            </w:pPr>
            <w:r>
              <w:rPr>
                <w:rFonts w:hint="eastAsia"/>
                <w:color w:val="000000"/>
                <w:highlight w:val="none"/>
              </w:rPr>
              <w:t>本项目位于内蒙古自治区鄂尔多斯市</w:t>
            </w:r>
            <w:r>
              <w:rPr>
                <w:rFonts w:hint="eastAsia"/>
                <w:color w:val="000000"/>
                <w:highlight w:val="none"/>
                <w:lang w:eastAsia="zh-CN"/>
              </w:rPr>
              <w:t>鄂托克旗蒙西工业园区内蒙古星光煤炭集团鄂托克旗华誉煤焦化有限公司</w:t>
            </w:r>
            <w:r>
              <w:rPr>
                <w:rFonts w:hint="eastAsia"/>
                <w:color w:val="000000"/>
                <w:highlight w:val="none"/>
              </w:rPr>
              <w:t>预留空地内，用地性质为工业用地。项目周边2.5公里范围内无自然保护区、风景名胜区、珍稀动植物保护区及文物保护对象等环境敏感区，场址不在规划的饮用水水源保护区范围内。项目区内水、电供应基础设施齐备，交通便利。</w:t>
            </w:r>
          </w:p>
          <w:p w14:paraId="33C7560B">
            <w:pPr>
              <w:adjustRightInd w:val="0"/>
              <w:snapToGrid w:val="0"/>
              <w:spacing w:line="360" w:lineRule="auto"/>
              <w:ind w:firstLine="480" w:firstLineChars="200"/>
              <w:rPr>
                <w:rFonts w:hint="eastAsia" w:eastAsia="宋体"/>
                <w:bCs/>
                <w:color w:val="000000"/>
                <w:sz w:val="24"/>
                <w:highlight w:val="none"/>
                <w:lang w:eastAsia="zh-CN"/>
              </w:rPr>
            </w:pPr>
            <w:r>
              <w:rPr>
                <w:rFonts w:hint="eastAsia"/>
                <w:bCs/>
                <w:color w:val="000000"/>
                <w:sz w:val="24"/>
                <w:highlight w:val="none"/>
                <w:lang w:eastAsia="zh-CN"/>
              </w:rPr>
              <w:t>因此，本项目选址较为合理。</w:t>
            </w:r>
          </w:p>
          <w:p w14:paraId="280BDFEC">
            <w:pPr>
              <w:adjustRightInd w:val="0"/>
              <w:snapToGrid w:val="0"/>
              <w:spacing w:line="360" w:lineRule="auto"/>
              <w:ind w:firstLine="480" w:firstLineChars="200"/>
              <w:rPr>
                <w:bCs/>
                <w:color w:val="000000"/>
                <w:sz w:val="24"/>
                <w:highlight w:val="none"/>
              </w:rPr>
            </w:pPr>
            <w:r>
              <w:rPr>
                <w:bCs/>
                <w:color w:val="000000"/>
                <w:sz w:val="24"/>
                <w:highlight w:val="none"/>
              </w:rPr>
              <w:t>二、产业政策和规划符合性</w:t>
            </w:r>
          </w:p>
          <w:p w14:paraId="6F7D3643">
            <w:pPr>
              <w:adjustRightInd w:val="0"/>
              <w:snapToGrid w:val="0"/>
              <w:spacing w:line="360" w:lineRule="auto"/>
              <w:ind w:firstLine="480" w:firstLineChars="200"/>
              <w:rPr>
                <w:bCs/>
                <w:color w:val="000000"/>
                <w:sz w:val="24"/>
                <w:highlight w:val="none"/>
              </w:rPr>
            </w:pPr>
            <w:r>
              <w:rPr>
                <w:rFonts w:hint="eastAsia" w:ascii="宋体" w:hAnsi="宋体" w:cs="宋体"/>
                <w:bCs/>
                <w:color w:val="000000"/>
                <w:sz w:val="24"/>
                <w:highlight w:val="none"/>
              </w:rPr>
              <w:t>⑴</w:t>
            </w:r>
            <w:r>
              <w:rPr>
                <w:bCs/>
                <w:color w:val="000000"/>
                <w:sz w:val="24"/>
                <w:highlight w:val="none"/>
              </w:rPr>
              <w:t>产业政策</w:t>
            </w:r>
          </w:p>
          <w:p w14:paraId="6360596A">
            <w:pPr>
              <w:spacing w:line="360" w:lineRule="auto"/>
              <w:ind w:firstLine="480" w:firstLineChars="200"/>
              <w:jc w:val="left"/>
              <w:rPr>
                <w:color w:val="000000"/>
                <w:sz w:val="24"/>
                <w:highlight w:val="none"/>
              </w:rPr>
            </w:pPr>
            <w:r>
              <w:rPr>
                <w:rFonts w:hint="eastAsia"/>
                <w:color w:val="000000"/>
                <w:sz w:val="24"/>
                <w:highlight w:val="none"/>
              </w:rPr>
              <w:t>本项目属于《产业结构调整指导目录（2019年本）》中“第一类鼓励类”，“四十三、环境保护与资源节约综合利用”，“18、废水零排放，重复用水技术应用”。</w:t>
            </w:r>
          </w:p>
          <w:p w14:paraId="347D08F2">
            <w:pPr>
              <w:adjustRightInd w:val="0"/>
              <w:snapToGrid w:val="0"/>
              <w:spacing w:line="360" w:lineRule="auto"/>
              <w:ind w:firstLine="480" w:firstLineChars="200"/>
              <w:rPr>
                <w:bCs/>
                <w:color w:val="000000"/>
                <w:sz w:val="24"/>
                <w:highlight w:val="none"/>
              </w:rPr>
            </w:pPr>
            <w:r>
              <w:rPr>
                <w:rFonts w:hint="eastAsia"/>
                <w:bCs/>
                <w:color w:val="000000"/>
                <w:sz w:val="24"/>
                <w:highlight w:val="none"/>
                <w:lang w:eastAsia="zh-CN"/>
              </w:rPr>
              <w:t>（</w:t>
            </w:r>
            <w:r>
              <w:rPr>
                <w:rFonts w:hint="eastAsia"/>
                <w:bCs/>
                <w:color w:val="000000"/>
                <w:sz w:val="24"/>
                <w:highlight w:val="none"/>
                <w:lang w:val="en-US" w:eastAsia="zh-CN"/>
              </w:rPr>
              <w:t>2</w:t>
            </w:r>
            <w:r>
              <w:rPr>
                <w:rFonts w:hint="eastAsia"/>
                <w:bCs/>
                <w:color w:val="000000"/>
                <w:sz w:val="24"/>
                <w:highlight w:val="none"/>
                <w:lang w:eastAsia="zh-CN"/>
              </w:rPr>
              <w:t>）</w:t>
            </w:r>
            <w:r>
              <w:rPr>
                <w:bCs/>
                <w:color w:val="000000"/>
                <w:sz w:val="24"/>
                <w:highlight w:val="none"/>
              </w:rPr>
              <w:t>“三线一单”符合性分析</w:t>
            </w:r>
          </w:p>
          <w:p w14:paraId="4DA1C82F">
            <w:pPr>
              <w:pStyle w:val="19"/>
              <w:rPr>
                <w:rFonts w:ascii="Times New Roman" w:hAnsi="Times New Roman" w:cs="Times New Roman"/>
                <w:color w:val="000000"/>
                <w:highlight w:val="none"/>
              </w:rPr>
            </w:pPr>
            <w:bookmarkStart w:id="1" w:name="_Hlk531757846"/>
            <w:r>
              <w:rPr>
                <w:rFonts w:hint="eastAsia"/>
                <w:color w:val="000000"/>
                <w:highlight w:val="none"/>
              </w:rPr>
              <w:t>根据《鄂尔多斯市人民政府关于“三线一单”生态环境分区管控的实施意见》</w:t>
            </w:r>
            <w:r>
              <w:rPr>
                <w:rFonts w:hint="eastAsia"/>
                <w:color w:val="000000"/>
                <w:highlight w:val="none"/>
                <w:lang w:eastAsia="zh-CN"/>
              </w:rPr>
              <w:t>（</w:t>
            </w:r>
            <w:r>
              <w:rPr>
                <w:rFonts w:hint="eastAsia"/>
                <w:color w:val="000000"/>
                <w:sz w:val="24"/>
                <w:szCs w:val="24"/>
                <w:highlight w:val="none"/>
              </w:rPr>
              <w:t>鄂府</w:t>
            </w:r>
            <w:r>
              <w:rPr>
                <w:rFonts w:hint="default" w:ascii="Times New Roman" w:hAnsi="Times New Roman" w:cs="Times New Roman"/>
                <w:color w:val="000000"/>
                <w:sz w:val="24"/>
                <w:szCs w:val="24"/>
                <w:highlight w:val="none"/>
              </w:rPr>
              <w:t>发</w:t>
            </w:r>
            <w:r>
              <w:rPr>
                <w:rFonts w:hint="default" w:ascii="Times New Roman" w:hAnsi="Times New Roman" w:eastAsia="宋体" w:cs="Times New Roman"/>
                <w:color w:val="000000"/>
                <w:sz w:val="24"/>
                <w:szCs w:val="24"/>
                <w:highlight w:val="none"/>
                <w:lang w:val="en-US" w:eastAsia="zh-CN"/>
              </w:rPr>
              <w:t>〔2021〕</w:t>
            </w:r>
            <w:r>
              <w:rPr>
                <w:rStyle w:val="16"/>
                <w:rFonts w:hint="default" w:ascii="Times New Roman" w:hAnsi="Times New Roman" w:eastAsia="宋体" w:cs="Times New Roman"/>
                <w:color w:val="000000"/>
                <w:sz w:val="24"/>
                <w:szCs w:val="24"/>
                <w:highlight w:val="none"/>
                <w:lang w:val="en-US" w:eastAsia="zh-CN"/>
              </w:rPr>
              <w:t>218</w:t>
            </w:r>
            <w:r>
              <w:rPr>
                <w:rFonts w:hint="default" w:ascii="Times New Roman" w:hAnsi="Times New Roman" w:cs="Times New Roman"/>
                <w:color w:val="000000"/>
                <w:sz w:val="24"/>
                <w:szCs w:val="24"/>
                <w:highlight w:val="none"/>
              </w:rPr>
              <w:t>号</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highlight w:val="none"/>
              </w:rPr>
              <w:t>文要求，建立以“三线一单”为核心的生态环境分区管控体系，现对该项目进行符合性分析如下：</w:t>
            </w:r>
          </w:p>
          <w:p w14:paraId="0AB2E9CF">
            <w:pPr>
              <w:pStyle w:val="19"/>
              <w:rPr>
                <w:rFonts w:hint="default" w:ascii="Times New Roman" w:hAnsi="Times New Roman" w:cs="Times New Roman"/>
                <w:color w:val="000000"/>
                <w:highlight w:val="none"/>
              </w:rPr>
            </w:pPr>
            <w:r>
              <w:rPr>
                <w:rFonts w:hint="default" w:ascii="Times New Roman" w:hAnsi="Times New Roman" w:cs="Times New Roman"/>
                <w:color w:val="000000"/>
                <w:highlight w:val="none"/>
                <w:lang w:eastAsia="zh-CN"/>
              </w:rPr>
              <w:t>①</w:t>
            </w:r>
            <w:r>
              <w:rPr>
                <w:rFonts w:hint="default" w:ascii="Times New Roman" w:hAnsi="Times New Roman" w:cs="Times New Roman"/>
                <w:color w:val="000000"/>
                <w:highlight w:val="none"/>
              </w:rPr>
              <w:t>生态保护红线要求：全市生态空间总面积为54408.94平方公里，占全市国土面积的62.63%。其中：生态保护红线面积22900.81平方公里，占全市国土面积的26.36%；一般生态空间面积31508.13平方公里，占全市国土面积的36.27%。</w:t>
            </w:r>
          </w:p>
          <w:p w14:paraId="6C34D9E0">
            <w:pPr>
              <w:pStyle w:val="19"/>
              <w:numPr>
                <w:ilvl w:val="0"/>
                <w:numId w:val="1"/>
              </w:numPr>
              <w:rPr>
                <w:rFonts w:ascii="宋体" w:hAnsi="宋体" w:eastAsia="宋体" w:cs="宋体"/>
                <w:color w:val="000000"/>
                <w:sz w:val="24"/>
                <w:szCs w:val="24"/>
                <w:highlight w:val="none"/>
              </w:rPr>
            </w:pPr>
            <w:r>
              <w:rPr>
                <w:rFonts w:ascii="宋体" w:hAnsi="宋体" w:eastAsia="宋体" w:cs="宋体"/>
                <w:color w:val="000000"/>
                <w:sz w:val="24"/>
                <w:szCs w:val="24"/>
                <w:highlight w:val="none"/>
              </w:rPr>
              <w:t>优先保护单元。共69个，面积占比为62.63%，主要包括我市生态保护红线、自然保护地、集中式饮用水水源保护区等生态功能重要区和生态环境敏感区。该区域以生态环境保护优先为原则，依法禁止或限制大规模、高强度的工业开发和城镇建设，确保生态环境功能不降低。</w:t>
            </w:r>
          </w:p>
          <w:p w14:paraId="40FC51C5">
            <w:pPr>
              <w:pStyle w:val="19"/>
              <w:numPr>
                <w:ilvl w:val="0"/>
                <w:numId w:val="1"/>
              </w:numPr>
              <w:rPr>
                <w:color w:val="000000"/>
                <w:highlight w:val="none"/>
              </w:rPr>
            </w:pPr>
            <w:r>
              <w:rPr>
                <w:rFonts w:ascii="宋体" w:hAnsi="宋体" w:eastAsia="宋体" w:cs="宋体"/>
                <w:color w:val="000000"/>
                <w:sz w:val="24"/>
                <w:szCs w:val="24"/>
                <w:highlight w:val="none"/>
              </w:rPr>
              <w:t>重点管控单元。共87个，面积占比为30.74%，主要包括工业园区、城市、矿区等开发强度高、污染排放量大、环境问题相对集中的区域，以及生态需水补给区等。该区域应不断提升资源利用效率，有针对性地加强污染物排放控制和环境风险防控，解决生态环境质量不达标、生态环境风险高等问题。</w:t>
            </w:r>
          </w:p>
          <w:p w14:paraId="6EFC0729">
            <w:pPr>
              <w:pStyle w:val="19"/>
              <w:numPr>
                <w:ilvl w:val="0"/>
                <w:numId w:val="1"/>
              </w:numPr>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一般管控单元。共7个，面积占比为6.63%，优先保护单元、重点管控单元之外为一般管控单元。该区域主要落实生态环境保护基本要求。 </w:t>
            </w:r>
          </w:p>
          <w:p w14:paraId="2A5A0EC0">
            <w:pPr>
              <w:pStyle w:val="19"/>
              <w:numPr>
                <w:ilvl w:val="0"/>
                <w:numId w:val="0"/>
              </w:numPr>
              <w:ind w:firstLine="480" w:firstLineChars="200"/>
              <w:rPr>
                <w:color w:val="000000"/>
                <w:highlight w:val="none"/>
              </w:rPr>
            </w:pPr>
            <w:r>
              <w:rPr>
                <w:rFonts w:hint="default" w:ascii="Times New Roman" w:hAnsi="Times New Roman" w:cs="Times New Roman"/>
                <w:color w:val="000000"/>
                <w:highlight w:val="none"/>
              </w:rPr>
              <w:t>本项目建设地点位于</w:t>
            </w:r>
            <w:r>
              <w:rPr>
                <w:rFonts w:hint="eastAsia"/>
                <w:color w:val="000000"/>
                <w:highlight w:val="none"/>
              </w:rPr>
              <w:t>鄂尔多斯市</w:t>
            </w:r>
            <w:r>
              <w:rPr>
                <w:rFonts w:hint="eastAsia"/>
                <w:color w:val="000000"/>
                <w:highlight w:val="none"/>
                <w:lang w:eastAsia="zh-CN"/>
              </w:rPr>
              <w:t>鄂托克旗蒙西工业园区内蒙古星光煤炭集团鄂托克旗华誉煤焦化有限公司厂区内</w:t>
            </w:r>
            <w:r>
              <w:rPr>
                <w:rFonts w:hint="eastAsia"/>
                <w:color w:val="000000"/>
                <w:highlight w:val="none"/>
              </w:rPr>
              <w:t>，经现场踏勘和调查，评价范围内无自然保护区、风景名胜区</w:t>
            </w:r>
            <w:r>
              <w:rPr>
                <w:rFonts w:hint="eastAsia"/>
                <w:color w:val="000000"/>
                <w:highlight w:val="none"/>
                <w:lang w:eastAsia="zh-CN"/>
              </w:rPr>
              <w:t>、饮用水源保护区</w:t>
            </w:r>
            <w:r>
              <w:rPr>
                <w:rFonts w:hint="eastAsia"/>
                <w:color w:val="000000"/>
                <w:highlight w:val="none"/>
              </w:rPr>
              <w:t>等环境保护目</w:t>
            </w:r>
            <w:r>
              <w:rPr>
                <w:rFonts w:hint="eastAsia"/>
                <w:color w:val="000000"/>
                <w:kern w:val="2"/>
                <w:highlight w:val="none"/>
                <w:lang w:val="en-US" w:eastAsia="zh-CN"/>
              </w:rPr>
              <w:t>标。</w:t>
            </w:r>
            <w:r>
              <w:rPr>
                <w:rFonts w:hint="eastAsia"/>
                <w:color w:val="000000"/>
                <w:highlight w:val="none"/>
                <w:lang w:val="en-US" w:eastAsia="zh-CN"/>
              </w:rPr>
              <w:t>本项目</w:t>
            </w:r>
            <w:r>
              <w:rPr>
                <w:rFonts w:hint="eastAsia"/>
                <w:color w:val="000000"/>
                <w:highlight w:val="none"/>
                <w:lang w:eastAsia="zh-CN"/>
              </w:rPr>
              <w:t>不在生态保护红线范围内，</w:t>
            </w:r>
            <w:r>
              <w:rPr>
                <w:rFonts w:hint="eastAsia"/>
                <w:color w:val="000000"/>
                <w:highlight w:val="none"/>
              </w:rPr>
              <w:t>符合生态保护红线的要求。</w:t>
            </w:r>
          </w:p>
          <w:p w14:paraId="26859086">
            <w:pPr>
              <w:pStyle w:val="19"/>
              <w:rPr>
                <w:rFonts w:hint="eastAsia"/>
                <w:color w:val="000000"/>
                <w:highlight w:val="none"/>
              </w:rPr>
            </w:pPr>
            <w:r>
              <w:rPr>
                <w:rFonts w:hint="eastAsia"/>
                <w:color w:val="000000"/>
                <w:highlight w:val="none"/>
                <w:lang w:eastAsia="zh-CN"/>
              </w:rPr>
              <w:t>②</w:t>
            </w:r>
            <w:r>
              <w:rPr>
                <w:rFonts w:hint="eastAsia"/>
                <w:color w:val="000000"/>
                <w:highlight w:val="none"/>
              </w:rPr>
              <w:t>资源利用上线要求：本项目运营过程中一定的电源、水资源等资源的消耗，项目</w:t>
            </w:r>
            <w:r>
              <w:rPr>
                <w:rFonts w:hint="eastAsia"/>
                <w:color w:val="000000"/>
                <w:highlight w:val="none"/>
                <w:lang w:val="en-US" w:eastAsia="zh-CN"/>
              </w:rPr>
              <w:t>生产废水实现循环利用，不外排</w:t>
            </w:r>
            <w:r>
              <w:rPr>
                <w:rFonts w:hint="eastAsia"/>
                <w:color w:val="000000"/>
                <w:highlight w:val="none"/>
                <w:lang w:eastAsia="zh-CN"/>
              </w:rPr>
              <w:t>。</w:t>
            </w:r>
            <w:r>
              <w:rPr>
                <w:rFonts w:hint="eastAsia"/>
                <w:color w:val="000000"/>
                <w:highlight w:val="none"/>
              </w:rPr>
              <w:t>项目消耗资源相对于区域资源利用总量较少，符合资源利用上线要求。</w:t>
            </w:r>
          </w:p>
          <w:p w14:paraId="62B06BA2">
            <w:pPr>
              <w:pStyle w:val="19"/>
              <w:rPr>
                <w:rFonts w:hint="eastAsia"/>
                <w:color w:val="000000"/>
                <w:highlight w:val="none"/>
              </w:rPr>
            </w:pPr>
            <w:r>
              <w:rPr>
                <w:rFonts w:hint="eastAsia"/>
                <w:color w:val="000000"/>
                <w:highlight w:val="none"/>
                <w:lang w:eastAsia="zh-CN"/>
              </w:rPr>
              <w:t>③</w:t>
            </w:r>
            <w:r>
              <w:rPr>
                <w:rFonts w:hint="eastAsia"/>
                <w:color w:val="000000"/>
                <w:highlight w:val="none"/>
              </w:rPr>
              <w:t>环境质量底线要求：本项目大气环境、地下水环境、声环境质</w:t>
            </w:r>
            <w:r>
              <w:rPr>
                <w:rFonts w:hint="eastAsia"/>
                <w:color w:val="000000"/>
                <w:sz w:val="24"/>
                <w:szCs w:val="24"/>
                <w:highlight w:val="none"/>
              </w:rPr>
              <w:t>量</w:t>
            </w:r>
            <w:r>
              <w:rPr>
                <w:rStyle w:val="16"/>
                <w:rFonts w:hint="eastAsia"/>
                <w:color w:val="000000"/>
                <w:sz w:val="24"/>
                <w:szCs w:val="24"/>
                <w:highlight w:val="none"/>
                <w:lang w:eastAsia="zh-CN"/>
              </w:rPr>
              <w:t>现状</w:t>
            </w:r>
            <w:r>
              <w:rPr>
                <w:rFonts w:hint="eastAsia"/>
                <w:color w:val="000000"/>
                <w:sz w:val="24"/>
                <w:szCs w:val="24"/>
                <w:highlight w:val="none"/>
              </w:rPr>
              <w:t>能够满足相应的标准要求</w:t>
            </w:r>
            <w:r>
              <w:rPr>
                <w:rFonts w:hint="eastAsia"/>
                <w:color w:val="000000"/>
                <w:sz w:val="24"/>
                <w:szCs w:val="24"/>
                <w:highlight w:val="none"/>
                <w:lang w:eastAsia="zh-CN"/>
              </w:rPr>
              <w:t>。</w:t>
            </w:r>
            <w:r>
              <w:rPr>
                <w:rFonts w:ascii="宋体" w:hAnsi="宋体" w:eastAsia="宋体" w:cs="宋体"/>
                <w:color w:val="000000"/>
                <w:sz w:val="24"/>
                <w:szCs w:val="24"/>
                <w:highlight w:val="none"/>
              </w:rPr>
              <w:t>根据内蒙古自治区生态环境厅202</w:t>
            </w:r>
            <w:r>
              <w:rPr>
                <w:rFonts w:hint="eastAsia" w:ascii="宋体" w:hAnsi="宋体" w:eastAsia="宋体" w:cs="宋体"/>
                <w:color w:val="000000"/>
                <w:sz w:val="24"/>
                <w:szCs w:val="24"/>
                <w:highlight w:val="none"/>
                <w:lang w:val="en-US" w:eastAsia="zh-CN"/>
              </w:rPr>
              <w:t>3</w:t>
            </w:r>
            <w:r>
              <w:rPr>
                <w:rFonts w:ascii="宋体" w:hAnsi="宋体" w:eastAsia="宋体" w:cs="宋体"/>
                <w:color w:val="000000"/>
                <w:sz w:val="24"/>
                <w:szCs w:val="24"/>
                <w:highlight w:val="none"/>
              </w:rPr>
              <w:t>年6月发布的《202</w:t>
            </w:r>
            <w:r>
              <w:rPr>
                <w:rFonts w:hint="eastAsia" w:ascii="宋体" w:hAnsi="宋体" w:eastAsia="宋体" w:cs="宋体"/>
                <w:color w:val="000000"/>
                <w:sz w:val="24"/>
                <w:szCs w:val="24"/>
                <w:highlight w:val="none"/>
                <w:lang w:val="en-US" w:eastAsia="zh-CN"/>
              </w:rPr>
              <w:t>2</w:t>
            </w:r>
            <w:r>
              <w:rPr>
                <w:rFonts w:ascii="宋体" w:hAnsi="宋体" w:eastAsia="宋体" w:cs="宋体"/>
                <w:color w:val="000000"/>
                <w:sz w:val="24"/>
                <w:szCs w:val="24"/>
                <w:highlight w:val="none"/>
              </w:rPr>
              <w:t>年内蒙古自治区生态环境状况公报》，鄂尔多斯市202</w:t>
            </w:r>
            <w:r>
              <w:rPr>
                <w:rFonts w:hint="eastAsia" w:ascii="宋体" w:hAnsi="宋体" w:eastAsia="宋体" w:cs="宋体"/>
                <w:color w:val="000000"/>
                <w:sz w:val="24"/>
                <w:szCs w:val="24"/>
                <w:highlight w:val="none"/>
                <w:lang w:val="en-US" w:eastAsia="zh-CN"/>
              </w:rPr>
              <w:t>2</w:t>
            </w:r>
            <w:r>
              <w:rPr>
                <w:rFonts w:ascii="宋体" w:hAnsi="宋体" w:eastAsia="宋体" w:cs="宋体"/>
                <w:color w:val="000000"/>
                <w:sz w:val="24"/>
                <w:szCs w:val="24"/>
                <w:highlight w:val="none"/>
              </w:rPr>
              <w:t>年区域大气污染物年平均浓度均低于《环境空气质量标准》（GB3095－2012）及其修改单二级标准浓度限值要求，项目所在区域为达标区；声环境质量能满足《声环境质量标准》（GB3096-2008）</w:t>
            </w:r>
            <w:r>
              <w:rPr>
                <w:rFonts w:hint="eastAsia" w:ascii="宋体" w:hAnsi="宋体" w:eastAsia="宋体" w:cs="宋体"/>
                <w:color w:val="000000"/>
                <w:sz w:val="24"/>
                <w:szCs w:val="24"/>
                <w:highlight w:val="none"/>
                <w:lang w:val="en-US" w:eastAsia="zh-CN"/>
              </w:rPr>
              <w:t>3</w:t>
            </w:r>
            <w:r>
              <w:rPr>
                <w:rFonts w:ascii="宋体" w:hAnsi="宋体" w:eastAsia="宋体" w:cs="宋体"/>
                <w:color w:val="000000"/>
                <w:sz w:val="24"/>
                <w:szCs w:val="24"/>
                <w:highlight w:val="none"/>
              </w:rPr>
              <w:t>类标准。</w:t>
            </w:r>
            <w:r>
              <w:rPr>
                <w:rFonts w:hint="eastAsia"/>
                <w:color w:val="000000"/>
                <w:highlight w:val="none"/>
              </w:rPr>
              <w:t>项目废气经过</w:t>
            </w:r>
            <w:r>
              <w:rPr>
                <w:rFonts w:hint="eastAsia"/>
                <w:color w:val="000000"/>
                <w:highlight w:val="none"/>
                <w:lang w:val="en-US" w:eastAsia="zh-CN"/>
              </w:rPr>
              <w:t>密闭收集、处理</w:t>
            </w:r>
            <w:r>
              <w:rPr>
                <w:rFonts w:hint="eastAsia"/>
                <w:color w:val="000000"/>
                <w:highlight w:val="none"/>
              </w:rPr>
              <w:t>等措施后，能够满足污染物排放标准要求，生产废水全部回用，不外排，噪声经过噪声</w:t>
            </w:r>
            <w:r>
              <w:rPr>
                <w:rFonts w:hint="eastAsia"/>
                <w:color w:val="000000"/>
                <w:sz w:val="24"/>
                <w:szCs w:val="24"/>
                <w:highlight w:val="none"/>
              </w:rPr>
              <w:t>减</w:t>
            </w:r>
            <w:r>
              <w:rPr>
                <w:rStyle w:val="16"/>
                <w:rFonts w:hint="eastAsia"/>
                <w:color w:val="000000"/>
                <w:sz w:val="24"/>
                <w:szCs w:val="24"/>
                <w:highlight w:val="none"/>
                <w:lang w:eastAsia="zh-CN"/>
              </w:rPr>
              <w:t>振</w:t>
            </w:r>
            <w:r>
              <w:rPr>
                <w:rFonts w:hint="eastAsia"/>
                <w:color w:val="000000"/>
                <w:highlight w:val="none"/>
              </w:rPr>
              <w:t>、全封闭和绿化等降噪措施后，厂界噪声能够达标排放，污染物采取一定的环保措施后，对周围环境影响</w:t>
            </w:r>
            <w:r>
              <w:rPr>
                <w:rFonts w:hint="eastAsia"/>
                <w:color w:val="000000"/>
                <w:highlight w:val="none"/>
                <w:lang w:eastAsia="zh-CN"/>
              </w:rPr>
              <w:t>较</w:t>
            </w:r>
            <w:r>
              <w:rPr>
                <w:rFonts w:hint="eastAsia"/>
                <w:color w:val="000000"/>
                <w:highlight w:val="none"/>
              </w:rPr>
              <w:t>小，符合环境质量底线要求。</w:t>
            </w:r>
          </w:p>
          <w:p w14:paraId="39BD2B3D">
            <w:pPr>
              <w:pStyle w:val="19"/>
              <w:rPr>
                <w:rFonts w:hint="eastAsia"/>
                <w:color w:val="000000"/>
                <w:sz w:val="24"/>
                <w:szCs w:val="24"/>
                <w:highlight w:val="none"/>
              </w:rPr>
            </w:pPr>
            <w:r>
              <w:rPr>
                <w:rFonts w:hint="eastAsia"/>
                <w:color w:val="000000"/>
                <w:highlight w:val="none"/>
                <w:lang w:eastAsia="zh-CN"/>
              </w:rPr>
              <w:t>④</w:t>
            </w:r>
            <w:r>
              <w:rPr>
                <w:rFonts w:hint="eastAsia"/>
                <w:color w:val="000000"/>
                <w:highlight w:val="none"/>
              </w:rPr>
              <w:t>生态环境准入清单：基于生态保护红线、环境质量底线、资源利用上线，充分吸纳整合已有相关规划、功能区划、行动计划等要求，从空间布局约束、污染物排放</w:t>
            </w:r>
            <w:r>
              <w:rPr>
                <w:rFonts w:hint="eastAsia"/>
                <w:color w:val="000000"/>
                <w:sz w:val="24"/>
                <w:szCs w:val="24"/>
                <w:highlight w:val="none"/>
              </w:rPr>
              <w:t>管控、环境风险防控和资源利用效率等方面明确生态环境准入要求，建立两级生态环境准入清单管控体系（即1个鄂尔多斯市总体准入清单、16</w:t>
            </w:r>
            <w:r>
              <w:rPr>
                <w:color w:val="000000"/>
                <w:sz w:val="24"/>
                <w:szCs w:val="24"/>
                <w:highlight w:val="none"/>
              </w:rPr>
              <w:t>3</w:t>
            </w:r>
            <w:r>
              <w:rPr>
                <w:rFonts w:hint="eastAsia"/>
                <w:color w:val="000000"/>
                <w:sz w:val="24"/>
                <w:szCs w:val="24"/>
                <w:highlight w:val="none"/>
              </w:rPr>
              <w:t>个环境管控单元准入清单）。</w:t>
            </w:r>
          </w:p>
          <w:p w14:paraId="0C866AD2">
            <w:pPr>
              <w:spacing w:line="360" w:lineRule="auto"/>
              <w:ind w:firstLine="480" w:firstLineChars="200"/>
              <w:rPr>
                <w:rFonts w:hint="eastAsia" w:ascii="宋体" w:hAnsi="宋体" w:cs="宋体"/>
                <w:b/>
                <w:color w:val="000000"/>
                <w:highlight w:val="none"/>
              </w:rPr>
            </w:pPr>
            <w:r>
              <w:rPr>
                <w:rFonts w:hint="eastAsia" w:ascii="宋体" w:hAnsi="宋体" w:cs="宋体"/>
                <w:bCs/>
                <w:color w:val="000000"/>
                <w:sz w:val="24"/>
                <w:szCs w:val="24"/>
                <w:highlight w:val="none"/>
              </w:rPr>
              <w:t>本项目位于内蒙古鄂托克旗蒙西高新技术工业园区，属于重点管控单元，单元编码：ZH15062420001。</w:t>
            </w:r>
          </w:p>
          <w:p w14:paraId="01FFAB2F">
            <w:pPr>
              <w:spacing w:line="360" w:lineRule="auto"/>
              <w:ind w:firstLine="422" w:firstLineChars="200"/>
              <w:jc w:val="center"/>
              <w:rPr>
                <w:rFonts w:hint="eastAsia"/>
                <w:b/>
                <w:bCs/>
                <w:color w:val="000000"/>
                <w:kern w:val="0"/>
                <w:sz w:val="21"/>
                <w:szCs w:val="21"/>
                <w:highlight w:val="none"/>
              </w:rPr>
            </w:pPr>
            <w:r>
              <w:rPr>
                <w:rFonts w:hint="eastAsia" w:ascii="宋体" w:hAnsi="宋体" w:cs="宋体"/>
                <w:b/>
                <w:color w:val="000000"/>
                <w:highlight w:val="none"/>
              </w:rPr>
              <w:t xml:space="preserve">表1.4-2 </w:t>
            </w:r>
            <w:r>
              <w:rPr>
                <w:rFonts w:hint="eastAsia"/>
                <w:b/>
                <w:color w:val="000000"/>
                <w:kern w:val="0"/>
                <w:sz w:val="21"/>
                <w:szCs w:val="21"/>
                <w:highlight w:val="none"/>
              </w:rPr>
              <w:t>与</w:t>
            </w:r>
            <w:r>
              <w:rPr>
                <w:b/>
                <w:color w:val="000000"/>
                <w:kern w:val="0"/>
                <w:sz w:val="21"/>
                <w:szCs w:val="21"/>
                <w:highlight w:val="none"/>
              </w:rPr>
              <w:t>《</w:t>
            </w:r>
            <w:r>
              <w:rPr>
                <w:rFonts w:hint="eastAsia"/>
                <w:b/>
                <w:color w:val="000000"/>
                <w:kern w:val="0"/>
                <w:sz w:val="21"/>
                <w:szCs w:val="21"/>
                <w:highlight w:val="none"/>
              </w:rPr>
              <w:t>鄂尔多</w:t>
            </w:r>
            <w:r>
              <w:rPr>
                <w:rFonts w:hint="eastAsia"/>
                <w:b/>
                <w:bCs/>
                <w:color w:val="000000"/>
                <w:kern w:val="0"/>
                <w:sz w:val="21"/>
                <w:szCs w:val="21"/>
                <w:highlight w:val="none"/>
              </w:rPr>
              <w:t>斯市生态环境准入清单</w:t>
            </w:r>
            <w:r>
              <w:rPr>
                <w:b/>
                <w:bCs/>
                <w:color w:val="000000"/>
                <w:kern w:val="0"/>
                <w:sz w:val="21"/>
                <w:szCs w:val="21"/>
                <w:highlight w:val="none"/>
              </w:rPr>
              <w:t>》</w:t>
            </w:r>
            <w:r>
              <w:rPr>
                <w:rFonts w:hint="eastAsia"/>
                <w:b/>
                <w:bCs/>
                <w:color w:val="000000"/>
                <w:kern w:val="0"/>
                <w:sz w:val="21"/>
                <w:szCs w:val="21"/>
                <w:highlight w:val="none"/>
              </w:rPr>
              <w:t>符合性分析</w:t>
            </w:r>
          </w:p>
          <w:tbl>
            <w:tblPr>
              <w:tblStyle w:val="13"/>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4909"/>
              <w:gridCol w:w="1704"/>
              <w:gridCol w:w="868"/>
            </w:tblGrid>
            <w:tr w14:paraId="37BF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787" w:type="dxa"/>
                  <w:gridSpan w:val="2"/>
                  <w:noWrap w:val="0"/>
                  <w:vAlign w:val="center"/>
                </w:tcPr>
                <w:p w14:paraId="4E18D0EB">
                  <w:pPr>
                    <w:pStyle w:val="20"/>
                    <w:spacing w:before="1" w:line="251" w:lineRule="exact"/>
                    <w:ind w:left="107" w:right="-29"/>
                    <w:rPr>
                      <w:rFonts w:hint="eastAsia" w:eastAsia="宋体"/>
                      <w:color w:val="000000"/>
                      <w:kern w:val="0"/>
                      <w:sz w:val="21"/>
                      <w:szCs w:val="21"/>
                      <w:highlight w:val="none"/>
                    </w:rPr>
                  </w:pPr>
                  <w:r>
                    <w:rPr>
                      <w:rFonts w:eastAsia="宋体"/>
                      <w:b/>
                      <w:bCs/>
                      <w:color w:val="000000"/>
                      <w:spacing w:val="-5"/>
                      <w:sz w:val="21"/>
                      <w:szCs w:val="21"/>
                      <w:highlight w:val="none"/>
                    </w:rPr>
                    <w:t>“三线一单”生态环境分区管控</w:t>
                  </w:r>
                  <w:r>
                    <w:rPr>
                      <w:rFonts w:hint="eastAsia" w:eastAsia="宋体"/>
                      <w:b/>
                      <w:bCs/>
                      <w:color w:val="000000"/>
                      <w:spacing w:val="-5"/>
                      <w:sz w:val="21"/>
                      <w:szCs w:val="21"/>
                      <w:highlight w:val="none"/>
                      <w:lang w:val="en-US"/>
                    </w:rPr>
                    <w:t>意见</w:t>
                  </w:r>
                </w:p>
              </w:tc>
              <w:tc>
                <w:tcPr>
                  <w:tcW w:w="1704" w:type="dxa"/>
                  <w:noWrap w:val="0"/>
                  <w:vAlign w:val="center"/>
                </w:tcPr>
                <w:p w14:paraId="1EBF4956">
                  <w:pPr>
                    <w:pStyle w:val="20"/>
                    <w:spacing w:before="2" w:line="242" w:lineRule="auto"/>
                    <w:ind w:left="106" w:right="87"/>
                    <w:rPr>
                      <w:rFonts w:eastAsia="宋体"/>
                      <w:color w:val="000000"/>
                      <w:kern w:val="0"/>
                      <w:sz w:val="21"/>
                      <w:szCs w:val="21"/>
                      <w:highlight w:val="none"/>
                    </w:rPr>
                  </w:pPr>
                  <w:r>
                    <w:rPr>
                      <w:rFonts w:eastAsia="宋体"/>
                      <w:b/>
                      <w:bCs/>
                      <w:color w:val="000000"/>
                      <w:sz w:val="21"/>
                      <w:szCs w:val="21"/>
                      <w:highlight w:val="none"/>
                    </w:rPr>
                    <w:t>本项目情</w:t>
                  </w:r>
                  <w:r>
                    <w:rPr>
                      <w:b/>
                      <w:bCs/>
                      <w:color w:val="000000"/>
                      <w:szCs w:val="21"/>
                      <w:highlight w:val="none"/>
                    </w:rPr>
                    <w:t>况</w:t>
                  </w:r>
                </w:p>
              </w:tc>
              <w:tc>
                <w:tcPr>
                  <w:tcW w:w="868" w:type="dxa"/>
                  <w:noWrap w:val="0"/>
                  <w:vAlign w:val="center"/>
                </w:tcPr>
                <w:p w14:paraId="644035E8">
                  <w:pPr>
                    <w:jc w:val="center"/>
                    <w:rPr>
                      <w:color w:val="000000"/>
                      <w:kern w:val="0"/>
                      <w:szCs w:val="21"/>
                      <w:highlight w:val="none"/>
                    </w:rPr>
                  </w:pPr>
                  <w:r>
                    <w:rPr>
                      <w:rFonts w:hint="eastAsia"/>
                      <w:b/>
                      <w:bCs/>
                      <w:color w:val="000000"/>
                      <w:highlight w:val="none"/>
                    </w:rPr>
                    <w:t>符合性</w:t>
                  </w:r>
                </w:p>
              </w:tc>
            </w:tr>
            <w:tr w14:paraId="7ADF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878" w:type="dxa"/>
                  <w:noWrap w:val="0"/>
                  <w:vAlign w:val="center"/>
                </w:tcPr>
                <w:p w14:paraId="1986E8DF">
                  <w:pPr>
                    <w:jc w:val="center"/>
                    <w:rPr>
                      <w:color w:val="000000"/>
                      <w:kern w:val="0"/>
                      <w:sz w:val="21"/>
                      <w:szCs w:val="21"/>
                      <w:highlight w:val="none"/>
                    </w:rPr>
                  </w:pPr>
                  <w:r>
                    <w:rPr>
                      <w:rFonts w:hint="eastAsia"/>
                      <w:color w:val="000000"/>
                      <w:kern w:val="0"/>
                      <w:sz w:val="21"/>
                      <w:szCs w:val="21"/>
                      <w:highlight w:val="none"/>
                    </w:rPr>
                    <w:t>空间布局约束</w:t>
                  </w:r>
                </w:p>
              </w:tc>
              <w:tc>
                <w:tcPr>
                  <w:tcW w:w="4909" w:type="dxa"/>
                  <w:noWrap w:val="0"/>
                  <w:vAlign w:val="center"/>
                </w:tcPr>
                <w:p w14:paraId="75B29081">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1.禁止不符合园区产业定位及规划环评等要求的项目入园；国家明令淘汰的落后产能和不符合国家产业政策的项目，禁止向工业园区转移。</w:t>
                  </w:r>
                </w:p>
                <w:p w14:paraId="706B7BFA">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2. 入园项目禁止不符合园区产业定位及清洁生产水平要求。</w:t>
                  </w:r>
                </w:p>
                <w:p w14:paraId="02AEB91C">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3. 严格控制焦化、钢铁、电解铝、水泥、电石、PVC、铁合金、平板玻璃等行业新增产能，确需必要建设的，须在区内实施产能置换。</w:t>
                  </w:r>
                </w:p>
                <w:p w14:paraId="0B2878CD">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4.园区发展大道以西禁止布设PVC产业，主要发展物流等服务产业。</w:t>
                  </w:r>
                </w:p>
                <w:p w14:paraId="715BF772">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5. 建设园区隔离带、绿化防护带</w:t>
                  </w:r>
                </w:p>
                <w:p w14:paraId="428BF5E6">
                  <w:pPr>
                    <w:adjustRightInd w:val="0"/>
                    <w:snapToGrid w:val="0"/>
                    <w:spacing w:line="276" w:lineRule="auto"/>
                    <w:rPr>
                      <w:color w:val="000000"/>
                      <w:kern w:val="0"/>
                      <w:sz w:val="21"/>
                      <w:szCs w:val="21"/>
                      <w:highlight w:val="none"/>
                    </w:rPr>
                  </w:pPr>
                  <w:r>
                    <w:rPr>
                      <w:rFonts w:hint="eastAsia"/>
                      <w:color w:val="000000"/>
                      <w:kern w:val="0"/>
                      <w:sz w:val="21"/>
                      <w:szCs w:val="21"/>
                      <w:highlight w:val="none"/>
                    </w:rPr>
                    <w:t>6.禁止建设违反《关于汞的水俣公约》相关规定的项目。</w:t>
                  </w:r>
                </w:p>
              </w:tc>
              <w:tc>
                <w:tcPr>
                  <w:tcW w:w="1704" w:type="dxa"/>
                  <w:noWrap w:val="0"/>
                  <w:vAlign w:val="center"/>
                </w:tcPr>
                <w:p w14:paraId="419B8C3F">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本项目位于内蒙古鄂托克旗蒙西高新技术工业园区，</w:t>
                  </w:r>
                  <w:r>
                    <w:rPr>
                      <w:rFonts w:hint="eastAsia"/>
                      <w:color w:val="000000"/>
                      <w:kern w:val="0"/>
                      <w:sz w:val="21"/>
                      <w:szCs w:val="21"/>
                      <w:highlight w:val="none"/>
                      <w:lang w:val="en-US" w:eastAsia="zh-CN"/>
                    </w:rPr>
                    <w:t>为</w:t>
                  </w:r>
                  <w:r>
                    <w:rPr>
                      <w:rFonts w:hint="eastAsia"/>
                      <w:color w:val="000000"/>
                      <w:kern w:val="0"/>
                      <w:sz w:val="21"/>
                      <w:szCs w:val="21"/>
                      <w:highlight w:val="none"/>
                    </w:rPr>
                    <w:t>现有项目配套的</w:t>
                  </w:r>
                  <w:r>
                    <w:rPr>
                      <w:rFonts w:hint="eastAsia"/>
                      <w:color w:val="000000"/>
                      <w:kern w:val="0"/>
                      <w:sz w:val="21"/>
                      <w:szCs w:val="21"/>
                      <w:highlight w:val="none"/>
                      <w:lang w:eastAsia="zh-CN"/>
                    </w:rPr>
                    <w:t>脱硫</w:t>
                  </w:r>
                  <w:r>
                    <w:rPr>
                      <w:rFonts w:hint="eastAsia"/>
                      <w:color w:val="000000"/>
                      <w:kern w:val="0"/>
                      <w:sz w:val="21"/>
                      <w:szCs w:val="21"/>
                      <w:highlight w:val="none"/>
                      <w:lang w:val="en-US" w:eastAsia="zh-CN"/>
                    </w:rPr>
                    <w:t>废水处理工程</w:t>
                  </w:r>
                  <w:r>
                    <w:rPr>
                      <w:rFonts w:hint="eastAsia"/>
                      <w:color w:val="000000"/>
                      <w:kern w:val="0"/>
                      <w:sz w:val="21"/>
                      <w:szCs w:val="21"/>
                      <w:highlight w:val="none"/>
                      <w:lang w:eastAsia="zh-CN"/>
                    </w:rPr>
                    <w:t>、</w:t>
                  </w:r>
                  <w:r>
                    <w:rPr>
                      <w:rFonts w:hint="eastAsia"/>
                      <w:color w:val="000000"/>
                      <w:kern w:val="0"/>
                      <w:sz w:val="21"/>
                      <w:szCs w:val="21"/>
                      <w:highlight w:val="none"/>
                    </w:rPr>
                    <w:t>中水回用及零排放系统工程。</w:t>
                  </w:r>
                </w:p>
                <w:p w14:paraId="65820917">
                  <w:pPr>
                    <w:adjustRightInd w:val="0"/>
                    <w:snapToGrid w:val="0"/>
                    <w:spacing w:line="276" w:lineRule="auto"/>
                    <w:rPr>
                      <w:rFonts w:hint="eastAsia" w:eastAsia="宋体"/>
                      <w:color w:val="000000"/>
                      <w:kern w:val="0"/>
                      <w:sz w:val="21"/>
                      <w:szCs w:val="21"/>
                      <w:highlight w:val="none"/>
                      <w:lang w:eastAsia="zh-CN"/>
                    </w:rPr>
                  </w:pPr>
                  <w:r>
                    <w:rPr>
                      <w:rFonts w:hint="eastAsia"/>
                      <w:color w:val="000000"/>
                      <w:kern w:val="0"/>
                      <w:sz w:val="21"/>
                      <w:szCs w:val="21"/>
                      <w:highlight w:val="none"/>
                      <w:lang w:val="en-US" w:eastAsia="zh-CN"/>
                    </w:rPr>
                    <w:t>本项目位于现有厂区内，厂区外围设置了隔离带、绿化带</w:t>
                  </w:r>
                  <w:r>
                    <w:rPr>
                      <w:rFonts w:hint="eastAsia"/>
                      <w:color w:val="000000"/>
                      <w:kern w:val="0"/>
                      <w:sz w:val="21"/>
                      <w:szCs w:val="21"/>
                      <w:highlight w:val="none"/>
                      <w:lang w:eastAsia="zh-CN"/>
                    </w:rPr>
                    <w:t>。</w:t>
                  </w:r>
                </w:p>
              </w:tc>
              <w:tc>
                <w:tcPr>
                  <w:tcW w:w="868" w:type="dxa"/>
                  <w:noWrap w:val="0"/>
                  <w:vAlign w:val="center"/>
                </w:tcPr>
                <w:p w14:paraId="6E694AF3">
                  <w:pPr>
                    <w:adjustRightInd w:val="0"/>
                    <w:snapToGrid w:val="0"/>
                    <w:spacing w:line="276" w:lineRule="auto"/>
                    <w:jc w:val="center"/>
                    <w:rPr>
                      <w:rFonts w:hint="eastAsia"/>
                      <w:color w:val="000000"/>
                      <w:kern w:val="0"/>
                      <w:sz w:val="21"/>
                      <w:szCs w:val="21"/>
                      <w:highlight w:val="none"/>
                    </w:rPr>
                  </w:pPr>
                  <w:r>
                    <w:rPr>
                      <w:rFonts w:hint="eastAsia"/>
                      <w:color w:val="000000"/>
                      <w:kern w:val="0"/>
                      <w:sz w:val="21"/>
                      <w:szCs w:val="21"/>
                      <w:highlight w:val="none"/>
                    </w:rPr>
                    <w:t>符合</w:t>
                  </w:r>
                </w:p>
              </w:tc>
            </w:tr>
            <w:tr w14:paraId="6EE6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78" w:type="dxa"/>
                  <w:noWrap w:val="0"/>
                  <w:vAlign w:val="center"/>
                </w:tcPr>
                <w:p w14:paraId="506AEF95">
                  <w:pPr>
                    <w:jc w:val="center"/>
                    <w:rPr>
                      <w:color w:val="000000"/>
                      <w:kern w:val="0"/>
                      <w:sz w:val="21"/>
                      <w:szCs w:val="21"/>
                      <w:highlight w:val="none"/>
                    </w:rPr>
                  </w:pPr>
                  <w:r>
                    <w:rPr>
                      <w:rFonts w:hint="eastAsia"/>
                      <w:color w:val="000000"/>
                      <w:kern w:val="0"/>
                      <w:sz w:val="21"/>
                      <w:szCs w:val="21"/>
                      <w:highlight w:val="none"/>
                    </w:rPr>
                    <w:t>污染物排放管控</w:t>
                  </w:r>
                </w:p>
              </w:tc>
              <w:tc>
                <w:tcPr>
                  <w:tcW w:w="4909" w:type="dxa"/>
                  <w:noWrap w:val="0"/>
                  <w:vAlign w:val="center"/>
                </w:tcPr>
                <w:p w14:paraId="35488352">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1.逐步淘汰10蒸吨/小时以下燃煤锅炉，禁止新建35蒸吨/小时以下燃煤锅炉。</w:t>
                  </w:r>
                </w:p>
                <w:p w14:paraId="417C7C51">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2. 燃煤发电机组执行大气污染物超低排放限值；钢铁、水泥、焦化、电石、铁合金行业执行大气污染物特别排放限值。</w:t>
                  </w:r>
                </w:p>
                <w:p w14:paraId="5F84CB51">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3.新、改、扩建十大行业建设项目按照生态环境部有关规划落实主要涉水污染物等量或减量置换。</w:t>
                  </w:r>
                </w:p>
                <w:p w14:paraId="006621E5">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4.化工、石化、包装印刷、工业涂装等企业应尽快实施技术升级改造，减少挥发性有机污染物（VOCs）的泄漏排放。</w:t>
                  </w:r>
                </w:p>
                <w:p w14:paraId="46061EE6">
                  <w:pPr>
                    <w:adjustRightInd w:val="0"/>
                    <w:snapToGrid w:val="0"/>
                    <w:spacing w:line="276" w:lineRule="auto"/>
                    <w:rPr>
                      <w:color w:val="000000"/>
                      <w:kern w:val="0"/>
                      <w:sz w:val="21"/>
                      <w:szCs w:val="21"/>
                      <w:highlight w:val="none"/>
                    </w:rPr>
                  </w:pPr>
                  <w:r>
                    <w:rPr>
                      <w:rFonts w:hint="eastAsia"/>
                      <w:color w:val="000000"/>
                      <w:kern w:val="0"/>
                      <w:sz w:val="21"/>
                      <w:szCs w:val="21"/>
                      <w:highlight w:val="none"/>
                    </w:rPr>
                    <w:t>5.重点行业粉状物料堆场实现全封闭，块状物料安装抑尘设施。</w:t>
                  </w:r>
                </w:p>
              </w:tc>
              <w:tc>
                <w:tcPr>
                  <w:tcW w:w="1704" w:type="dxa"/>
                  <w:noWrap w:val="0"/>
                  <w:vAlign w:val="center"/>
                </w:tcPr>
                <w:p w14:paraId="531025BA">
                  <w:pPr>
                    <w:adjustRightInd w:val="0"/>
                    <w:snapToGrid w:val="0"/>
                    <w:spacing w:line="276" w:lineRule="auto"/>
                    <w:rPr>
                      <w:color w:val="000000"/>
                      <w:kern w:val="0"/>
                      <w:sz w:val="21"/>
                      <w:szCs w:val="21"/>
                      <w:highlight w:val="none"/>
                    </w:rPr>
                  </w:pPr>
                  <w:r>
                    <w:rPr>
                      <w:rFonts w:hint="eastAsia"/>
                      <w:color w:val="000000"/>
                      <w:kern w:val="0"/>
                      <w:sz w:val="21"/>
                      <w:szCs w:val="21"/>
                      <w:highlight w:val="none"/>
                    </w:rPr>
                    <w:t>不涉及燃煤锅炉，无水污染物</w:t>
                  </w:r>
                  <w:r>
                    <w:rPr>
                      <w:rFonts w:hint="eastAsia"/>
                      <w:color w:val="000000"/>
                      <w:kern w:val="0"/>
                      <w:sz w:val="21"/>
                      <w:szCs w:val="21"/>
                      <w:highlight w:val="none"/>
                      <w:lang w:val="en-US" w:eastAsia="zh-CN"/>
                    </w:rPr>
                    <w:t>及挥发性有机物</w:t>
                  </w:r>
                  <w:r>
                    <w:rPr>
                      <w:rFonts w:hint="eastAsia"/>
                      <w:color w:val="000000"/>
                      <w:kern w:val="0"/>
                      <w:sz w:val="21"/>
                      <w:szCs w:val="21"/>
                      <w:highlight w:val="none"/>
                    </w:rPr>
                    <w:t>排放</w:t>
                  </w:r>
                  <w:r>
                    <w:rPr>
                      <w:rFonts w:hint="eastAsia"/>
                      <w:color w:val="000000"/>
                      <w:kern w:val="0"/>
                      <w:sz w:val="21"/>
                      <w:szCs w:val="21"/>
                      <w:highlight w:val="none"/>
                      <w:lang w:eastAsia="zh-CN"/>
                    </w:rPr>
                    <w:t>；</w:t>
                  </w:r>
                  <w:r>
                    <w:rPr>
                      <w:rFonts w:hint="eastAsia"/>
                      <w:color w:val="000000"/>
                      <w:kern w:val="0"/>
                      <w:sz w:val="21"/>
                      <w:szCs w:val="21"/>
                      <w:highlight w:val="none"/>
                      <w:lang w:val="en-US" w:eastAsia="zh-CN"/>
                    </w:rPr>
                    <w:t>本项目不涉及</w:t>
                  </w:r>
                  <w:r>
                    <w:rPr>
                      <w:rFonts w:hint="eastAsia"/>
                      <w:color w:val="000000"/>
                      <w:kern w:val="0"/>
                      <w:sz w:val="21"/>
                      <w:szCs w:val="21"/>
                      <w:highlight w:val="none"/>
                    </w:rPr>
                    <w:t>粉状物料堆场。</w:t>
                  </w:r>
                </w:p>
              </w:tc>
              <w:tc>
                <w:tcPr>
                  <w:tcW w:w="868" w:type="dxa"/>
                  <w:noWrap w:val="0"/>
                  <w:vAlign w:val="center"/>
                </w:tcPr>
                <w:p w14:paraId="6FE0C40F">
                  <w:pPr>
                    <w:adjustRightInd w:val="0"/>
                    <w:snapToGrid w:val="0"/>
                    <w:spacing w:line="276" w:lineRule="auto"/>
                    <w:jc w:val="center"/>
                    <w:rPr>
                      <w:rFonts w:hint="eastAsia"/>
                      <w:color w:val="000000"/>
                      <w:kern w:val="0"/>
                      <w:sz w:val="21"/>
                      <w:szCs w:val="21"/>
                      <w:highlight w:val="none"/>
                    </w:rPr>
                  </w:pPr>
                  <w:r>
                    <w:rPr>
                      <w:rFonts w:hint="eastAsia"/>
                      <w:color w:val="000000"/>
                      <w:kern w:val="0"/>
                      <w:sz w:val="21"/>
                      <w:szCs w:val="21"/>
                      <w:highlight w:val="none"/>
                    </w:rPr>
                    <w:t>符合</w:t>
                  </w:r>
                </w:p>
              </w:tc>
            </w:tr>
            <w:tr w14:paraId="5F68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878" w:type="dxa"/>
                  <w:noWrap w:val="0"/>
                  <w:vAlign w:val="center"/>
                </w:tcPr>
                <w:p w14:paraId="52B31979">
                  <w:pPr>
                    <w:jc w:val="center"/>
                    <w:rPr>
                      <w:color w:val="000000"/>
                      <w:kern w:val="0"/>
                      <w:sz w:val="21"/>
                      <w:szCs w:val="21"/>
                      <w:highlight w:val="none"/>
                    </w:rPr>
                  </w:pPr>
                  <w:r>
                    <w:rPr>
                      <w:rFonts w:hint="eastAsia"/>
                      <w:color w:val="000000"/>
                      <w:kern w:val="0"/>
                      <w:sz w:val="21"/>
                      <w:szCs w:val="21"/>
                      <w:highlight w:val="none"/>
                    </w:rPr>
                    <w:t>环境风险防控</w:t>
                  </w:r>
                </w:p>
              </w:tc>
              <w:tc>
                <w:tcPr>
                  <w:tcW w:w="4909" w:type="dxa"/>
                  <w:noWrap w:val="0"/>
                  <w:vAlign w:val="center"/>
                </w:tcPr>
                <w:p w14:paraId="00CBC4E1">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1.严格落实工业集聚区环境风险各项防控措施。对高风险化学品生产、使用进行严格限制，并逐步淘汰替代。</w:t>
                  </w:r>
                </w:p>
                <w:p w14:paraId="6BA001A8">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2.开展涉危涉化企业、有风险隐患的渣场等风险排查和整改工作，及时消除隐患。</w:t>
                  </w:r>
                </w:p>
                <w:p w14:paraId="64B7EFA0">
                  <w:pPr>
                    <w:adjustRightInd w:val="0"/>
                    <w:snapToGrid w:val="0"/>
                    <w:spacing w:line="276" w:lineRule="auto"/>
                    <w:rPr>
                      <w:color w:val="000000"/>
                      <w:kern w:val="0"/>
                      <w:sz w:val="21"/>
                      <w:szCs w:val="21"/>
                      <w:highlight w:val="none"/>
                    </w:rPr>
                  </w:pPr>
                  <w:r>
                    <w:rPr>
                      <w:rFonts w:hint="eastAsia"/>
                      <w:color w:val="000000"/>
                      <w:kern w:val="0"/>
                      <w:sz w:val="21"/>
                      <w:szCs w:val="21"/>
                      <w:highlight w:val="none"/>
                    </w:rPr>
                    <w:t>3.园区可能渗漏区域应采取严格的防渗措施，建设事故池，在任何情况下，严禁废水进入黄河。</w:t>
                  </w:r>
                </w:p>
              </w:tc>
              <w:tc>
                <w:tcPr>
                  <w:tcW w:w="1704" w:type="dxa"/>
                  <w:noWrap w:val="0"/>
                  <w:vAlign w:val="center"/>
                </w:tcPr>
                <w:p w14:paraId="033E6669">
                  <w:pPr>
                    <w:adjustRightInd w:val="0"/>
                    <w:snapToGrid w:val="0"/>
                    <w:spacing w:line="276" w:lineRule="auto"/>
                    <w:rPr>
                      <w:color w:val="000000"/>
                      <w:kern w:val="0"/>
                      <w:sz w:val="21"/>
                      <w:szCs w:val="21"/>
                      <w:highlight w:val="none"/>
                    </w:rPr>
                  </w:pPr>
                  <w:r>
                    <w:rPr>
                      <w:rFonts w:hint="eastAsia"/>
                      <w:color w:val="000000"/>
                      <w:kern w:val="0"/>
                      <w:sz w:val="21"/>
                      <w:szCs w:val="21"/>
                      <w:highlight w:val="none"/>
                    </w:rPr>
                    <w:t>本公司每年定期进行风险排查和整改工作；针对存在渗漏隐患的区域进行防渗处理。</w:t>
                  </w:r>
                </w:p>
              </w:tc>
              <w:tc>
                <w:tcPr>
                  <w:tcW w:w="868" w:type="dxa"/>
                  <w:noWrap w:val="0"/>
                  <w:vAlign w:val="center"/>
                </w:tcPr>
                <w:p w14:paraId="5304EB34">
                  <w:pPr>
                    <w:adjustRightInd w:val="0"/>
                    <w:snapToGrid w:val="0"/>
                    <w:spacing w:line="276" w:lineRule="auto"/>
                    <w:jc w:val="center"/>
                    <w:rPr>
                      <w:rFonts w:hint="eastAsia"/>
                      <w:color w:val="000000"/>
                      <w:kern w:val="0"/>
                      <w:sz w:val="21"/>
                      <w:szCs w:val="21"/>
                      <w:highlight w:val="none"/>
                    </w:rPr>
                  </w:pPr>
                  <w:r>
                    <w:rPr>
                      <w:rFonts w:hint="eastAsia"/>
                      <w:color w:val="000000"/>
                      <w:kern w:val="0"/>
                      <w:sz w:val="21"/>
                      <w:szCs w:val="21"/>
                      <w:highlight w:val="none"/>
                    </w:rPr>
                    <w:t>符合</w:t>
                  </w:r>
                </w:p>
              </w:tc>
            </w:tr>
            <w:tr w14:paraId="67E5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878" w:type="dxa"/>
                  <w:noWrap w:val="0"/>
                  <w:vAlign w:val="center"/>
                </w:tcPr>
                <w:p w14:paraId="5103AE3E">
                  <w:pPr>
                    <w:jc w:val="center"/>
                    <w:rPr>
                      <w:rFonts w:hint="eastAsia"/>
                      <w:color w:val="000000"/>
                      <w:kern w:val="0"/>
                      <w:sz w:val="21"/>
                      <w:szCs w:val="21"/>
                      <w:highlight w:val="none"/>
                    </w:rPr>
                  </w:pPr>
                  <w:r>
                    <w:rPr>
                      <w:rFonts w:hint="eastAsia"/>
                      <w:color w:val="000000"/>
                      <w:kern w:val="0"/>
                      <w:sz w:val="21"/>
                      <w:szCs w:val="21"/>
                      <w:highlight w:val="none"/>
                    </w:rPr>
                    <w:t>资 源</w:t>
                  </w:r>
                </w:p>
                <w:p w14:paraId="5A323F98">
                  <w:pPr>
                    <w:jc w:val="center"/>
                    <w:rPr>
                      <w:rFonts w:hint="eastAsia"/>
                      <w:color w:val="000000"/>
                      <w:kern w:val="0"/>
                      <w:sz w:val="21"/>
                      <w:szCs w:val="21"/>
                      <w:highlight w:val="none"/>
                    </w:rPr>
                  </w:pPr>
                  <w:r>
                    <w:rPr>
                      <w:rFonts w:hint="eastAsia"/>
                      <w:color w:val="000000"/>
                      <w:kern w:val="0"/>
                      <w:sz w:val="21"/>
                      <w:szCs w:val="21"/>
                      <w:highlight w:val="none"/>
                    </w:rPr>
                    <w:t>利 用</w:t>
                  </w:r>
                </w:p>
                <w:p w14:paraId="2E8E5947">
                  <w:pPr>
                    <w:jc w:val="center"/>
                    <w:rPr>
                      <w:rFonts w:hint="eastAsia"/>
                      <w:color w:val="000000"/>
                      <w:kern w:val="0"/>
                      <w:sz w:val="21"/>
                      <w:szCs w:val="21"/>
                      <w:highlight w:val="none"/>
                    </w:rPr>
                  </w:pPr>
                  <w:r>
                    <w:rPr>
                      <w:rFonts w:hint="eastAsia"/>
                      <w:color w:val="000000"/>
                      <w:kern w:val="0"/>
                      <w:sz w:val="21"/>
                      <w:szCs w:val="21"/>
                      <w:highlight w:val="none"/>
                    </w:rPr>
                    <w:t>效 率</w:t>
                  </w:r>
                </w:p>
                <w:p w14:paraId="0A02C485">
                  <w:pPr>
                    <w:jc w:val="center"/>
                    <w:rPr>
                      <w:rFonts w:hint="eastAsia"/>
                      <w:color w:val="000000"/>
                      <w:kern w:val="0"/>
                      <w:sz w:val="21"/>
                      <w:szCs w:val="21"/>
                      <w:highlight w:val="none"/>
                    </w:rPr>
                  </w:pPr>
                  <w:r>
                    <w:rPr>
                      <w:rFonts w:hint="eastAsia"/>
                      <w:color w:val="000000"/>
                      <w:kern w:val="0"/>
                      <w:sz w:val="21"/>
                      <w:szCs w:val="21"/>
                      <w:highlight w:val="none"/>
                    </w:rPr>
                    <w:t>要求</w:t>
                  </w:r>
                </w:p>
              </w:tc>
              <w:tc>
                <w:tcPr>
                  <w:tcW w:w="4909" w:type="dxa"/>
                  <w:noWrap w:val="0"/>
                  <w:vAlign w:val="center"/>
                </w:tcPr>
                <w:p w14:paraId="225B9898">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1.煤泥综合利用率达到85%以上。</w:t>
                  </w:r>
                </w:p>
                <w:p w14:paraId="3D47A66B">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2.煤焦油、焦炉煤气等副产品综合利用率达到100%。</w:t>
                  </w:r>
                </w:p>
                <w:p w14:paraId="608F350B">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3.电石炉气综合利用率达到 100%，聚氯乙烯深加工率达到 20%以上。</w:t>
                  </w:r>
                </w:p>
                <w:p w14:paraId="29E4C887">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4.推进粉煤灰、有色冶炼渣等大宗固体废物综合利用，以及高铝粉煤灰等资源化利用。</w:t>
                  </w:r>
                </w:p>
                <w:p w14:paraId="0F59E457">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5.“以水定产”，统筹生产、生活用水。</w:t>
                  </w:r>
                </w:p>
                <w:p w14:paraId="2A9D3B0E">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6.电力、钢铁、纺织、造纸、石油化工、食品发酵等高耗水行业达到先进定额标准。水资源节约和循环利用达到国内先进水平。</w:t>
                  </w:r>
                </w:p>
                <w:p w14:paraId="5D2A9EFE">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强化水资源论证管理，优化水源配置，鼓励优先配置利用中水、疏干水等非常规水源。</w:t>
                  </w:r>
                </w:p>
              </w:tc>
              <w:tc>
                <w:tcPr>
                  <w:tcW w:w="1704" w:type="dxa"/>
                  <w:noWrap w:val="0"/>
                  <w:vAlign w:val="center"/>
                </w:tcPr>
                <w:p w14:paraId="14456805">
                  <w:pPr>
                    <w:adjustRightInd w:val="0"/>
                    <w:snapToGrid w:val="0"/>
                    <w:spacing w:line="276" w:lineRule="auto"/>
                    <w:rPr>
                      <w:rFonts w:hint="eastAsia"/>
                      <w:color w:val="000000"/>
                      <w:kern w:val="0"/>
                      <w:sz w:val="21"/>
                      <w:szCs w:val="21"/>
                      <w:highlight w:val="none"/>
                    </w:rPr>
                  </w:pPr>
                  <w:r>
                    <w:rPr>
                      <w:rFonts w:hint="eastAsia"/>
                      <w:color w:val="000000"/>
                      <w:kern w:val="0"/>
                      <w:sz w:val="21"/>
                      <w:szCs w:val="21"/>
                      <w:highlight w:val="none"/>
                    </w:rPr>
                    <w:t>本项目配套</w:t>
                  </w:r>
                  <w:r>
                    <w:rPr>
                      <w:rFonts w:hint="eastAsia"/>
                      <w:color w:val="000000"/>
                      <w:kern w:val="0"/>
                      <w:sz w:val="21"/>
                      <w:szCs w:val="21"/>
                      <w:highlight w:val="none"/>
                      <w:lang w:val="en-US" w:eastAsia="zh-CN"/>
                    </w:rPr>
                    <w:t>脱硫废水处理装置、</w:t>
                  </w:r>
                  <w:r>
                    <w:rPr>
                      <w:rFonts w:hint="eastAsia"/>
                      <w:color w:val="000000"/>
                      <w:kern w:val="0"/>
                      <w:sz w:val="21"/>
                      <w:szCs w:val="21"/>
                      <w:highlight w:val="none"/>
                    </w:rPr>
                    <w:t>中水回用</w:t>
                  </w:r>
                  <w:r>
                    <w:rPr>
                      <w:rFonts w:hint="eastAsia"/>
                      <w:color w:val="000000"/>
                      <w:kern w:val="0"/>
                      <w:sz w:val="21"/>
                      <w:szCs w:val="21"/>
                      <w:highlight w:val="none"/>
                      <w:lang w:val="en-US" w:eastAsia="zh-CN"/>
                    </w:rPr>
                    <w:t>及零排放</w:t>
                  </w:r>
                  <w:r>
                    <w:rPr>
                      <w:rFonts w:hint="eastAsia"/>
                      <w:color w:val="000000"/>
                      <w:kern w:val="0"/>
                      <w:sz w:val="21"/>
                      <w:szCs w:val="21"/>
                      <w:highlight w:val="none"/>
                    </w:rPr>
                    <w:t>系统，提高了水利用率。</w:t>
                  </w:r>
                </w:p>
              </w:tc>
              <w:tc>
                <w:tcPr>
                  <w:tcW w:w="868" w:type="dxa"/>
                  <w:noWrap w:val="0"/>
                  <w:vAlign w:val="center"/>
                </w:tcPr>
                <w:p w14:paraId="43C90646">
                  <w:pPr>
                    <w:adjustRightInd w:val="0"/>
                    <w:snapToGrid w:val="0"/>
                    <w:spacing w:line="276" w:lineRule="auto"/>
                    <w:jc w:val="center"/>
                    <w:rPr>
                      <w:rFonts w:hint="eastAsia"/>
                      <w:color w:val="000000"/>
                      <w:kern w:val="0"/>
                      <w:sz w:val="21"/>
                      <w:szCs w:val="21"/>
                      <w:highlight w:val="none"/>
                    </w:rPr>
                  </w:pPr>
                  <w:r>
                    <w:rPr>
                      <w:rFonts w:hint="eastAsia"/>
                      <w:color w:val="000000"/>
                      <w:kern w:val="0"/>
                      <w:sz w:val="21"/>
                      <w:szCs w:val="21"/>
                      <w:highlight w:val="none"/>
                    </w:rPr>
                    <w:t>符合</w:t>
                  </w:r>
                </w:p>
              </w:tc>
            </w:tr>
          </w:tbl>
          <w:p w14:paraId="6104B77E">
            <w:pPr>
              <w:pStyle w:val="19"/>
              <w:rPr>
                <w:rFonts w:hint="eastAsia"/>
                <w:color w:val="000000"/>
                <w:highlight w:val="none"/>
              </w:rPr>
            </w:pPr>
            <w:r>
              <w:rPr>
                <w:rFonts w:hint="eastAsia"/>
                <w:color w:val="000000"/>
                <w:highlight w:val="none"/>
              </w:rPr>
              <w:t>综上分析，项目的建设符合“三线一单”要求。</w:t>
            </w:r>
          </w:p>
          <w:p w14:paraId="2F443A72">
            <w:pPr>
              <w:pStyle w:val="6"/>
              <w:ind w:left="0" w:leftChars="0" w:right="1470" w:firstLine="0" w:firstLineChars="0"/>
              <w:rPr>
                <w:rFonts w:hint="eastAsia"/>
                <w:color w:val="000000"/>
                <w:highlight w:val="none"/>
              </w:rPr>
            </w:pPr>
            <w:r>
              <w:rPr>
                <w:rFonts w:ascii="Times New Roman" w:hAnsi="Times New Roman"/>
                <w:bCs/>
                <w:color w:val="000000"/>
                <w:sz w:val="24"/>
                <w:highlight w:val="none"/>
                <w:lang w:val="zh-CN"/>
              </w:rPr>
              <mc:AlternateContent>
                <mc:Choice Requires="wps">
                  <w:drawing>
                    <wp:anchor distT="0" distB="0" distL="114300" distR="114300" simplePos="0" relativeHeight="251660288" behindDoc="0" locked="0" layoutInCell="1" allowOverlap="1">
                      <wp:simplePos x="0" y="0"/>
                      <wp:positionH relativeFrom="column">
                        <wp:posOffset>808990</wp:posOffset>
                      </wp:positionH>
                      <wp:positionV relativeFrom="paragraph">
                        <wp:posOffset>243840</wp:posOffset>
                      </wp:positionV>
                      <wp:extent cx="1654175" cy="304800"/>
                      <wp:effectExtent l="271145" t="7620" r="17780" b="525780"/>
                      <wp:wrapNone/>
                      <wp:docPr id="70" name="圆角矩形标注 70"/>
                      <wp:cNvGraphicFramePr/>
                      <a:graphic xmlns:a="http://schemas.openxmlformats.org/drawingml/2006/main">
                        <a:graphicData uri="http://schemas.microsoft.com/office/word/2010/wordprocessingShape">
                          <wps:wsp>
                            <wps:cNvSpPr/>
                            <wps:spPr>
                              <a:xfrm>
                                <a:off x="0" y="0"/>
                                <a:ext cx="1654175" cy="304800"/>
                              </a:xfrm>
                              <a:prstGeom prst="wedgeRoundRectCallout">
                                <a:avLst>
                                  <a:gd name="adj1" fmla="val -63625"/>
                                  <a:gd name="adj2" fmla="val 208125"/>
                                  <a:gd name="adj3" fmla="val 16667"/>
                                </a:avLst>
                              </a:prstGeom>
                              <a:solidFill>
                                <a:srgbClr val="FFFFFF"/>
                              </a:solidFill>
                              <a:ln w="15875" cap="flat" cmpd="sng">
                                <a:solidFill>
                                  <a:srgbClr val="000000"/>
                                </a:solidFill>
                                <a:prstDash val="solid"/>
                                <a:miter/>
                                <a:headEnd type="none" w="med" len="med"/>
                                <a:tailEnd type="none" w="med" len="med"/>
                              </a:ln>
                            </wps:spPr>
                            <wps:txbx>
                              <w:txbxContent>
                                <w:p w14:paraId="7A5B59A3">
                                  <w:pPr>
                                    <w:jc w:val="center"/>
                                    <w:rPr>
                                      <w:rFonts w:hint="default" w:ascii="宋体" w:hAnsi="宋体" w:eastAsia="宋体"/>
                                      <w:szCs w:val="21"/>
                                      <w:lang w:val="en-US" w:eastAsia="zh-CN"/>
                                    </w:rPr>
                                  </w:pPr>
                                  <w:r>
                                    <w:rPr>
                                      <w:rFonts w:hint="eastAsia" w:ascii="宋体" w:hAnsi="宋体"/>
                                      <w:szCs w:val="21"/>
                                    </w:rPr>
                                    <w:t>项目</w:t>
                                  </w:r>
                                  <w:r>
                                    <w:rPr>
                                      <w:rFonts w:hint="eastAsia" w:ascii="宋体" w:hAnsi="宋体"/>
                                      <w:szCs w:val="21"/>
                                      <w:lang w:eastAsia="zh-CN"/>
                                    </w:rPr>
                                    <w:t>位于重点管控单元</w:t>
                                  </w:r>
                                </w:p>
                              </w:txbxContent>
                            </wps:txbx>
                            <wps:bodyPr upright="1"/>
                          </wps:wsp>
                        </a:graphicData>
                      </a:graphic>
                    </wp:anchor>
                  </w:drawing>
                </mc:Choice>
                <mc:Fallback>
                  <w:pict>
                    <v:shape id="_x0000_s1026" o:spid="_x0000_s1026" o:spt="62" type="#_x0000_t62" style="position:absolute;left:0pt;margin-left:63.7pt;margin-top:19.2pt;height:24pt;width:130.25pt;z-index:251660288;mso-width-relative:page;mso-height-relative:page;" fillcolor="#FFFFFF" filled="t" stroked="t" coordsize="21600,21600" o:gfxdata="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rX6OvaAAAACQEA&#10;AA8AAAAAAAAAAQAgAAAAIgAAAGRycy9kb3ducmV2LnhtbFBLAQIUABQAAAAIAIdO4kCRJ4nKUQIA&#10;AMAEAAAOAAAAAAAAAAEAIAAAACkBAABkcnMvZTJvRG9jLnhtbFBLBQYAAAAABgAGAFkBAADsBQAA&#10;AAA=&#10;" adj="-2943,55755,14400">
                      <v:fill on="t" focussize="0,0"/>
                      <v:stroke weight="1.25pt" color="#000000" joinstyle="miter"/>
                      <v:imagedata o:title=""/>
                      <o:lock v:ext="edit" aspectratio="f"/>
                      <v:textbox>
                        <w:txbxContent>
                          <w:p w14:paraId="7A5B59A3">
                            <w:pPr>
                              <w:jc w:val="center"/>
                              <w:rPr>
                                <w:rFonts w:hint="default" w:ascii="宋体" w:hAnsi="宋体" w:eastAsia="宋体"/>
                                <w:szCs w:val="21"/>
                                <w:lang w:val="en-US" w:eastAsia="zh-CN"/>
                              </w:rPr>
                            </w:pPr>
                            <w:r>
                              <w:rPr>
                                <w:rFonts w:hint="eastAsia" w:ascii="宋体" w:hAnsi="宋体"/>
                                <w:szCs w:val="21"/>
                              </w:rPr>
                              <w:t>项目</w:t>
                            </w:r>
                            <w:r>
                              <w:rPr>
                                <w:rFonts w:hint="eastAsia" w:ascii="宋体" w:hAnsi="宋体"/>
                                <w:szCs w:val="21"/>
                                <w:lang w:eastAsia="zh-CN"/>
                              </w:rPr>
                              <w:t>位于重点管控单元</w:t>
                            </w:r>
                          </w:p>
                        </w:txbxContent>
                      </v:textbox>
                    </v:shape>
                  </w:pict>
                </mc:Fallback>
              </mc:AlternateContent>
            </w:r>
            <w:r>
              <w:rPr>
                <w:color w:val="000000"/>
                <w:sz w:val="24"/>
                <w:highlight w:val="none"/>
              </w:rPr>
              <mc:AlternateContent>
                <mc:Choice Requires="wps">
                  <w:drawing>
                    <wp:anchor distT="0" distB="0" distL="114300" distR="114300" simplePos="0" relativeHeight="251661312" behindDoc="0" locked="0" layoutInCell="1" allowOverlap="1">
                      <wp:simplePos x="0" y="0"/>
                      <wp:positionH relativeFrom="column">
                        <wp:posOffset>485140</wp:posOffset>
                      </wp:positionH>
                      <wp:positionV relativeFrom="paragraph">
                        <wp:posOffset>1038860</wp:posOffset>
                      </wp:positionV>
                      <wp:extent cx="76200" cy="76200"/>
                      <wp:effectExtent l="7620" t="10795" r="11430" b="8255"/>
                      <wp:wrapNone/>
                      <wp:docPr id="69" name="等腰三角形 69"/>
                      <wp:cNvGraphicFramePr/>
                      <a:graphic xmlns:a="http://schemas.openxmlformats.org/drawingml/2006/main">
                        <a:graphicData uri="http://schemas.microsoft.com/office/word/2010/wordprocessingShape">
                          <wps:wsp>
                            <wps:cNvSpPr/>
                            <wps:spPr>
                              <a:xfrm>
                                <a:off x="0" y="0"/>
                                <a:ext cx="76200" cy="76200"/>
                              </a:xfrm>
                              <a:prstGeom prst="triangle">
                                <a:avLst>
                                  <a:gd name="adj" fmla="val 50000"/>
                                </a:avLst>
                              </a:prstGeom>
                              <a:noFill/>
                              <a:ln w="9525" cap="flat" cmpd="sng">
                                <a:solidFill>
                                  <a:srgbClr val="1E1C11"/>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38.2pt;margin-top:81.8pt;height:6pt;width:6pt;z-index:251661312;mso-width-relative:page;mso-height-relative:page;" filled="f" stroked="t" coordsize="21600,21600" o:gfxdata="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w4ICTY&#10;AAAACQEAAA8AAAAAAAAAAQAgAAAAIgAAAGRycy9kb3ducmV2LnhtbFBLAQIUABQAAAAIAIdO4kD5&#10;L0UtIAIAAC0EAAAOAAAAAAAAAAEAIAAAACcBAABkcnMvZTJvRG9jLnhtbFBLBQYAAAAABgAGAFkB&#10;AAC5BQAAAAA=&#10;" adj="10800">
                      <v:fill on="f" focussize="0,0"/>
                      <v:stroke color="#1E1C11" joinstyle="miter"/>
                      <v:imagedata o:title=""/>
                      <o:lock v:ext="edit" aspectratio="f"/>
                    </v:shape>
                  </w:pict>
                </mc:Fallback>
              </mc:AlternateContent>
            </w:r>
            <w:r>
              <w:rPr>
                <w:rFonts w:hint="eastAsia" w:ascii="微软雅黑" w:hAnsi="微软雅黑" w:eastAsia="微软雅黑" w:cs="微软雅黑"/>
                <w:color w:val="000000"/>
                <w:sz w:val="27"/>
                <w:szCs w:val="27"/>
                <w:highlight w:val="none"/>
                <w:u w:val="none"/>
              </w:rPr>
              <w:fldChar w:fldCharType="begin"/>
            </w:r>
            <w:r>
              <w:rPr>
                <w:rFonts w:hint="eastAsia" w:ascii="微软雅黑" w:hAnsi="微软雅黑" w:eastAsia="微软雅黑" w:cs="微软雅黑"/>
                <w:color w:val="000000"/>
                <w:sz w:val="27"/>
                <w:szCs w:val="27"/>
                <w:highlight w:val="none"/>
                <w:u w:val="none"/>
              </w:rPr>
              <w:instrText xml:space="preserve">INCLUDEPICTURE \d "http://www.ordos.gov.cn/ordosml/ordoszf/202109/W020210918331639353573.png" \* MERGEFORMATINET </w:instrText>
            </w:r>
            <w:r>
              <w:rPr>
                <w:rFonts w:hint="eastAsia" w:ascii="微软雅黑" w:hAnsi="微软雅黑" w:eastAsia="微软雅黑" w:cs="微软雅黑"/>
                <w:color w:val="000000"/>
                <w:sz w:val="27"/>
                <w:szCs w:val="27"/>
                <w:highlight w:val="none"/>
                <w:u w:val="none"/>
              </w:rPr>
              <w:fldChar w:fldCharType="separate"/>
            </w:r>
            <w:r>
              <w:rPr>
                <w:rFonts w:hint="eastAsia" w:ascii="微软雅黑" w:hAnsi="微软雅黑" w:eastAsia="微软雅黑" w:cs="微软雅黑"/>
                <w:color w:val="000000"/>
                <w:sz w:val="27"/>
                <w:szCs w:val="27"/>
                <w:highlight w:val="none"/>
                <w:u w:val="none"/>
              </w:rPr>
              <w:drawing>
                <wp:inline distT="0" distB="0" distL="114300" distR="114300">
                  <wp:extent cx="4727575" cy="3342005"/>
                  <wp:effectExtent l="0" t="0" r="15875" b="10795"/>
                  <wp:docPr id="6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IMG_256"/>
                          <pic:cNvPicPr>
                            <a:picLocks noChangeAspect="1"/>
                          </pic:cNvPicPr>
                        </pic:nvPicPr>
                        <pic:blipFill>
                          <a:blip r:embed="rId12"/>
                          <a:stretch>
                            <a:fillRect/>
                          </a:stretch>
                        </pic:blipFill>
                        <pic:spPr>
                          <a:xfrm>
                            <a:off x="0" y="0"/>
                            <a:ext cx="4727575" cy="3342005"/>
                          </a:xfrm>
                          <a:prstGeom prst="rect">
                            <a:avLst/>
                          </a:prstGeom>
                          <a:noFill/>
                          <a:ln>
                            <a:noFill/>
                          </a:ln>
                        </pic:spPr>
                      </pic:pic>
                    </a:graphicData>
                  </a:graphic>
                </wp:inline>
              </w:drawing>
            </w:r>
            <w:r>
              <w:rPr>
                <w:rFonts w:hint="eastAsia" w:ascii="微软雅黑" w:hAnsi="微软雅黑" w:eastAsia="微软雅黑" w:cs="微软雅黑"/>
                <w:color w:val="000000"/>
                <w:sz w:val="27"/>
                <w:szCs w:val="27"/>
                <w:highlight w:val="none"/>
                <w:u w:val="none"/>
              </w:rPr>
              <w:fldChar w:fldCharType="end"/>
            </w:r>
          </w:p>
          <w:bookmarkEnd w:id="1"/>
          <w:p w14:paraId="7BADEAF6">
            <w:pPr>
              <w:adjustRightInd w:val="0"/>
              <w:snapToGrid w:val="0"/>
              <w:spacing w:line="360" w:lineRule="auto"/>
              <w:ind w:firstLine="1928" w:firstLineChars="800"/>
              <w:rPr>
                <w:bCs/>
                <w:color w:val="000000"/>
                <w:sz w:val="24"/>
                <w:highlight w:val="none"/>
              </w:rPr>
            </w:pPr>
            <w:r>
              <w:rPr>
                <w:rFonts w:hint="eastAsia"/>
                <w:b/>
                <w:bCs w:val="0"/>
                <w:color w:val="000000"/>
                <w:sz w:val="24"/>
                <w:highlight w:val="none"/>
              </w:rPr>
              <w:t xml:space="preserve">图1-1  </w:t>
            </w:r>
            <w:r>
              <w:rPr>
                <w:rFonts w:hint="eastAsia"/>
                <w:b/>
                <w:bCs w:val="0"/>
                <w:color w:val="000000"/>
                <w:highlight w:val="none"/>
              </w:rPr>
              <w:t>鄂尔多斯市环境管控单元图</w:t>
            </w:r>
          </w:p>
        </w:tc>
      </w:tr>
    </w:tbl>
    <w:p w14:paraId="3199410B">
      <w:pPr>
        <w:spacing w:line="360" w:lineRule="auto"/>
        <w:outlineLvl w:val="0"/>
        <w:rPr>
          <w:color w:val="000000"/>
          <w:sz w:val="30"/>
          <w:highlight w:val="none"/>
        </w:rPr>
        <w:sectPr>
          <w:footerReference r:id="rId6" w:type="default"/>
          <w:pgSz w:w="11906" w:h="16838"/>
          <w:pgMar w:top="1417" w:right="1247" w:bottom="1134" w:left="1531" w:header="567" w:footer="567" w:gutter="0"/>
          <w:pgBorders>
            <w:top w:val="none" w:sz="0" w:space="0"/>
            <w:left w:val="none" w:sz="0" w:space="0"/>
            <w:bottom w:val="none" w:sz="0" w:space="0"/>
            <w:right w:val="none" w:sz="0" w:space="0"/>
          </w:pgBorders>
          <w:pgNumType w:start="1"/>
          <w:cols w:space="720" w:num="1"/>
          <w:docGrid w:linePitch="312" w:charSpace="0"/>
        </w:sectPr>
      </w:pPr>
    </w:p>
    <w:p w14:paraId="5BFBE9ED">
      <w:pPr>
        <w:snapToGrid w:val="0"/>
        <w:spacing w:line="288" w:lineRule="auto"/>
        <w:jc w:val="center"/>
        <w:outlineLvl w:val="0"/>
        <w:rPr>
          <w:b/>
          <w:snapToGrid w:val="0"/>
          <w:color w:val="000000"/>
          <w:sz w:val="32"/>
          <w:szCs w:val="32"/>
          <w:highlight w:val="none"/>
        </w:rPr>
      </w:pPr>
      <w:r>
        <w:rPr>
          <w:b/>
          <w:snapToGrid w:val="0"/>
          <w:color w:val="000000"/>
          <w:sz w:val="32"/>
          <w:szCs w:val="32"/>
          <w:highlight w:val="none"/>
        </w:rPr>
        <w:t>二、建设项目工程分析</w:t>
      </w:r>
    </w:p>
    <w:tbl>
      <w:tblPr>
        <w:tblStyle w:val="13"/>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499"/>
      </w:tblGrid>
      <w:tr w14:paraId="14773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857" w:type="dxa"/>
            <w:noWrap w:val="0"/>
            <w:vAlign w:val="center"/>
          </w:tcPr>
          <w:p w14:paraId="13A795F1">
            <w:pPr>
              <w:keepNext w:val="0"/>
              <w:keepLines/>
              <w:pageBreakBefore w:val="0"/>
              <w:kinsoku/>
              <w:wordWrap/>
              <w:overflowPunct/>
              <w:topLinePunct w:val="0"/>
              <w:bidi w:val="0"/>
              <w:adjustRightInd w:val="0"/>
              <w:snapToGrid w:val="0"/>
              <w:jc w:val="center"/>
              <w:textAlignment w:val="auto"/>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建设内容</w:t>
            </w:r>
          </w:p>
        </w:tc>
        <w:tc>
          <w:tcPr>
            <w:tcW w:w="8499" w:type="dxa"/>
            <w:noWrap w:val="0"/>
            <w:vAlign w:val="top"/>
          </w:tcPr>
          <w:p w14:paraId="7985A1AE">
            <w:pPr>
              <w:pStyle w:val="6"/>
              <w:keepNext w:val="0"/>
              <w:keepLines/>
              <w:pageBreakBefore w:val="0"/>
              <w:numPr>
                <w:ilvl w:val="0"/>
                <w:numId w:val="2"/>
              </w:numPr>
              <w:kinsoku/>
              <w:wordWrap/>
              <w:overflowPunct/>
              <w:topLinePunct w:val="0"/>
              <w:bidi w:val="0"/>
              <w:ind w:leftChars="0" w:right="1470"/>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项目基本概况</w:t>
            </w:r>
          </w:p>
          <w:p w14:paraId="760CD4E3">
            <w:pPr>
              <w:keepNext w:val="0"/>
              <w:keepLines/>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000000"/>
                <w:sz w:val="24"/>
                <w:highlight w:val="none"/>
                <w:lang w:eastAsia="zh-CN"/>
              </w:rPr>
            </w:pPr>
            <w:r>
              <w:rPr>
                <w:rFonts w:hint="default" w:ascii="Times New Roman" w:hAnsi="Times New Roman" w:cs="Times New Roman"/>
                <w:b/>
                <w:color w:val="000000"/>
                <w:sz w:val="24"/>
                <w:highlight w:val="none"/>
                <w:lang w:eastAsia="zh-CN"/>
              </w:rPr>
              <w:t>项目由来：</w:t>
            </w:r>
            <w:r>
              <w:rPr>
                <w:rFonts w:hint="default" w:ascii="Times New Roman" w:hAnsi="Times New Roman" w:cs="Times New Roman"/>
                <w:b w:val="0"/>
                <w:bCs/>
                <w:color w:val="000000"/>
                <w:sz w:val="24"/>
                <w:highlight w:val="none"/>
                <w:lang w:eastAsia="zh-CN"/>
              </w:rPr>
              <w:t>内蒙古星光煤炭集团鄂托克旗华誉煤焦化有限公司成立于2010年09月21日，注册地位于内蒙古鄂尔多斯市蒙西工业园，法定代表人为轩兴宇。经营范围包括焦炭、焦油、硫酸铵、粗苯、硫磺、焦炉煤气、微纤维玻璃棉生产、销售；再生资源回收（除生产性废旧金属）；煤炭及制品销售</w:t>
            </w:r>
            <w:r>
              <w:rPr>
                <w:rFonts w:hint="default" w:ascii="Times New Roman" w:hAnsi="Times New Roman" w:cs="Times New Roman"/>
                <w:b w:val="0"/>
                <w:bCs/>
                <w:color w:val="000000"/>
                <w:sz w:val="24"/>
                <w:highlight w:val="none"/>
                <w:lang w:val="en-US" w:eastAsia="zh-CN"/>
              </w:rPr>
              <w:t>等</w:t>
            </w:r>
            <w:r>
              <w:rPr>
                <w:rFonts w:hint="default" w:ascii="Times New Roman" w:hAnsi="Times New Roman" w:cs="Times New Roman"/>
                <w:b w:val="0"/>
                <w:bCs/>
                <w:color w:val="000000"/>
                <w:sz w:val="24"/>
                <w:highlight w:val="none"/>
                <w:lang w:eastAsia="zh-CN"/>
              </w:rPr>
              <w:t>。公司现有</w:t>
            </w:r>
            <w:r>
              <w:rPr>
                <w:rFonts w:hint="default" w:ascii="Times New Roman" w:hAnsi="Times New Roman" w:cs="Times New Roman"/>
                <w:b w:val="0"/>
                <w:bCs/>
                <w:color w:val="000000"/>
                <w:sz w:val="24"/>
                <w:highlight w:val="none"/>
                <w:lang w:val="en-US" w:eastAsia="zh-CN"/>
              </w:rPr>
              <w:t>工程为</w:t>
            </w:r>
            <w:r>
              <w:rPr>
                <w:rFonts w:hint="default" w:ascii="Times New Roman" w:hAnsi="Times New Roman" w:cs="Times New Roman"/>
                <w:b w:val="0"/>
                <w:bCs/>
                <w:color w:val="000000"/>
                <w:sz w:val="24"/>
                <w:highlight w:val="none"/>
                <w:lang w:eastAsia="zh-CN"/>
              </w:rPr>
              <w:t>1</w:t>
            </w:r>
            <w:r>
              <w:rPr>
                <w:rFonts w:hint="default" w:ascii="Times New Roman" w:hAnsi="Times New Roman" w:cs="Times New Roman"/>
                <w:b w:val="0"/>
                <w:bCs/>
                <w:color w:val="000000"/>
                <w:sz w:val="24"/>
                <w:highlight w:val="none"/>
                <w:lang w:val="en-US" w:eastAsia="zh-CN"/>
              </w:rPr>
              <w:t>0</w:t>
            </w:r>
            <w:r>
              <w:rPr>
                <w:rFonts w:hint="default" w:ascii="Times New Roman" w:hAnsi="Times New Roman" w:cs="Times New Roman"/>
                <w:b w:val="0"/>
                <w:bCs/>
                <w:color w:val="000000"/>
                <w:sz w:val="24"/>
                <w:highlight w:val="none"/>
                <w:lang w:eastAsia="zh-CN"/>
              </w:rPr>
              <w:t>0万t/a</w:t>
            </w:r>
            <w:r>
              <w:rPr>
                <w:rFonts w:hint="default" w:ascii="Times New Roman" w:hAnsi="Times New Roman" w:cs="Times New Roman"/>
                <w:b w:val="0"/>
                <w:bCs/>
                <w:color w:val="000000"/>
                <w:sz w:val="24"/>
                <w:highlight w:val="none"/>
                <w:lang w:val="en-US" w:eastAsia="zh-CN"/>
              </w:rPr>
              <w:t>干熄焦</w:t>
            </w:r>
            <w:r>
              <w:rPr>
                <w:rFonts w:hint="default" w:ascii="Times New Roman" w:hAnsi="Times New Roman" w:cs="Times New Roman"/>
                <w:b w:val="0"/>
                <w:bCs/>
                <w:color w:val="000000"/>
                <w:sz w:val="24"/>
                <w:highlight w:val="none"/>
                <w:lang w:eastAsia="zh-CN"/>
              </w:rPr>
              <w:t>装置、</w:t>
            </w:r>
            <w:r>
              <w:rPr>
                <w:rFonts w:hint="default" w:ascii="Times New Roman" w:hAnsi="Times New Roman" w:cs="Times New Roman"/>
                <w:b w:val="0"/>
                <w:bCs/>
                <w:color w:val="000000"/>
                <w:sz w:val="24"/>
                <w:highlight w:val="none"/>
                <w:lang w:val="en-US" w:eastAsia="zh-CN"/>
              </w:rPr>
              <w:t>80</w:t>
            </w:r>
            <w:r>
              <w:rPr>
                <w:rFonts w:hint="eastAsia" w:ascii="Times New Roman" w:hAnsi="Times New Roman" w:cs="Times New Roman"/>
                <w:b w:val="0"/>
                <w:bCs/>
                <w:color w:val="000000"/>
                <w:sz w:val="24"/>
                <w:highlight w:val="none"/>
                <w:lang w:val="en-US" w:eastAsia="zh-CN"/>
              </w:rPr>
              <w:t>m³</w:t>
            </w:r>
            <w:r>
              <w:rPr>
                <w:bCs/>
                <w:color w:val="000000"/>
                <w:sz w:val="24"/>
                <w:highlight w:val="none"/>
              </w:rPr>
              <w:t>/h</w:t>
            </w:r>
            <w:r>
              <w:rPr>
                <w:rFonts w:hint="eastAsia" w:ascii="Times New Roman" w:hAnsi="Times New Roman" w:cs="Times New Roman"/>
                <w:b w:val="0"/>
                <w:bCs/>
                <w:color w:val="000000"/>
                <w:sz w:val="24"/>
                <w:highlight w:val="none"/>
                <w:lang w:val="en-US" w:eastAsia="zh-CN"/>
              </w:rPr>
              <w:t>生化污水处理站</w:t>
            </w:r>
            <w:r>
              <w:rPr>
                <w:rFonts w:hint="default" w:ascii="Times New Roman" w:hAnsi="Times New Roman" w:eastAsia="宋体" w:cs="Times New Roman"/>
                <w:b w:val="0"/>
                <w:bCs/>
                <w:color w:val="000000"/>
                <w:sz w:val="24"/>
                <w:highlight w:val="none"/>
                <w:lang w:eastAsia="zh-CN"/>
              </w:rPr>
              <w:t>。</w:t>
            </w:r>
          </w:p>
          <w:p w14:paraId="012531C0">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现有工程存在的问题及改造的必要性如下：</w:t>
            </w:r>
          </w:p>
          <w:p w14:paraId="1D5C6F6F">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（1）脱硫废水处理工程</w:t>
            </w:r>
          </w:p>
          <w:p w14:paraId="0521B92E">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本项目现有脱硫工段采用以PDS为主催化剂、碳酸钠为碱源的湿法脱硫工艺，该工艺将冷鼓工段送来的焦炉煤气经过脱硫塔内循环液逆流接触脱除煤气中的硫化氢、氰化氢。脱硫液在再生槽内再生循环使用。最终被吸收了硫化氢的焦炉煤气脱至目标值后送至后续工段。该工艺脱硫脱氰效率高，工艺流程简单、占地小、投资低，原材料和动力消耗低。但随着运行时间的积累，装置出现脱硫循环液中的副盐积累，脱硫效率降低，生产工艺要求急需对循环液液进行更新处理，以适应后续生产提标发展需求。</w:t>
            </w:r>
          </w:p>
          <w:p w14:paraId="32F2AED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针对</w:t>
            </w:r>
            <w:r>
              <w:rPr>
                <w:rFonts w:hint="eastAsia" w:ascii="Times New Roman" w:hAnsi="Times New Roman" w:eastAsia="宋体" w:cs="Times New Roman"/>
                <w:b w:val="0"/>
                <w:bCs/>
                <w:color w:val="000000"/>
                <w:sz w:val="24"/>
                <w:highlight w:val="none"/>
                <w:lang w:val="en-US" w:eastAsia="zh-CN"/>
              </w:rPr>
              <w:t>脱硫废水</w:t>
            </w:r>
            <w:r>
              <w:rPr>
                <w:rFonts w:hint="default" w:ascii="Times New Roman" w:hAnsi="Times New Roman" w:eastAsia="宋体" w:cs="Times New Roman"/>
                <w:b w:val="0"/>
                <w:bCs/>
                <w:color w:val="000000"/>
                <w:sz w:val="24"/>
                <w:highlight w:val="none"/>
                <w:lang w:val="en-US" w:eastAsia="zh-CN"/>
              </w:rPr>
              <w:t>新增提精盐装置可处理掉这部</w:t>
            </w:r>
            <w:r>
              <w:rPr>
                <w:rFonts w:hint="eastAsia" w:cs="Times New Roman"/>
                <w:b w:val="0"/>
                <w:bCs/>
                <w:color w:val="000000"/>
                <w:sz w:val="24"/>
                <w:highlight w:val="none"/>
                <w:lang w:val="en-US" w:eastAsia="zh-CN"/>
              </w:rPr>
              <w:t>分</w:t>
            </w:r>
            <w:r>
              <w:rPr>
                <w:rFonts w:hint="default" w:ascii="Times New Roman" w:hAnsi="Times New Roman" w:eastAsia="宋体" w:cs="Times New Roman"/>
                <w:b w:val="0"/>
                <w:bCs/>
                <w:color w:val="000000"/>
                <w:sz w:val="24"/>
                <w:highlight w:val="none"/>
                <w:lang w:val="en-US" w:eastAsia="zh-CN"/>
              </w:rPr>
              <w:t>废液，从而消除</w:t>
            </w:r>
            <w:r>
              <w:rPr>
                <w:rFonts w:hint="eastAsia" w:ascii="Times New Roman" w:hAnsi="Times New Roman" w:eastAsia="宋体" w:cs="Times New Roman"/>
                <w:b w:val="0"/>
                <w:bCs/>
                <w:color w:val="000000"/>
                <w:sz w:val="24"/>
                <w:highlight w:val="none"/>
                <w:lang w:val="en-US" w:eastAsia="zh-CN"/>
              </w:rPr>
              <w:t>脱硫废水</w:t>
            </w:r>
            <w:r>
              <w:rPr>
                <w:rFonts w:hint="default" w:ascii="Times New Roman" w:hAnsi="Times New Roman" w:eastAsia="宋体" w:cs="Times New Roman"/>
                <w:b w:val="0"/>
                <w:bCs/>
                <w:color w:val="000000"/>
                <w:sz w:val="24"/>
                <w:highlight w:val="none"/>
                <w:lang w:val="en-US" w:eastAsia="zh-CN"/>
              </w:rPr>
              <w:t>对环境的污染，同时，通过降低脱硫液中的含盐量，且浓缩液回用现有脱硫工段，还可以保证现有脱硫工艺高效运行，增加水的重复利用率。废液中的硫酸钠、硫代硫酸钠，特别是硫氰酸钠又是很有价值的工业原料，回收处理变废为宝，既可以提高企业的经济效益，又可以解决</w:t>
            </w:r>
            <w:r>
              <w:rPr>
                <w:rFonts w:hint="eastAsia" w:ascii="Times New Roman" w:hAnsi="Times New Roman" w:eastAsia="宋体" w:cs="Times New Roman"/>
                <w:b w:val="0"/>
                <w:bCs/>
                <w:color w:val="000000"/>
                <w:sz w:val="24"/>
                <w:highlight w:val="none"/>
                <w:lang w:val="en-US" w:eastAsia="zh-CN"/>
              </w:rPr>
              <w:t>脱硫废水</w:t>
            </w:r>
            <w:r>
              <w:rPr>
                <w:rFonts w:hint="default" w:ascii="Times New Roman" w:hAnsi="Times New Roman" w:eastAsia="宋体" w:cs="Times New Roman"/>
                <w:b w:val="0"/>
                <w:bCs/>
                <w:color w:val="000000"/>
                <w:sz w:val="24"/>
                <w:highlight w:val="none"/>
                <w:lang w:val="en-US" w:eastAsia="zh-CN"/>
              </w:rPr>
              <w:t>对环境的污染。</w:t>
            </w:r>
          </w:p>
          <w:p w14:paraId="30BE3308">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（2）中水回用及零排放系统工程</w:t>
            </w:r>
          </w:p>
          <w:p w14:paraId="1E12534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2019年4月8日，内蒙古星光煤炭集团鄂托克旗华誉煤焦化有限公司年产100万吨捣固焦废水处理提标改造工程取得了鄂尔多斯市生态环境局关于内蒙古星光煤炭集团鄂托克旗华誉煤焦化有限公司年产100万吨捣固焦废水处理提标改造工程环境影响报告表的批复（鄂环评字〔2019〕66号），具体为：将原来的“A</w:t>
            </w:r>
            <w:r>
              <w:rPr>
                <w:rFonts w:hint="default" w:ascii="Times New Roman" w:hAnsi="Times New Roman" w:eastAsia="宋体" w:cs="Times New Roman"/>
                <w:b w:val="0"/>
                <w:bCs/>
                <w:color w:val="000000"/>
                <w:sz w:val="24"/>
                <w:highlight w:val="none"/>
                <w:vertAlign w:val="subscript"/>
                <w:lang w:val="en-US" w:eastAsia="zh-CN"/>
              </w:rPr>
              <w:t>2</w:t>
            </w:r>
            <w:r>
              <w:rPr>
                <w:rFonts w:hint="default" w:ascii="Times New Roman" w:hAnsi="Times New Roman" w:eastAsia="宋体" w:cs="Times New Roman"/>
                <w:b w:val="0"/>
                <w:bCs/>
                <w:color w:val="000000"/>
                <w:sz w:val="24"/>
                <w:highlight w:val="none"/>
                <w:lang w:val="en-US" w:eastAsia="zh-CN"/>
              </w:rPr>
              <w:t>/O</w:t>
            </w:r>
            <w:r>
              <w:rPr>
                <w:rFonts w:hint="default" w:ascii="Times New Roman" w:hAnsi="Times New Roman" w:eastAsia="宋体" w:cs="Times New Roman"/>
                <w:b w:val="0"/>
                <w:bCs/>
                <w:color w:val="000000"/>
                <w:sz w:val="24"/>
                <w:highlight w:val="none"/>
                <w:vertAlign w:val="subscript"/>
                <w:lang w:val="en-US" w:eastAsia="zh-CN"/>
              </w:rPr>
              <w:t>2</w:t>
            </w:r>
            <w:r>
              <w:rPr>
                <w:rFonts w:hint="default" w:ascii="Times New Roman" w:hAnsi="Times New Roman" w:eastAsia="宋体" w:cs="Times New Roman"/>
                <w:b w:val="0"/>
                <w:bCs/>
                <w:color w:val="000000"/>
                <w:sz w:val="24"/>
                <w:highlight w:val="none"/>
                <w:lang w:val="en-US" w:eastAsia="zh-CN"/>
              </w:rPr>
              <w:t>+生物曝气滤池+离子脱氮”处理工艺改造为“微絮凝破氰反应/隔油池+混凝气浮机+生化调节池+HUB厌氧水解+缺氧生化池+好氧曝气池+沉淀池+高密度絮沉反应器+全自动过滤器+纳米臭氧催化氧化+接触氧化池+MAK生物塔+石英砂过滤+排放调节池”，处理规模由100m³/h变更为80m³/h。并于2021年9月3日通过自主验收。</w:t>
            </w:r>
          </w:p>
          <w:p w14:paraId="115B4C4D">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本工程为100万吨干熄焦装置的配套工程，待100万吨干熄焦装置投产时，同时投入使用。由于</w:t>
            </w:r>
            <w:r>
              <w:rPr>
                <w:rFonts w:hint="default" w:ascii="Times New Roman" w:hAnsi="Times New Roman" w:cs="Times New Roman"/>
                <w:b w:val="0"/>
                <w:bCs/>
                <w:color w:val="000000"/>
                <w:sz w:val="24"/>
                <w:highlight w:val="none"/>
                <w:lang w:eastAsia="zh-CN"/>
              </w:rPr>
              <w:t>1</w:t>
            </w:r>
            <w:r>
              <w:rPr>
                <w:rFonts w:hint="default" w:ascii="Times New Roman" w:hAnsi="Times New Roman" w:cs="Times New Roman"/>
                <w:b w:val="0"/>
                <w:bCs/>
                <w:color w:val="000000"/>
                <w:sz w:val="24"/>
                <w:highlight w:val="none"/>
                <w:lang w:val="en-US" w:eastAsia="zh-CN"/>
              </w:rPr>
              <w:t>0</w:t>
            </w:r>
            <w:r>
              <w:rPr>
                <w:rFonts w:hint="default" w:ascii="Times New Roman" w:hAnsi="Times New Roman" w:cs="Times New Roman"/>
                <w:b w:val="0"/>
                <w:bCs/>
                <w:color w:val="000000"/>
                <w:sz w:val="24"/>
                <w:highlight w:val="none"/>
                <w:lang w:eastAsia="zh-CN"/>
              </w:rPr>
              <w:t>0万t/a</w:t>
            </w:r>
            <w:r>
              <w:rPr>
                <w:rFonts w:hint="default" w:ascii="Times New Roman" w:hAnsi="Times New Roman" w:cs="Times New Roman"/>
                <w:b w:val="0"/>
                <w:bCs/>
                <w:color w:val="000000"/>
                <w:sz w:val="24"/>
                <w:highlight w:val="none"/>
                <w:lang w:val="en-US" w:eastAsia="zh-CN"/>
              </w:rPr>
              <w:t>干熄焦</w:t>
            </w:r>
            <w:r>
              <w:rPr>
                <w:rFonts w:hint="default" w:ascii="Times New Roman" w:hAnsi="Times New Roman" w:cs="Times New Roman"/>
                <w:b w:val="0"/>
                <w:bCs/>
                <w:color w:val="000000"/>
                <w:sz w:val="24"/>
                <w:highlight w:val="none"/>
                <w:lang w:eastAsia="zh-CN"/>
              </w:rPr>
              <w:t>装置</w:t>
            </w:r>
            <w:r>
              <w:rPr>
                <w:rFonts w:hint="eastAsia" w:ascii="Times New Roman" w:hAnsi="Times New Roman" w:eastAsia="宋体" w:cs="Times New Roman"/>
                <w:b w:val="0"/>
                <w:bCs/>
                <w:color w:val="000000"/>
                <w:sz w:val="24"/>
                <w:highlight w:val="none"/>
                <w:lang w:val="en-US" w:eastAsia="zh-CN"/>
              </w:rPr>
              <w:t>工程（正在建设，拟于2023年12月投产）产生的生化出水、除盐水站排污水、循环冷却水排水、软水站排污水、炼焦余热锅炉排污水需进行淡水回收利用，水质要求达到国家《工业循环冷却水处理设计规范》（GB50050-2017）再生水用于间冷开式循环冷却水系统补充水水质标准的要求，回用于循环系统，实现零排放。</w:t>
            </w:r>
          </w:p>
          <w:p w14:paraId="198B56E7">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在此前提下，提出本次“中水回用及零排放系统工程项目”。</w:t>
            </w:r>
          </w:p>
          <w:p w14:paraId="49E8DFA3">
            <w:pPr>
              <w:pStyle w:val="19"/>
              <w:keepNext w:val="0"/>
              <w:keepLines/>
              <w:pageBreakBefore w:val="0"/>
              <w:kinsoku/>
              <w:wordWrap/>
              <w:overflowPunct/>
              <w:topLinePunct w:val="0"/>
              <w:bidi w:val="0"/>
              <w:ind w:firstLine="482"/>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b/>
                <w:bCs/>
                <w:color w:val="000000"/>
                <w:highlight w:val="none"/>
              </w:rPr>
              <w:t>项目名称：</w:t>
            </w:r>
            <w:r>
              <w:rPr>
                <w:rFonts w:hint="default" w:ascii="Times New Roman" w:hAnsi="Times New Roman" w:cs="Times New Roman"/>
                <w:color w:val="000000"/>
                <w:highlight w:val="none"/>
                <w:lang w:eastAsia="zh-CN"/>
              </w:rPr>
              <w:t>内蒙古星光煤炭集团鄂托克旗华誉煤焦化有限公司中水回用及零排放系统工程项目</w:t>
            </w:r>
          </w:p>
          <w:p w14:paraId="268D5BCE">
            <w:pPr>
              <w:pStyle w:val="19"/>
              <w:keepNext w:val="0"/>
              <w:keepLines/>
              <w:pageBreakBefore w:val="0"/>
              <w:kinsoku/>
              <w:wordWrap/>
              <w:overflowPunct/>
              <w:topLinePunct w:val="0"/>
              <w:bidi w:val="0"/>
              <w:ind w:firstLine="482"/>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b/>
                <w:bCs/>
                <w:color w:val="000000"/>
                <w:highlight w:val="none"/>
              </w:rPr>
              <w:t>建设单位：</w:t>
            </w:r>
            <w:r>
              <w:rPr>
                <w:rFonts w:hint="default" w:ascii="Times New Roman" w:hAnsi="Times New Roman" w:cs="Times New Roman"/>
                <w:color w:val="000000"/>
                <w:highlight w:val="none"/>
                <w:lang w:eastAsia="zh-CN"/>
              </w:rPr>
              <w:t>内蒙古星光煤炭集团鄂托克旗华誉煤焦化有限公司</w:t>
            </w:r>
          </w:p>
          <w:p w14:paraId="01975CAD">
            <w:pPr>
              <w:pStyle w:val="19"/>
              <w:keepNext w:val="0"/>
              <w:keepLines/>
              <w:pageBreakBefore w:val="0"/>
              <w:kinsoku/>
              <w:wordWrap/>
              <w:overflowPunct/>
              <w:topLinePunct w:val="0"/>
              <w:bidi w:val="0"/>
              <w:ind w:firstLine="482"/>
              <w:textAlignment w:val="auto"/>
              <w:rPr>
                <w:rFonts w:hint="default" w:ascii="Times New Roman" w:hAnsi="Times New Roman" w:cs="Times New Roman"/>
                <w:color w:val="000000"/>
                <w:highlight w:val="none"/>
              </w:rPr>
            </w:pPr>
            <w:r>
              <w:rPr>
                <w:rFonts w:hint="default" w:ascii="Times New Roman" w:hAnsi="Times New Roman" w:cs="Times New Roman"/>
                <w:b/>
                <w:bCs/>
                <w:color w:val="000000"/>
                <w:highlight w:val="none"/>
              </w:rPr>
              <w:t>建设性质：</w:t>
            </w:r>
            <w:r>
              <w:rPr>
                <w:rFonts w:hint="default" w:ascii="Times New Roman" w:hAnsi="Times New Roman" w:cs="Times New Roman"/>
                <w:b w:val="0"/>
                <w:bCs w:val="0"/>
                <w:color w:val="000000"/>
                <w:highlight w:val="none"/>
                <w:lang w:val="en-US" w:eastAsia="zh-CN"/>
              </w:rPr>
              <w:t>改</w:t>
            </w:r>
            <w:r>
              <w:rPr>
                <w:rFonts w:hint="eastAsia" w:ascii="Times New Roman" w:hAnsi="Times New Roman" w:cs="Times New Roman"/>
                <w:b w:val="0"/>
                <w:bCs w:val="0"/>
                <w:color w:val="000000"/>
                <w:highlight w:val="none"/>
                <w:lang w:val="en-US" w:eastAsia="zh-CN"/>
              </w:rPr>
              <w:t>扩</w:t>
            </w:r>
            <w:r>
              <w:rPr>
                <w:rFonts w:hint="default" w:ascii="Times New Roman" w:hAnsi="Times New Roman" w:cs="Times New Roman"/>
                <w:color w:val="000000"/>
                <w:highlight w:val="none"/>
              </w:rPr>
              <w:t>建</w:t>
            </w:r>
          </w:p>
          <w:p w14:paraId="3BB47CC8">
            <w:pPr>
              <w:pStyle w:val="19"/>
              <w:keepNext w:val="0"/>
              <w:keepLines/>
              <w:pageBreakBefore w:val="0"/>
              <w:kinsoku/>
              <w:wordWrap/>
              <w:overflowPunct/>
              <w:topLinePunct w:val="0"/>
              <w:bidi w:val="0"/>
              <w:ind w:firstLine="482"/>
              <w:textAlignment w:val="auto"/>
              <w:rPr>
                <w:rFonts w:hint="default" w:ascii="Times New Roman" w:hAnsi="Times New Roman" w:cs="Times New Roman"/>
                <w:color w:val="000000"/>
                <w:highlight w:val="none"/>
              </w:rPr>
            </w:pPr>
            <w:r>
              <w:rPr>
                <w:rFonts w:hint="default" w:ascii="Times New Roman" w:hAnsi="Times New Roman" w:cs="Times New Roman"/>
                <w:b/>
                <w:bCs/>
                <w:color w:val="000000"/>
                <w:highlight w:val="none"/>
              </w:rPr>
              <w:t>建设地点：</w:t>
            </w:r>
            <w:r>
              <w:rPr>
                <w:rFonts w:hint="default" w:ascii="Times New Roman" w:hAnsi="Times New Roman" w:cs="Times New Roman"/>
                <w:b w:val="0"/>
                <w:bCs w:val="0"/>
                <w:color w:val="000000"/>
                <w:highlight w:val="none"/>
                <w:lang w:eastAsia="zh-CN"/>
              </w:rPr>
              <w:t>鄂托克旗蒙西工业园区内蒙古星光煤炭集团鄂托克旗华誉煤焦化有限公司</w:t>
            </w:r>
            <w:r>
              <w:rPr>
                <w:rFonts w:hint="default" w:ascii="Times New Roman" w:hAnsi="Times New Roman" w:cs="Times New Roman"/>
                <w:b w:val="0"/>
                <w:bCs w:val="0"/>
                <w:color w:val="000000"/>
                <w:highlight w:val="none"/>
              </w:rPr>
              <w:t>厂区内</w:t>
            </w:r>
          </w:p>
          <w:p w14:paraId="7A693530">
            <w:pPr>
              <w:pStyle w:val="19"/>
              <w:keepNext w:val="0"/>
              <w:keepLines/>
              <w:pageBreakBefore w:val="0"/>
              <w:kinsoku/>
              <w:wordWrap/>
              <w:overflowPunct/>
              <w:topLinePunct w:val="0"/>
              <w:bidi w:val="0"/>
              <w:ind w:firstLine="482"/>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cs="Times New Roman"/>
                <w:b/>
                <w:bCs/>
                <w:color w:val="000000"/>
                <w:highlight w:val="none"/>
              </w:rPr>
              <w:t>建设规模：</w:t>
            </w:r>
            <w:r>
              <w:rPr>
                <w:rFonts w:hint="eastAsia" w:ascii="Times New Roman" w:hAnsi="Times New Roman" w:cs="Times New Roman"/>
                <w:b w:val="0"/>
                <w:bCs w:val="0"/>
                <w:color w:val="000000"/>
                <w:highlight w:val="none"/>
                <w:lang w:val="en-US" w:eastAsia="zh-CN"/>
              </w:rPr>
              <w:t>新建</w:t>
            </w:r>
            <w:r>
              <w:rPr>
                <w:rFonts w:hint="eastAsia" w:ascii="Times New Roman" w:hAnsi="Times New Roman" w:cs="Times New Roman"/>
                <w:b w:val="0"/>
                <w:bCs w:val="0"/>
                <w:color w:val="000000"/>
                <w:highlight w:val="none"/>
                <w:lang w:eastAsia="zh-CN"/>
              </w:rPr>
              <w:t>脱硫废水</w:t>
            </w:r>
            <w:r>
              <w:rPr>
                <w:rFonts w:hint="eastAsia" w:ascii="Times New Roman" w:hAnsi="Times New Roman" w:cs="Times New Roman"/>
                <w:b w:val="0"/>
                <w:bCs w:val="0"/>
                <w:color w:val="000000"/>
                <w:highlight w:val="none"/>
                <w:lang w:val="en-US" w:eastAsia="zh-CN"/>
              </w:rPr>
              <w:t>处理装置1套（40m³/d），提盐处理后</w:t>
            </w:r>
            <w:r>
              <w:rPr>
                <w:rFonts w:hint="eastAsia" w:ascii="Times New Roman" w:hAnsi="Times New Roman" w:cs="Times New Roman"/>
                <w:b w:val="0"/>
                <w:bCs w:val="0"/>
                <w:color w:val="000000"/>
                <w:highlight w:val="none"/>
                <w:lang w:eastAsia="zh-CN"/>
              </w:rPr>
              <w:t>回用</w:t>
            </w:r>
            <w:r>
              <w:rPr>
                <w:rFonts w:hint="eastAsia" w:ascii="Times New Roman" w:hAnsi="Times New Roman" w:cs="Times New Roman"/>
                <w:b w:val="0"/>
                <w:bCs w:val="0"/>
                <w:color w:val="000000"/>
                <w:highlight w:val="none"/>
                <w:lang w:val="en-US" w:eastAsia="zh-CN"/>
              </w:rPr>
              <w:t>于</w:t>
            </w:r>
            <w:r>
              <w:rPr>
                <w:rFonts w:hint="eastAsia" w:ascii="Times New Roman" w:hAnsi="Times New Roman" w:cs="Times New Roman"/>
                <w:b w:val="0"/>
                <w:bCs w:val="0"/>
                <w:color w:val="000000"/>
                <w:highlight w:val="none"/>
                <w:lang w:eastAsia="zh-CN"/>
              </w:rPr>
              <w:t>现有脱硫工段；</w:t>
            </w:r>
            <w:r>
              <w:rPr>
                <w:rFonts w:hint="eastAsia" w:ascii="Times New Roman" w:hAnsi="Times New Roman" w:cs="Times New Roman"/>
                <w:b w:val="0"/>
                <w:bCs w:val="0"/>
                <w:color w:val="000000"/>
                <w:highlight w:val="none"/>
                <w:lang w:val="en-US" w:eastAsia="zh-CN"/>
              </w:rPr>
              <w:t>生化污水处理站改造后处理规模不变（仍为80m³/h），新建中水回用及零排放系统处理规模</w:t>
            </w:r>
            <w:r>
              <w:rPr>
                <w:rFonts w:hint="default" w:ascii="Times New Roman" w:hAnsi="Times New Roman" w:cs="Times New Roman"/>
                <w:b w:val="0"/>
                <w:bCs w:val="0"/>
                <w:color w:val="000000"/>
                <w:highlight w:val="none"/>
              </w:rPr>
              <w:t>为</w:t>
            </w:r>
            <w:r>
              <w:rPr>
                <w:rFonts w:hint="eastAsia" w:ascii="Times New Roman" w:hAnsi="Times New Roman" w:cs="Times New Roman"/>
                <w:b w:val="0"/>
                <w:bCs w:val="0"/>
                <w:color w:val="000000"/>
                <w:highlight w:val="none"/>
                <w:lang w:val="en-US" w:eastAsia="zh-CN"/>
              </w:rPr>
              <w:t>12</w:t>
            </w:r>
            <w:r>
              <w:rPr>
                <w:rFonts w:hint="default" w:ascii="Times New Roman" w:hAnsi="Times New Roman" w:cs="Times New Roman"/>
                <w:b w:val="0"/>
                <w:bCs w:val="0"/>
                <w:color w:val="000000"/>
                <w:highlight w:val="none"/>
                <w:lang w:val="en-US" w:eastAsia="zh-CN"/>
              </w:rPr>
              <w:t>0</w:t>
            </w:r>
            <w:r>
              <w:rPr>
                <w:rFonts w:hint="default" w:ascii="Times New Roman" w:hAnsi="Times New Roman" w:cs="Times New Roman"/>
                <w:b w:val="0"/>
                <w:bCs w:val="0"/>
                <w:color w:val="000000"/>
                <w:highlight w:val="none"/>
                <w:lang w:eastAsia="zh-CN"/>
              </w:rPr>
              <w:t>m³</w:t>
            </w:r>
            <w:r>
              <w:rPr>
                <w:rFonts w:hint="default" w:ascii="Times New Roman" w:hAnsi="Times New Roman" w:cs="Times New Roman"/>
                <w:b w:val="0"/>
                <w:bCs w:val="0"/>
                <w:color w:val="000000"/>
                <w:highlight w:val="none"/>
              </w:rPr>
              <w:t>/h</w:t>
            </w:r>
            <w:r>
              <w:rPr>
                <w:rFonts w:hint="default" w:ascii="Times New Roman" w:hAnsi="Times New Roman" w:cs="Times New Roman"/>
                <w:b w:val="0"/>
                <w:bCs w:val="0"/>
                <w:color w:val="000000"/>
                <w:highlight w:val="none"/>
                <w:lang w:eastAsia="zh-CN"/>
              </w:rPr>
              <w:t>，</w:t>
            </w:r>
            <w:r>
              <w:rPr>
                <w:rFonts w:hint="eastAsia" w:ascii="Times New Roman" w:hAnsi="Times New Roman" w:cs="Times New Roman"/>
                <w:b w:val="0"/>
                <w:bCs w:val="0"/>
                <w:color w:val="000000"/>
                <w:highlight w:val="none"/>
                <w:lang w:val="en-US" w:eastAsia="zh-CN"/>
              </w:rPr>
              <w:t>现有工程</w:t>
            </w:r>
            <w:r>
              <w:rPr>
                <w:rFonts w:hint="default" w:ascii="Times New Roman" w:hAnsi="Times New Roman" w:cs="Times New Roman"/>
                <w:b w:val="0"/>
                <w:bCs w:val="0"/>
                <w:color w:val="000000"/>
                <w:highlight w:val="none"/>
              </w:rPr>
              <w:t>污水经中水回用及零排放系统处理</w:t>
            </w:r>
            <w:r>
              <w:rPr>
                <w:rFonts w:hint="eastAsia" w:ascii="Times New Roman" w:hAnsi="Times New Roman" w:cs="Times New Roman"/>
                <w:b w:val="0"/>
                <w:bCs w:val="0"/>
                <w:color w:val="000000"/>
                <w:highlight w:val="none"/>
                <w:lang w:val="en-US" w:eastAsia="zh-CN"/>
              </w:rPr>
              <w:t>后</w:t>
            </w:r>
            <w:r>
              <w:rPr>
                <w:rFonts w:hint="default" w:ascii="Times New Roman" w:hAnsi="Times New Roman" w:cs="Times New Roman"/>
                <w:b w:val="0"/>
                <w:bCs w:val="0"/>
                <w:color w:val="000000"/>
                <w:highlight w:val="none"/>
              </w:rPr>
              <w:t>，全部回用于</w:t>
            </w:r>
            <w:r>
              <w:rPr>
                <w:rFonts w:hint="eastAsia" w:ascii="Times New Roman" w:hAnsi="Times New Roman" w:cs="Times New Roman"/>
                <w:b w:val="0"/>
                <w:bCs w:val="0"/>
                <w:color w:val="000000"/>
                <w:highlight w:val="none"/>
                <w:lang w:val="en-US" w:eastAsia="zh-CN"/>
              </w:rPr>
              <w:t>生产</w:t>
            </w:r>
            <w:r>
              <w:rPr>
                <w:rFonts w:hint="default" w:ascii="Times New Roman" w:hAnsi="Times New Roman" w:cs="Times New Roman"/>
                <w:b w:val="0"/>
                <w:bCs w:val="0"/>
                <w:color w:val="000000"/>
                <w:highlight w:val="none"/>
              </w:rPr>
              <w:t>系统</w:t>
            </w:r>
            <w:r>
              <w:rPr>
                <w:rFonts w:hint="eastAsia" w:ascii="Times New Roman" w:hAnsi="Times New Roman" w:cs="Times New Roman"/>
                <w:b w:val="0"/>
                <w:bCs w:val="0"/>
                <w:color w:val="000000"/>
                <w:highlight w:val="none"/>
                <w:lang w:eastAsia="zh-CN"/>
              </w:rPr>
              <w:t>，</w:t>
            </w:r>
            <w:r>
              <w:rPr>
                <w:rFonts w:hint="default" w:ascii="Times New Roman" w:hAnsi="Times New Roman" w:cs="Times New Roman"/>
                <w:b w:val="0"/>
                <w:bCs w:val="0"/>
                <w:color w:val="000000"/>
                <w:highlight w:val="none"/>
              </w:rPr>
              <w:t>不外排</w:t>
            </w:r>
            <w:r>
              <w:rPr>
                <w:rFonts w:hint="default" w:ascii="Times New Roman" w:hAnsi="Times New Roman" w:cs="Times New Roman"/>
                <w:color w:val="000000"/>
                <w:highlight w:val="none"/>
              </w:rPr>
              <w:t>。</w:t>
            </w:r>
            <w:r>
              <w:rPr>
                <w:rFonts w:hint="eastAsia" w:ascii="Times New Roman" w:hAnsi="Times New Roman" w:cs="Times New Roman"/>
                <w:color w:val="000000"/>
                <w:highlight w:val="none"/>
                <w:lang w:val="en-US" w:eastAsia="zh-CN"/>
              </w:rPr>
              <w:t>本工程为100万吨干熄焦装置的配套工程，待100万吨干熄焦装置投产时，同时投入使用。</w:t>
            </w:r>
          </w:p>
          <w:p w14:paraId="12D24DF0">
            <w:pPr>
              <w:pStyle w:val="19"/>
              <w:keepNext w:val="0"/>
              <w:keepLines/>
              <w:pageBreakBefore w:val="0"/>
              <w:kinsoku/>
              <w:wordWrap/>
              <w:overflowPunct/>
              <w:topLinePunct w:val="0"/>
              <w:bidi w:val="0"/>
              <w:ind w:firstLine="482"/>
              <w:textAlignment w:val="auto"/>
              <w:rPr>
                <w:rFonts w:hint="default" w:ascii="Times New Roman" w:hAnsi="Times New Roman" w:cs="Times New Roman"/>
                <w:color w:val="000000"/>
                <w:highlight w:val="none"/>
              </w:rPr>
            </w:pPr>
            <w:r>
              <w:rPr>
                <w:rFonts w:hint="default" w:ascii="Times New Roman" w:hAnsi="Times New Roman" w:cs="Times New Roman"/>
                <w:b/>
                <w:bCs/>
                <w:color w:val="000000"/>
                <w:highlight w:val="none"/>
              </w:rPr>
              <w:t>占地面积：</w:t>
            </w:r>
            <w:r>
              <w:rPr>
                <w:rFonts w:hint="default" w:ascii="Times New Roman" w:hAnsi="Times New Roman" w:cs="Times New Roman"/>
                <w:color w:val="000000"/>
                <w:highlight w:val="none"/>
              </w:rPr>
              <w:t>本项目占地</w:t>
            </w:r>
            <w:r>
              <w:rPr>
                <w:rFonts w:hint="default" w:ascii="Times New Roman" w:hAnsi="Times New Roman" w:cs="Times New Roman"/>
                <w:color w:val="000000"/>
                <w:highlight w:val="none"/>
                <w:lang w:val="en-US" w:eastAsia="zh-CN"/>
              </w:rPr>
              <w:t>面积</w:t>
            </w:r>
            <w:r>
              <w:rPr>
                <w:rFonts w:hint="eastAsia" w:ascii="Times New Roman" w:hAnsi="Times New Roman" w:cs="Times New Roman"/>
                <w:color w:val="000000"/>
                <w:highlight w:val="none"/>
                <w:lang w:eastAsia="zh-CN"/>
              </w:rPr>
              <w:t>6796.6</w:t>
            </w:r>
            <w:r>
              <w:rPr>
                <w:rFonts w:hint="default" w:ascii="Times New Roman" w:hAnsi="Times New Roman" w:cs="Times New Roman"/>
                <w:color w:val="000000"/>
                <w:highlight w:val="none"/>
              </w:rPr>
              <w:t>m</w:t>
            </w:r>
            <w:r>
              <w:rPr>
                <w:rFonts w:hint="default" w:ascii="Times New Roman" w:hAnsi="Times New Roman" w:cs="Times New Roman"/>
                <w:color w:val="000000"/>
                <w:highlight w:val="none"/>
                <w:vertAlign w:val="superscript"/>
              </w:rPr>
              <w:t>2</w:t>
            </w:r>
            <w:r>
              <w:rPr>
                <w:rFonts w:hint="default" w:ascii="Times New Roman" w:hAnsi="Times New Roman" w:cs="Times New Roman"/>
                <w:color w:val="000000"/>
                <w:highlight w:val="none"/>
              </w:rPr>
              <w:t>，本项目位于现有</w:t>
            </w:r>
            <w:r>
              <w:rPr>
                <w:rFonts w:hint="default" w:ascii="Times New Roman" w:hAnsi="Times New Roman" w:cs="Times New Roman"/>
                <w:color w:val="000000"/>
                <w:highlight w:val="none"/>
                <w:lang w:eastAsia="zh-CN"/>
              </w:rPr>
              <w:t>厂区</w:t>
            </w:r>
            <w:r>
              <w:rPr>
                <w:rFonts w:hint="default" w:ascii="Times New Roman" w:hAnsi="Times New Roman" w:cs="Times New Roman"/>
                <w:color w:val="000000"/>
                <w:highlight w:val="none"/>
              </w:rPr>
              <w:t>占地范围内，不新增用地。</w:t>
            </w:r>
          </w:p>
          <w:p w14:paraId="36519E0F">
            <w:pPr>
              <w:keepNext w:val="0"/>
              <w:keepLines/>
              <w:pageBreakBefore w:val="0"/>
              <w:kinsoku/>
              <w:wordWrap/>
              <w:overflowPunct/>
              <w:topLinePunct w:val="0"/>
              <w:bidi w:val="0"/>
              <w:spacing w:line="360" w:lineRule="auto"/>
              <w:ind w:firstLine="482" w:firstLineChars="200"/>
              <w:textAlignment w:val="auto"/>
              <w:rPr>
                <w:rFonts w:hint="default" w:ascii="Times New Roman" w:hAnsi="Times New Roman" w:cs="Times New Roman"/>
                <w:color w:val="000000"/>
                <w:highlight w:val="none"/>
              </w:rPr>
            </w:pPr>
            <w:r>
              <w:rPr>
                <w:rFonts w:hint="default" w:ascii="Times New Roman" w:hAnsi="Times New Roman" w:cs="Times New Roman"/>
                <w:b/>
                <w:bCs/>
                <w:color w:val="000000"/>
                <w:sz w:val="24"/>
                <w:szCs w:val="24"/>
                <w:highlight w:val="none"/>
              </w:rPr>
              <w:t>项目投资：</w:t>
            </w:r>
            <w:r>
              <w:rPr>
                <w:rFonts w:hint="default" w:ascii="Times New Roman" w:hAnsi="Times New Roman" w:cs="Times New Roman"/>
                <w:color w:val="000000"/>
                <w:sz w:val="24"/>
                <w:szCs w:val="24"/>
                <w:highlight w:val="none"/>
              </w:rPr>
              <w:t>本项目总投资为</w:t>
            </w:r>
            <w:r>
              <w:rPr>
                <w:rFonts w:hint="default" w:ascii="Times New Roman" w:hAnsi="Times New Roman" w:cs="Times New Roman"/>
                <w:color w:val="000000"/>
                <w:sz w:val="24"/>
                <w:szCs w:val="24"/>
                <w:highlight w:val="none"/>
                <w:lang w:val="en-US" w:eastAsia="zh-CN"/>
              </w:rPr>
              <w:t>5700</w:t>
            </w:r>
            <w:r>
              <w:rPr>
                <w:rFonts w:hint="default" w:ascii="Times New Roman" w:hAnsi="Times New Roman" w:cs="Times New Roman"/>
                <w:color w:val="000000"/>
                <w:sz w:val="24"/>
                <w:szCs w:val="24"/>
                <w:highlight w:val="none"/>
              </w:rPr>
              <w:t>万元，环保投资</w:t>
            </w:r>
            <w:r>
              <w:rPr>
                <w:rFonts w:hint="default" w:ascii="Times New Roman" w:hAnsi="Times New Roman" w:cs="Times New Roman"/>
                <w:color w:val="000000"/>
                <w:sz w:val="24"/>
                <w:szCs w:val="24"/>
                <w:highlight w:val="none"/>
                <w:lang w:val="en-US" w:eastAsia="zh-CN"/>
              </w:rPr>
              <w:t>为</w:t>
            </w:r>
            <w:r>
              <w:rPr>
                <w:rFonts w:hint="eastAsia"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lang w:val="en-US" w:eastAsia="zh-CN"/>
              </w:rPr>
              <w:t>00万元</w:t>
            </w:r>
            <w:r>
              <w:rPr>
                <w:rFonts w:hint="default" w:ascii="Times New Roman" w:hAnsi="Times New Roman" w:cs="Times New Roman"/>
                <w:color w:val="000000"/>
                <w:sz w:val="24"/>
                <w:szCs w:val="24"/>
                <w:highlight w:val="none"/>
              </w:rPr>
              <w:t>，占总投资</w:t>
            </w:r>
            <w:r>
              <w:rPr>
                <w:rFonts w:hint="eastAsia" w:ascii="Times New Roman" w:hAnsi="Times New Roman" w:cs="Times New Roman"/>
                <w:color w:val="000000"/>
                <w:sz w:val="24"/>
                <w:szCs w:val="24"/>
                <w:highlight w:val="none"/>
                <w:lang w:val="en-US" w:eastAsia="zh-CN"/>
              </w:rPr>
              <w:t>8.77</w:t>
            </w:r>
            <w:r>
              <w:rPr>
                <w:rFonts w:hint="default" w:ascii="Times New Roman" w:hAnsi="Times New Roman" w:cs="Times New Roman"/>
                <w:color w:val="000000"/>
                <w:sz w:val="24"/>
                <w:szCs w:val="24"/>
                <w:highlight w:val="none"/>
              </w:rPr>
              <w:t>%。</w:t>
            </w:r>
          </w:p>
          <w:p w14:paraId="5F6E3CF8">
            <w:pPr>
              <w:pStyle w:val="19"/>
              <w:keepNext w:val="0"/>
              <w:keepLines/>
              <w:pageBreakBefore w:val="0"/>
              <w:kinsoku/>
              <w:wordWrap/>
              <w:overflowPunct/>
              <w:topLinePunct w:val="0"/>
              <w:bidi w:val="0"/>
              <w:spacing w:line="360" w:lineRule="auto"/>
              <w:ind w:firstLine="482"/>
              <w:textAlignment w:val="auto"/>
              <w:rPr>
                <w:rFonts w:hint="default" w:ascii="Times New Roman" w:hAnsi="Times New Roman" w:cs="Times New Roman"/>
                <w:b/>
                <w:bCs/>
                <w:color w:val="000000"/>
                <w:highlight w:val="none"/>
              </w:rPr>
            </w:pPr>
            <w:r>
              <w:rPr>
                <w:rFonts w:hint="default" w:ascii="Times New Roman" w:hAnsi="Times New Roman" w:cs="Times New Roman"/>
                <w:b/>
                <w:bCs/>
                <w:color w:val="000000"/>
                <w:highlight w:val="none"/>
              </w:rPr>
              <w:t>2、项目建设位置及周边关系</w:t>
            </w:r>
          </w:p>
          <w:p w14:paraId="36361376">
            <w:pPr>
              <w:pStyle w:val="19"/>
              <w:keepNext w:val="0"/>
              <w:keepLines/>
              <w:pageBreakBefore w:val="0"/>
              <w:kinsoku/>
              <w:wordWrap/>
              <w:overflowPunct/>
              <w:topLinePunct w:val="0"/>
              <w:bidi w:val="0"/>
              <w:textAlignment w:val="auto"/>
              <w:rPr>
                <w:rStyle w:val="21"/>
                <w:rFonts w:hint="default" w:ascii="Times New Roman" w:hAnsi="Times New Roman" w:cs="Times New Roman"/>
                <w:color w:val="000000"/>
                <w:highlight w:val="none"/>
              </w:rPr>
            </w:pPr>
            <w:r>
              <w:rPr>
                <w:rFonts w:hint="default" w:ascii="Times New Roman" w:hAnsi="Times New Roman" w:cs="Times New Roman"/>
                <w:color w:val="000000"/>
                <w:highlight w:val="none"/>
              </w:rPr>
              <w:t>项目位于鄂尔多斯市</w:t>
            </w:r>
            <w:r>
              <w:rPr>
                <w:rFonts w:hint="default" w:ascii="Times New Roman" w:hAnsi="Times New Roman" w:cs="Times New Roman"/>
                <w:color w:val="000000"/>
                <w:highlight w:val="none"/>
                <w:lang w:eastAsia="zh-CN"/>
              </w:rPr>
              <w:t>鄂托克旗蒙西工业园区内蒙古星光煤炭集团鄂托克旗华誉煤焦化有限公司</w:t>
            </w:r>
            <w:r>
              <w:rPr>
                <w:rFonts w:hint="default" w:ascii="Times New Roman" w:hAnsi="Times New Roman" w:cs="Times New Roman"/>
                <w:color w:val="000000"/>
                <w:highlight w:val="none"/>
              </w:rPr>
              <w:t>厂区内，项目</w:t>
            </w:r>
            <w:r>
              <w:rPr>
                <w:rFonts w:hint="eastAsia" w:ascii="Times New Roman" w:hAnsi="Times New Roman" w:cs="Times New Roman"/>
                <w:color w:val="000000"/>
                <w:highlight w:val="none"/>
                <w:lang w:val="en-US" w:eastAsia="zh-CN"/>
              </w:rPr>
              <w:t>北</w:t>
            </w:r>
            <w:r>
              <w:rPr>
                <w:rFonts w:hint="default" w:ascii="Times New Roman" w:hAnsi="Times New Roman" w:cs="Times New Roman"/>
                <w:color w:val="000000"/>
                <w:highlight w:val="none"/>
              </w:rPr>
              <w:t>侧</w:t>
            </w:r>
            <w:r>
              <w:rPr>
                <w:rFonts w:hint="default" w:ascii="Times New Roman" w:hAnsi="Times New Roman" w:cs="Times New Roman"/>
                <w:color w:val="000000"/>
                <w:highlight w:val="none"/>
                <w:lang w:val="en-US" w:eastAsia="zh-CN"/>
              </w:rPr>
              <w:t>隔</w:t>
            </w:r>
            <w:r>
              <w:rPr>
                <w:rFonts w:hint="eastAsia" w:ascii="Times New Roman" w:hAnsi="Times New Roman" w:cs="Times New Roman"/>
                <w:color w:val="000000"/>
                <w:highlight w:val="none"/>
                <w:lang w:val="en-US" w:eastAsia="zh-CN"/>
              </w:rPr>
              <w:t>厂区围墙为蒙西华冶煤焦化有限公司</w:t>
            </w:r>
            <w:r>
              <w:rPr>
                <w:rFonts w:hint="default" w:ascii="Times New Roman" w:hAnsi="Times New Roman" w:cs="Times New Roman"/>
                <w:color w:val="000000"/>
                <w:highlight w:val="none"/>
              </w:rPr>
              <w:t>，南侧为</w:t>
            </w:r>
            <w:r>
              <w:rPr>
                <w:rFonts w:hint="eastAsia" w:ascii="Times New Roman" w:hAnsi="Times New Roman" w:cs="Times New Roman"/>
                <w:color w:val="000000"/>
                <w:highlight w:val="none"/>
                <w:lang w:val="en-US" w:eastAsia="zh-CN"/>
              </w:rPr>
              <w:t>现有年产100万吨干熄焦工程</w:t>
            </w:r>
            <w:r>
              <w:rPr>
                <w:rFonts w:hint="default" w:ascii="Times New Roman" w:hAnsi="Times New Roman" w:cs="Times New Roman"/>
                <w:color w:val="000000"/>
                <w:highlight w:val="none"/>
              </w:rPr>
              <w:t>，</w:t>
            </w:r>
            <w:r>
              <w:rPr>
                <w:rFonts w:hint="eastAsia" w:ascii="Times New Roman" w:hAnsi="Times New Roman" w:cs="Times New Roman"/>
                <w:color w:val="000000"/>
                <w:highlight w:val="none"/>
                <w:lang w:val="en-US" w:eastAsia="zh-CN"/>
              </w:rPr>
              <w:t>西侧为110国道，东侧为内蒙古兴宇气体有限公司</w:t>
            </w:r>
            <w:r>
              <w:rPr>
                <w:rFonts w:hint="default" w:ascii="Times New Roman" w:hAnsi="Times New Roman" w:cs="Times New Roman"/>
                <w:color w:val="000000"/>
                <w:highlight w:val="none"/>
              </w:rPr>
              <w:t>。</w:t>
            </w:r>
            <w:r>
              <w:rPr>
                <w:rFonts w:hint="default" w:ascii="Times New Roman" w:hAnsi="Times New Roman" w:cs="Times New Roman"/>
                <w:color w:val="000000"/>
                <w:highlight w:val="none"/>
                <w:lang w:val="en-US" w:eastAsia="zh-CN"/>
              </w:rPr>
              <w:t>污水处理项目位于整个厂区</w:t>
            </w:r>
            <w:r>
              <w:rPr>
                <w:rFonts w:hint="eastAsia" w:ascii="Times New Roman" w:hAnsi="Times New Roman" w:cs="Times New Roman"/>
                <w:color w:val="000000"/>
                <w:highlight w:val="none"/>
                <w:lang w:val="en-US" w:eastAsia="zh-CN"/>
              </w:rPr>
              <w:t>北</w:t>
            </w:r>
            <w:r>
              <w:rPr>
                <w:rFonts w:hint="default" w:ascii="Times New Roman" w:hAnsi="Times New Roman" w:cs="Times New Roman"/>
                <w:color w:val="000000"/>
                <w:highlight w:val="none"/>
                <w:lang w:val="en-US" w:eastAsia="zh-CN"/>
              </w:rPr>
              <w:t>部，</w:t>
            </w:r>
            <w:r>
              <w:rPr>
                <w:rFonts w:hint="default" w:ascii="Times New Roman" w:hAnsi="Times New Roman" w:cs="Times New Roman"/>
                <w:color w:val="000000"/>
                <w:highlight w:val="none"/>
              </w:rPr>
              <w:t>项目周围500m范围内</w:t>
            </w:r>
            <w:r>
              <w:rPr>
                <w:rFonts w:hint="default" w:ascii="Times New Roman" w:hAnsi="Times New Roman" w:cs="Times New Roman"/>
                <w:color w:val="000000"/>
                <w:highlight w:val="none"/>
                <w:lang w:eastAsia="zh-CN"/>
              </w:rPr>
              <w:t>无</w:t>
            </w:r>
            <w:r>
              <w:rPr>
                <w:rFonts w:hint="default" w:ascii="Times New Roman" w:hAnsi="Times New Roman" w:cs="Times New Roman"/>
                <w:color w:val="000000"/>
                <w:highlight w:val="none"/>
              </w:rPr>
              <w:t>敏感目标，</w:t>
            </w:r>
            <w:r>
              <w:rPr>
                <w:rStyle w:val="21"/>
                <w:rFonts w:hint="default" w:ascii="Times New Roman" w:hAnsi="Times New Roman" w:cs="Times New Roman"/>
                <w:color w:val="000000"/>
                <w:highlight w:val="none"/>
              </w:rPr>
              <w:t>项目地理位置图见附图</w:t>
            </w:r>
            <w:r>
              <w:rPr>
                <w:rStyle w:val="21"/>
                <w:rFonts w:hint="default" w:ascii="Times New Roman" w:hAnsi="Times New Roman" w:cs="Times New Roman"/>
                <w:color w:val="000000"/>
                <w:highlight w:val="none"/>
                <w:lang w:val="en-US" w:eastAsia="zh-CN"/>
              </w:rPr>
              <w:t>1</w:t>
            </w:r>
            <w:r>
              <w:rPr>
                <w:rStyle w:val="21"/>
                <w:rFonts w:hint="default" w:ascii="Times New Roman" w:hAnsi="Times New Roman" w:cs="Times New Roman"/>
                <w:color w:val="000000"/>
                <w:highlight w:val="none"/>
              </w:rPr>
              <w:t>，周边关系图见</w:t>
            </w:r>
            <w:r>
              <w:rPr>
                <w:rStyle w:val="21"/>
                <w:rFonts w:hint="default" w:ascii="Times New Roman" w:hAnsi="Times New Roman" w:cs="Times New Roman"/>
                <w:color w:val="000000"/>
                <w:highlight w:val="none"/>
                <w:lang w:val="en-US" w:eastAsia="zh-CN"/>
              </w:rPr>
              <w:t>附图</w:t>
            </w:r>
            <w:r>
              <w:rPr>
                <w:rStyle w:val="21"/>
                <w:rFonts w:hint="default" w:ascii="Times New Roman" w:hAnsi="Times New Roman" w:cs="Times New Roman"/>
                <w:color w:val="000000"/>
                <w:highlight w:val="none"/>
              </w:rPr>
              <w:t>2。</w:t>
            </w:r>
          </w:p>
          <w:p w14:paraId="2E132694">
            <w:pPr>
              <w:keepNext w:val="0"/>
              <w:keepLines/>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lang w:val="en-US" w:eastAsia="zh-CN"/>
              </w:rPr>
              <w:t>3</w:t>
            </w:r>
            <w:r>
              <w:rPr>
                <w:rFonts w:hint="default" w:ascii="Times New Roman" w:hAnsi="Times New Roman" w:cs="Times New Roman"/>
                <w:b/>
                <w:color w:val="000000"/>
                <w:sz w:val="24"/>
                <w:highlight w:val="none"/>
              </w:rPr>
              <w:t>、工程建设内容及规模</w:t>
            </w:r>
          </w:p>
          <w:p w14:paraId="2B2E3A2E">
            <w:pPr>
              <w:keepNext w:val="0"/>
              <w:keepLines/>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本项目主要建设内容</w:t>
            </w:r>
            <w:r>
              <w:rPr>
                <w:rFonts w:hint="eastAsia" w:ascii="Times New Roman" w:hAnsi="Times New Roman" w:cs="Times New Roman"/>
                <w:color w:val="000000"/>
                <w:sz w:val="24"/>
                <w:highlight w:val="none"/>
                <w:lang w:val="en-US" w:eastAsia="zh-CN"/>
              </w:rPr>
              <w:t>及规模</w:t>
            </w:r>
            <w:r>
              <w:rPr>
                <w:rFonts w:hint="default" w:ascii="Times New Roman" w:hAnsi="Times New Roman" w:cs="Times New Roman"/>
                <w:color w:val="000000"/>
                <w:sz w:val="24"/>
                <w:highlight w:val="none"/>
              </w:rPr>
              <w:t>如下：</w:t>
            </w:r>
          </w:p>
          <w:p w14:paraId="28AF72F6">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（1）脱硫废水处理工程</w:t>
            </w:r>
          </w:p>
          <w:p w14:paraId="775220C2">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新建提盐生产框架，占地面积约635m</w:t>
            </w:r>
            <w:r>
              <w:rPr>
                <w:rFonts w:hint="eastAsia" w:ascii="Times New Roman" w:hAnsi="Times New Roman" w:eastAsia="宋体" w:cs="Times New Roman"/>
                <w:b w:val="0"/>
                <w:bCs/>
                <w:color w:val="000000"/>
                <w:sz w:val="24"/>
                <w:highlight w:val="none"/>
                <w:vertAlign w:val="superscript"/>
                <w:lang w:val="en-US" w:eastAsia="zh-CN"/>
              </w:rPr>
              <w:t>2</w:t>
            </w:r>
            <w:r>
              <w:rPr>
                <w:rFonts w:hint="eastAsia" w:ascii="Times New Roman" w:hAnsi="Times New Roman" w:eastAsia="宋体" w:cs="Times New Roman"/>
                <w:b w:val="0"/>
                <w:bCs/>
                <w:color w:val="000000"/>
                <w:sz w:val="24"/>
                <w:highlight w:val="none"/>
                <w:lang w:val="en-US" w:eastAsia="zh-CN"/>
              </w:rPr>
              <w:t>，建设一套40m</w:t>
            </w:r>
            <w:r>
              <w:rPr>
                <w:rFonts w:hint="eastAsia" w:ascii="Times New Roman" w:hAnsi="Times New Roman" w:eastAsia="宋体" w:cs="Times New Roman"/>
                <w:b w:val="0"/>
                <w:bCs/>
                <w:color w:val="000000"/>
                <w:sz w:val="24"/>
                <w:highlight w:val="none"/>
                <w:vertAlign w:val="superscript"/>
                <w:lang w:val="en-US" w:eastAsia="zh-CN"/>
              </w:rPr>
              <w:t>3</w:t>
            </w:r>
            <w:r>
              <w:rPr>
                <w:rFonts w:hint="eastAsia" w:ascii="Times New Roman" w:hAnsi="Times New Roman" w:eastAsia="宋体" w:cs="Times New Roman"/>
                <w:b w:val="0"/>
                <w:bCs/>
                <w:color w:val="000000"/>
                <w:sz w:val="24"/>
                <w:highlight w:val="none"/>
                <w:lang w:val="en-US" w:eastAsia="zh-CN"/>
              </w:rPr>
              <w:t>/d脱硫废水处理装置，使用分步结晶法提取硫氰酸钠、硫代硫酸钠和硫酸钠结晶盐，结晶盐需要进行属性鉴定，根据鉴别属性结果进行合理处置。处理后的脱硫废水全部回收复用于脱硫工段补充循环水。</w:t>
            </w:r>
          </w:p>
          <w:p w14:paraId="0AE9E8C1">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（2）</w:t>
            </w:r>
            <w:r>
              <w:rPr>
                <w:rFonts w:hint="default" w:ascii="Times New Roman" w:hAnsi="Times New Roman" w:eastAsia="宋体" w:cs="Times New Roman"/>
                <w:b w:val="0"/>
                <w:bCs/>
                <w:color w:val="000000"/>
                <w:sz w:val="24"/>
                <w:highlight w:val="none"/>
                <w:lang w:val="en-US" w:eastAsia="zh-CN"/>
              </w:rPr>
              <w:t>原有生化污水处理装置改造</w:t>
            </w:r>
          </w:p>
          <w:p w14:paraId="24C745A7">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现有2台气浮利旧改造成电解浮选，底部带泥斗，增强去油污能力，为后续生化系统以及膜系统的稳定运行提供保障。</w:t>
            </w:r>
          </w:p>
          <w:p w14:paraId="103F030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增加磁悬浮风机，现有风机改为备用，增大风量。</w:t>
            </w:r>
          </w:p>
          <w:p w14:paraId="0297DA83">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现有好氧生化池出水改为自流入接触氧化，再自流入现有混凝沉淀池，实现生化系统全流程自流，避免沉淀池出水泵入生化沉淀池时菌胶团被泵体破碎，难以沉降，出水悬浮物较高。</w:t>
            </w:r>
          </w:p>
          <w:p w14:paraId="0AABC903">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生化沉淀池出水(利旧现有混凝沉淀池)泵入混沉净化装置系统，然后自流入现有生化沉淀池进一步实现泥水分离。</w:t>
            </w:r>
          </w:p>
          <w:p w14:paraId="75AEAD09">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利用现有砂滤器，改造成纤维束过滤器，去除废水中的SS物质，提高臭氧氧化效率。</w:t>
            </w:r>
          </w:p>
          <w:p w14:paraId="658F00BC">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利用现有2套臭氧发生器及4座臭氧氧化塔等设备，恢复其功能，实现废水残留COD的去除。</w:t>
            </w:r>
          </w:p>
          <w:p w14:paraId="57565B6C">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val="en-US" w:eastAsia="zh-CN"/>
              </w:rPr>
            </w:pPr>
            <w:r>
              <w:rPr>
                <w:rFonts w:hint="eastAsia" w:ascii="Times New Roman" w:hAnsi="Times New Roman" w:eastAsia="宋体" w:cs="Times New Roman"/>
                <w:b w:val="0"/>
                <w:bCs/>
                <w:color w:val="000000"/>
                <w:sz w:val="24"/>
                <w:highlight w:val="none"/>
                <w:lang w:val="en-US" w:eastAsia="zh-CN"/>
              </w:rPr>
              <w:t>（3）中水回用及零排放系统工程</w:t>
            </w:r>
          </w:p>
          <w:p w14:paraId="22254C82">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000000"/>
                <w:sz w:val="24"/>
                <w:highlight w:val="none"/>
                <w:lang w:eastAsia="zh-CN"/>
              </w:rPr>
            </w:pPr>
            <w:r>
              <w:rPr>
                <w:rFonts w:hint="eastAsia" w:ascii="Times New Roman" w:hAnsi="Times New Roman" w:eastAsia="宋体" w:cs="Times New Roman"/>
                <w:b w:val="0"/>
                <w:bCs/>
                <w:color w:val="000000"/>
                <w:sz w:val="24"/>
                <w:highlight w:val="none"/>
                <w:lang w:val="en-US" w:eastAsia="zh-CN"/>
              </w:rPr>
              <w:t>新建一套中水回用及零排放系统，包括中水回用及膜分盐系统、蒸发结晶系统</w:t>
            </w:r>
            <w:r>
              <w:rPr>
                <w:rFonts w:hint="default" w:ascii="Times New Roman" w:hAnsi="Times New Roman" w:eastAsia="宋体" w:cs="Times New Roman"/>
                <w:b w:val="0"/>
                <w:bCs/>
                <w:color w:val="000000"/>
                <w:sz w:val="24"/>
                <w:highlight w:val="none"/>
                <w:lang w:eastAsia="zh-CN"/>
              </w:rPr>
              <w:t>。有关参数如下</w:t>
            </w:r>
            <w:r>
              <w:rPr>
                <w:rFonts w:hint="eastAsia" w:ascii="Times New Roman" w:hAnsi="Times New Roman" w:eastAsia="宋体" w:cs="Times New Roman"/>
                <w:b w:val="0"/>
                <w:bCs/>
                <w:color w:val="000000"/>
                <w:sz w:val="24"/>
                <w:highlight w:val="none"/>
                <w:lang w:eastAsia="zh-CN"/>
              </w:rPr>
              <w:t>：</w:t>
            </w:r>
          </w:p>
          <w:p w14:paraId="27E27D8E">
            <w:pPr>
              <w:keepNext w:val="0"/>
              <w:keepLines/>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000000"/>
                <w:sz w:val="24"/>
                <w:highlight w:val="none"/>
                <w:lang w:val="en-US" w:eastAsia="zh-CN"/>
              </w:rPr>
            </w:pPr>
            <w:r>
              <w:rPr>
                <w:rFonts w:hint="default" w:ascii="Times New Roman" w:hAnsi="Times New Roman" w:eastAsia="宋体" w:cs="Times New Roman"/>
                <w:b w:val="0"/>
                <w:bCs/>
                <w:color w:val="000000"/>
                <w:sz w:val="24"/>
                <w:highlight w:val="none"/>
                <w:lang w:eastAsia="zh-CN"/>
              </w:rPr>
              <w:t>中水回用及零排放系统</w:t>
            </w:r>
            <w:r>
              <w:rPr>
                <w:rFonts w:hint="eastAsia" w:ascii="Times New Roman" w:hAnsi="Times New Roman" w:eastAsia="宋体" w:cs="Times New Roman"/>
                <w:b w:val="0"/>
                <w:bCs/>
                <w:color w:val="000000"/>
                <w:sz w:val="24"/>
                <w:highlight w:val="none"/>
                <w:lang w:val="en-US" w:eastAsia="zh-CN"/>
              </w:rPr>
              <w:t>设计</w:t>
            </w:r>
            <w:r>
              <w:rPr>
                <w:rFonts w:hint="default" w:ascii="Times New Roman" w:hAnsi="Times New Roman" w:eastAsia="宋体" w:cs="Times New Roman"/>
                <w:b w:val="0"/>
                <w:bCs/>
                <w:color w:val="000000"/>
                <w:sz w:val="24"/>
                <w:highlight w:val="none"/>
                <w:lang w:eastAsia="zh-CN"/>
              </w:rPr>
              <w:t>处理规模为120m³/h</w:t>
            </w:r>
            <w:r>
              <w:rPr>
                <w:rFonts w:hint="eastAsia" w:ascii="Times New Roman" w:hAnsi="Times New Roman" w:eastAsia="宋体" w:cs="Times New Roman"/>
                <w:b w:val="0"/>
                <w:bCs/>
                <w:color w:val="000000"/>
                <w:sz w:val="24"/>
                <w:highlight w:val="none"/>
                <w:lang w:eastAsia="zh-CN"/>
              </w:rPr>
              <w:t>，</w:t>
            </w:r>
            <w:r>
              <w:rPr>
                <w:rFonts w:hint="eastAsia" w:ascii="Times New Roman" w:hAnsi="Times New Roman" w:eastAsia="宋体" w:cs="Times New Roman"/>
                <w:b w:val="0"/>
                <w:bCs/>
                <w:color w:val="000000"/>
                <w:sz w:val="24"/>
                <w:highlight w:val="none"/>
                <w:lang w:val="en-US" w:eastAsia="zh-CN"/>
              </w:rPr>
              <w:t>实际处理规模为58.76</w:t>
            </w:r>
            <w:r>
              <w:rPr>
                <w:rFonts w:hint="default" w:ascii="Times New Roman" w:hAnsi="Times New Roman" w:eastAsia="宋体" w:cs="Times New Roman"/>
                <w:b w:val="0"/>
                <w:bCs/>
                <w:color w:val="000000"/>
                <w:sz w:val="24"/>
                <w:highlight w:val="none"/>
                <w:lang w:eastAsia="zh-CN"/>
              </w:rPr>
              <w:t>m³/h（包含生化出水41.55m³/h、除盐水站排污水11.1m³/h、循环冷却水排水3.36m³/h、软水站排污水1.25m³/h、炼焦余热锅炉排污水1.5m³/h</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。废水经过多级废水处理工艺后，整体实现95%以上产水率，回收淡水，水质要求达到国家《工业循环冷却水处理设计规范》</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GB50050-2017</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再生水用于间冷开式循环冷却水系统补充水水质标准的要求，浓盐水采用“纳滤+蒸发结晶+冷冻结晶”分盐工艺，实现废水零排放</w:t>
            </w:r>
            <w:r>
              <w:rPr>
                <w:rFonts w:hint="eastAsia" w:ascii="Times New Roman" w:hAnsi="Times New Roman" w:cs="Times New Roman"/>
                <w:color w:val="000000"/>
                <w:sz w:val="24"/>
                <w:highlight w:val="none"/>
                <w:lang w:val="en-US" w:eastAsia="zh-CN"/>
              </w:rPr>
              <w:t>；</w:t>
            </w:r>
            <w:r>
              <w:rPr>
                <w:rFonts w:hint="default" w:ascii="Times New Roman" w:hAnsi="Times New Roman" w:eastAsia="宋体" w:cs="Times New Roman"/>
                <w:b w:val="0"/>
                <w:bCs/>
                <w:color w:val="000000"/>
                <w:sz w:val="24"/>
                <w:highlight w:val="none"/>
                <w:lang w:eastAsia="zh-CN"/>
              </w:rPr>
              <w:t>蒸发结晶产生的硫酸盐、氯化钠结晶盐需要进行属性鉴定，根据鉴别属性结果进行合理处置。</w:t>
            </w:r>
          </w:p>
          <w:p w14:paraId="34A1062D">
            <w:pPr>
              <w:keepNext w:val="0"/>
              <w:keepLines/>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000000"/>
                <w:sz w:val="24"/>
                <w:highlight w:val="none"/>
              </w:rPr>
            </w:pPr>
            <w:r>
              <w:rPr>
                <w:rFonts w:hint="default" w:ascii="Times New Roman" w:hAnsi="Times New Roman" w:cs="Times New Roman"/>
                <w:bCs/>
                <w:color w:val="000000"/>
                <w:sz w:val="24"/>
                <w:highlight w:val="none"/>
              </w:rPr>
              <w:t>工程建设内容见表</w:t>
            </w:r>
            <w:r>
              <w:rPr>
                <w:rFonts w:hint="default" w:ascii="Times New Roman" w:hAnsi="Times New Roman" w:cs="Times New Roman"/>
                <w:bCs/>
                <w:color w:val="000000"/>
                <w:sz w:val="24"/>
                <w:highlight w:val="none"/>
                <w:lang w:val="en-US" w:eastAsia="zh-CN"/>
              </w:rPr>
              <w:t>2-</w:t>
            </w:r>
            <w:r>
              <w:rPr>
                <w:rFonts w:hint="eastAsia" w:ascii="Times New Roman" w:hAnsi="Times New Roman" w:cs="Times New Roman"/>
                <w:bCs/>
                <w:color w:val="000000"/>
                <w:sz w:val="24"/>
                <w:highlight w:val="none"/>
                <w:lang w:val="en-US" w:eastAsia="zh-CN"/>
              </w:rPr>
              <w:t>1</w:t>
            </w:r>
            <w:r>
              <w:rPr>
                <w:rFonts w:hint="default" w:ascii="Times New Roman" w:hAnsi="Times New Roman" w:cs="Times New Roman"/>
                <w:bCs/>
                <w:color w:val="000000"/>
                <w:sz w:val="24"/>
                <w:highlight w:val="none"/>
              </w:rPr>
              <w:t>。</w:t>
            </w:r>
          </w:p>
          <w:p w14:paraId="50C13409">
            <w:pPr>
              <w:keepNext w:val="0"/>
              <w:keepLines/>
              <w:pageBreakBefore w:val="0"/>
              <w:tabs>
                <w:tab w:val="left" w:pos="7600"/>
                <w:tab w:val="right" w:pos="14293"/>
              </w:tabs>
              <w:kinsoku/>
              <w:wordWrap/>
              <w:overflowPunct/>
              <w:topLinePunct w:val="0"/>
              <w:bidi w:val="0"/>
              <w:jc w:val="center"/>
              <w:textAlignment w:val="auto"/>
              <w:rPr>
                <w:rFonts w:hint="default" w:ascii="Times New Roman" w:hAnsi="Times New Roman" w:cs="Times New Roman"/>
                <w:b/>
                <w:color w:val="000000"/>
                <w:sz w:val="24"/>
                <w:szCs w:val="20"/>
                <w:highlight w:val="none"/>
              </w:rPr>
            </w:pPr>
            <w:r>
              <w:rPr>
                <w:rFonts w:hint="default" w:ascii="Times New Roman" w:hAnsi="Times New Roman" w:cs="Times New Roman"/>
                <w:b/>
                <w:color w:val="000000"/>
                <w:sz w:val="24"/>
                <w:szCs w:val="20"/>
                <w:highlight w:val="none"/>
              </w:rPr>
              <w:t>表</w:t>
            </w:r>
            <w:r>
              <w:rPr>
                <w:rFonts w:hint="default" w:ascii="Times New Roman" w:hAnsi="Times New Roman" w:cs="Times New Roman"/>
                <w:b/>
                <w:color w:val="000000"/>
                <w:sz w:val="24"/>
                <w:szCs w:val="20"/>
                <w:highlight w:val="none"/>
                <w:lang w:val="en-US" w:eastAsia="zh-CN"/>
              </w:rPr>
              <w:t>2-</w:t>
            </w:r>
            <w:r>
              <w:rPr>
                <w:rFonts w:hint="eastAsia" w:ascii="Times New Roman" w:hAnsi="Times New Roman" w:cs="Times New Roman"/>
                <w:b/>
                <w:color w:val="000000"/>
                <w:sz w:val="24"/>
                <w:szCs w:val="20"/>
                <w:highlight w:val="none"/>
                <w:lang w:val="en-US" w:eastAsia="zh-CN"/>
              </w:rPr>
              <w:t>1</w:t>
            </w:r>
            <w:r>
              <w:rPr>
                <w:rFonts w:hint="default" w:ascii="Times New Roman" w:hAnsi="Times New Roman" w:cs="Times New Roman"/>
                <w:b/>
                <w:color w:val="000000"/>
                <w:sz w:val="24"/>
                <w:szCs w:val="20"/>
                <w:highlight w:val="none"/>
              </w:rPr>
              <w:t xml:space="preserve">  项目建设内容组成一览表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34"/>
              <w:gridCol w:w="1360"/>
              <w:gridCol w:w="5147"/>
              <w:gridCol w:w="1212"/>
            </w:tblGrid>
            <w:tr w14:paraId="76453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tblHeader/>
                <w:jc w:val="center"/>
              </w:trPr>
              <w:tc>
                <w:tcPr>
                  <w:tcW w:w="1147" w:type="pct"/>
                  <w:gridSpan w:val="2"/>
                  <w:noWrap w:val="0"/>
                  <w:vAlign w:val="center"/>
                </w:tcPr>
                <w:p w14:paraId="0ECAD6DD">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rPr>
                    <w:t>工程类别</w:t>
                  </w:r>
                </w:p>
              </w:tc>
              <w:tc>
                <w:tcPr>
                  <w:tcW w:w="3118" w:type="pct"/>
                  <w:noWrap w:val="0"/>
                  <w:vAlign w:val="center"/>
                </w:tcPr>
                <w:p w14:paraId="198B3F0E">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 w:val="21"/>
                      <w:szCs w:val="21"/>
                      <w:highlight w:val="none"/>
                    </w:rPr>
                  </w:pPr>
                  <w:r>
                    <w:rPr>
                      <w:rFonts w:hint="default" w:ascii="Times New Roman" w:hAnsi="Times New Roman" w:cs="Times New Roman"/>
                      <w:b/>
                      <w:color w:val="000000"/>
                      <w:kern w:val="0"/>
                      <w:sz w:val="21"/>
                      <w:szCs w:val="21"/>
                      <w:highlight w:val="none"/>
                      <w:lang w:eastAsia="zh-TW"/>
                    </w:rPr>
                    <w:t>工程内容及规模</w:t>
                  </w:r>
                </w:p>
              </w:tc>
              <w:tc>
                <w:tcPr>
                  <w:tcW w:w="734" w:type="pct"/>
                  <w:noWrap w:val="0"/>
                  <w:vAlign w:val="center"/>
                </w:tcPr>
                <w:p w14:paraId="2B6B9F92">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b/>
                      <w:color w:val="000000"/>
                      <w:kern w:val="0"/>
                      <w:sz w:val="21"/>
                      <w:szCs w:val="21"/>
                      <w:highlight w:val="none"/>
                      <w:lang w:eastAsia="zh-CN"/>
                    </w:rPr>
                  </w:pPr>
                  <w:r>
                    <w:rPr>
                      <w:rFonts w:hint="eastAsia" w:ascii="Times New Roman" w:hAnsi="Times New Roman" w:cs="Times New Roman"/>
                      <w:b/>
                      <w:color w:val="000000"/>
                      <w:kern w:val="0"/>
                      <w:sz w:val="21"/>
                      <w:szCs w:val="21"/>
                      <w:highlight w:val="none"/>
                      <w:lang w:val="en-US" w:eastAsia="zh-CN"/>
                    </w:rPr>
                    <w:t>备注</w:t>
                  </w:r>
                </w:p>
              </w:tc>
            </w:tr>
            <w:tr w14:paraId="00694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323" w:type="pct"/>
                  <w:vMerge w:val="restart"/>
                  <w:noWrap w:val="0"/>
                  <w:vAlign w:val="center"/>
                </w:tcPr>
                <w:p w14:paraId="171137BC">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主体</w:t>
                  </w:r>
                </w:p>
                <w:p w14:paraId="47FB89E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工程</w:t>
                  </w:r>
                </w:p>
              </w:tc>
              <w:tc>
                <w:tcPr>
                  <w:tcW w:w="823" w:type="pct"/>
                  <w:noWrap w:val="0"/>
                  <w:vAlign w:val="center"/>
                </w:tcPr>
                <w:p w14:paraId="1060AA22">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spacing w:val="-2"/>
                      <w:kern w:val="0"/>
                      <w:sz w:val="21"/>
                      <w:szCs w:val="21"/>
                      <w:highlight w:val="none"/>
                    </w:rPr>
                  </w:pPr>
                  <w:r>
                    <w:rPr>
                      <w:rFonts w:hint="eastAsia" w:ascii="Times New Roman" w:hAnsi="Times New Roman" w:cs="Times New Roman"/>
                      <w:color w:val="000000"/>
                      <w:spacing w:val="-2"/>
                      <w:kern w:val="0"/>
                      <w:sz w:val="21"/>
                      <w:szCs w:val="21"/>
                      <w:highlight w:val="none"/>
                      <w:lang w:eastAsia="zh-CN"/>
                    </w:rPr>
                    <w:t>脱硫废水处理</w:t>
                  </w:r>
                  <w:r>
                    <w:rPr>
                      <w:rFonts w:hint="default" w:ascii="Times New Roman" w:hAnsi="Times New Roman" w:cs="Times New Roman"/>
                      <w:color w:val="000000"/>
                      <w:spacing w:val="-2"/>
                      <w:kern w:val="0"/>
                      <w:sz w:val="21"/>
                      <w:szCs w:val="21"/>
                      <w:highlight w:val="none"/>
                    </w:rPr>
                    <w:t>工程</w:t>
                  </w:r>
                </w:p>
              </w:tc>
              <w:tc>
                <w:tcPr>
                  <w:tcW w:w="3118" w:type="pct"/>
                  <w:noWrap w:val="0"/>
                  <w:vAlign w:val="center"/>
                </w:tcPr>
                <w:p w14:paraId="2A83C625">
                  <w:pPr>
                    <w:keepNext w:val="0"/>
                    <w:keepLines/>
                    <w:pageBreakBefore w:val="0"/>
                    <w:kinsoku/>
                    <w:wordWrap/>
                    <w:overflowPunct/>
                    <w:topLinePunct w:val="0"/>
                    <w:bidi w:val="0"/>
                    <w:jc w:val="both"/>
                    <w:textAlignment w:val="auto"/>
                    <w:rPr>
                      <w:rFonts w:hint="eastAsia"/>
                      <w:color w:val="000000"/>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新建提盐生产框架，占地面积约635m</w:t>
                  </w:r>
                  <w:r>
                    <w:rPr>
                      <w:rFonts w:hint="eastAsia" w:ascii="Times New Roman" w:hAnsi="Times New Roman" w:eastAsia="宋体" w:cs="Times New Roman"/>
                      <w:b w:val="0"/>
                      <w:bCs/>
                      <w:color w:val="000000"/>
                      <w:sz w:val="21"/>
                      <w:szCs w:val="21"/>
                      <w:highlight w:val="none"/>
                      <w:vertAlign w:val="superscript"/>
                      <w:lang w:val="en-US" w:eastAsia="zh-CN"/>
                    </w:rPr>
                    <w:t>2</w:t>
                  </w:r>
                  <w:r>
                    <w:rPr>
                      <w:rFonts w:hint="eastAsia" w:ascii="Times New Roman" w:hAnsi="Times New Roman" w:eastAsia="宋体" w:cs="Times New Roman"/>
                      <w:b w:val="0"/>
                      <w:bCs/>
                      <w:color w:val="000000"/>
                      <w:sz w:val="21"/>
                      <w:szCs w:val="21"/>
                      <w:highlight w:val="none"/>
                      <w:lang w:val="en-US" w:eastAsia="zh-CN"/>
                    </w:rPr>
                    <w:t>，建设一套40m</w:t>
                  </w:r>
                  <w:r>
                    <w:rPr>
                      <w:rFonts w:hint="eastAsia" w:ascii="Times New Roman" w:hAnsi="Times New Roman" w:eastAsia="宋体" w:cs="Times New Roman"/>
                      <w:b w:val="0"/>
                      <w:bCs/>
                      <w:color w:val="000000"/>
                      <w:sz w:val="21"/>
                      <w:szCs w:val="21"/>
                      <w:highlight w:val="none"/>
                      <w:vertAlign w:val="superscript"/>
                      <w:lang w:val="en-US" w:eastAsia="zh-CN"/>
                    </w:rPr>
                    <w:t>3</w:t>
                  </w:r>
                  <w:r>
                    <w:rPr>
                      <w:rFonts w:hint="eastAsia" w:ascii="Times New Roman" w:hAnsi="Times New Roman" w:eastAsia="宋体" w:cs="Times New Roman"/>
                      <w:b w:val="0"/>
                      <w:bCs/>
                      <w:color w:val="000000"/>
                      <w:sz w:val="21"/>
                      <w:szCs w:val="21"/>
                      <w:highlight w:val="none"/>
                      <w:lang w:val="en-US" w:eastAsia="zh-CN"/>
                    </w:rPr>
                    <w:t>/d脱硫废水处理装置</w:t>
                  </w:r>
                  <w:r>
                    <w:rPr>
                      <w:rFonts w:hint="eastAsia"/>
                      <w:color w:val="000000"/>
                      <w:highlight w:val="none"/>
                      <w:lang w:eastAsia="zh-CN"/>
                    </w:rPr>
                    <w:t>，</w:t>
                  </w:r>
                  <w:r>
                    <w:rPr>
                      <w:rFonts w:hint="eastAsia"/>
                      <w:color w:val="000000"/>
                      <w:highlight w:val="none"/>
                      <w:lang w:val="en-US" w:eastAsia="zh-CN"/>
                    </w:rPr>
                    <w:t>主要包括脱色釜、浓缩釜、结晶釜、</w:t>
                  </w:r>
                </w:p>
                <w:p w14:paraId="4471C552">
                  <w:pPr>
                    <w:keepNext w:val="0"/>
                    <w:keepLines/>
                    <w:pageBreakBefore w:val="0"/>
                    <w:kinsoku/>
                    <w:wordWrap/>
                    <w:overflowPunct/>
                    <w:topLinePunct w:val="0"/>
                    <w:bidi w:val="0"/>
                    <w:jc w:val="both"/>
                    <w:textAlignment w:val="auto"/>
                    <w:rPr>
                      <w:rFonts w:hint="default" w:ascii="Times New Roman" w:hAnsi="Times New Roman" w:cs="Times New Roman"/>
                      <w:color w:val="000000"/>
                      <w:kern w:val="0"/>
                      <w:sz w:val="21"/>
                      <w:szCs w:val="21"/>
                      <w:highlight w:val="none"/>
                    </w:rPr>
                  </w:pPr>
                  <w:r>
                    <w:rPr>
                      <w:rFonts w:hint="eastAsia"/>
                      <w:color w:val="000000"/>
                      <w:highlight w:val="none"/>
                      <w:lang w:val="en-US" w:eastAsia="zh-CN"/>
                    </w:rPr>
                    <w:t>压滤机、离心机等设备</w:t>
                  </w:r>
                  <w:r>
                    <w:rPr>
                      <w:rFonts w:hint="eastAsia" w:ascii="Times New Roman" w:hAnsi="Times New Roman" w:eastAsia="宋体" w:cs="Times New Roman"/>
                      <w:b w:val="0"/>
                      <w:bCs/>
                      <w:color w:val="000000"/>
                      <w:sz w:val="21"/>
                      <w:szCs w:val="21"/>
                      <w:highlight w:val="none"/>
                      <w:lang w:val="en-US" w:eastAsia="zh-CN"/>
                    </w:rPr>
                    <w:t>，</w:t>
                  </w:r>
                  <w:r>
                    <w:rPr>
                      <w:rFonts w:hint="eastAsia" w:ascii="Times New Roman" w:hAnsi="Times New Roman" w:cs="Times New Roman"/>
                      <w:color w:val="000000"/>
                      <w:kern w:val="0"/>
                      <w:sz w:val="21"/>
                      <w:szCs w:val="21"/>
                      <w:highlight w:val="none"/>
                      <w:lang w:val="en-US" w:eastAsia="zh-CN"/>
                    </w:rPr>
                    <w:t>配套设备明细见表2-3</w:t>
                  </w:r>
                  <w:r>
                    <w:rPr>
                      <w:rFonts w:hint="eastAsia" w:ascii="Times New Roman" w:hAnsi="Times New Roman" w:eastAsia="宋体" w:cs="Times New Roman"/>
                      <w:b w:val="0"/>
                      <w:bCs/>
                      <w:color w:val="000000"/>
                      <w:sz w:val="21"/>
                      <w:szCs w:val="21"/>
                      <w:highlight w:val="none"/>
                      <w:lang w:val="en-US" w:eastAsia="zh-CN"/>
                    </w:rPr>
                    <w:t>。</w:t>
                  </w:r>
                </w:p>
              </w:tc>
              <w:tc>
                <w:tcPr>
                  <w:tcW w:w="734" w:type="pct"/>
                  <w:noWrap w:val="0"/>
                  <w:vAlign w:val="center"/>
                </w:tcPr>
                <w:p w14:paraId="070D5F8C">
                  <w:pPr>
                    <w:keepNext w:val="0"/>
                    <w:keepLines/>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新建</w:t>
                  </w:r>
                </w:p>
              </w:tc>
            </w:tr>
            <w:tr w14:paraId="359C4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48" w:hRule="atLeast"/>
                <w:jc w:val="center"/>
              </w:trPr>
              <w:tc>
                <w:tcPr>
                  <w:tcW w:w="323" w:type="pct"/>
                  <w:vMerge w:val="continue"/>
                  <w:noWrap w:val="0"/>
                  <w:vAlign w:val="center"/>
                </w:tcPr>
                <w:p w14:paraId="3C719DCF">
                  <w:pPr>
                    <w:keepNext w:val="0"/>
                    <w:keepLines/>
                    <w:pageBreakBefore w:val="0"/>
                    <w:kinsoku/>
                    <w:wordWrap/>
                    <w:overflowPunct/>
                    <w:topLinePunct w:val="0"/>
                    <w:bidi w:val="0"/>
                    <w:adjustRightInd w:val="0"/>
                    <w:snapToGrid w:val="0"/>
                    <w:jc w:val="center"/>
                    <w:textAlignment w:val="auto"/>
                    <w:rPr>
                      <w:color w:val="000000"/>
                      <w:highlight w:val="none"/>
                    </w:rPr>
                  </w:pPr>
                </w:p>
              </w:tc>
              <w:tc>
                <w:tcPr>
                  <w:tcW w:w="823" w:type="pct"/>
                  <w:noWrap w:val="0"/>
                  <w:vAlign w:val="center"/>
                </w:tcPr>
                <w:p w14:paraId="19F1DE52">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spacing w:val="-2"/>
                      <w:kern w:val="0"/>
                      <w:sz w:val="21"/>
                      <w:szCs w:val="21"/>
                      <w:highlight w:val="none"/>
                    </w:rPr>
                  </w:pPr>
                  <w:r>
                    <w:rPr>
                      <w:rFonts w:hint="default" w:ascii="Times New Roman" w:hAnsi="Times New Roman" w:cs="Times New Roman"/>
                      <w:color w:val="000000"/>
                      <w:spacing w:val="-2"/>
                      <w:kern w:val="0"/>
                      <w:sz w:val="21"/>
                      <w:szCs w:val="21"/>
                      <w:highlight w:val="none"/>
                    </w:rPr>
                    <w:t>原有</w:t>
                  </w:r>
                </w:p>
                <w:p w14:paraId="57D37707">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cs="Times New Roman"/>
                      <w:color w:val="000000"/>
                      <w:spacing w:val="-2"/>
                      <w:kern w:val="0"/>
                      <w:sz w:val="21"/>
                      <w:szCs w:val="21"/>
                      <w:highlight w:val="none"/>
                      <w:lang w:val="en-US" w:eastAsia="zh-CN"/>
                    </w:rPr>
                  </w:pPr>
                  <w:r>
                    <w:rPr>
                      <w:rFonts w:hint="eastAsia" w:ascii="Times New Roman" w:hAnsi="Times New Roman" w:cs="Times New Roman"/>
                      <w:color w:val="000000"/>
                      <w:spacing w:val="-2"/>
                      <w:kern w:val="0"/>
                      <w:sz w:val="21"/>
                      <w:szCs w:val="21"/>
                      <w:highlight w:val="none"/>
                      <w:lang w:val="en-US" w:eastAsia="zh-CN"/>
                    </w:rPr>
                    <w:t>污</w:t>
                  </w:r>
                  <w:r>
                    <w:rPr>
                      <w:rFonts w:hint="default" w:ascii="Times New Roman" w:hAnsi="Times New Roman" w:cs="Times New Roman"/>
                      <w:color w:val="000000"/>
                      <w:spacing w:val="-2"/>
                      <w:kern w:val="0"/>
                      <w:sz w:val="21"/>
                      <w:szCs w:val="21"/>
                      <w:highlight w:val="none"/>
                    </w:rPr>
                    <w:t>水处理站</w:t>
                  </w:r>
                </w:p>
              </w:tc>
              <w:tc>
                <w:tcPr>
                  <w:tcW w:w="3118" w:type="pct"/>
                  <w:noWrap w:val="0"/>
                  <w:vAlign w:val="center"/>
                </w:tcPr>
                <w:p w14:paraId="76B4D8A1">
                  <w:pPr>
                    <w:keepNext w:val="0"/>
                    <w:keepLines/>
                    <w:pageBreakBefore w:val="0"/>
                    <w:kinsoku/>
                    <w:wordWrap/>
                    <w:overflowPunct/>
                    <w:topLinePunct w:val="0"/>
                    <w:bidi w:val="0"/>
                    <w:jc w:val="both"/>
                    <w:textAlignment w:val="auto"/>
                    <w:rPr>
                      <w:rFonts w:hint="eastAsia" w:ascii="Times New Roman" w:hAnsi="Times New Roman" w:cs="Times New Roman"/>
                      <w:color w:val="000000"/>
                      <w:spacing w:val="-2"/>
                      <w:kern w:val="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现有2台气浮利旧改造成电解浮选，底部带泥斗，增加磁悬浮风机，现有风机改为备用；现有好氧生化池出水改为自流入接触氧化，再自流入现有混凝沉淀池；生化沉淀池出水(利旧现有混凝沉淀池)泵入混沉净化装置系统，然后自流入现有生化沉淀池进一步实现泥水分离；利用现有砂滤器，改造成纤维束过滤器；利用现有备用的2套臭氧发生器及4座臭氧氧化塔等设备，恢复其功能。</w:t>
                  </w:r>
                </w:p>
              </w:tc>
              <w:tc>
                <w:tcPr>
                  <w:tcW w:w="734" w:type="pct"/>
                  <w:noWrap w:val="0"/>
                  <w:vAlign w:val="center"/>
                </w:tcPr>
                <w:p w14:paraId="474D4BD2">
                  <w:pPr>
                    <w:keepNext w:val="0"/>
                    <w:keepLines/>
                    <w:pageBreakBefore w:val="0"/>
                    <w:kinsoku/>
                    <w:wordWrap/>
                    <w:overflowPunct/>
                    <w:topLinePunct w:val="0"/>
                    <w:bidi w:val="0"/>
                    <w:adjustRightInd w:val="0"/>
                    <w:snapToGrid w:val="0"/>
                    <w:jc w:val="center"/>
                    <w:textAlignment w:val="auto"/>
                    <w:rPr>
                      <w:rFonts w:hint="eastAsia" w:ascii="Times New Roman" w:hAnsi="Times New Roman" w:cs="Times New Roman"/>
                      <w:color w:val="000000"/>
                      <w:spacing w:val="-2"/>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改建</w:t>
                  </w:r>
                </w:p>
              </w:tc>
            </w:tr>
            <w:tr w14:paraId="53985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42C5E3AE">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lang w:eastAsia="zh-TW"/>
                    </w:rPr>
                  </w:pPr>
                </w:p>
              </w:tc>
              <w:tc>
                <w:tcPr>
                  <w:tcW w:w="823" w:type="pct"/>
                  <w:noWrap w:val="0"/>
                  <w:vAlign w:val="center"/>
                </w:tcPr>
                <w:p w14:paraId="22BBCF17">
                  <w:pPr>
                    <w:keepNext w:val="0"/>
                    <w:keepLines/>
                    <w:pageBreakBefore w:val="0"/>
                    <w:kinsoku/>
                    <w:wordWrap/>
                    <w:overflowPunct/>
                    <w:topLinePunct w:val="0"/>
                    <w:autoSpaceDE w:val="0"/>
                    <w:autoSpaceDN w:val="0"/>
                    <w:bidi w:val="0"/>
                    <w:adjustRightIn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中水回用系统</w:t>
                  </w:r>
                </w:p>
              </w:tc>
              <w:tc>
                <w:tcPr>
                  <w:tcW w:w="3118" w:type="pct"/>
                  <w:noWrap w:val="0"/>
                  <w:vAlign w:val="center"/>
                </w:tcPr>
                <w:p w14:paraId="0B70039B">
                  <w:pPr>
                    <w:keepNext w:val="0"/>
                    <w:keepLines/>
                    <w:pageBreakBefore w:val="0"/>
                    <w:kinsoku/>
                    <w:wordWrap/>
                    <w:overflowPunct/>
                    <w:topLinePunct w:val="0"/>
                    <w:autoSpaceDE w:val="0"/>
                    <w:autoSpaceDN w:val="0"/>
                    <w:bidi w:val="0"/>
                    <w:adjustRightInd w:val="0"/>
                    <w:jc w:val="both"/>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新建一套中水回用系统，处理规模120m³/h，主要包括催化氧化装置、超滤装置、超滤化学清洗装置、反渗透装置、加药系统等，相应构建筑物及配套设备明细见表2-2、2-4。</w:t>
                  </w:r>
                </w:p>
              </w:tc>
              <w:tc>
                <w:tcPr>
                  <w:tcW w:w="734" w:type="pct"/>
                  <w:noWrap w:val="0"/>
                  <w:vAlign w:val="center"/>
                </w:tcPr>
                <w:p w14:paraId="09680285">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新建</w:t>
                  </w:r>
                </w:p>
              </w:tc>
            </w:tr>
            <w:tr w14:paraId="19AAF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09F9B49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lang w:eastAsia="zh-TW"/>
                    </w:rPr>
                  </w:pPr>
                </w:p>
              </w:tc>
              <w:tc>
                <w:tcPr>
                  <w:tcW w:w="823" w:type="pct"/>
                  <w:noWrap w:val="0"/>
                  <w:vAlign w:val="center"/>
                </w:tcPr>
                <w:p w14:paraId="032B8CA6">
                  <w:pPr>
                    <w:keepNext w:val="0"/>
                    <w:keepLines/>
                    <w:pageBreakBefore w:val="0"/>
                    <w:kinsoku/>
                    <w:wordWrap/>
                    <w:overflowPunct/>
                    <w:topLinePunct w:val="0"/>
                    <w:autoSpaceDE w:val="0"/>
                    <w:autoSpaceDN w:val="0"/>
                    <w:bidi w:val="0"/>
                    <w:adjustRightIn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零排放系统</w:t>
                  </w:r>
                </w:p>
              </w:tc>
              <w:tc>
                <w:tcPr>
                  <w:tcW w:w="3118" w:type="pct"/>
                  <w:noWrap w:val="0"/>
                  <w:vAlign w:val="center"/>
                </w:tcPr>
                <w:p w14:paraId="6B9035A1">
                  <w:pPr>
                    <w:keepNext w:val="0"/>
                    <w:keepLines/>
                    <w:pageBreakBefore w:val="0"/>
                    <w:widowControl/>
                    <w:kinsoku/>
                    <w:wordWrap/>
                    <w:overflowPunct/>
                    <w:topLinePunct w:val="0"/>
                    <w:bidi w:val="0"/>
                    <w:adjustRightInd w:val="0"/>
                    <w:snapToGrid w:val="0"/>
                    <w:jc w:val="both"/>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购置硫酸钠结晶系统（处理量2.5m³/h）一套、氯化钠结晶系统（处理量3.5m³/h）一套、杂盐处理系统一套，用于回收氯化钠、硫酸钠结晶盐。相应构建筑物及配套设备明细见表2-2、2-5。</w:t>
                  </w:r>
                </w:p>
              </w:tc>
              <w:tc>
                <w:tcPr>
                  <w:tcW w:w="734" w:type="pct"/>
                  <w:noWrap w:val="0"/>
                  <w:vAlign w:val="center"/>
                </w:tcPr>
                <w:p w14:paraId="2D102BC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新建</w:t>
                  </w:r>
                </w:p>
              </w:tc>
            </w:tr>
            <w:tr w14:paraId="6DCAE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restart"/>
                  <w:noWrap w:val="0"/>
                  <w:vAlign w:val="center"/>
                </w:tcPr>
                <w:p w14:paraId="51D0603D">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辅助</w:t>
                  </w:r>
                </w:p>
                <w:p w14:paraId="322D89E8">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lang w:eastAsia="zh-TW"/>
                    </w:rPr>
                  </w:pPr>
                  <w:r>
                    <w:rPr>
                      <w:rFonts w:hint="default" w:ascii="Times New Roman" w:hAnsi="Times New Roman" w:cs="Times New Roman"/>
                      <w:color w:val="000000"/>
                      <w:kern w:val="0"/>
                      <w:sz w:val="21"/>
                      <w:szCs w:val="21"/>
                      <w:highlight w:val="none"/>
                    </w:rPr>
                    <w:t>工程</w:t>
                  </w:r>
                </w:p>
              </w:tc>
              <w:tc>
                <w:tcPr>
                  <w:tcW w:w="823" w:type="pct"/>
                  <w:noWrap w:val="0"/>
                  <w:vAlign w:val="center"/>
                </w:tcPr>
                <w:p w14:paraId="468256BB">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办公</w:t>
                  </w:r>
                </w:p>
              </w:tc>
              <w:tc>
                <w:tcPr>
                  <w:tcW w:w="3118" w:type="pct"/>
                  <w:noWrap w:val="0"/>
                  <w:vAlign w:val="center"/>
                </w:tcPr>
                <w:p w14:paraId="103904F7">
                  <w:pPr>
                    <w:keepNext w:val="0"/>
                    <w:keepLines/>
                    <w:pageBreakBefore w:val="0"/>
                    <w:kinsoku/>
                    <w:wordWrap/>
                    <w:overflowPunct/>
                    <w:topLinePunct w:val="0"/>
                    <w:bidi w:val="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val="en-US" w:eastAsia="zh-CN"/>
                    </w:rPr>
                    <w:t>依托原有</w:t>
                  </w:r>
                </w:p>
              </w:tc>
              <w:tc>
                <w:tcPr>
                  <w:tcW w:w="734" w:type="pct"/>
                  <w:noWrap w:val="0"/>
                  <w:vAlign w:val="center"/>
                </w:tcPr>
                <w:p w14:paraId="743DEBEA">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spacing w:val="-4"/>
                      <w:kern w:val="0"/>
                      <w:sz w:val="21"/>
                      <w:szCs w:val="21"/>
                      <w:highlight w:val="none"/>
                      <w:lang w:val="en-US" w:eastAsia="zh-CN"/>
                    </w:rPr>
                  </w:pPr>
                  <w:r>
                    <w:rPr>
                      <w:rFonts w:hint="eastAsia" w:ascii="Times New Roman" w:hAnsi="Times New Roman" w:cs="Times New Roman"/>
                      <w:color w:val="000000"/>
                      <w:spacing w:val="-4"/>
                      <w:kern w:val="0"/>
                      <w:sz w:val="21"/>
                      <w:szCs w:val="21"/>
                      <w:highlight w:val="none"/>
                      <w:lang w:val="en-US" w:eastAsia="zh-CN"/>
                    </w:rPr>
                    <w:t>依托</w:t>
                  </w:r>
                </w:p>
              </w:tc>
            </w:tr>
            <w:tr w14:paraId="701B3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54F63DD5">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2454F4E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化验室</w:t>
                  </w:r>
                </w:p>
              </w:tc>
              <w:tc>
                <w:tcPr>
                  <w:tcW w:w="3118" w:type="pct"/>
                  <w:noWrap w:val="0"/>
                  <w:vAlign w:val="center"/>
                </w:tcPr>
                <w:p w14:paraId="5B182FE1">
                  <w:pPr>
                    <w:keepNext w:val="0"/>
                    <w:keepLines/>
                    <w:pageBreakBefore w:val="0"/>
                    <w:widowControl/>
                    <w:kinsoku/>
                    <w:wordWrap/>
                    <w:overflowPunct/>
                    <w:topLinePunct w:val="0"/>
                    <w:bidi w:val="0"/>
                    <w:adjustRightInd w:val="0"/>
                    <w:snapToGrid w:val="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4"/>
                      <w:kern w:val="0"/>
                      <w:sz w:val="21"/>
                      <w:szCs w:val="21"/>
                      <w:highlight w:val="none"/>
                    </w:rPr>
                    <w:t>厂区设有</w:t>
                  </w:r>
                  <w:r>
                    <w:rPr>
                      <w:rFonts w:hint="default" w:ascii="Times New Roman" w:hAnsi="Times New Roman" w:cs="Times New Roman"/>
                      <w:color w:val="000000"/>
                      <w:sz w:val="21"/>
                      <w:szCs w:val="21"/>
                      <w:highlight w:val="none"/>
                    </w:rPr>
                    <w:t>监测化验室，进行常规化验。以监测水质变化情况，实现最佳运行条件，做到达标回用。</w:t>
                  </w:r>
                </w:p>
              </w:tc>
              <w:tc>
                <w:tcPr>
                  <w:tcW w:w="734" w:type="pct"/>
                  <w:noWrap w:val="0"/>
                  <w:vAlign w:val="center"/>
                </w:tcPr>
                <w:p w14:paraId="27E53E57">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spacing w:val="-4"/>
                      <w:kern w:val="0"/>
                      <w:sz w:val="21"/>
                      <w:szCs w:val="21"/>
                      <w:highlight w:val="none"/>
                    </w:rPr>
                  </w:pPr>
                  <w:r>
                    <w:rPr>
                      <w:rFonts w:hint="default" w:ascii="Times New Roman" w:hAnsi="Times New Roman" w:cs="Times New Roman"/>
                      <w:color w:val="000000"/>
                      <w:spacing w:val="-4"/>
                      <w:kern w:val="0"/>
                      <w:sz w:val="21"/>
                      <w:szCs w:val="21"/>
                      <w:highlight w:val="none"/>
                    </w:rPr>
                    <w:t>依托厂区原有</w:t>
                  </w:r>
                </w:p>
              </w:tc>
            </w:tr>
            <w:tr w14:paraId="25526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323" w:type="pct"/>
                  <w:vMerge w:val="restart"/>
                  <w:noWrap w:val="0"/>
                  <w:vAlign w:val="center"/>
                </w:tcPr>
                <w:p w14:paraId="3DF04DB8">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储运</w:t>
                  </w:r>
                </w:p>
                <w:p w14:paraId="73068215">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工程</w:t>
                  </w:r>
                </w:p>
              </w:tc>
              <w:tc>
                <w:tcPr>
                  <w:tcW w:w="823" w:type="pct"/>
                  <w:noWrap w:val="0"/>
                  <w:vAlign w:val="center"/>
                </w:tcPr>
                <w:p w14:paraId="73CBA8DA">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药剂库</w:t>
                  </w:r>
                </w:p>
              </w:tc>
              <w:tc>
                <w:tcPr>
                  <w:tcW w:w="3118" w:type="pct"/>
                  <w:noWrap w:val="0"/>
                  <w:vAlign w:val="center"/>
                </w:tcPr>
                <w:p w14:paraId="680F386F">
                  <w:pPr>
                    <w:keepNext w:val="0"/>
                    <w:keepLines/>
                    <w:pageBreakBefore w:val="0"/>
                    <w:kinsoku/>
                    <w:wordWrap/>
                    <w:overflowPunct/>
                    <w:topLinePunct w:val="0"/>
                    <w:autoSpaceDE w:val="0"/>
                    <w:autoSpaceDN w:val="0"/>
                    <w:bidi w:val="0"/>
                    <w:adjustRightInd w:val="0"/>
                    <w:jc w:val="left"/>
                    <w:textAlignment w:val="auto"/>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lang w:val="en-US" w:eastAsia="zh-CN"/>
                    </w:rPr>
                    <w:t>位于中水回用系统综合处理厂房内，占地面积24.5</w:t>
                  </w:r>
                  <w:r>
                    <w:rPr>
                      <w:rFonts w:hint="default" w:ascii="Times New Roman" w:hAnsi="Times New Roman" w:cs="Times New Roman"/>
                      <w:color w:val="000000"/>
                      <w:kern w:val="0"/>
                      <w:sz w:val="21"/>
                      <w:szCs w:val="21"/>
                      <w:highlight w:val="none"/>
                    </w:rPr>
                    <w:t>m</w:t>
                  </w:r>
                  <w:r>
                    <w:rPr>
                      <w:rFonts w:hint="default" w:ascii="Times New Roman" w:hAnsi="Times New Roman" w:cs="Times New Roman"/>
                      <w:color w:val="000000"/>
                      <w:kern w:val="0"/>
                      <w:sz w:val="21"/>
                      <w:szCs w:val="21"/>
                      <w:highlight w:val="none"/>
                      <w:vertAlign w:val="superscript"/>
                    </w:rPr>
                    <w:t>2</w:t>
                  </w:r>
                  <w:r>
                    <w:rPr>
                      <w:rFonts w:hint="default" w:ascii="Times New Roman" w:hAnsi="Times New Roman" w:cs="Times New Roman"/>
                      <w:color w:val="000000"/>
                      <w:kern w:val="0"/>
                      <w:sz w:val="21"/>
                      <w:szCs w:val="21"/>
                      <w:highlight w:val="none"/>
                    </w:rPr>
                    <w:t>，主要储存聚丙烯酰胺（PAM）、聚合氯化铝（PAC）、活性炭等辅料。</w:t>
                  </w:r>
                </w:p>
              </w:tc>
              <w:tc>
                <w:tcPr>
                  <w:tcW w:w="734" w:type="pct"/>
                  <w:noWrap w:val="0"/>
                  <w:vAlign w:val="center"/>
                </w:tcPr>
                <w:p w14:paraId="1E97D4ED">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eastAsia="zh-CN"/>
                    </w:rPr>
                  </w:pPr>
                  <w:r>
                    <w:rPr>
                      <w:rFonts w:hint="eastAsia" w:ascii="Times New Roman" w:hAnsi="Times New Roman" w:cs="Times New Roman"/>
                      <w:color w:val="000000"/>
                      <w:spacing w:val="-4"/>
                      <w:kern w:val="0"/>
                      <w:sz w:val="21"/>
                      <w:szCs w:val="21"/>
                      <w:highlight w:val="none"/>
                      <w:lang w:val="en-US" w:eastAsia="zh-CN"/>
                    </w:rPr>
                    <w:t>新建</w:t>
                  </w:r>
                </w:p>
              </w:tc>
            </w:tr>
            <w:tr w14:paraId="44D95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42B453C9">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3955FE7C">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危废库房</w:t>
                  </w:r>
                </w:p>
              </w:tc>
              <w:tc>
                <w:tcPr>
                  <w:tcW w:w="3118" w:type="pct"/>
                  <w:noWrap w:val="0"/>
                  <w:vAlign w:val="center"/>
                </w:tcPr>
                <w:p w14:paraId="2A9C27DA">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设有标准危废库房，面积</w:t>
                  </w:r>
                  <w:r>
                    <w:rPr>
                      <w:rFonts w:hint="eastAsia" w:ascii="Times New Roman" w:hAnsi="Times New Roman" w:cs="Times New Roman"/>
                      <w:color w:val="000000"/>
                      <w:kern w:val="0"/>
                      <w:sz w:val="21"/>
                      <w:szCs w:val="21"/>
                      <w:highlight w:val="none"/>
                      <w:lang w:val="en-US" w:eastAsia="zh-CN"/>
                    </w:rPr>
                    <w:t>30</w:t>
                  </w:r>
                  <w:r>
                    <w:rPr>
                      <w:rFonts w:hint="default" w:ascii="Times New Roman" w:hAnsi="Times New Roman" w:cs="Times New Roman"/>
                      <w:color w:val="000000"/>
                      <w:kern w:val="0"/>
                      <w:sz w:val="21"/>
                      <w:szCs w:val="21"/>
                      <w:highlight w:val="none"/>
                      <w:lang w:val="en-US" w:eastAsia="zh-CN"/>
                    </w:rPr>
                    <w:t>0</w:t>
                  </w:r>
                  <w:r>
                    <w:rPr>
                      <w:rFonts w:hint="default" w:ascii="Times New Roman" w:hAnsi="Times New Roman" w:cs="Times New Roman"/>
                      <w:color w:val="000000"/>
                      <w:kern w:val="0"/>
                      <w:sz w:val="21"/>
                      <w:szCs w:val="21"/>
                      <w:highlight w:val="none"/>
                    </w:rPr>
                    <w:t>m</w:t>
                  </w:r>
                  <w:r>
                    <w:rPr>
                      <w:rFonts w:hint="default" w:ascii="Times New Roman" w:hAnsi="Times New Roman" w:cs="Times New Roman"/>
                      <w:color w:val="000000"/>
                      <w:kern w:val="0"/>
                      <w:sz w:val="21"/>
                      <w:szCs w:val="21"/>
                      <w:highlight w:val="none"/>
                      <w:vertAlign w:val="superscript"/>
                    </w:rPr>
                    <w:t>2</w:t>
                  </w:r>
                </w:p>
              </w:tc>
              <w:tc>
                <w:tcPr>
                  <w:tcW w:w="734" w:type="pct"/>
                  <w:noWrap w:val="0"/>
                  <w:vAlign w:val="center"/>
                </w:tcPr>
                <w:p w14:paraId="002C84B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spacing w:val="-4"/>
                      <w:kern w:val="0"/>
                      <w:sz w:val="21"/>
                      <w:szCs w:val="21"/>
                      <w:highlight w:val="none"/>
                    </w:rPr>
                    <w:t>依托厂区原有</w:t>
                  </w:r>
                </w:p>
              </w:tc>
            </w:tr>
            <w:tr w14:paraId="4BDEC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restart"/>
                  <w:noWrap w:val="0"/>
                  <w:vAlign w:val="center"/>
                </w:tcPr>
                <w:p w14:paraId="0CA68E07">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公用工程</w:t>
                  </w:r>
                </w:p>
              </w:tc>
              <w:tc>
                <w:tcPr>
                  <w:tcW w:w="823" w:type="pct"/>
                  <w:noWrap w:val="0"/>
                  <w:vAlign w:val="center"/>
                </w:tcPr>
                <w:p w14:paraId="5671F6F4">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供水</w:t>
                  </w:r>
                </w:p>
              </w:tc>
              <w:tc>
                <w:tcPr>
                  <w:tcW w:w="3118" w:type="pct"/>
                  <w:noWrap w:val="0"/>
                  <w:vAlign w:val="center"/>
                </w:tcPr>
                <w:p w14:paraId="1F4BF3DE">
                  <w:pPr>
                    <w:keepNext w:val="0"/>
                    <w:keepLines/>
                    <w:pageBreakBefore w:val="0"/>
                    <w:widowControl/>
                    <w:kinsoku/>
                    <w:wordWrap/>
                    <w:overflowPunct/>
                    <w:topLinePunct w:val="0"/>
                    <w:bidi w:val="0"/>
                    <w:adjustRightInd w:val="0"/>
                    <w:snapToGrid w:val="0"/>
                    <w:jc w:val="left"/>
                    <w:textAlignment w:val="auto"/>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lang w:val="en-US" w:eastAsia="zh-CN"/>
                    </w:rPr>
                    <w:t>新鲜水年用量62.05m³/a</w:t>
                  </w:r>
                  <w:r>
                    <w:rPr>
                      <w:rFonts w:hint="default" w:ascii="Times New Roman" w:hAnsi="Times New Roman" w:cs="Times New Roman"/>
                      <w:color w:val="000000"/>
                      <w:kern w:val="0"/>
                      <w:sz w:val="21"/>
                      <w:szCs w:val="21"/>
                      <w:highlight w:val="none"/>
                    </w:rPr>
                    <w:t>。</w:t>
                  </w:r>
                </w:p>
              </w:tc>
              <w:tc>
                <w:tcPr>
                  <w:tcW w:w="734" w:type="pct"/>
                  <w:noWrap w:val="0"/>
                  <w:vAlign w:val="center"/>
                </w:tcPr>
                <w:p w14:paraId="0967440E">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spacing w:val="-4"/>
                      <w:kern w:val="0"/>
                      <w:sz w:val="21"/>
                      <w:szCs w:val="21"/>
                      <w:highlight w:val="none"/>
                    </w:rPr>
                    <w:t>依托厂区原有</w:t>
                  </w:r>
                </w:p>
              </w:tc>
            </w:tr>
            <w:tr w14:paraId="1C1B7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4F3B8079">
                  <w:pPr>
                    <w:keepNext w:val="0"/>
                    <w:keepLines/>
                    <w:pageBreakBefore w:val="0"/>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642B0F72">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排水</w:t>
                  </w:r>
                </w:p>
              </w:tc>
              <w:tc>
                <w:tcPr>
                  <w:tcW w:w="3118" w:type="pct"/>
                  <w:noWrap w:val="0"/>
                  <w:vAlign w:val="center"/>
                </w:tcPr>
                <w:p w14:paraId="7387BBA4">
                  <w:pPr>
                    <w:keepNext w:val="0"/>
                    <w:keepLines/>
                    <w:pageBreakBefore w:val="0"/>
                    <w:widowControl/>
                    <w:kinsoku/>
                    <w:wordWrap/>
                    <w:overflowPunct/>
                    <w:topLinePunct w:val="0"/>
                    <w:bidi w:val="0"/>
                    <w:adjustRightInd w:val="0"/>
                    <w:snapToGrid w:val="0"/>
                    <w:jc w:val="both"/>
                    <w:textAlignment w:val="auto"/>
                    <w:rPr>
                      <w:rFonts w:hint="default" w:ascii="Times New Roman" w:hAnsi="Times New Roman" w:cs="Times New Roman"/>
                      <w:color w:val="000000"/>
                      <w:spacing w:val="-2"/>
                      <w:kern w:val="0"/>
                      <w:sz w:val="21"/>
                      <w:szCs w:val="21"/>
                      <w:highlight w:val="none"/>
                    </w:rPr>
                  </w:pPr>
                  <w:r>
                    <w:rPr>
                      <w:rFonts w:hint="default" w:ascii="Times New Roman" w:hAnsi="Times New Roman" w:cs="Times New Roman"/>
                      <w:color w:val="000000"/>
                      <w:kern w:val="0"/>
                      <w:sz w:val="21"/>
                      <w:szCs w:val="21"/>
                      <w:highlight w:val="none"/>
                    </w:rPr>
                    <w:t>厂区排水系统为雨、污水分流制。</w:t>
                  </w:r>
                  <w:r>
                    <w:rPr>
                      <w:rFonts w:hint="eastAsia" w:ascii="Times New Roman" w:hAnsi="Times New Roman" w:cs="Times New Roman"/>
                      <w:color w:val="000000"/>
                      <w:kern w:val="0"/>
                      <w:sz w:val="21"/>
                      <w:szCs w:val="21"/>
                      <w:highlight w:val="none"/>
                      <w:lang w:val="en-US" w:eastAsia="zh-CN"/>
                    </w:rPr>
                    <w:t>中水回用系统反洗排水、零排放系统预热器产生的污冷凝水返回中水回用系统处理后回用于生产，</w:t>
                  </w:r>
                  <w:r>
                    <w:rPr>
                      <w:rFonts w:hint="default" w:ascii="Times New Roman" w:hAnsi="Times New Roman" w:cs="Times New Roman"/>
                      <w:color w:val="000000"/>
                      <w:kern w:val="0"/>
                      <w:sz w:val="21"/>
                      <w:szCs w:val="21"/>
                      <w:highlight w:val="none"/>
                    </w:rPr>
                    <w:t>脱硫废水罐排水</w:t>
                  </w:r>
                  <w:r>
                    <w:rPr>
                      <w:rFonts w:hint="eastAsia" w:ascii="Times New Roman" w:hAnsi="Times New Roman" w:cs="Times New Roman"/>
                      <w:color w:val="000000"/>
                      <w:kern w:val="0"/>
                      <w:sz w:val="21"/>
                      <w:szCs w:val="21"/>
                      <w:highlight w:val="none"/>
                      <w:lang w:val="en-US" w:eastAsia="zh-CN"/>
                    </w:rPr>
                    <w:t>返回浓缩釜、蒸发产生的蒸汽凝结水</w:t>
                  </w:r>
                  <w:r>
                    <w:rPr>
                      <w:rFonts w:hint="default" w:ascii="Times New Roman" w:hAnsi="Times New Roman" w:cs="Times New Roman"/>
                      <w:color w:val="000000"/>
                      <w:kern w:val="0"/>
                      <w:sz w:val="21"/>
                      <w:szCs w:val="21"/>
                      <w:highlight w:val="none"/>
                    </w:rPr>
                    <w:t>全部回用</w:t>
                  </w:r>
                  <w:r>
                    <w:rPr>
                      <w:rFonts w:hint="eastAsia" w:ascii="Times New Roman" w:hAnsi="Times New Roman" w:cs="Times New Roman"/>
                      <w:color w:val="000000"/>
                      <w:kern w:val="0"/>
                      <w:sz w:val="21"/>
                      <w:szCs w:val="21"/>
                      <w:highlight w:val="none"/>
                      <w:lang w:val="en-US" w:eastAsia="zh-CN"/>
                    </w:rPr>
                    <w:t>于脱硫系统</w:t>
                  </w:r>
                  <w:r>
                    <w:rPr>
                      <w:rFonts w:hint="default" w:ascii="Times New Roman" w:hAnsi="Times New Roman" w:cs="Times New Roman"/>
                      <w:color w:val="000000"/>
                      <w:kern w:val="0"/>
                      <w:sz w:val="21"/>
                      <w:szCs w:val="21"/>
                      <w:highlight w:val="none"/>
                    </w:rPr>
                    <w:t>。</w:t>
                  </w:r>
                </w:p>
              </w:tc>
              <w:tc>
                <w:tcPr>
                  <w:tcW w:w="734" w:type="pct"/>
                  <w:noWrap w:val="0"/>
                  <w:vAlign w:val="center"/>
                </w:tcPr>
                <w:p w14:paraId="4754F4ED">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spacing w:val="-2"/>
                      <w:kern w:val="0"/>
                      <w:sz w:val="21"/>
                      <w:szCs w:val="21"/>
                      <w:highlight w:val="none"/>
                    </w:rPr>
                  </w:pPr>
                  <w:r>
                    <w:rPr>
                      <w:rFonts w:hint="default" w:ascii="Times New Roman" w:hAnsi="Times New Roman" w:cs="Times New Roman"/>
                      <w:color w:val="000000"/>
                      <w:spacing w:val="-2"/>
                      <w:kern w:val="0"/>
                      <w:sz w:val="21"/>
                      <w:szCs w:val="21"/>
                      <w:highlight w:val="none"/>
                    </w:rPr>
                    <w:t>改建</w:t>
                  </w:r>
                </w:p>
              </w:tc>
            </w:tr>
            <w:tr w14:paraId="28BC8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6E22CD3C">
                  <w:pPr>
                    <w:keepNext w:val="0"/>
                    <w:keepLines/>
                    <w:pageBreakBefore w:val="0"/>
                    <w:kinsoku/>
                    <w:wordWrap/>
                    <w:overflowPunct/>
                    <w:topLinePunct w:val="0"/>
                    <w:bidi w:val="0"/>
                    <w:adjustRightInd w:val="0"/>
                    <w:snapToGrid w:val="0"/>
                    <w:jc w:val="center"/>
                    <w:textAlignment w:val="auto"/>
                    <w:rPr>
                      <w:rFonts w:hint="default" w:ascii="Times New Roman" w:hAnsi="Times New Roman" w:eastAsia="等线" w:cs="Times New Roman"/>
                      <w:color w:val="000000"/>
                      <w:kern w:val="0"/>
                      <w:sz w:val="21"/>
                      <w:szCs w:val="21"/>
                      <w:highlight w:val="none"/>
                    </w:rPr>
                  </w:pPr>
                </w:p>
              </w:tc>
              <w:tc>
                <w:tcPr>
                  <w:tcW w:w="823" w:type="pct"/>
                  <w:noWrap w:val="0"/>
                  <w:vAlign w:val="center"/>
                </w:tcPr>
                <w:p w14:paraId="1FE0AE9A">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供电</w:t>
                  </w:r>
                </w:p>
              </w:tc>
              <w:tc>
                <w:tcPr>
                  <w:tcW w:w="3118" w:type="pct"/>
                  <w:noWrap w:val="0"/>
                  <w:vAlign w:val="center"/>
                </w:tcPr>
                <w:p w14:paraId="621BF885">
                  <w:pPr>
                    <w:keepNext w:val="0"/>
                    <w:keepLines/>
                    <w:pageBreakBefore w:val="0"/>
                    <w:kinsoku/>
                    <w:wordWrap/>
                    <w:overflowPunct/>
                    <w:topLinePunct w:val="0"/>
                    <w:autoSpaceDE w:val="0"/>
                    <w:autoSpaceDN w:val="0"/>
                    <w:bidi w:val="0"/>
                    <w:adjustRightInd w:val="0"/>
                    <w:jc w:val="left"/>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本项目用电来</w:t>
                  </w:r>
                  <w:r>
                    <w:rPr>
                      <w:rFonts w:hint="default" w:ascii="Times New Roman" w:hAnsi="Times New Roman" w:cs="Times New Roman"/>
                      <w:color w:val="000000"/>
                      <w:kern w:val="0"/>
                      <w:sz w:val="21"/>
                      <w:szCs w:val="21"/>
                      <w:highlight w:val="none"/>
                      <w:lang w:val="en-US" w:eastAsia="zh-CN"/>
                    </w:rPr>
                    <w:t>自</w:t>
                  </w:r>
                  <w:r>
                    <w:rPr>
                      <w:rFonts w:hint="eastAsia" w:ascii="Times New Roman" w:hAnsi="Times New Roman" w:cs="Times New Roman"/>
                      <w:color w:val="000000"/>
                      <w:kern w:val="0"/>
                      <w:sz w:val="21"/>
                      <w:szCs w:val="21"/>
                      <w:highlight w:val="none"/>
                      <w:lang w:val="en-US" w:eastAsia="zh-CN"/>
                    </w:rPr>
                    <w:t>自建热电站（</w:t>
                  </w:r>
                  <w:r>
                    <w:rPr>
                      <w:color w:val="000000"/>
                      <w:sz w:val="21"/>
                      <w:szCs w:val="21"/>
                      <w:highlight w:val="none"/>
                    </w:rPr>
                    <w:t>一台20MW</w:t>
                  </w:r>
                  <w:r>
                    <w:rPr>
                      <w:rFonts w:hint="eastAsia"/>
                      <w:color w:val="000000"/>
                      <w:sz w:val="21"/>
                      <w:szCs w:val="21"/>
                      <w:highlight w:val="none"/>
                    </w:rPr>
                    <w:t>汽轮发电机组</w:t>
                  </w:r>
                  <w:r>
                    <w:rPr>
                      <w:rFonts w:hint="eastAsia"/>
                      <w:color w:val="000000"/>
                      <w:sz w:val="21"/>
                      <w:szCs w:val="21"/>
                      <w:highlight w:val="none"/>
                      <w:lang w:eastAsia="zh-CN"/>
                    </w:rPr>
                    <w:t>，</w:t>
                  </w:r>
                  <w:r>
                    <w:rPr>
                      <w:rFonts w:hint="eastAsia"/>
                      <w:color w:val="000000"/>
                      <w:sz w:val="21"/>
                      <w:szCs w:val="21"/>
                      <w:highlight w:val="none"/>
                      <w:lang w:val="en-US" w:eastAsia="zh-CN"/>
                    </w:rPr>
                    <w:t>建设</w:t>
                  </w:r>
                  <w:r>
                    <w:rPr>
                      <w:rFonts w:hint="eastAsia"/>
                      <w:color w:val="000000"/>
                      <w:kern w:val="0"/>
                      <w:szCs w:val="21"/>
                      <w:highlight w:val="none"/>
                    </w:rPr>
                    <w:t>）</w:t>
                  </w:r>
                  <w:r>
                    <w:rPr>
                      <w:color w:val="000000"/>
                      <w:kern w:val="0"/>
                      <w:szCs w:val="21"/>
                      <w:highlight w:val="none"/>
                    </w:rPr>
                    <w:t>。</w:t>
                  </w:r>
                </w:p>
              </w:tc>
              <w:tc>
                <w:tcPr>
                  <w:tcW w:w="734" w:type="pct"/>
                  <w:noWrap w:val="0"/>
                  <w:vAlign w:val="center"/>
                </w:tcPr>
                <w:p w14:paraId="4C12F667">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依托</w:t>
                  </w:r>
                </w:p>
              </w:tc>
            </w:tr>
            <w:tr w14:paraId="0FCE1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48493C93">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eastAsia="等线" w:cs="Times New Roman"/>
                      <w:color w:val="000000"/>
                      <w:kern w:val="0"/>
                      <w:sz w:val="21"/>
                      <w:szCs w:val="21"/>
                      <w:highlight w:val="none"/>
                    </w:rPr>
                  </w:pPr>
                </w:p>
              </w:tc>
              <w:tc>
                <w:tcPr>
                  <w:tcW w:w="823" w:type="pct"/>
                  <w:noWrap w:val="0"/>
                  <w:vAlign w:val="center"/>
                </w:tcPr>
                <w:p w14:paraId="7FA6D236">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eastAsia="zh-CN"/>
                    </w:rPr>
                  </w:pPr>
                  <w:r>
                    <w:rPr>
                      <w:rFonts w:hint="eastAsia" w:ascii="Times New Roman" w:hAnsi="Times New Roman" w:cs="Times New Roman"/>
                      <w:color w:val="000000"/>
                      <w:kern w:val="0"/>
                      <w:sz w:val="21"/>
                      <w:szCs w:val="21"/>
                      <w:highlight w:val="none"/>
                      <w:lang w:val="en-US" w:eastAsia="zh-CN"/>
                    </w:rPr>
                    <w:t>供热</w:t>
                  </w:r>
                </w:p>
              </w:tc>
              <w:tc>
                <w:tcPr>
                  <w:tcW w:w="3118" w:type="pct"/>
                  <w:noWrap w:val="0"/>
                  <w:vAlign w:val="center"/>
                </w:tcPr>
                <w:p w14:paraId="503D2E80">
                  <w:pPr>
                    <w:keepNext w:val="0"/>
                    <w:keepLines/>
                    <w:pageBreakBefore w:val="0"/>
                    <w:kinsoku/>
                    <w:wordWrap/>
                    <w:overflowPunct/>
                    <w:topLinePunct w:val="0"/>
                    <w:autoSpaceDE w:val="0"/>
                    <w:autoSpaceDN w:val="0"/>
                    <w:bidi w:val="0"/>
                    <w:adjustRightInd w:val="0"/>
                    <w:jc w:val="left"/>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本项目所用蒸汽由厂区锅炉房现有3台25t/h锅炉提供，蒸汽管径DN300，蒸汽压力为≥0.4MPa，可以满足该项目生产用热需求。</w:t>
                  </w:r>
                </w:p>
              </w:tc>
              <w:tc>
                <w:tcPr>
                  <w:tcW w:w="734" w:type="pct"/>
                  <w:noWrap w:val="0"/>
                  <w:vAlign w:val="center"/>
                </w:tcPr>
                <w:p w14:paraId="6810CB8D">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依托</w:t>
                  </w:r>
                </w:p>
              </w:tc>
            </w:tr>
            <w:tr w14:paraId="495BB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3056D44A">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eastAsia="等线" w:cs="Times New Roman"/>
                      <w:color w:val="000000"/>
                      <w:kern w:val="0"/>
                      <w:sz w:val="21"/>
                      <w:szCs w:val="21"/>
                      <w:highlight w:val="none"/>
                    </w:rPr>
                  </w:pPr>
                </w:p>
              </w:tc>
              <w:tc>
                <w:tcPr>
                  <w:tcW w:w="823" w:type="pct"/>
                  <w:noWrap w:val="0"/>
                  <w:vAlign w:val="center"/>
                </w:tcPr>
                <w:p w14:paraId="487F4AF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供气</w:t>
                  </w:r>
                </w:p>
              </w:tc>
              <w:tc>
                <w:tcPr>
                  <w:tcW w:w="3118" w:type="pct"/>
                  <w:noWrap w:val="0"/>
                  <w:vAlign w:val="center"/>
                </w:tcPr>
                <w:p w14:paraId="4439549B">
                  <w:pPr>
                    <w:keepNext w:val="0"/>
                    <w:keepLines/>
                    <w:pageBreakBefore w:val="0"/>
                    <w:kinsoku/>
                    <w:wordWrap/>
                    <w:overflowPunct/>
                    <w:topLinePunct w:val="0"/>
                    <w:autoSpaceDE w:val="0"/>
                    <w:autoSpaceDN w:val="0"/>
                    <w:bidi w:val="0"/>
                    <w:adjustRightInd w:val="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依托厂区现有的空压站设置的5台1620N</w:t>
                  </w:r>
                  <w:r>
                    <w:rPr>
                      <w:rFonts w:hint="default"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/h空压机，2台压缩空气缓冲罐，容积为20</w:t>
                  </w:r>
                  <w:r>
                    <w:rPr>
                      <w:rFonts w:hint="default"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，出口压力≥0.6MPa。本项目压缩空气主要用于气动阀门</w:t>
                  </w:r>
                  <w:r>
                    <w:rPr>
                      <w:rFonts w:hint="default" w:ascii="Times New Roman" w:hAnsi="Times New Roman" w:cs="Times New Roman"/>
                      <w:color w:val="000000"/>
                      <w:sz w:val="21"/>
                      <w:szCs w:val="21"/>
                      <w:highlight w:val="none"/>
                      <w:lang w:val="en-US" w:eastAsia="zh-CN"/>
                    </w:rPr>
                    <w:t>等。</w:t>
                  </w:r>
                </w:p>
              </w:tc>
              <w:tc>
                <w:tcPr>
                  <w:tcW w:w="734" w:type="pct"/>
                  <w:noWrap w:val="0"/>
                  <w:vAlign w:val="center"/>
                </w:tcPr>
                <w:p w14:paraId="04F633EA">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依托</w:t>
                  </w:r>
                </w:p>
              </w:tc>
            </w:tr>
            <w:tr w14:paraId="7DA20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restart"/>
                  <w:noWrap w:val="0"/>
                  <w:vAlign w:val="center"/>
                </w:tcPr>
                <w:p w14:paraId="6C1DEC47">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环保工程</w:t>
                  </w:r>
                </w:p>
              </w:tc>
              <w:tc>
                <w:tcPr>
                  <w:tcW w:w="823" w:type="pct"/>
                  <w:noWrap w:val="0"/>
                  <w:vAlign w:val="center"/>
                </w:tcPr>
                <w:p w14:paraId="07D6B70D">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废气治理</w:t>
                  </w:r>
                </w:p>
              </w:tc>
              <w:tc>
                <w:tcPr>
                  <w:tcW w:w="3118" w:type="pct"/>
                  <w:noWrap w:val="0"/>
                  <w:vAlign w:val="center"/>
                </w:tcPr>
                <w:p w14:paraId="171BA22C">
                  <w:pPr>
                    <w:keepNext w:val="0"/>
                    <w:keepLines/>
                    <w:pageBreakBefore w:val="0"/>
                    <w:widowControl/>
                    <w:kinsoku/>
                    <w:wordWrap/>
                    <w:overflowPunct/>
                    <w:topLinePunct w:val="0"/>
                    <w:bidi w:val="0"/>
                    <w:adjustRightInd w:val="0"/>
                    <w:snapToGrid w:val="0"/>
                    <w:jc w:val="both"/>
                    <w:textAlignment w:val="auto"/>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lang w:val="en-US" w:eastAsia="zh-CN"/>
                    </w:rPr>
                    <w:t>部分污水处理单元设置于封闭厂房内，厂界设置绿化带，并通过喷洒除臭剂、加盖处理减轻生化</w:t>
                  </w:r>
                  <w:r>
                    <w:rPr>
                      <w:rFonts w:hint="default" w:ascii="Times New Roman" w:hAnsi="Times New Roman" w:cs="Times New Roman"/>
                      <w:color w:val="000000"/>
                      <w:kern w:val="0"/>
                      <w:sz w:val="21"/>
                      <w:szCs w:val="21"/>
                      <w:highlight w:val="none"/>
                    </w:rPr>
                    <w:t>污水处理</w:t>
                  </w:r>
                  <w:r>
                    <w:rPr>
                      <w:rFonts w:hint="eastAsia" w:ascii="Times New Roman" w:hAnsi="Times New Roman" w:cs="Times New Roman"/>
                      <w:color w:val="000000"/>
                      <w:kern w:val="0"/>
                      <w:sz w:val="21"/>
                      <w:szCs w:val="21"/>
                      <w:highlight w:val="none"/>
                      <w:lang w:val="en-US" w:eastAsia="zh-CN"/>
                    </w:rPr>
                    <w:t>站</w:t>
                  </w:r>
                  <w:r>
                    <w:rPr>
                      <w:rFonts w:hint="default" w:ascii="Times New Roman" w:hAnsi="Times New Roman" w:cs="Times New Roman"/>
                      <w:color w:val="000000"/>
                      <w:kern w:val="0"/>
                      <w:sz w:val="21"/>
                      <w:szCs w:val="21"/>
                      <w:highlight w:val="none"/>
                    </w:rPr>
                    <w:t>产生的</w:t>
                  </w:r>
                  <w:r>
                    <w:rPr>
                      <w:rFonts w:hint="eastAsia" w:ascii="Times New Roman" w:hAnsi="Times New Roman" w:cs="Times New Roman"/>
                      <w:color w:val="000000"/>
                      <w:kern w:val="0"/>
                      <w:sz w:val="21"/>
                      <w:szCs w:val="21"/>
                      <w:highlight w:val="none"/>
                      <w:lang w:val="en-US" w:eastAsia="zh-CN"/>
                    </w:rPr>
                    <w:t>恶臭气体对环境的影响。</w:t>
                  </w:r>
                </w:p>
              </w:tc>
              <w:tc>
                <w:tcPr>
                  <w:tcW w:w="734" w:type="pct"/>
                  <w:noWrap w:val="0"/>
                  <w:vAlign w:val="center"/>
                </w:tcPr>
                <w:p w14:paraId="1CA07A9E">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依托</w:t>
                  </w:r>
                </w:p>
              </w:tc>
            </w:tr>
            <w:tr w14:paraId="19D7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2B5122C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182BFA45">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eastAsia="zh-TW"/>
                    </w:rPr>
                    <w:t>噪声控制</w:t>
                  </w:r>
                </w:p>
              </w:tc>
              <w:tc>
                <w:tcPr>
                  <w:tcW w:w="3118" w:type="pct"/>
                  <w:noWrap w:val="0"/>
                  <w:vAlign w:val="center"/>
                </w:tcPr>
                <w:p w14:paraId="0AD6265E">
                  <w:pPr>
                    <w:keepNext w:val="0"/>
                    <w:keepLines/>
                    <w:pageBreakBefore w:val="0"/>
                    <w:kinsoku/>
                    <w:wordWrap/>
                    <w:overflowPunct/>
                    <w:topLinePunct w:val="0"/>
                    <w:autoSpaceDE w:val="0"/>
                    <w:autoSpaceDN w:val="0"/>
                    <w:bidi w:val="0"/>
                    <w:adjustRightInd w:val="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泵类等进行了基础</w:t>
                  </w:r>
                  <w:r>
                    <w:rPr>
                      <w:color w:val="000000"/>
                      <w:szCs w:val="21"/>
                      <w:highlight w:val="none"/>
                    </w:rPr>
                    <w:t>减</w:t>
                  </w:r>
                  <w:r>
                    <w:rPr>
                      <w:rFonts w:hint="eastAsia"/>
                      <w:color w:val="000000"/>
                      <w:szCs w:val="21"/>
                      <w:highlight w:val="none"/>
                      <w:lang w:val="en-US" w:eastAsia="zh-CN"/>
                    </w:rPr>
                    <w:t>振</w:t>
                  </w:r>
                  <w:r>
                    <w:rPr>
                      <w:color w:val="000000"/>
                      <w:szCs w:val="21"/>
                      <w:highlight w:val="none"/>
                    </w:rPr>
                    <w:t>，</w:t>
                  </w:r>
                  <w:r>
                    <w:rPr>
                      <w:rFonts w:hint="default" w:ascii="Times New Roman" w:hAnsi="Times New Roman" w:cs="Times New Roman"/>
                      <w:color w:val="000000"/>
                      <w:sz w:val="21"/>
                      <w:szCs w:val="21"/>
                      <w:highlight w:val="none"/>
                    </w:rPr>
                    <w:t>厂房隔声，风机加装消声器，设备置于厂房内</w:t>
                  </w:r>
                </w:p>
              </w:tc>
              <w:tc>
                <w:tcPr>
                  <w:tcW w:w="734" w:type="pct"/>
                  <w:noWrap w:val="0"/>
                  <w:vAlign w:val="center"/>
                </w:tcPr>
                <w:p w14:paraId="08CD2791">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lang w:val="en-US" w:eastAsia="zh-CN"/>
                    </w:rPr>
                    <w:t>拟</w:t>
                  </w:r>
                  <w:r>
                    <w:rPr>
                      <w:rFonts w:hint="default" w:ascii="Times New Roman" w:hAnsi="Times New Roman" w:cs="Times New Roman"/>
                      <w:color w:val="000000"/>
                      <w:kern w:val="0"/>
                      <w:sz w:val="21"/>
                      <w:szCs w:val="21"/>
                      <w:highlight w:val="none"/>
                    </w:rPr>
                    <w:t>建</w:t>
                  </w:r>
                </w:p>
              </w:tc>
            </w:tr>
            <w:tr w14:paraId="6DFBF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64216F6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5B196C95">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固体废物</w:t>
                  </w:r>
                </w:p>
              </w:tc>
              <w:tc>
                <w:tcPr>
                  <w:tcW w:w="3118" w:type="pct"/>
                  <w:noWrap w:val="0"/>
                  <w:vAlign w:val="center"/>
                </w:tcPr>
                <w:p w14:paraId="4A0DE8A3">
                  <w:pPr>
                    <w:keepNext w:val="0"/>
                    <w:keepLines/>
                    <w:pageBreakBefore w:val="0"/>
                    <w:widowControl/>
                    <w:kinsoku/>
                    <w:wordWrap/>
                    <w:overflowPunct/>
                    <w:topLinePunct w:val="0"/>
                    <w:bidi w:val="0"/>
                    <w:adjustRightInd w:val="0"/>
                    <w:snapToGrid w:val="0"/>
                    <w:jc w:val="both"/>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sz w:val="21"/>
                      <w:szCs w:val="21"/>
                      <w:highlight w:val="none"/>
                      <w:lang w:val="en-US" w:eastAsia="zh-CN"/>
                    </w:rPr>
                    <w:t>零排放系统</w:t>
                  </w:r>
                  <w:r>
                    <w:rPr>
                      <w:rFonts w:hint="default" w:ascii="Times New Roman" w:hAnsi="Times New Roman" w:cs="Times New Roman"/>
                      <w:color w:val="000000"/>
                      <w:sz w:val="21"/>
                      <w:szCs w:val="21"/>
                      <w:highlight w:val="none"/>
                      <w:lang w:val="en-US" w:eastAsia="zh-CN"/>
                    </w:rPr>
                    <w:t>蒸发结晶</w:t>
                  </w:r>
                  <w:r>
                    <w:rPr>
                      <w:rFonts w:hint="eastAsia" w:ascii="Times New Roman" w:hAnsi="Times New Roman" w:cs="Times New Roman"/>
                      <w:color w:val="000000"/>
                      <w:sz w:val="21"/>
                      <w:szCs w:val="21"/>
                      <w:highlight w:val="none"/>
                      <w:lang w:val="en-US" w:eastAsia="zh-CN"/>
                    </w:rPr>
                    <w:t>产生的硫酸钠、氯化钠、杂盐，脱硫废水提盐</w:t>
                  </w:r>
                  <w:r>
                    <w:rPr>
                      <w:rFonts w:hint="default" w:ascii="Times New Roman" w:hAnsi="Times New Roman" w:cs="Times New Roman"/>
                      <w:color w:val="000000"/>
                      <w:sz w:val="21"/>
                      <w:szCs w:val="21"/>
                      <w:highlight w:val="none"/>
                      <w:lang w:val="en-US" w:eastAsia="zh-CN"/>
                    </w:rPr>
                    <w:t>产生的硫代硫酸钠、硫酸钠</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硫氰酸钠需要进行属性鉴定，</w:t>
                  </w:r>
                  <w:r>
                    <w:rPr>
                      <w:rFonts w:hint="eastAsia" w:ascii="Times New Roman" w:hAnsi="Times New Roman" w:cs="Times New Roman"/>
                      <w:color w:val="000000"/>
                      <w:sz w:val="21"/>
                      <w:szCs w:val="21"/>
                      <w:highlight w:val="none"/>
                      <w:lang w:val="en-US" w:eastAsia="zh-CN"/>
                    </w:rPr>
                    <w:t>副产物</w:t>
                  </w:r>
                  <w:r>
                    <w:rPr>
                      <w:rFonts w:hint="default" w:ascii="Times New Roman" w:hAnsi="Times New Roman" w:cs="Times New Roman"/>
                      <w:color w:val="000000"/>
                      <w:sz w:val="21"/>
                      <w:szCs w:val="21"/>
                      <w:highlight w:val="none"/>
                      <w:lang w:val="en-US" w:eastAsia="zh-CN"/>
                    </w:rPr>
                    <w:t>硫酸钠、氯化钠、硫代硫酸钠、硫氰酸钠</w:t>
                  </w:r>
                  <w:r>
                    <w:rPr>
                      <w:rFonts w:hint="eastAsia" w:ascii="Times New Roman" w:hAnsi="Times New Roman" w:cs="Times New Roman"/>
                      <w:color w:val="000000"/>
                      <w:sz w:val="21"/>
                      <w:szCs w:val="21"/>
                      <w:highlight w:val="none"/>
                      <w:lang w:val="en-US" w:eastAsia="zh-CN"/>
                    </w:rPr>
                    <w:t>若鉴定为危险废物，则作为危废管理，暂存于危废库，定期委托资质单位处理；若鉴定为一般固废，且达到相应的副产品质量标准，则按照副产品外售；若鉴定为一般固废，但不满足相应的副产品质量标准，则按照一般固废处理；杂盐若鉴定为危废，则按照危废管理，否则按照一般固废管理。污水处理产生的污泥、脱色产生的废活性炭暂存于现有危废库（</w:t>
                  </w:r>
                  <w:r>
                    <w:rPr>
                      <w:rFonts w:hint="eastAsia" w:ascii="Times New Roman" w:hAnsi="Times New Roman" w:cs="Times New Roman"/>
                      <w:color w:val="000000"/>
                      <w:kern w:val="0"/>
                      <w:sz w:val="21"/>
                      <w:szCs w:val="21"/>
                      <w:highlight w:val="none"/>
                      <w:lang w:val="en-US" w:eastAsia="zh-CN"/>
                    </w:rPr>
                    <w:t>45</w:t>
                  </w:r>
                  <w:r>
                    <w:rPr>
                      <w:rFonts w:hint="default" w:ascii="Times New Roman" w:hAnsi="Times New Roman" w:cs="Times New Roman"/>
                      <w:color w:val="000000"/>
                      <w:kern w:val="0"/>
                      <w:sz w:val="21"/>
                      <w:szCs w:val="21"/>
                      <w:highlight w:val="none"/>
                    </w:rPr>
                    <w:t>0m</w:t>
                  </w:r>
                  <w:r>
                    <w:rPr>
                      <w:rFonts w:hint="default" w:ascii="Times New Roman" w:hAnsi="Times New Roman" w:cs="Times New Roman"/>
                      <w:color w:val="000000"/>
                      <w:kern w:val="0"/>
                      <w:sz w:val="21"/>
                      <w:szCs w:val="21"/>
                      <w:highlight w:val="none"/>
                      <w:vertAlign w:val="superscript"/>
                    </w:rPr>
                    <w:t>2</w:t>
                  </w:r>
                  <w:r>
                    <w:rPr>
                      <w:rFonts w:hint="eastAsia" w:ascii="Times New Roman" w:hAnsi="Times New Roman" w:cs="Times New Roman"/>
                      <w:color w:val="000000"/>
                      <w:sz w:val="21"/>
                      <w:szCs w:val="21"/>
                      <w:highlight w:val="none"/>
                      <w:lang w:val="en-US" w:eastAsia="zh-CN"/>
                    </w:rPr>
                    <w:t>），定期通过厂内掺煤炼焦进行无害化处置</w:t>
                  </w:r>
                  <w:r>
                    <w:rPr>
                      <w:rFonts w:hint="eastAsia" w:ascii="Times New Roman" w:hAnsi="Times New Roman" w:cs="Times New Roman"/>
                      <w:color w:val="000000"/>
                      <w:kern w:val="0"/>
                      <w:sz w:val="21"/>
                      <w:szCs w:val="21"/>
                      <w:highlight w:val="none"/>
                      <w:lang w:eastAsia="zh-CN"/>
                    </w:rPr>
                    <w:t>；</w:t>
                  </w:r>
                  <w:r>
                    <w:rPr>
                      <w:rFonts w:hint="eastAsia" w:ascii="Times New Roman" w:hAnsi="Times New Roman" w:cs="Times New Roman"/>
                      <w:color w:val="000000"/>
                      <w:sz w:val="21"/>
                      <w:szCs w:val="21"/>
                      <w:highlight w:val="none"/>
                      <w:lang w:val="en-US" w:eastAsia="zh-CN"/>
                    </w:rPr>
                    <w:t>中水回用系统产生的废反渗透膜属于危险废物，暂存于现有危废库，定期委托有资质的单位处理。</w:t>
                  </w:r>
                </w:p>
              </w:tc>
              <w:tc>
                <w:tcPr>
                  <w:tcW w:w="734" w:type="pct"/>
                  <w:noWrap w:val="0"/>
                  <w:vAlign w:val="center"/>
                </w:tcPr>
                <w:p w14:paraId="71703043">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依托</w:t>
                  </w:r>
                </w:p>
              </w:tc>
            </w:tr>
            <w:tr w14:paraId="6BDD8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282C8D10">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p>
              </w:tc>
              <w:tc>
                <w:tcPr>
                  <w:tcW w:w="823" w:type="pct"/>
                  <w:noWrap w:val="0"/>
                  <w:vAlign w:val="center"/>
                </w:tcPr>
                <w:p w14:paraId="7B7F38F8">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防渗</w:t>
                  </w:r>
                </w:p>
              </w:tc>
              <w:tc>
                <w:tcPr>
                  <w:tcW w:w="3118" w:type="pct"/>
                  <w:noWrap w:val="0"/>
                  <w:vAlign w:val="center"/>
                </w:tcPr>
                <w:p w14:paraId="20114C07">
                  <w:pPr>
                    <w:keepNext w:val="0"/>
                    <w:keepLines/>
                    <w:pageBreakBefore w:val="0"/>
                    <w:kinsoku/>
                    <w:wordWrap/>
                    <w:overflowPunct/>
                    <w:topLinePunct w:val="0"/>
                    <w:autoSpaceDE w:val="0"/>
                    <w:autoSpaceDN w:val="0"/>
                    <w:bidi w:val="0"/>
                    <w:adjustRightInd w:val="0"/>
                    <w:jc w:val="both"/>
                    <w:textAlignment w:val="auto"/>
                    <w:rPr>
                      <w:rFonts w:hint="default" w:ascii="Times New Roman" w:hAnsi="Times New Roman" w:cs="Times New Roman"/>
                      <w:color w:val="000000"/>
                      <w:kern w:val="0"/>
                      <w:sz w:val="21"/>
                      <w:szCs w:val="21"/>
                      <w:highlight w:val="none"/>
                    </w:rPr>
                  </w:pPr>
                  <w:r>
                    <w:rPr>
                      <w:rFonts w:hint="eastAsia" w:ascii="Times New Roman" w:hAnsi="Times New Roman" w:cs="Times New Roman"/>
                      <w:color w:val="000000"/>
                      <w:kern w:val="0"/>
                      <w:sz w:val="21"/>
                      <w:szCs w:val="21"/>
                      <w:highlight w:val="none"/>
                      <w:lang w:val="en-US" w:eastAsia="zh-CN"/>
                    </w:rPr>
                    <w:t>脱硫废水提盐装置区</w:t>
                  </w:r>
                  <w:r>
                    <w:rPr>
                      <w:rFonts w:hint="eastAsia" w:ascii="Times New Roman" w:hAnsi="Times New Roman" w:cs="Times New Roman"/>
                      <w:color w:val="000000"/>
                      <w:sz w:val="21"/>
                      <w:szCs w:val="21"/>
                      <w:highlight w:val="none"/>
                      <w:lang w:val="en-US" w:eastAsia="zh-CN"/>
                    </w:rPr>
                    <w:t>参照</w:t>
                  </w:r>
                  <w:r>
                    <w:rPr>
                      <w:rFonts w:hint="default" w:ascii="Times New Roman" w:hAnsi="Times New Roman" w:cs="Times New Roman"/>
                      <w:color w:val="000000"/>
                      <w:sz w:val="21"/>
                      <w:szCs w:val="21"/>
                      <w:highlight w:val="none"/>
                    </w:rPr>
                    <w:t>等效黏土防渗层Mb≥6.0，渗透系数K≤1.0×10</w:t>
                  </w:r>
                  <w:r>
                    <w:rPr>
                      <w:rFonts w:hint="default" w:ascii="Times New Roman" w:hAnsi="Times New Roman" w:cs="Times New Roman"/>
                      <w:color w:val="000000"/>
                      <w:sz w:val="21"/>
                      <w:szCs w:val="21"/>
                      <w:highlight w:val="none"/>
                      <w:vertAlign w:val="superscript"/>
                    </w:rPr>
                    <w:t>-7</w:t>
                  </w:r>
                  <w:r>
                    <w:rPr>
                      <w:rFonts w:hint="default" w:ascii="Times New Roman" w:hAnsi="Times New Roman" w:cs="Times New Roman"/>
                      <w:color w:val="000000"/>
                      <w:sz w:val="21"/>
                      <w:szCs w:val="21"/>
                      <w:highlight w:val="none"/>
                    </w:rPr>
                    <w:t>cm/s</w:t>
                  </w:r>
                  <w:r>
                    <w:rPr>
                      <w:rFonts w:hint="eastAsia"/>
                      <w:color w:val="000000"/>
                      <w:highlight w:val="none"/>
                      <w:lang w:val="en-US" w:eastAsia="zh-CN"/>
                    </w:rPr>
                    <w:t>进行重点防渗，</w:t>
                  </w:r>
                  <w:r>
                    <w:rPr>
                      <w:rFonts w:hint="eastAsia" w:ascii="Times New Roman" w:hAnsi="Times New Roman" w:cs="Times New Roman"/>
                      <w:color w:val="000000"/>
                      <w:kern w:val="0"/>
                      <w:sz w:val="21"/>
                      <w:szCs w:val="21"/>
                      <w:highlight w:val="none"/>
                      <w:lang w:val="en-US" w:eastAsia="zh-CN"/>
                    </w:rPr>
                    <w:t>中水回用及零排放系统参照</w:t>
                  </w:r>
                  <w:r>
                    <w:rPr>
                      <w:rFonts w:hint="default" w:ascii="Times New Roman" w:hAnsi="Times New Roman" w:cs="Times New Roman"/>
                      <w:color w:val="000000"/>
                      <w:sz w:val="21"/>
                      <w:szCs w:val="21"/>
                      <w:highlight w:val="none"/>
                    </w:rPr>
                    <w:t>等效黏土防渗层Mb≥</w:t>
                  </w:r>
                  <w:r>
                    <w:rPr>
                      <w:rFonts w:hint="eastAsia" w:ascii="Times New Roman" w:hAnsi="Times New Roman" w:cs="Times New Roman"/>
                      <w:color w:val="000000"/>
                      <w:sz w:val="21"/>
                      <w:szCs w:val="21"/>
                      <w:highlight w:val="none"/>
                      <w:lang w:val="en-US" w:eastAsia="zh-CN"/>
                    </w:rPr>
                    <w:t>1.5</w:t>
                  </w:r>
                  <w:r>
                    <w:rPr>
                      <w:rFonts w:hint="default" w:ascii="Times New Roman" w:hAnsi="Times New Roman" w:cs="Times New Roman"/>
                      <w:color w:val="000000"/>
                      <w:sz w:val="21"/>
                      <w:szCs w:val="21"/>
                      <w:highlight w:val="none"/>
                    </w:rPr>
                    <w:t>，渗透系数K≤1.0×10</w:t>
                  </w:r>
                  <w:r>
                    <w:rPr>
                      <w:rFonts w:hint="default" w:ascii="Times New Roman" w:hAnsi="Times New Roman" w:cs="Times New Roman"/>
                      <w:color w:val="000000"/>
                      <w:sz w:val="21"/>
                      <w:szCs w:val="21"/>
                      <w:highlight w:val="none"/>
                      <w:vertAlign w:val="superscript"/>
                    </w:rPr>
                    <w:t>-7</w:t>
                  </w:r>
                  <w:r>
                    <w:rPr>
                      <w:rFonts w:hint="default" w:ascii="Times New Roman" w:hAnsi="Times New Roman" w:cs="Times New Roman"/>
                      <w:color w:val="000000"/>
                      <w:sz w:val="21"/>
                      <w:szCs w:val="21"/>
                      <w:highlight w:val="none"/>
                    </w:rPr>
                    <w:t>cm/s</w:t>
                  </w:r>
                  <w:r>
                    <w:rPr>
                      <w:rFonts w:hint="eastAsia" w:ascii="Times New Roman" w:hAnsi="Times New Roman" w:cs="Times New Roman"/>
                      <w:color w:val="000000"/>
                      <w:sz w:val="21"/>
                      <w:szCs w:val="21"/>
                      <w:highlight w:val="none"/>
                      <w:lang w:val="en-US" w:eastAsia="zh-CN"/>
                    </w:rPr>
                    <w:t>进行防渗</w:t>
                  </w:r>
                  <w:r>
                    <w:rPr>
                      <w:rFonts w:hint="default" w:ascii="Times New Roman" w:hAnsi="Times New Roman" w:cs="Times New Roman"/>
                      <w:color w:val="000000"/>
                      <w:kern w:val="0"/>
                      <w:sz w:val="21"/>
                      <w:szCs w:val="21"/>
                      <w:highlight w:val="none"/>
                    </w:rPr>
                    <w:t>。</w:t>
                  </w:r>
                </w:p>
              </w:tc>
              <w:tc>
                <w:tcPr>
                  <w:tcW w:w="734" w:type="pct"/>
                  <w:noWrap w:val="0"/>
                  <w:vAlign w:val="center"/>
                </w:tcPr>
                <w:p w14:paraId="186D230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新建</w:t>
                  </w:r>
                </w:p>
              </w:tc>
            </w:tr>
            <w:tr w14:paraId="29099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restart"/>
                  <w:noWrap w:val="0"/>
                  <w:vAlign w:val="center"/>
                </w:tcPr>
                <w:p w14:paraId="7FA8602F">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依托工程</w:t>
                  </w:r>
                </w:p>
              </w:tc>
              <w:tc>
                <w:tcPr>
                  <w:tcW w:w="823" w:type="pct"/>
                  <w:noWrap w:val="0"/>
                  <w:vAlign w:val="center"/>
                </w:tcPr>
                <w:p w14:paraId="56278CBF">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蒸汽系统</w:t>
                  </w:r>
                </w:p>
              </w:tc>
              <w:tc>
                <w:tcPr>
                  <w:tcW w:w="3118" w:type="pct"/>
                  <w:noWrap w:val="0"/>
                  <w:vAlign w:val="center"/>
                </w:tcPr>
                <w:p w14:paraId="356951BB">
                  <w:pPr>
                    <w:keepNext w:val="0"/>
                    <w:keepLines/>
                    <w:pageBreakBefore w:val="0"/>
                    <w:kinsoku/>
                    <w:wordWrap/>
                    <w:overflowPunct/>
                    <w:topLinePunct w:val="0"/>
                    <w:autoSpaceDE w:val="0"/>
                    <w:autoSpaceDN w:val="0"/>
                    <w:bidi w:val="0"/>
                    <w:adjustRightInd w:val="0"/>
                    <w:jc w:val="both"/>
                    <w:textAlignment w:val="auto"/>
                    <w:rPr>
                      <w:rFonts w:hint="eastAsia" w:ascii="Times New Roman" w:hAnsi="Times New Roman" w:eastAsia="宋体" w:cs="Times New Roman"/>
                      <w:color w:val="000000"/>
                      <w:kern w:val="0"/>
                      <w:sz w:val="21"/>
                      <w:szCs w:val="21"/>
                      <w:highlight w:val="none"/>
                      <w:lang w:val="en-US" w:eastAsia="zh-CN"/>
                    </w:rPr>
                  </w:pPr>
                  <w:r>
                    <w:rPr>
                      <w:rFonts w:hint="eastAsia"/>
                      <w:color w:val="000000"/>
                      <w:sz w:val="21"/>
                      <w:szCs w:val="21"/>
                      <w:highlight w:val="none"/>
                      <w:lang w:val="en-US" w:eastAsia="zh-CN"/>
                    </w:rPr>
                    <w:t>依托在建的</w:t>
                  </w:r>
                  <w:r>
                    <w:rPr>
                      <w:color w:val="000000"/>
                      <w:sz w:val="21"/>
                      <w:szCs w:val="21"/>
                      <w:highlight w:val="none"/>
                    </w:rPr>
                    <w:t>20MW</w:t>
                  </w:r>
                  <w:r>
                    <w:rPr>
                      <w:rFonts w:hint="eastAsia"/>
                      <w:color w:val="000000"/>
                      <w:sz w:val="21"/>
                      <w:szCs w:val="21"/>
                      <w:highlight w:val="none"/>
                    </w:rPr>
                    <w:t>汽轮发电机组输出的低压蒸汽</w:t>
                  </w:r>
                  <w:r>
                    <w:rPr>
                      <w:rFonts w:hint="eastAsia"/>
                      <w:color w:val="000000"/>
                      <w:sz w:val="21"/>
                      <w:szCs w:val="21"/>
                      <w:highlight w:val="none"/>
                      <w:lang w:val="en-US" w:eastAsia="zh-CN"/>
                    </w:rPr>
                    <w:t>供热</w:t>
                  </w:r>
                  <w:r>
                    <w:rPr>
                      <w:color w:val="000000"/>
                      <w:sz w:val="21"/>
                      <w:szCs w:val="21"/>
                      <w:highlight w:val="none"/>
                    </w:rPr>
                    <w:t>，</w:t>
                  </w:r>
                  <w:r>
                    <w:rPr>
                      <w:rFonts w:hint="eastAsia"/>
                      <w:color w:val="000000"/>
                      <w:sz w:val="21"/>
                      <w:szCs w:val="21"/>
                      <w:highlight w:val="none"/>
                      <w:lang w:val="en-US" w:eastAsia="zh-CN"/>
                    </w:rPr>
                    <w:t>包括</w:t>
                  </w:r>
                  <w:r>
                    <w:rPr>
                      <w:color w:val="000000"/>
                      <w:sz w:val="21"/>
                      <w:szCs w:val="21"/>
                      <w:highlight w:val="none"/>
                    </w:rPr>
                    <w:t>主蒸汽管、给水管道及凝结水管道和辅助系统</w:t>
                  </w:r>
                  <w:r>
                    <w:rPr>
                      <w:rFonts w:hint="eastAsia"/>
                      <w:color w:val="000000"/>
                      <w:sz w:val="21"/>
                      <w:szCs w:val="21"/>
                      <w:highlight w:val="none"/>
                      <w:lang w:eastAsia="zh-CN"/>
                    </w:rPr>
                    <w:t>。</w:t>
                  </w:r>
                </w:p>
              </w:tc>
              <w:tc>
                <w:tcPr>
                  <w:tcW w:w="734" w:type="pct"/>
                  <w:noWrap w:val="0"/>
                  <w:vAlign w:val="center"/>
                </w:tcPr>
                <w:p w14:paraId="74F5D5D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依托在建工程</w:t>
                  </w:r>
                </w:p>
              </w:tc>
            </w:tr>
            <w:tr w14:paraId="5C240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23" w:type="pct"/>
                  <w:vMerge w:val="continue"/>
                  <w:noWrap w:val="0"/>
                  <w:vAlign w:val="center"/>
                </w:tcPr>
                <w:p w14:paraId="560C2EA6">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cs="Times New Roman"/>
                      <w:color w:val="000000"/>
                      <w:kern w:val="0"/>
                      <w:sz w:val="21"/>
                      <w:szCs w:val="21"/>
                      <w:highlight w:val="none"/>
                      <w:lang w:val="en-US" w:eastAsia="zh-CN"/>
                    </w:rPr>
                  </w:pPr>
                </w:p>
              </w:tc>
              <w:tc>
                <w:tcPr>
                  <w:tcW w:w="823" w:type="pct"/>
                  <w:noWrap w:val="0"/>
                  <w:vAlign w:val="center"/>
                </w:tcPr>
                <w:p w14:paraId="5EC66A55">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危废暂存库</w:t>
                  </w:r>
                </w:p>
              </w:tc>
              <w:tc>
                <w:tcPr>
                  <w:tcW w:w="3118" w:type="pct"/>
                  <w:noWrap w:val="0"/>
                  <w:vAlign w:val="center"/>
                </w:tcPr>
                <w:p w14:paraId="4B733AD9">
                  <w:pPr>
                    <w:keepNext w:val="0"/>
                    <w:keepLines/>
                    <w:pageBreakBefore w:val="0"/>
                    <w:kinsoku/>
                    <w:wordWrap/>
                    <w:overflowPunct/>
                    <w:topLinePunct w:val="0"/>
                    <w:autoSpaceDE w:val="0"/>
                    <w:autoSpaceDN w:val="0"/>
                    <w:bidi w:val="0"/>
                    <w:adjustRightInd w:val="0"/>
                    <w:jc w:val="both"/>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依托现有厂内450m</w:t>
                  </w:r>
                  <w:r>
                    <w:rPr>
                      <w:rFonts w:hint="eastAsia" w:ascii="Times New Roman" w:hAnsi="Times New Roman" w:cs="Times New Roman"/>
                      <w:color w:val="000000"/>
                      <w:kern w:val="0"/>
                      <w:sz w:val="21"/>
                      <w:szCs w:val="21"/>
                      <w:highlight w:val="none"/>
                      <w:vertAlign w:val="superscript"/>
                      <w:lang w:val="en-US" w:eastAsia="zh-CN"/>
                    </w:rPr>
                    <w:t>2</w:t>
                  </w:r>
                  <w:r>
                    <w:rPr>
                      <w:rFonts w:hint="eastAsia" w:ascii="Times New Roman" w:hAnsi="Times New Roman" w:cs="Times New Roman"/>
                      <w:color w:val="000000"/>
                      <w:kern w:val="0"/>
                      <w:sz w:val="21"/>
                      <w:szCs w:val="21"/>
                      <w:highlight w:val="none"/>
                      <w:lang w:val="en-US" w:eastAsia="zh-CN"/>
                    </w:rPr>
                    <w:t>的危废暂存库，采用HDPE膜作为防渗层，防渗系数不小于10-10cm/s。</w:t>
                  </w:r>
                </w:p>
              </w:tc>
              <w:tc>
                <w:tcPr>
                  <w:tcW w:w="734" w:type="pct"/>
                  <w:noWrap w:val="0"/>
                  <w:vAlign w:val="center"/>
                </w:tcPr>
                <w:p w14:paraId="1C79AAE6">
                  <w:pPr>
                    <w:keepNext w:val="0"/>
                    <w:keepLines/>
                    <w:pageBreakBefore w:val="0"/>
                    <w:widowControl/>
                    <w:kinsoku/>
                    <w:wordWrap/>
                    <w:overflowPunct/>
                    <w:topLinePunct w:val="0"/>
                    <w:bidi w:val="0"/>
                    <w:adjustRightInd w:val="0"/>
                    <w:snapToGrid w:val="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依托现有</w:t>
                  </w:r>
                </w:p>
              </w:tc>
            </w:tr>
          </w:tbl>
          <w:p w14:paraId="7D2EF4E7">
            <w:pPr>
              <w:keepNext w:val="0"/>
              <w:keepLines/>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000000"/>
                <w:sz w:val="28"/>
                <w:highlight w:val="none"/>
              </w:rPr>
            </w:pPr>
            <w:r>
              <w:rPr>
                <w:rFonts w:hint="default" w:ascii="Times New Roman" w:hAnsi="Times New Roman" w:cs="Times New Roman"/>
                <w:color w:val="000000"/>
                <w:sz w:val="24"/>
                <w:highlight w:val="none"/>
              </w:rPr>
              <w:t>3、</w:t>
            </w:r>
            <w:r>
              <w:rPr>
                <w:rFonts w:hint="default" w:ascii="Times New Roman" w:hAnsi="Times New Roman" w:cs="Times New Roman"/>
                <w:b/>
                <w:color w:val="000000"/>
                <w:sz w:val="28"/>
                <w:highlight w:val="none"/>
              </w:rPr>
              <w:t>项目主要构筑物及生产设备</w:t>
            </w:r>
          </w:p>
          <w:p w14:paraId="6BEEDE7E">
            <w:pPr>
              <w:pStyle w:val="22"/>
              <w:keepNext w:val="0"/>
              <w:keepLines/>
              <w:pageBreakBefore w:val="0"/>
              <w:kinsoku/>
              <w:wordWrap/>
              <w:overflowPunct/>
              <w:topLinePunct w:val="0"/>
              <w:bidi w:val="0"/>
              <w:ind w:firstLine="480"/>
              <w:textAlignment w:val="auto"/>
              <w:rPr>
                <w:rFonts w:hint="default" w:ascii="Times New Roman" w:hAnsi="Times New Roman" w:cs="Times New Roman"/>
                <w:color w:val="000000"/>
                <w:szCs w:val="24"/>
                <w:highlight w:val="none"/>
              </w:rPr>
            </w:pPr>
            <w:r>
              <w:rPr>
                <w:rFonts w:hint="default" w:ascii="Times New Roman" w:hAnsi="Times New Roman" w:cs="Times New Roman"/>
                <w:color w:val="000000"/>
                <w:szCs w:val="24"/>
                <w:highlight w:val="none"/>
              </w:rPr>
              <w:t>本项目主要构筑物情况详见表</w:t>
            </w:r>
            <w:r>
              <w:rPr>
                <w:rFonts w:hint="default" w:ascii="Times New Roman" w:hAnsi="Times New Roman" w:cs="Times New Roman"/>
                <w:color w:val="000000"/>
                <w:szCs w:val="24"/>
                <w:highlight w:val="none"/>
                <w:lang w:val="en-US" w:eastAsia="zh-CN"/>
              </w:rPr>
              <w:t>2-</w:t>
            </w:r>
            <w:r>
              <w:rPr>
                <w:rFonts w:hint="eastAsia" w:ascii="Times New Roman" w:hAnsi="Times New Roman" w:cs="Times New Roman"/>
                <w:color w:val="000000"/>
                <w:szCs w:val="24"/>
                <w:highlight w:val="none"/>
                <w:lang w:val="en-US" w:eastAsia="zh-CN"/>
              </w:rPr>
              <w:t>2</w:t>
            </w:r>
            <w:r>
              <w:rPr>
                <w:rFonts w:hint="default" w:ascii="Times New Roman" w:hAnsi="Times New Roman" w:cs="Times New Roman"/>
                <w:color w:val="000000"/>
                <w:szCs w:val="24"/>
                <w:highlight w:val="none"/>
              </w:rPr>
              <w:t>，设备使用情况详见表</w:t>
            </w:r>
            <w:r>
              <w:rPr>
                <w:rFonts w:hint="default" w:ascii="Times New Roman" w:hAnsi="Times New Roman" w:cs="Times New Roman"/>
                <w:color w:val="000000"/>
                <w:szCs w:val="24"/>
                <w:highlight w:val="none"/>
                <w:lang w:val="en-US" w:eastAsia="zh-CN"/>
              </w:rPr>
              <w:t>2-</w:t>
            </w:r>
            <w:r>
              <w:rPr>
                <w:rFonts w:hint="eastAsia" w:ascii="Times New Roman" w:hAnsi="Times New Roman" w:cs="Times New Roman"/>
                <w:color w:val="000000"/>
                <w:szCs w:val="24"/>
                <w:highlight w:val="none"/>
                <w:lang w:val="en-US" w:eastAsia="zh-CN"/>
              </w:rPr>
              <w:t>3、2-4、2-5</w:t>
            </w:r>
            <w:r>
              <w:rPr>
                <w:rFonts w:hint="default" w:ascii="Times New Roman" w:hAnsi="Times New Roman" w:cs="Times New Roman"/>
                <w:color w:val="000000"/>
                <w:szCs w:val="24"/>
                <w:highlight w:val="none"/>
              </w:rPr>
              <w:t>。</w:t>
            </w:r>
          </w:p>
          <w:p w14:paraId="0C651298">
            <w:pPr>
              <w:pStyle w:val="22"/>
              <w:keepNext w:val="0"/>
              <w:keepLines/>
              <w:pageBreakBefore w:val="0"/>
              <w:kinsoku/>
              <w:wordWrap/>
              <w:overflowPunct/>
              <w:topLinePunct w:val="0"/>
              <w:bidi w:val="0"/>
              <w:spacing w:line="240" w:lineRule="auto"/>
              <w:ind w:firstLine="482"/>
              <w:jc w:val="center"/>
              <w:textAlignment w:val="auto"/>
              <w:rPr>
                <w:rFonts w:hint="default" w:ascii="Times New Roman" w:hAnsi="Times New Roman" w:cs="Times New Roman"/>
                <w:color w:val="000000"/>
                <w:highlight w:val="none"/>
              </w:rPr>
            </w:pPr>
            <w:r>
              <w:rPr>
                <w:rFonts w:hint="default" w:ascii="Times New Roman" w:hAnsi="Times New Roman" w:cs="Times New Roman"/>
                <w:b/>
                <w:color w:val="000000"/>
                <w:highlight w:val="none"/>
              </w:rPr>
              <w:t>表</w:t>
            </w:r>
            <w:r>
              <w:rPr>
                <w:rFonts w:hint="default" w:ascii="Times New Roman" w:hAnsi="Times New Roman" w:cs="Times New Roman"/>
                <w:b/>
                <w:color w:val="000000"/>
                <w:highlight w:val="none"/>
                <w:lang w:val="en-US" w:eastAsia="zh-CN"/>
              </w:rPr>
              <w:t>2-</w:t>
            </w:r>
            <w:r>
              <w:rPr>
                <w:rFonts w:hint="eastAsia" w:ascii="Times New Roman" w:hAnsi="Times New Roman" w:cs="Times New Roman"/>
                <w:b/>
                <w:color w:val="000000"/>
                <w:highlight w:val="none"/>
                <w:lang w:val="en-US" w:eastAsia="zh-CN"/>
              </w:rPr>
              <w:t>2</w:t>
            </w:r>
            <w:r>
              <w:rPr>
                <w:rFonts w:hint="default" w:ascii="Times New Roman" w:hAnsi="Times New Roman" w:cs="Times New Roman"/>
                <w:b/>
                <w:color w:val="000000"/>
                <w:highlight w:val="none"/>
              </w:rPr>
              <w:t xml:space="preserve">  中水回用及零排放系统主要构筑物一览表</w:t>
            </w:r>
          </w:p>
          <w:tbl>
            <w:tblPr>
              <w:tblStyle w:val="13"/>
              <w:tblW w:w="819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874"/>
              <w:gridCol w:w="2646"/>
              <w:gridCol w:w="1803"/>
              <w:gridCol w:w="992"/>
            </w:tblGrid>
            <w:tr w14:paraId="01D1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73A92232">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874" w:type="dxa"/>
                  <w:noWrap/>
                  <w:vAlign w:val="center"/>
                </w:tcPr>
                <w:p w14:paraId="0396E08E">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构建筑物名称</w:t>
                  </w:r>
                </w:p>
              </w:tc>
              <w:tc>
                <w:tcPr>
                  <w:tcW w:w="2646" w:type="dxa"/>
                  <w:noWrap/>
                  <w:vAlign w:val="center"/>
                </w:tcPr>
                <w:p w14:paraId="3CB44D7C">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层数</w:t>
                  </w:r>
                  <w:r>
                    <w:rPr>
                      <w:rFonts w:hint="default" w:ascii="Times New Roman" w:hAnsi="Times New Roman" w:eastAsia="宋体" w:cs="Times New Roman"/>
                      <w:b/>
                      <w:bCs/>
                      <w:i w:val="0"/>
                      <w:iCs w:val="0"/>
                      <w:color w:val="000000"/>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尺寸</w:t>
                  </w:r>
                  <w:r>
                    <w:rPr>
                      <w:rFonts w:hint="default" w:ascii="Times New Roman" w:hAnsi="Times New Roman" w:eastAsia="宋体" w:cs="Times New Roman"/>
                      <w:b/>
                      <w:bCs/>
                      <w:i w:val="0"/>
                      <w:iCs w:val="0"/>
                      <w:color w:val="000000"/>
                      <w:kern w:val="0"/>
                      <w:sz w:val="21"/>
                      <w:szCs w:val="21"/>
                      <w:highlight w:val="none"/>
                      <w:u w:val="none"/>
                      <w:lang w:val="en-US" w:eastAsia="zh-CN" w:bidi="ar"/>
                    </w:rPr>
                    <w:t>/</w:t>
                  </w:r>
                  <w:r>
                    <w:rPr>
                      <w:rFonts w:hint="eastAsia" w:ascii="宋体" w:hAnsi="宋体" w:eastAsia="宋体" w:cs="宋体"/>
                      <w:b/>
                      <w:bCs/>
                      <w:i w:val="0"/>
                      <w:iCs w:val="0"/>
                      <w:color w:val="000000"/>
                      <w:kern w:val="0"/>
                      <w:sz w:val="21"/>
                      <w:szCs w:val="21"/>
                      <w:highlight w:val="none"/>
                      <w:u w:val="none"/>
                      <w:lang w:val="en-US" w:eastAsia="zh-CN" w:bidi="ar"/>
                    </w:rPr>
                    <w:t>面积</w:t>
                  </w:r>
                </w:p>
              </w:tc>
              <w:tc>
                <w:tcPr>
                  <w:tcW w:w="1803" w:type="dxa"/>
                  <w:noWrap/>
                  <w:vAlign w:val="center"/>
                </w:tcPr>
                <w:p w14:paraId="3D6DC866">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结构</w:t>
                  </w:r>
                </w:p>
              </w:tc>
              <w:tc>
                <w:tcPr>
                  <w:tcW w:w="992" w:type="dxa"/>
                  <w:noWrap/>
                  <w:vAlign w:val="center"/>
                </w:tcPr>
                <w:p w14:paraId="5391B83A">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数量（座）</w:t>
                  </w:r>
                </w:p>
              </w:tc>
            </w:tr>
            <w:tr w14:paraId="0419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151C9FC5">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874" w:type="dxa"/>
                  <w:noWrap/>
                  <w:vAlign w:val="center"/>
                </w:tcPr>
                <w:p w14:paraId="5133C4A4">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预处理膜池</w:t>
                  </w:r>
                </w:p>
              </w:tc>
              <w:tc>
                <w:tcPr>
                  <w:tcW w:w="2646" w:type="dxa"/>
                  <w:noWrap/>
                  <w:vAlign w:val="center"/>
                </w:tcPr>
                <w:p w14:paraId="0135099E">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单层，</w:t>
                  </w:r>
                  <w:r>
                    <w:rPr>
                      <w:rFonts w:hint="default" w:ascii="Times New Roman" w:hAnsi="Times New Roman" w:eastAsia="宋体" w:cs="Times New Roman"/>
                      <w:i w:val="0"/>
                      <w:iCs w:val="0"/>
                      <w:color w:val="000000"/>
                      <w:kern w:val="0"/>
                      <w:sz w:val="21"/>
                      <w:szCs w:val="21"/>
                      <w:highlight w:val="none"/>
                      <w:u w:val="none"/>
                      <w:lang w:val="en-US" w:eastAsia="zh-CN" w:bidi="ar"/>
                    </w:rPr>
                    <w:t>9.0m×3.0m×7.2m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72</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0DDA4747">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钢框架结构</w:t>
                  </w:r>
                </w:p>
              </w:tc>
              <w:tc>
                <w:tcPr>
                  <w:tcW w:w="992" w:type="dxa"/>
                  <w:noWrap/>
                  <w:vAlign w:val="center"/>
                </w:tcPr>
                <w:p w14:paraId="5EE410F7">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E72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3C9B9B39">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874" w:type="dxa"/>
                  <w:noWrap/>
                  <w:vAlign w:val="center"/>
                </w:tcPr>
                <w:p w14:paraId="5B74CDE3">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预处理膜车间</w:t>
                  </w:r>
                </w:p>
              </w:tc>
              <w:tc>
                <w:tcPr>
                  <w:tcW w:w="2646" w:type="dxa"/>
                  <w:noWrap/>
                  <w:vAlign w:val="center"/>
                </w:tcPr>
                <w:p w14:paraId="5F12D2B9">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单层，</w:t>
                  </w:r>
                  <w:r>
                    <w:rPr>
                      <w:rFonts w:hint="default" w:ascii="Times New Roman" w:hAnsi="Times New Roman" w:eastAsia="宋体" w:cs="Times New Roman"/>
                      <w:i w:val="0"/>
                      <w:iCs w:val="0"/>
                      <w:color w:val="000000"/>
                      <w:kern w:val="0"/>
                      <w:sz w:val="21"/>
                      <w:szCs w:val="21"/>
                      <w:highlight w:val="none"/>
                      <w:u w:val="none"/>
                      <w:lang w:val="en-US" w:eastAsia="zh-CN" w:bidi="ar"/>
                    </w:rPr>
                    <w:t>28m×17.6m×7.95m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544.6</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018689D1">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门式刚架轻型钢结构</w:t>
                  </w:r>
                </w:p>
              </w:tc>
              <w:tc>
                <w:tcPr>
                  <w:tcW w:w="992" w:type="dxa"/>
                  <w:noWrap/>
                  <w:vAlign w:val="center"/>
                </w:tcPr>
                <w:p w14:paraId="2D0C477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E8E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42E3316B">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874" w:type="dxa"/>
                  <w:noWrap/>
                  <w:vAlign w:val="center"/>
                </w:tcPr>
                <w:p w14:paraId="793FC257">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综合水池及泵房</w:t>
                  </w:r>
                </w:p>
              </w:tc>
              <w:tc>
                <w:tcPr>
                  <w:tcW w:w="2646" w:type="dxa"/>
                  <w:noWrap/>
                  <w:vAlign w:val="center"/>
                </w:tcPr>
                <w:p w14:paraId="467655CA">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单层，</w:t>
                  </w:r>
                  <w:r>
                    <w:rPr>
                      <w:rFonts w:hint="default" w:ascii="Times New Roman" w:hAnsi="Times New Roman" w:eastAsia="宋体" w:cs="Times New Roman"/>
                      <w:i w:val="0"/>
                      <w:iCs w:val="0"/>
                      <w:color w:val="000000"/>
                      <w:kern w:val="0"/>
                      <w:sz w:val="21"/>
                      <w:szCs w:val="21"/>
                      <w:highlight w:val="none"/>
                      <w:u w:val="none"/>
                      <w:lang w:val="en-US" w:eastAsia="zh-CN" w:bidi="ar"/>
                    </w:rPr>
                    <w:t>33.7m×14.7m×7m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178</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0A75C5E2">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泵房为框架结构</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与水池联建</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992" w:type="dxa"/>
                  <w:noWrap/>
                  <w:vAlign w:val="center"/>
                </w:tcPr>
                <w:p w14:paraId="06AFA329">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D90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554500F7">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874" w:type="dxa"/>
                  <w:noWrap/>
                  <w:vAlign w:val="center"/>
                </w:tcPr>
                <w:p w14:paraId="79311A9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综合处理厂房</w:t>
                  </w:r>
                </w:p>
              </w:tc>
              <w:tc>
                <w:tcPr>
                  <w:tcW w:w="2646" w:type="dxa"/>
                  <w:noWrap/>
                  <w:vAlign w:val="center"/>
                </w:tcPr>
                <w:p w14:paraId="693F632A">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两层，</w:t>
                  </w:r>
                  <w:r>
                    <w:rPr>
                      <w:rFonts w:hint="default" w:ascii="Times New Roman" w:hAnsi="Times New Roman" w:eastAsia="宋体" w:cs="Times New Roman"/>
                      <w:i w:val="0"/>
                      <w:iCs w:val="0"/>
                      <w:color w:val="000000"/>
                      <w:kern w:val="0"/>
                      <w:sz w:val="21"/>
                      <w:szCs w:val="21"/>
                      <w:highlight w:val="none"/>
                      <w:u w:val="none"/>
                      <w:lang w:val="en-US" w:eastAsia="zh-CN" w:bidi="ar"/>
                    </w:rPr>
                    <w:t>73m×27m×14.5m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2426</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123A9F0C">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框架结构</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门式刚架结构</w:t>
                  </w:r>
                </w:p>
              </w:tc>
              <w:tc>
                <w:tcPr>
                  <w:tcW w:w="992" w:type="dxa"/>
                  <w:noWrap/>
                  <w:vAlign w:val="center"/>
                </w:tcPr>
                <w:p w14:paraId="755CE851">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3E6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5D43A96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874" w:type="dxa"/>
                  <w:noWrap/>
                  <w:vAlign w:val="center"/>
                </w:tcPr>
                <w:p w14:paraId="6763B089">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高级氧化处理车间</w:t>
                  </w:r>
                </w:p>
              </w:tc>
              <w:tc>
                <w:tcPr>
                  <w:tcW w:w="2646" w:type="dxa"/>
                  <w:noWrap/>
                  <w:vAlign w:val="center"/>
                </w:tcPr>
                <w:p w14:paraId="0FA580A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两层，</w:t>
                  </w:r>
                  <w:r>
                    <w:rPr>
                      <w:rFonts w:hint="default" w:ascii="Times New Roman" w:hAnsi="Times New Roman" w:eastAsia="宋体" w:cs="Times New Roman"/>
                      <w:i w:val="0"/>
                      <w:iCs w:val="0"/>
                      <w:color w:val="000000"/>
                      <w:kern w:val="0"/>
                      <w:sz w:val="21"/>
                      <w:szCs w:val="21"/>
                      <w:highlight w:val="none"/>
                      <w:u w:val="none"/>
                      <w:lang w:val="en-US" w:eastAsia="zh-CN" w:bidi="ar"/>
                    </w:rPr>
                    <w:t>25.7m×9.7m×10.4m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480</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7AD04A0A">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钢框架结构</w:t>
                  </w:r>
                </w:p>
              </w:tc>
              <w:tc>
                <w:tcPr>
                  <w:tcW w:w="992" w:type="dxa"/>
                  <w:noWrap/>
                  <w:vAlign w:val="center"/>
                </w:tcPr>
                <w:p w14:paraId="35A0ACA8">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7F0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37D09226">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1874" w:type="dxa"/>
                  <w:noWrap/>
                  <w:vAlign w:val="center"/>
                </w:tcPr>
                <w:p w14:paraId="02D30682">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电控楼</w:t>
                  </w:r>
                </w:p>
              </w:tc>
              <w:tc>
                <w:tcPr>
                  <w:tcW w:w="2646" w:type="dxa"/>
                  <w:noWrap/>
                  <w:vAlign w:val="center"/>
                </w:tcPr>
                <w:p w14:paraId="5F51A291">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22.6m×17.6m×9m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796</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2C487B93">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钢筋砼框架结构</w:t>
                  </w:r>
                </w:p>
              </w:tc>
              <w:tc>
                <w:tcPr>
                  <w:tcW w:w="992" w:type="dxa"/>
                  <w:noWrap/>
                  <w:vAlign w:val="center"/>
                </w:tcPr>
                <w:p w14:paraId="70F66128">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420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5" w:type="dxa"/>
                  <w:noWrap/>
                  <w:vAlign w:val="center"/>
                </w:tcPr>
                <w:p w14:paraId="6212485D">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1874" w:type="dxa"/>
                  <w:noWrap/>
                  <w:vAlign w:val="center"/>
                </w:tcPr>
                <w:p w14:paraId="7CE93558">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Style w:val="23"/>
                      <w:color w:val="000000"/>
                      <w:sz w:val="21"/>
                      <w:szCs w:val="21"/>
                      <w:highlight w:val="none"/>
                      <w:lang w:val="en-US" w:eastAsia="zh-CN" w:bidi="ar"/>
                    </w:rPr>
                    <w:t>蒸发结晶车间</w:t>
                  </w:r>
                </w:p>
              </w:tc>
              <w:tc>
                <w:tcPr>
                  <w:tcW w:w="2646" w:type="dxa"/>
                  <w:noWrap/>
                  <w:vAlign w:val="center"/>
                </w:tcPr>
                <w:p w14:paraId="3C0F824D">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36m×16m×18m</w:t>
                  </w:r>
                  <w:r>
                    <w:rPr>
                      <w:rFonts w:hint="eastAsia" w:ascii="宋体" w:hAnsi="宋体" w:eastAsia="宋体" w:cs="宋体"/>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1665</w:t>
                  </w:r>
                  <w:r>
                    <w:rPr>
                      <w:rFonts w:hint="eastAsia" w:ascii="宋体" w:hAnsi="宋体" w:eastAsia="宋体" w:cs="宋体"/>
                      <w:i w:val="0"/>
                      <w:iCs w:val="0"/>
                      <w:color w:val="000000"/>
                      <w:kern w:val="0"/>
                      <w:sz w:val="21"/>
                      <w:szCs w:val="21"/>
                      <w:highlight w:val="none"/>
                      <w:u w:val="none"/>
                      <w:lang w:val="en-US" w:eastAsia="zh-CN" w:bidi="ar"/>
                    </w:rPr>
                    <w:t>㎡</w:t>
                  </w:r>
                </w:p>
              </w:tc>
              <w:tc>
                <w:tcPr>
                  <w:tcW w:w="1803" w:type="dxa"/>
                  <w:noWrap/>
                  <w:vAlign w:val="center"/>
                </w:tcPr>
                <w:p w14:paraId="44FF214D">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钢框架结构</w:t>
                  </w:r>
                </w:p>
              </w:tc>
              <w:tc>
                <w:tcPr>
                  <w:tcW w:w="992" w:type="dxa"/>
                  <w:noWrap/>
                  <w:vAlign w:val="center"/>
                </w:tcPr>
                <w:p w14:paraId="6E421CB4">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bl>
          <w:p w14:paraId="5DAA008A">
            <w:pPr>
              <w:keepNext w:val="0"/>
              <w:keepLines/>
              <w:pageBreakBefore w:val="0"/>
              <w:kinsoku/>
              <w:wordWrap/>
              <w:overflowPunct/>
              <w:topLinePunct w:val="0"/>
              <w:bidi w:val="0"/>
              <w:spacing w:line="360" w:lineRule="auto"/>
              <w:ind w:firstLine="482" w:firstLineChars="200"/>
              <w:jc w:val="center"/>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cs="Times New Roman"/>
                <w:b/>
                <w:bCs/>
                <w:color w:val="000000"/>
                <w:sz w:val="24"/>
                <w:szCs w:val="24"/>
                <w:highlight w:val="none"/>
                <w:lang w:val="en-US" w:eastAsia="zh-CN"/>
              </w:rPr>
              <w:t>表2-3 脱硫废水处理设备一览表</w:t>
            </w:r>
          </w:p>
          <w:tbl>
            <w:tblPr>
              <w:tblStyle w:val="24"/>
              <w:tblW w:w="83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1985"/>
              <w:gridCol w:w="1180"/>
              <w:gridCol w:w="948"/>
              <w:gridCol w:w="1140"/>
              <w:gridCol w:w="788"/>
              <w:gridCol w:w="745"/>
              <w:gridCol w:w="920"/>
            </w:tblGrid>
            <w:tr w14:paraId="5CBD7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4E54D048">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z w:val="21"/>
                      <w:szCs w:val="21"/>
                      <w:highlight w:val="none"/>
                    </w:rPr>
                    <w:t>序号</w:t>
                  </w:r>
                </w:p>
              </w:tc>
              <w:tc>
                <w:tcPr>
                  <w:tcW w:w="1985" w:type="dxa"/>
                  <w:noWrap w:val="0"/>
                  <w:vAlign w:val="center"/>
                </w:tcPr>
                <w:p w14:paraId="283C20FD">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2"/>
                      <w:sz w:val="21"/>
                      <w:szCs w:val="21"/>
                      <w:highlight w:val="none"/>
                    </w:rPr>
                    <w:t>设备名称</w:t>
                  </w:r>
                </w:p>
              </w:tc>
              <w:tc>
                <w:tcPr>
                  <w:tcW w:w="1180" w:type="dxa"/>
                  <w:noWrap w:val="0"/>
                  <w:vAlign w:val="center"/>
                </w:tcPr>
                <w:p w14:paraId="7AE413D7">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4"/>
                      <w:sz w:val="21"/>
                      <w:szCs w:val="21"/>
                      <w:highlight w:val="none"/>
                    </w:rPr>
                    <w:t>规格</w:t>
                  </w:r>
                </w:p>
              </w:tc>
              <w:tc>
                <w:tcPr>
                  <w:tcW w:w="948" w:type="dxa"/>
                  <w:noWrap w:val="0"/>
                  <w:vAlign w:val="center"/>
                </w:tcPr>
                <w:p w14:paraId="0FF4A40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2"/>
                      <w:sz w:val="21"/>
                      <w:szCs w:val="21"/>
                      <w:highlight w:val="none"/>
                    </w:rPr>
                    <w:t>功率(kW）</w:t>
                  </w:r>
                </w:p>
              </w:tc>
              <w:tc>
                <w:tcPr>
                  <w:tcW w:w="1140" w:type="dxa"/>
                  <w:noWrap w:val="0"/>
                  <w:vAlign w:val="center"/>
                </w:tcPr>
                <w:p w14:paraId="1D1D3C86">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z w:val="21"/>
                      <w:szCs w:val="21"/>
                      <w:highlight w:val="none"/>
                    </w:rPr>
                    <w:t>材质</w:t>
                  </w:r>
                </w:p>
              </w:tc>
              <w:tc>
                <w:tcPr>
                  <w:tcW w:w="788" w:type="dxa"/>
                  <w:noWrap w:val="0"/>
                  <w:vAlign w:val="center"/>
                </w:tcPr>
                <w:p w14:paraId="38AA0A88">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4"/>
                      <w:sz w:val="21"/>
                      <w:szCs w:val="21"/>
                      <w:highlight w:val="none"/>
                    </w:rPr>
                    <w:t>单位</w:t>
                  </w:r>
                </w:p>
              </w:tc>
              <w:tc>
                <w:tcPr>
                  <w:tcW w:w="745" w:type="dxa"/>
                  <w:noWrap w:val="0"/>
                  <w:vAlign w:val="center"/>
                </w:tcPr>
                <w:p w14:paraId="67A79E63">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4"/>
                      <w:sz w:val="21"/>
                      <w:szCs w:val="21"/>
                      <w:highlight w:val="none"/>
                    </w:rPr>
                    <w:t>数量</w:t>
                  </w:r>
                </w:p>
              </w:tc>
              <w:tc>
                <w:tcPr>
                  <w:tcW w:w="920" w:type="dxa"/>
                  <w:noWrap w:val="0"/>
                  <w:vAlign w:val="center"/>
                </w:tcPr>
                <w:p w14:paraId="1C2D5468">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4"/>
                      <w:sz w:val="21"/>
                      <w:szCs w:val="21"/>
                      <w:highlight w:val="none"/>
                    </w:rPr>
                    <w:t>备注</w:t>
                  </w:r>
                </w:p>
              </w:tc>
            </w:tr>
            <w:tr w14:paraId="226DE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00CCB16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1985" w:type="dxa"/>
                  <w:noWrap w:val="0"/>
                  <w:vAlign w:val="center"/>
                </w:tcPr>
                <w:p w14:paraId="5F7C7422">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7"/>
                      <w:sz w:val="21"/>
                      <w:szCs w:val="21"/>
                      <w:highlight w:val="none"/>
                    </w:rPr>
                    <w:t>原液罐</w:t>
                  </w:r>
                </w:p>
              </w:tc>
              <w:tc>
                <w:tcPr>
                  <w:tcW w:w="1180" w:type="dxa"/>
                  <w:noWrap w:val="0"/>
                  <w:vAlign w:val="center"/>
                </w:tcPr>
                <w:p w14:paraId="31F9993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3"/>
                      <w:w w:val="121"/>
                      <w:sz w:val="21"/>
                      <w:szCs w:val="21"/>
                      <w:highlight w:val="none"/>
                    </w:rPr>
                    <w:t>50m³</w:t>
                  </w:r>
                </w:p>
              </w:tc>
              <w:tc>
                <w:tcPr>
                  <w:tcW w:w="948" w:type="dxa"/>
                  <w:noWrap w:val="0"/>
                  <w:vAlign w:val="center"/>
                </w:tcPr>
                <w:p w14:paraId="77F7746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c>
                <w:tcPr>
                  <w:tcW w:w="1140" w:type="dxa"/>
                  <w:noWrap w:val="0"/>
                  <w:vAlign w:val="center"/>
                </w:tcPr>
                <w:p w14:paraId="18708373">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8"/>
                      <w:sz w:val="21"/>
                      <w:szCs w:val="21"/>
                      <w:highlight w:val="none"/>
                    </w:rPr>
                    <w:t>玻璃钢</w:t>
                  </w:r>
                </w:p>
              </w:tc>
              <w:tc>
                <w:tcPr>
                  <w:tcW w:w="788" w:type="dxa"/>
                  <w:noWrap w:val="0"/>
                  <w:vAlign w:val="center"/>
                </w:tcPr>
                <w:p w14:paraId="492C501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661FEBAD">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27A7C1B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2EA1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337B96AD">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985" w:type="dxa"/>
                  <w:noWrap w:val="0"/>
                  <w:vAlign w:val="center"/>
                </w:tcPr>
                <w:p w14:paraId="5D91D69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1"/>
                      <w:sz w:val="21"/>
                      <w:szCs w:val="21"/>
                      <w:highlight w:val="none"/>
                    </w:rPr>
                    <w:t>原液出料泵</w:t>
                  </w:r>
                </w:p>
              </w:tc>
              <w:tc>
                <w:tcPr>
                  <w:tcW w:w="1180" w:type="dxa"/>
                  <w:noWrap w:val="0"/>
                  <w:vAlign w:val="center"/>
                </w:tcPr>
                <w:p w14:paraId="3F31EBC8">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4"/>
                      <w:sz w:val="21"/>
                      <w:szCs w:val="21"/>
                      <w:highlight w:val="none"/>
                    </w:rPr>
                    <w:t>Q30/H20</w:t>
                  </w:r>
                </w:p>
              </w:tc>
              <w:tc>
                <w:tcPr>
                  <w:tcW w:w="948" w:type="dxa"/>
                  <w:noWrap w:val="0"/>
                  <w:vAlign w:val="center"/>
                </w:tcPr>
                <w:p w14:paraId="67CDDA1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9"/>
                      <w:sz w:val="21"/>
                      <w:szCs w:val="21"/>
                      <w:highlight w:val="none"/>
                    </w:rPr>
                    <w:t>7.5</w:t>
                  </w:r>
                </w:p>
              </w:tc>
              <w:tc>
                <w:tcPr>
                  <w:tcW w:w="1140" w:type="dxa"/>
                  <w:noWrap w:val="0"/>
                  <w:vAlign w:val="center"/>
                </w:tcPr>
                <w:p w14:paraId="1FB1260F">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2B06DC5D">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1EC67143">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452BB94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2EE51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26BCFCAA">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3</w:t>
                  </w:r>
                </w:p>
              </w:tc>
              <w:tc>
                <w:tcPr>
                  <w:tcW w:w="1985" w:type="dxa"/>
                  <w:noWrap w:val="0"/>
                  <w:vAlign w:val="center"/>
                </w:tcPr>
                <w:p w14:paraId="1BBB239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9"/>
                      <w:sz w:val="21"/>
                      <w:szCs w:val="21"/>
                      <w:highlight w:val="none"/>
                    </w:rPr>
                    <w:t>脱色釜</w:t>
                  </w:r>
                </w:p>
              </w:tc>
              <w:tc>
                <w:tcPr>
                  <w:tcW w:w="1180" w:type="dxa"/>
                  <w:noWrap w:val="0"/>
                  <w:vAlign w:val="center"/>
                </w:tcPr>
                <w:p w14:paraId="390C3AC4">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24"/>
                      <w:w w:val="109"/>
                      <w:sz w:val="21"/>
                      <w:szCs w:val="21"/>
                      <w:highlight w:val="none"/>
                    </w:rPr>
                    <w:t>15m³</w:t>
                  </w:r>
                </w:p>
              </w:tc>
              <w:tc>
                <w:tcPr>
                  <w:tcW w:w="948" w:type="dxa"/>
                  <w:noWrap w:val="0"/>
                  <w:vAlign w:val="center"/>
                </w:tcPr>
                <w:p w14:paraId="01FD71D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15</w:t>
                  </w:r>
                </w:p>
              </w:tc>
              <w:tc>
                <w:tcPr>
                  <w:tcW w:w="1140" w:type="dxa"/>
                  <w:noWrap w:val="0"/>
                  <w:vAlign w:val="center"/>
                </w:tcPr>
                <w:p w14:paraId="41CCC38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359E0DB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4289AEB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5288C2B3">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12706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37C7A578">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4</w:t>
                  </w:r>
                </w:p>
              </w:tc>
              <w:tc>
                <w:tcPr>
                  <w:tcW w:w="1985" w:type="dxa"/>
                  <w:noWrap w:val="0"/>
                  <w:vAlign w:val="center"/>
                </w:tcPr>
                <w:p w14:paraId="3D81FF6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脱色出料泵</w:t>
                  </w:r>
                </w:p>
              </w:tc>
              <w:tc>
                <w:tcPr>
                  <w:tcW w:w="1180" w:type="dxa"/>
                  <w:noWrap w:val="0"/>
                  <w:vAlign w:val="center"/>
                </w:tcPr>
                <w:p w14:paraId="3C65B04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4"/>
                      <w:sz w:val="21"/>
                      <w:szCs w:val="21"/>
                      <w:highlight w:val="none"/>
                    </w:rPr>
                    <w:t>Q20/H35</w:t>
                  </w:r>
                </w:p>
              </w:tc>
              <w:tc>
                <w:tcPr>
                  <w:tcW w:w="948" w:type="dxa"/>
                  <w:noWrap w:val="0"/>
                  <w:vAlign w:val="center"/>
                </w:tcPr>
                <w:p w14:paraId="3C376C2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9"/>
                      <w:sz w:val="21"/>
                      <w:szCs w:val="21"/>
                      <w:highlight w:val="none"/>
                    </w:rPr>
                    <w:t>7.5</w:t>
                  </w:r>
                </w:p>
              </w:tc>
              <w:tc>
                <w:tcPr>
                  <w:tcW w:w="1140" w:type="dxa"/>
                  <w:noWrap w:val="0"/>
                  <w:vAlign w:val="center"/>
                </w:tcPr>
                <w:p w14:paraId="01C4C6D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72506EAE">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503D9913">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2B704CFE">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2B35F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0E066DB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5</w:t>
                  </w:r>
                </w:p>
              </w:tc>
              <w:tc>
                <w:tcPr>
                  <w:tcW w:w="1985" w:type="dxa"/>
                  <w:noWrap w:val="0"/>
                  <w:vAlign w:val="center"/>
                </w:tcPr>
                <w:p w14:paraId="5D7E79D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脱色压滤机</w:t>
                  </w:r>
                </w:p>
              </w:tc>
              <w:tc>
                <w:tcPr>
                  <w:tcW w:w="1180" w:type="dxa"/>
                  <w:noWrap w:val="0"/>
                  <w:vAlign w:val="center"/>
                </w:tcPr>
                <w:p w14:paraId="78BA179F">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0"/>
                      <w:w w:val="125"/>
                      <w:sz w:val="21"/>
                      <w:szCs w:val="21"/>
                      <w:highlight w:val="none"/>
                    </w:rPr>
                    <w:t>40m²</w:t>
                  </w:r>
                </w:p>
              </w:tc>
              <w:tc>
                <w:tcPr>
                  <w:tcW w:w="948" w:type="dxa"/>
                  <w:noWrap w:val="0"/>
                  <w:vAlign w:val="center"/>
                </w:tcPr>
                <w:p w14:paraId="19D7F80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3</w:t>
                  </w:r>
                </w:p>
              </w:tc>
              <w:tc>
                <w:tcPr>
                  <w:tcW w:w="1140" w:type="dxa"/>
                  <w:noWrap w:val="0"/>
                  <w:vAlign w:val="center"/>
                </w:tcPr>
                <w:p w14:paraId="2C21C31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PP</w:t>
                  </w:r>
                  <w:r>
                    <w:rPr>
                      <w:color w:val="000000"/>
                      <w:spacing w:val="21"/>
                      <w:sz w:val="21"/>
                      <w:szCs w:val="21"/>
                      <w:highlight w:val="none"/>
                    </w:rPr>
                    <w:t>/304</w:t>
                  </w:r>
                </w:p>
              </w:tc>
              <w:tc>
                <w:tcPr>
                  <w:tcW w:w="788" w:type="dxa"/>
                  <w:noWrap w:val="0"/>
                  <w:vAlign w:val="center"/>
                </w:tcPr>
                <w:p w14:paraId="30B215C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31993D2F">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24957EA8">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62C95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5F0A625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6</w:t>
                  </w:r>
                </w:p>
              </w:tc>
              <w:tc>
                <w:tcPr>
                  <w:tcW w:w="1985" w:type="dxa"/>
                  <w:noWrap w:val="0"/>
                  <w:vAlign w:val="center"/>
                </w:tcPr>
                <w:p w14:paraId="66CF944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脱色中转罐</w:t>
                  </w:r>
                </w:p>
              </w:tc>
              <w:tc>
                <w:tcPr>
                  <w:tcW w:w="1180" w:type="dxa"/>
                  <w:noWrap w:val="0"/>
                  <w:vAlign w:val="center"/>
                </w:tcPr>
                <w:p w14:paraId="4C580D2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3"/>
                      <w:w w:val="121"/>
                      <w:sz w:val="21"/>
                      <w:szCs w:val="21"/>
                      <w:highlight w:val="none"/>
                    </w:rPr>
                    <w:t>50m³</w:t>
                  </w:r>
                </w:p>
              </w:tc>
              <w:tc>
                <w:tcPr>
                  <w:tcW w:w="948" w:type="dxa"/>
                  <w:noWrap w:val="0"/>
                  <w:vAlign w:val="center"/>
                </w:tcPr>
                <w:p w14:paraId="04C6090F">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c>
                <w:tcPr>
                  <w:tcW w:w="1140" w:type="dxa"/>
                  <w:noWrap w:val="0"/>
                  <w:vAlign w:val="center"/>
                </w:tcPr>
                <w:p w14:paraId="7C7E5B02">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8"/>
                      <w:sz w:val="21"/>
                      <w:szCs w:val="21"/>
                      <w:highlight w:val="none"/>
                    </w:rPr>
                    <w:t>玻璃钢</w:t>
                  </w:r>
                </w:p>
              </w:tc>
              <w:tc>
                <w:tcPr>
                  <w:tcW w:w="788" w:type="dxa"/>
                  <w:noWrap w:val="0"/>
                  <w:vAlign w:val="center"/>
                </w:tcPr>
                <w:p w14:paraId="663536BE">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79BD849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128E6BB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7D51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28CAB49A">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7</w:t>
                  </w:r>
                </w:p>
              </w:tc>
              <w:tc>
                <w:tcPr>
                  <w:tcW w:w="1985" w:type="dxa"/>
                  <w:noWrap w:val="0"/>
                  <w:vAlign w:val="center"/>
                </w:tcPr>
                <w:p w14:paraId="2501AC2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浓缩进料泵</w:t>
                  </w:r>
                </w:p>
              </w:tc>
              <w:tc>
                <w:tcPr>
                  <w:tcW w:w="1180" w:type="dxa"/>
                  <w:noWrap w:val="0"/>
                  <w:vAlign w:val="center"/>
                </w:tcPr>
                <w:p w14:paraId="3CAF846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4"/>
                      <w:sz w:val="21"/>
                      <w:szCs w:val="21"/>
                      <w:highlight w:val="none"/>
                    </w:rPr>
                    <w:t>Q30/H30</w:t>
                  </w:r>
                </w:p>
              </w:tc>
              <w:tc>
                <w:tcPr>
                  <w:tcW w:w="948" w:type="dxa"/>
                  <w:noWrap w:val="0"/>
                  <w:vAlign w:val="center"/>
                </w:tcPr>
                <w:p w14:paraId="704CAFD3">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9"/>
                      <w:sz w:val="21"/>
                      <w:szCs w:val="21"/>
                      <w:highlight w:val="none"/>
                    </w:rPr>
                    <w:t>7.5</w:t>
                  </w:r>
                </w:p>
              </w:tc>
              <w:tc>
                <w:tcPr>
                  <w:tcW w:w="1140" w:type="dxa"/>
                  <w:noWrap w:val="0"/>
                  <w:vAlign w:val="center"/>
                </w:tcPr>
                <w:p w14:paraId="7032E41E">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66FA69DD">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217422A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738E6407">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663AF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3019B8DD">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8</w:t>
                  </w:r>
                </w:p>
              </w:tc>
              <w:tc>
                <w:tcPr>
                  <w:tcW w:w="1985" w:type="dxa"/>
                  <w:noWrap w:val="0"/>
                  <w:vAlign w:val="center"/>
                </w:tcPr>
                <w:p w14:paraId="26720A7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3"/>
                      <w:sz w:val="21"/>
                      <w:szCs w:val="21"/>
                      <w:highlight w:val="none"/>
                    </w:rPr>
                    <w:t>硫酸钠浓缩釜</w:t>
                  </w:r>
                </w:p>
              </w:tc>
              <w:tc>
                <w:tcPr>
                  <w:tcW w:w="1180" w:type="dxa"/>
                  <w:noWrap w:val="0"/>
                  <w:vAlign w:val="center"/>
                </w:tcPr>
                <w:p w14:paraId="4F890B66">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0"/>
                      <w:w w:val="125"/>
                      <w:sz w:val="21"/>
                      <w:szCs w:val="21"/>
                      <w:highlight w:val="none"/>
                    </w:rPr>
                    <w:t>20m³</w:t>
                  </w:r>
                </w:p>
              </w:tc>
              <w:tc>
                <w:tcPr>
                  <w:tcW w:w="948" w:type="dxa"/>
                  <w:noWrap w:val="0"/>
                  <w:vAlign w:val="center"/>
                </w:tcPr>
                <w:p w14:paraId="4E897C1D">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15</w:t>
                  </w:r>
                </w:p>
              </w:tc>
              <w:tc>
                <w:tcPr>
                  <w:tcW w:w="1140" w:type="dxa"/>
                  <w:noWrap w:val="0"/>
                  <w:vAlign w:val="center"/>
                </w:tcPr>
                <w:p w14:paraId="02379BF8">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28898734">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710FB67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1200702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0C3EC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0311AB83">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9</w:t>
                  </w:r>
                </w:p>
              </w:tc>
              <w:tc>
                <w:tcPr>
                  <w:tcW w:w="1985" w:type="dxa"/>
                  <w:noWrap w:val="0"/>
                  <w:vAlign w:val="center"/>
                </w:tcPr>
                <w:p w14:paraId="17A23E8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rFonts w:ascii="宋体" w:hAnsi="宋体" w:eastAsia="宋体" w:cs="宋体"/>
                      <w:color w:val="000000"/>
                      <w:spacing w:val="13"/>
                      <w:sz w:val="21"/>
                      <w:szCs w:val="21"/>
                      <w:highlight w:val="none"/>
                    </w:rPr>
                    <w:t>浓缩换热器</w:t>
                  </w:r>
                  <w:r>
                    <w:rPr>
                      <w:color w:val="000000"/>
                      <w:spacing w:val="13"/>
                      <w:sz w:val="21"/>
                      <w:szCs w:val="21"/>
                      <w:highlight w:val="none"/>
                    </w:rPr>
                    <w:t>1</w:t>
                  </w:r>
                </w:p>
              </w:tc>
              <w:tc>
                <w:tcPr>
                  <w:tcW w:w="1180" w:type="dxa"/>
                  <w:noWrap w:val="0"/>
                  <w:vAlign w:val="center"/>
                </w:tcPr>
                <w:p w14:paraId="5670410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3"/>
                      <w:sz w:val="21"/>
                      <w:szCs w:val="21"/>
                      <w:highlight w:val="none"/>
                    </w:rPr>
                    <w:t>200m</w:t>
                  </w:r>
                  <w:r>
                    <w:rPr>
                      <w:color w:val="000000"/>
                      <w:spacing w:val="13"/>
                      <w:sz w:val="21"/>
                      <w:szCs w:val="21"/>
                      <w:highlight w:val="none"/>
                      <w:vertAlign w:val="superscript"/>
                    </w:rPr>
                    <w:t>2</w:t>
                  </w:r>
                </w:p>
              </w:tc>
              <w:tc>
                <w:tcPr>
                  <w:tcW w:w="948" w:type="dxa"/>
                  <w:noWrap w:val="0"/>
                  <w:vAlign w:val="center"/>
                </w:tcPr>
                <w:p w14:paraId="7D9B834F">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c>
                <w:tcPr>
                  <w:tcW w:w="1140" w:type="dxa"/>
                  <w:noWrap w:val="0"/>
                  <w:vAlign w:val="center"/>
                </w:tcPr>
                <w:p w14:paraId="708BE4A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pacing w:val="11"/>
                      <w:sz w:val="21"/>
                      <w:szCs w:val="21"/>
                      <w:highlight w:val="none"/>
                    </w:rPr>
                  </w:pPr>
                  <w:r>
                    <w:rPr>
                      <w:rFonts w:ascii="Times New Roman" w:hAnsi="Times New Roman" w:eastAsia="Times New Roman" w:cs="Times New Roman"/>
                      <w:color w:val="000000"/>
                      <w:spacing w:val="11"/>
                      <w:sz w:val="21"/>
                      <w:szCs w:val="21"/>
                      <w:highlight w:val="none"/>
                    </w:rPr>
                    <w:t>3</w:t>
                  </w:r>
                  <w:r>
                    <w:rPr>
                      <w:rFonts w:ascii="Times New Roman" w:hAnsi="Times New Roman" w:eastAsia="Times New Roman" w:cs="Times New Roman"/>
                      <w:color w:val="000000"/>
                      <w:spacing w:val="11"/>
                      <w:sz w:val="21"/>
                      <w:szCs w:val="21"/>
                      <w:highlight w:val="none"/>
                      <w:lang w:val="en-US" w:eastAsia="zh-CN"/>
                    </w:rPr>
                    <w:t>16L/Q235</w:t>
                  </w:r>
                </w:p>
              </w:tc>
              <w:tc>
                <w:tcPr>
                  <w:tcW w:w="788" w:type="dxa"/>
                  <w:noWrap w:val="0"/>
                  <w:vAlign w:val="center"/>
                </w:tcPr>
                <w:p w14:paraId="1DC0DA6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4270E12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676CDDF1">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55251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60887BF5">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10</w:t>
                  </w:r>
                </w:p>
              </w:tc>
              <w:tc>
                <w:tcPr>
                  <w:tcW w:w="1985" w:type="dxa"/>
                  <w:noWrap w:val="0"/>
                  <w:vAlign w:val="center"/>
                </w:tcPr>
                <w:p w14:paraId="5EF3BA66">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rFonts w:ascii="宋体" w:hAnsi="宋体" w:eastAsia="宋体" w:cs="宋体"/>
                      <w:color w:val="000000"/>
                      <w:spacing w:val="13"/>
                      <w:sz w:val="21"/>
                      <w:szCs w:val="21"/>
                      <w:highlight w:val="none"/>
                    </w:rPr>
                    <w:t>浓缩换热器</w:t>
                  </w:r>
                  <w:r>
                    <w:rPr>
                      <w:color w:val="000000"/>
                      <w:spacing w:val="13"/>
                      <w:sz w:val="21"/>
                      <w:szCs w:val="21"/>
                      <w:highlight w:val="none"/>
                    </w:rPr>
                    <w:t>2</w:t>
                  </w:r>
                </w:p>
              </w:tc>
              <w:tc>
                <w:tcPr>
                  <w:tcW w:w="1180" w:type="dxa"/>
                  <w:noWrap w:val="0"/>
                  <w:vAlign w:val="center"/>
                </w:tcPr>
                <w:p w14:paraId="6ABAADA8">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3"/>
                      <w:w w:val="120"/>
                      <w:sz w:val="21"/>
                      <w:szCs w:val="21"/>
                      <w:highlight w:val="none"/>
                    </w:rPr>
                    <w:t>80m²</w:t>
                  </w:r>
                </w:p>
              </w:tc>
              <w:tc>
                <w:tcPr>
                  <w:tcW w:w="948" w:type="dxa"/>
                  <w:noWrap w:val="0"/>
                  <w:vAlign w:val="center"/>
                </w:tcPr>
                <w:p w14:paraId="398E819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c>
                <w:tcPr>
                  <w:tcW w:w="1140" w:type="dxa"/>
                  <w:noWrap w:val="0"/>
                  <w:vAlign w:val="center"/>
                </w:tcPr>
                <w:p w14:paraId="628A0D1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pacing w:val="11"/>
                      <w:sz w:val="21"/>
                      <w:szCs w:val="21"/>
                      <w:highlight w:val="none"/>
                    </w:rPr>
                  </w:pPr>
                  <w:r>
                    <w:rPr>
                      <w:rFonts w:ascii="Times New Roman" w:hAnsi="Times New Roman" w:eastAsia="Times New Roman" w:cs="Times New Roman"/>
                      <w:color w:val="000000"/>
                      <w:spacing w:val="11"/>
                      <w:sz w:val="21"/>
                      <w:szCs w:val="21"/>
                      <w:highlight w:val="none"/>
                    </w:rPr>
                    <w:t>316L/Q235</w:t>
                  </w:r>
                </w:p>
              </w:tc>
              <w:tc>
                <w:tcPr>
                  <w:tcW w:w="788" w:type="dxa"/>
                  <w:noWrap w:val="0"/>
                  <w:vAlign w:val="center"/>
                </w:tcPr>
                <w:p w14:paraId="161325F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7D65C84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920" w:type="dxa"/>
                  <w:noWrap w:val="0"/>
                  <w:vAlign w:val="center"/>
                </w:tcPr>
                <w:p w14:paraId="437DA22F">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48CD5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22A5223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11</w:t>
                  </w:r>
                </w:p>
              </w:tc>
              <w:tc>
                <w:tcPr>
                  <w:tcW w:w="1985" w:type="dxa"/>
                  <w:noWrap w:val="0"/>
                  <w:vAlign w:val="center"/>
                </w:tcPr>
                <w:p w14:paraId="77E6257D">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3"/>
                      <w:sz w:val="21"/>
                      <w:szCs w:val="21"/>
                      <w:highlight w:val="none"/>
                    </w:rPr>
                    <w:t>硫酸钠结晶釜</w:t>
                  </w:r>
                </w:p>
              </w:tc>
              <w:tc>
                <w:tcPr>
                  <w:tcW w:w="1180" w:type="dxa"/>
                  <w:noWrap w:val="0"/>
                  <w:vAlign w:val="center"/>
                </w:tcPr>
                <w:p w14:paraId="3693A00F">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3"/>
                      <w:w w:val="125"/>
                      <w:sz w:val="21"/>
                      <w:szCs w:val="21"/>
                      <w:highlight w:val="none"/>
                    </w:rPr>
                    <w:t>8m³</w:t>
                  </w:r>
                </w:p>
              </w:tc>
              <w:tc>
                <w:tcPr>
                  <w:tcW w:w="948" w:type="dxa"/>
                  <w:noWrap w:val="0"/>
                  <w:vAlign w:val="center"/>
                </w:tcPr>
                <w:p w14:paraId="7EAFEEEF">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11</w:t>
                  </w:r>
                </w:p>
              </w:tc>
              <w:tc>
                <w:tcPr>
                  <w:tcW w:w="1140" w:type="dxa"/>
                  <w:noWrap w:val="0"/>
                  <w:vAlign w:val="center"/>
                </w:tcPr>
                <w:p w14:paraId="3E2A6709">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5"/>
                      <w:sz w:val="21"/>
                      <w:szCs w:val="21"/>
                      <w:highlight w:val="none"/>
                    </w:rPr>
                    <w:t>搪瓷</w:t>
                  </w:r>
                </w:p>
              </w:tc>
              <w:tc>
                <w:tcPr>
                  <w:tcW w:w="788" w:type="dxa"/>
                  <w:noWrap w:val="0"/>
                  <w:vAlign w:val="center"/>
                </w:tcPr>
                <w:p w14:paraId="1C0A978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39BCB24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640ABAA3">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6A5C5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3F7BA5B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3"/>
                      <w:sz w:val="21"/>
                      <w:szCs w:val="21"/>
                      <w:highlight w:val="none"/>
                    </w:rPr>
                    <w:t>12</w:t>
                  </w:r>
                </w:p>
              </w:tc>
              <w:tc>
                <w:tcPr>
                  <w:tcW w:w="1985" w:type="dxa"/>
                  <w:noWrap w:val="0"/>
                  <w:vAlign w:val="center"/>
                </w:tcPr>
                <w:p w14:paraId="21AB38C3">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3"/>
                      <w:sz w:val="21"/>
                      <w:szCs w:val="21"/>
                      <w:highlight w:val="none"/>
                    </w:rPr>
                    <w:t>硫酸钠压滤机</w:t>
                  </w:r>
                </w:p>
              </w:tc>
              <w:tc>
                <w:tcPr>
                  <w:tcW w:w="1180" w:type="dxa"/>
                  <w:noWrap w:val="0"/>
                  <w:vAlign w:val="center"/>
                </w:tcPr>
                <w:p w14:paraId="6D4D64F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0"/>
                      <w:w w:val="125"/>
                      <w:sz w:val="21"/>
                      <w:szCs w:val="21"/>
                      <w:highlight w:val="none"/>
                    </w:rPr>
                    <w:t>40m²</w:t>
                  </w:r>
                </w:p>
              </w:tc>
              <w:tc>
                <w:tcPr>
                  <w:tcW w:w="948" w:type="dxa"/>
                  <w:noWrap w:val="0"/>
                  <w:vAlign w:val="center"/>
                </w:tcPr>
                <w:p w14:paraId="390FFBE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3</w:t>
                  </w:r>
                </w:p>
              </w:tc>
              <w:tc>
                <w:tcPr>
                  <w:tcW w:w="1140" w:type="dxa"/>
                  <w:noWrap w:val="0"/>
                  <w:vAlign w:val="center"/>
                </w:tcPr>
                <w:p w14:paraId="5F13BB3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PP</w:t>
                  </w:r>
                  <w:r>
                    <w:rPr>
                      <w:color w:val="000000"/>
                      <w:spacing w:val="21"/>
                      <w:sz w:val="21"/>
                      <w:szCs w:val="21"/>
                      <w:highlight w:val="none"/>
                    </w:rPr>
                    <w:t>/304</w:t>
                  </w:r>
                </w:p>
              </w:tc>
              <w:tc>
                <w:tcPr>
                  <w:tcW w:w="788" w:type="dxa"/>
                  <w:noWrap w:val="0"/>
                  <w:vAlign w:val="center"/>
                </w:tcPr>
                <w:p w14:paraId="08A6D5B9">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0AB5E55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084E0EC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6146B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7A1ABB8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13</w:t>
                  </w:r>
                </w:p>
              </w:tc>
              <w:tc>
                <w:tcPr>
                  <w:tcW w:w="1985" w:type="dxa"/>
                  <w:noWrap w:val="0"/>
                  <w:vAlign w:val="center"/>
                </w:tcPr>
                <w:p w14:paraId="4E18C805">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硫代硫酸钠结晶釜</w:t>
                  </w:r>
                </w:p>
              </w:tc>
              <w:tc>
                <w:tcPr>
                  <w:tcW w:w="1180" w:type="dxa"/>
                  <w:noWrap w:val="0"/>
                  <w:vAlign w:val="center"/>
                </w:tcPr>
                <w:p w14:paraId="283748AA">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13"/>
                      <w:w w:val="125"/>
                      <w:sz w:val="21"/>
                      <w:szCs w:val="21"/>
                      <w:highlight w:val="none"/>
                    </w:rPr>
                    <w:t>8m³</w:t>
                  </w:r>
                </w:p>
              </w:tc>
              <w:tc>
                <w:tcPr>
                  <w:tcW w:w="948" w:type="dxa"/>
                  <w:noWrap w:val="0"/>
                  <w:vAlign w:val="center"/>
                </w:tcPr>
                <w:p w14:paraId="7F6F78FC">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3"/>
                      <w:sz w:val="21"/>
                      <w:szCs w:val="21"/>
                      <w:highlight w:val="none"/>
                    </w:rPr>
                    <w:t>11</w:t>
                  </w:r>
                </w:p>
              </w:tc>
              <w:tc>
                <w:tcPr>
                  <w:tcW w:w="1140" w:type="dxa"/>
                  <w:noWrap w:val="0"/>
                  <w:vAlign w:val="center"/>
                </w:tcPr>
                <w:p w14:paraId="1C215947">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pacing w:val="5"/>
                      <w:sz w:val="21"/>
                      <w:szCs w:val="21"/>
                      <w:highlight w:val="none"/>
                    </w:rPr>
                    <w:t>搪瓷</w:t>
                  </w:r>
                </w:p>
              </w:tc>
              <w:tc>
                <w:tcPr>
                  <w:tcW w:w="788" w:type="dxa"/>
                  <w:noWrap w:val="0"/>
                  <w:vAlign w:val="center"/>
                </w:tcPr>
                <w:p w14:paraId="0053CC2B">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0753FEF5">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z w:val="21"/>
                      <w:szCs w:val="21"/>
                      <w:highlight w:val="none"/>
                    </w:rPr>
                    <w:t>2</w:t>
                  </w:r>
                </w:p>
              </w:tc>
              <w:tc>
                <w:tcPr>
                  <w:tcW w:w="920" w:type="dxa"/>
                  <w:noWrap w:val="0"/>
                  <w:vAlign w:val="center"/>
                </w:tcPr>
                <w:p w14:paraId="186B453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7CA9D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39DD22CB">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eastAsia="zh-CN"/>
                    </w:rPr>
                  </w:pPr>
                  <w:r>
                    <w:rPr>
                      <w:color w:val="000000"/>
                      <w:spacing w:val="-3"/>
                      <w:sz w:val="21"/>
                      <w:szCs w:val="21"/>
                      <w:highlight w:val="none"/>
                    </w:rPr>
                    <w:t>1</w:t>
                  </w:r>
                  <w:r>
                    <w:rPr>
                      <w:rFonts w:hint="eastAsia" w:eastAsia="宋体"/>
                      <w:color w:val="000000"/>
                      <w:spacing w:val="-3"/>
                      <w:sz w:val="21"/>
                      <w:szCs w:val="21"/>
                      <w:highlight w:val="none"/>
                      <w:lang w:val="en-US" w:eastAsia="zh-CN"/>
                    </w:rPr>
                    <w:t>4</w:t>
                  </w:r>
                </w:p>
              </w:tc>
              <w:tc>
                <w:tcPr>
                  <w:tcW w:w="1985" w:type="dxa"/>
                  <w:noWrap w:val="0"/>
                  <w:vAlign w:val="center"/>
                </w:tcPr>
                <w:p w14:paraId="5D3B10F7">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pacing w:val="13"/>
                      <w:sz w:val="21"/>
                      <w:szCs w:val="21"/>
                      <w:highlight w:val="none"/>
                      <w:lang w:val="en-US" w:eastAsia="zh-CN"/>
                    </w:rPr>
                    <w:t>硫代结晶釜出料泵</w:t>
                  </w:r>
                </w:p>
              </w:tc>
              <w:tc>
                <w:tcPr>
                  <w:tcW w:w="1180" w:type="dxa"/>
                  <w:noWrap w:val="0"/>
                  <w:vAlign w:val="center"/>
                </w:tcPr>
                <w:p w14:paraId="37628E68">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4"/>
                      <w:sz w:val="21"/>
                      <w:szCs w:val="21"/>
                      <w:highlight w:val="none"/>
                    </w:rPr>
                    <w:t>Q20/H35</w:t>
                  </w:r>
                </w:p>
              </w:tc>
              <w:tc>
                <w:tcPr>
                  <w:tcW w:w="948" w:type="dxa"/>
                  <w:noWrap w:val="0"/>
                  <w:vAlign w:val="center"/>
                </w:tcPr>
                <w:p w14:paraId="2E6106CB">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9"/>
                      <w:sz w:val="21"/>
                      <w:szCs w:val="21"/>
                      <w:highlight w:val="none"/>
                    </w:rPr>
                    <w:t>7.5</w:t>
                  </w:r>
                </w:p>
              </w:tc>
              <w:tc>
                <w:tcPr>
                  <w:tcW w:w="1140" w:type="dxa"/>
                  <w:noWrap w:val="0"/>
                  <w:vAlign w:val="center"/>
                </w:tcPr>
                <w:p w14:paraId="7F3CB9C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pacing w:val="11"/>
                      <w:sz w:val="21"/>
                      <w:szCs w:val="21"/>
                      <w:highlight w:val="none"/>
                    </w:rPr>
                    <w:t>316L</w:t>
                  </w:r>
                </w:p>
              </w:tc>
              <w:tc>
                <w:tcPr>
                  <w:tcW w:w="788" w:type="dxa"/>
                  <w:noWrap w:val="0"/>
                  <w:vAlign w:val="center"/>
                </w:tcPr>
                <w:p w14:paraId="2BAD4687">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z w:val="21"/>
                      <w:szCs w:val="21"/>
                      <w:highlight w:val="none"/>
                    </w:rPr>
                    <w:t>台</w:t>
                  </w:r>
                </w:p>
              </w:tc>
              <w:tc>
                <w:tcPr>
                  <w:tcW w:w="745" w:type="dxa"/>
                  <w:noWrap w:val="0"/>
                  <w:vAlign w:val="center"/>
                </w:tcPr>
                <w:p w14:paraId="187C27D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920" w:type="dxa"/>
                  <w:noWrap w:val="0"/>
                  <w:vAlign w:val="center"/>
                </w:tcPr>
                <w:p w14:paraId="3701F439">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5560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25EC8AB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15</w:t>
                  </w:r>
                </w:p>
              </w:tc>
              <w:tc>
                <w:tcPr>
                  <w:tcW w:w="1985" w:type="dxa"/>
                  <w:noWrap w:val="0"/>
                  <w:vAlign w:val="center"/>
                </w:tcPr>
                <w:p w14:paraId="0CFC8F02">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硫代硫酸钠离心机</w:t>
                  </w:r>
                </w:p>
              </w:tc>
              <w:tc>
                <w:tcPr>
                  <w:tcW w:w="1180" w:type="dxa"/>
                  <w:noWrap w:val="0"/>
                  <w:vAlign w:val="center"/>
                </w:tcPr>
                <w:p w14:paraId="4A5CB1C7">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pacing w:val="14"/>
                      <w:sz w:val="21"/>
                      <w:szCs w:val="21"/>
                      <w:highlight w:val="none"/>
                    </w:rPr>
                  </w:pPr>
                  <w:r>
                    <w:rPr>
                      <w:rFonts w:hint="eastAsia"/>
                      <w:color w:val="000000"/>
                      <w:spacing w:val="14"/>
                      <w:sz w:val="21"/>
                      <w:szCs w:val="21"/>
                      <w:highlight w:val="none"/>
                    </w:rPr>
                    <w:t>PGZ1250</w:t>
                  </w:r>
                </w:p>
              </w:tc>
              <w:tc>
                <w:tcPr>
                  <w:tcW w:w="948" w:type="dxa"/>
                  <w:noWrap w:val="0"/>
                  <w:vAlign w:val="center"/>
                </w:tcPr>
                <w:p w14:paraId="34D442B6">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9"/>
                      <w:sz w:val="21"/>
                      <w:szCs w:val="21"/>
                      <w:highlight w:val="none"/>
                      <w:lang w:val="en-US" w:eastAsia="zh-CN"/>
                    </w:rPr>
                  </w:pPr>
                  <w:r>
                    <w:rPr>
                      <w:rFonts w:hint="eastAsia" w:eastAsia="宋体"/>
                      <w:color w:val="000000"/>
                      <w:spacing w:val="9"/>
                      <w:sz w:val="21"/>
                      <w:szCs w:val="21"/>
                      <w:highlight w:val="none"/>
                      <w:lang w:val="en-US" w:eastAsia="zh-CN"/>
                    </w:rPr>
                    <w:t>18</w:t>
                  </w:r>
                </w:p>
              </w:tc>
              <w:tc>
                <w:tcPr>
                  <w:tcW w:w="1140" w:type="dxa"/>
                  <w:noWrap w:val="0"/>
                  <w:vAlign w:val="center"/>
                </w:tcPr>
                <w:p w14:paraId="7E64746A">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11"/>
                      <w:sz w:val="21"/>
                      <w:szCs w:val="21"/>
                      <w:highlight w:val="none"/>
                      <w:lang w:val="en-US" w:eastAsia="zh-CN"/>
                    </w:rPr>
                  </w:pPr>
                  <w:r>
                    <w:rPr>
                      <w:rFonts w:hint="eastAsia" w:eastAsia="宋体"/>
                      <w:color w:val="000000"/>
                      <w:spacing w:val="11"/>
                      <w:sz w:val="21"/>
                      <w:szCs w:val="21"/>
                      <w:highlight w:val="none"/>
                      <w:lang w:val="en-US" w:eastAsia="zh-CN"/>
                    </w:rPr>
                    <w:t>316L</w:t>
                  </w:r>
                </w:p>
              </w:tc>
              <w:tc>
                <w:tcPr>
                  <w:tcW w:w="788" w:type="dxa"/>
                  <w:noWrap w:val="0"/>
                  <w:vAlign w:val="center"/>
                </w:tcPr>
                <w:p w14:paraId="258115BA">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台</w:t>
                  </w:r>
                </w:p>
              </w:tc>
              <w:tc>
                <w:tcPr>
                  <w:tcW w:w="745" w:type="dxa"/>
                  <w:noWrap w:val="0"/>
                  <w:vAlign w:val="center"/>
                </w:tcPr>
                <w:p w14:paraId="6ECEBACA">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1</w:t>
                  </w:r>
                </w:p>
              </w:tc>
              <w:tc>
                <w:tcPr>
                  <w:tcW w:w="920" w:type="dxa"/>
                  <w:noWrap w:val="0"/>
                  <w:vAlign w:val="center"/>
                </w:tcPr>
                <w:p w14:paraId="07FCD3F1">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3EDAE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067D4BB1">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16</w:t>
                  </w:r>
                </w:p>
              </w:tc>
              <w:tc>
                <w:tcPr>
                  <w:tcW w:w="1985" w:type="dxa"/>
                  <w:noWrap w:val="0"/>
                  <w:vAlign w:val="center"/>
                </w:tcPr>
                <w:p w14:paraId="5E0A314B">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硫氰浓缩釜</w:t>
                  </w:r>
                </w:p>
              </w:tc>
              <w:tc>
                <w:tcPr>
                  <w:tcW w:w="1180" w:type="dxa"/>
                  <w:noWrap w:val="0"/>
                  <w:vAlign w:val="center"/>
                </w:tcPr>
                <w:p w14:paraId="52105A1F">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rFonts w:hint="eastAsia" w:eastAsia="宋体"/>
                      <w:color w:val="000000"/>
                      <w:spacing w:val="10"/>
                      <w:w w:val="125"/>
                      <w:sz w:val="21"/>
                      <w:szCs w:val="21"/>
                      <w:highlight w:val="none"/>
                      <w:lang w:val="en-US" w:eastAsia="zh-CN"/>
                    </w:rPr>
                    <w:t>12</w:t>
                  </w:r>
                  <w:r>
                    <w:rPr>
                      <w:color w:val="000000"/>
                      <w:spacing w:val="10"/>
                      <w:w w:val="125"/>
                      <w:sz w:val="21"/>
                      <w:szCs w:val="21"/>
                      <w:highlight w:val="none"/>
                    </w:rPr>
                    <w:t>m³</w:t>
                  </w:r>
                </w:p>
              </w:tc>
              <w:tc>
                <w:tcPr>
                  <w:tcW w:w="948" w:type="dxa"/>
                  <w:noWrap w:val="0"/>
                  <w:vAlign w:val="center"/>
                </w:tcPr>
                <w:p w14:paraId="488BECB0">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olor w:val="000000"/>
                      <w:spacing w:val="-3"/>
                      <w:sz w:val="21"/>
                      <w:szCs w:val="21"/>
                      <w:highlight w:val="none"/>
                      <w:lang w:val="en-US" w:eastAsia="zh-CN"/>
                    </w:rPr>
                    <w:t>11</w:t>
                  </w:r>
                </w:p>
              </w:tc>
              <w:tc>
                <w:tcPr>
                  <w:tcW w:w="1140" w:type="dxa"/>
                  <w:noWrap w:val="0"/>
                  <w:vAlign w:val="center"/>
                </w:tcPr>
                <w:p w14:paraId="028105E0">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11"/>
                      <w:sz w:val="21"/>
                      <w:szCs w:val="21"/>
                      <w:highlight w:val="none"/>
                    </w:rPr>
                    <w:t>316L</w:t>
                  </w:r>
                </w:p>
              </w:tc>
              <w:tc>
                <w:tcPr>
                  <w:tcW w:w="788" w:type="dxa"/>
                  <w:noWrap w:val="0"/>
                  <w:vAlign w:val="center"/>
                </w:tcPr>
                <w:p w14:paraId="3CF40338">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03D4259C">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000000"/>
                      <w:sz w:val="21"/>
                      <w:szCs w:val="21"/>
                      <w:highlight w:val="none"/>
                      <w:lang w:val="en-US" w:eastAsia="zh-CN"/>
                    </w:rPr>
                    <w:t>2</w:t>
                  </w:r>
                </w:p>
              </w:tc>
              <w:tc>
                <w:tcPr>
                  <w:tcW w:w="920" w:type="dxa"/>
                  <w:noWrap w:val="0"/>
                  <w:vAlign w:val="center"/>
                </w:tcPr>
                <w:p w14:paraId="0559ACD5">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r>
            <w:tr w14:paraId="3EBE4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6F51344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17</w:t>
                  </w:r>
                </w:p>
              </w:tc>
              <w:tc>
                <w:tcPr>
                  <w:tcW w:w="1985" w:type="dxa"/>
                  <w:noWrap w:val="0"/>
                  <w:vAlign w:val="center"/>
                </w:tcPr>
                <w:p w14:paraId="245A620D">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ascii="宋体" w:hAnsi="宋体" w:eastAsia="宋体" w:cs="宋体"/>
                      <w:color w:val="000000"/>
                      <w:spacing w:val="13"/>
                      <w:sz w:val="21"/>
                      <w:szCs w:val="21"/>
                      <w:highlight w:val="none"/>
                    </w:rPr>
                    <w:t>浓缩换热器</w:t>
                  </w:r>
                  <w:r>
                    <w:rPr>
                      <w:rFonts w:hint="eastAsia" w:eastAsia="宋体"/>
                      <w:color w:val="000000"/>
                      <w:spacing w:val="13"/>
                      <w:sz w:val="21"/>
                      <w:szCs w:val="21"/>
                      <w:highlight w:val="none"/>
                      <w:lang w:val="en-US" w:eastAsia="zh-CN"/>
                    </w:rPr>
                    <w:t>3</w:t>
                  </w:r>
                </w:p>
              </w:tc>
              <w:tc>
                <w:tcPr>
                  <w:tcW w:w="1180" w:type="dxa"/>
                  <w:noWrap w:val="0"/>
                  <w:vAlign w:val="center"/>
                </w:tcPr>
                <w:p w14:paraId="4CC78826">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rFonts w:hint="eastAsia" w:eastAsia="宋体"/>
                      <w:color w:val="000000"/>
                      <w:spacing w:val="13"/>
                      <w:sz w:val="21"/>
                      <w:szCs w:val="21"/>
                      <w:highlight w:val="none"/>
                      <w:lang w:val="en-US" w:eastAsia="zh-CN"/>
                    </w:rPr>
                    <w:t>150</w:t>
                  </w:r>
                  <w:r>
                    <w:rPr>
                      <w:color w:val="000000"/>
                      <w:spacing w:val="13"/>
                      <w:sz w:val="21"/>
                      <w:szCs w:val="21"/>
                      <w:highlight w:val="none"/>
                    </w:rPr>
                    <w:t>m</w:t>
                  </w:r>
                  <w:r>
                    <w:rPr>
                      <w:color w:val="000000"/>
                      <w:spacing w:val="13"/>
                      <w:sz w:val="21"/>
                      <w:szCs w:val="21"/>
                      <w:highlight w:val="none"/>
                      <w:vertAlign w:val="superscript"/>
                    </w:rPr>
                    <w:t>2</w:t>
                  </w:r>
                </w:p>
              </w:tc>
              <w:tc>
                <w:tcPr>
                  <w:tcW w:w="948" w:type="dxa"/>
                  <w:noWrap w:val="0"/>
                  <w:vAlign w:val="center"/>
                </w:tcPr>
                <w:p w14:paraId="5DDE0E13">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c>
                <w:tcPr>
                  <w:tcW w:w="1140" w:type="dxa"/>
                  <w:noWrap w:val="0"/>
                  <w:vAlign w:val="center"/>
                </w:tcPr>
                <w:p w14:paraId="1A9FDF57">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spacing w:val="11"/>
                      <w:kern w:val="2"/>
                      <w:sz w:val="21"/>
                      <w:szCs w:val="21"/>
                      <w:highlight w:val="none"/>
                      <w:lang w:val="en-US" w:eastAsia="en-US" w:bidi="ar-SA"/>
                    </w:rPr>
                  </w:pPr>
                  <w:r>
                    <w:rPr>
                      <w:rFonts w:ascii="Times New Roman" w:hAnsi="Times New Roman" w:eastAsia="Times New Roman" w:cs="Times New Roman"/>
                      <w:color w:val="000000"/>
                      <w:spacing w:val="11"/>
                      <w:sz w:val="21"/>
                      <w:szCs w:val="21"/>
                      <w:highlight w:val="none"/>
                    </w:rPr>
                    <w:t>3</w:t>
                  </w:r>
                  <w:r>
                    <w:rPr>
                      <w:rFonts w:ascii="Times New Roman" w:hAnsi="Times New Roman" w:eastAsia="Times New Roman" w:cs="Times New Roman"/>
                      <w:color w:val="000000"/>
                      <w:spacing w:val="11"/>
                      <w:sz w:val="21"/>
                      <w:szCs w:val="21"/>
                      <w:highlight w:val="none"/>
                      <w:lang w:val="en-US" w:eastAsia="zh-CN"/>
                    </w:rPr>
                    <w:t>16L/Q235</w:t>
                  </w:r>
                </w:p>
              </w:tc>
              <w:tc>
                <w:tcPr>
                  <w:tcW w:w="788" w:type="dxa"/>
                  <w:noWrap w:val="0"/>
                  <w:vAlign w:val="center"/>
                </w:tcPr>
                <w:p w14:paraId="39840B24">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1AEDF157">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000000"/>
                      <w:sz w:val="21"/>
                      <w:szCs w:val="21"/>
                      <w:highlight w:val="none"/>
                      <w:lang w:val="en-US" w:eastAsia="zh-CN"/>
                    </w:rPr>
                    <w:t>2</w:t>
                  </w:r>
                </w:p>
              </w:tc>
              <w:tc>
                <w:tcPr>
                  <w:tcW w:w="920" w:type="dxa"/>
                  <w:noWrap w:val="0"/>
                  <w:vAlign w:val="center"/>
                </w:tcPr>
                <w:p w14:paraId="2506C946">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r>
            <w:tr w14:paraId="600CE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77771DFE">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18</w:t>
                  </w:r>
                </w:p>
              </w:tc>
              <w:tc>
                <w:tcPr>
                  <w:tcW w:w="1985" w:type="dxa"/>
                  <w:noWrap w:val="0"/>
                  <w:vAlign w:val="center"/>
                </w:tcPr>
                <w:p w14:paraId="07347A84">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ascii="宋体" w:hAnsi="宋体" w:eastAsia="宋体" w:cs="宋体"/>
                      <w:color w:val="000000"/>
                      <w:spacing w:val="13"/>
                      <w:sz w:val="21"/>
                      <w:szCs w:val="21"/>
                      <w:highlight w:val="none"/>
                    </w:rPr>
                    <w:t>浓缩换热器</w:t>
                  </w:r>
                  <w:r>
                    <w:rPr>
                      <w:rFonts w:hint="eastAsia" w:eastAsia="宋体"/>
                      <w:color w:val="000000"/>
                      <w:spacing w:val="13"/>
                      <w:sz w:val="21"/>
                      <w:szCs w:val="21"/>
                      <w:highlight w:val="none"/>
                      <w:lang w:val="en-US" w:eastAsia="zh-CN"/>
                    </w:rPr>
                    <w:t>4</w:t>
                  </w:r>
                </w:p>
              </w:tc>
              <w:tc>
                <w:tcPr>
                  <w:tcW w:w="1180" w:type="dxa"/>
                  <w:noWrap w:val="0"/>
                  <w:vAlign w:val="center"/>
                </w:tcPr>
                <w:p w14:paraId="624A85BC">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rFonts w:hint="eastAsia" w:eastAsia="宋体"/>
                      <w:color w:val="000000"/>
                      <w:spacing w:val="13"/>
                      <w:w w:val="120"/>
                      <w:sz w:val="21"/>
                      <w:szCs w:val="21"/>
                      <w:highlight w:val="none"/>
                      <w:lang w:val="en-US" w:eastAsia="zh-CN"/>
                    </w:rPr>
                    <w:t>6</w:t>
                  </w:r>
                  <w:r>
                    <w:rPr>
                      <w:color w:val="000000"/>
                      <w:spacing w:val="13"/>
                      <w:w w:val="120"/>
                      <w:sz w:val="21"/>
                      <w:szCs w:val="21"/>
                      <w:highlight w:val="none"/>
                    </w:rPr>
                    <w:t>0m²</w:t>
                  </w:r>
                </w:p>
              </w:tc>
              <w:tc>
                <w:tcPr>
                  <w:tcW w:w="948" w:type="dxa"/>
                  <w:noWrap w:val="0"/>
                  <w:vAlign w:val="center"/>
                </w:tcPr>
                <w:p w14:paraId="0A3FA28D">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c>
                <w:tcPr>
                  <w:tcW w:w="1140" w:type="dxa"/>
                  <w:noWrap w:val="0"/>
                  <w:vAlign w:val="center"/>
                </w:tcPr>
                <w:p w14:paraId="57047261">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spacing w:val="11"/>
                      <w:kern w:val="2"/>
                      <w:sz w:val="21"/>
                      <w:szCs w:val="21"/>
                      <w:highlight w:val="none"/>
                      <w:lang w:val="en-US" w:eastAsia="en-US" w:bidi="ar-SA"/>
                    </w:rPr>
                  </w:pPr>
                  <w:r>
                    <w:rPr>
                      <w:rFonts w:ascii="Times New Roman" w:hAnsi="Times New Roman" w:eastAsia="Times New Roman" w:cs="Times New Roman"/>
                      <w:color w:val="000000"/>
                      <w:spacing w:val="11"/>
                      <w:sz w:val="21"/>
                      <w:szCs w:val="21"/>
                      <w:highlight w:val="none"/>
                    </w:rPr>
                    <w:t>316L/Q235</w:t>
                  </w:r>
                </w:p>
              </w:tc>
              <w:tc>
                <w:tcPr>
                  <w:tcW w:w="788" w:type="dxa"/>
                  <w:noWrap w:val="0"/>
                  <w:vAlign w:val="center"/>
                </w:tcPr>
                <w:p w14:paraId="3D072269">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3B18E052">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eastAsia="宋体"/>
                      <w:color w:val="000000"/>
                      <w:sz w:val="21"/>
                      <w:szCs w:val="21"/>
                      <w:highlight w:val="none"/>
                      <w:lang w:val="en-US" w:eastAsia="zh-CN"/>
                    </w:rPr>
                    <w:t>2</w:t>
                  </w:r>
                </w:p>
              </w:tc>
              <w:tc>
                <w:tcPr>
                  <w:tcW w:w="920" w:type="dxa"/>
                  <w:noWrap w:val="0"/>
                  <w:vAlign w:val="center"/>
                </w:tcPr>
                <w:p w14:paraId="6F30871B">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r>
            <w:tr w14:paraId="5E077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41A948EC">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19</w:t>
                  </w:r>
                </w:p>
              </w:tc>
              <w:tc>
                <w:tcPr>
                  <w:tcW w:w="1985" w:type="dxa"/>
                  <w:noWrap w:val="0"/>
                  <w:vAlign w:val="center"/>
                </w:tcPr>
                <w:p w14:paraId="2FB9EE57">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硫氰结晶釜</w:t>
                  </w:r>
                </w:p>
              </w:tc>
              <w:tc>
                <w:tcPr>
                  <w:tcW w:w="1180" w:type="dxa"/>
                  <w:noWrap w:val="0"/>
                  <w:vAlign w:val="center"/>
                </w:tcPr>
                <w:p w14:paraId="650952B0">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13"/>
                      <w:w w:val="125"/>
                      <w:sz w:val="21"/>
                      <w:szCs w:val="21"/>
                      <w:highlight w:val="none"/>
                    </w:rPr>
                    <w:t>8m³</w:t>
                  </w:r>
                </w:p>
              </w:tc>
              <w:tc>
                <w:tcPr>
                  <w:tcW w:w="948" w:type="dxa"/>
                  <w:noWrap w:val="0"/>
                  <w:vAlign w:val="center"/>
                </w:tcPr>
                <w:p w14:paraId="512AD7DC">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3"/>
                      <w:sz w:val="21"/>
                      <w:szCs w:val="21"/>
                      <w:highlight w:val="none"/>
                    </w:rPr>
                    <w:t>11</w:t>
                  </w:r>
                </w:p>
              </w:tc>
              <w:tc>
                <w:tcPr>
                  <w:tcW w:w="1140" w:type="dxa"/>
                  <w:noWrap w:val="0"/>
                  <w:vAlign w:val="center"/>
                </w:tcPr>
                <w:p w14:paraId="0E964615">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pacing w:val="5"/>
                      <w:sz w:val="21"/>
                      <w:szCs w:val="21"/>
                      <w:highlight w:val="none"/>
                    </w:rPr>
                    <w:t>搪瓷</w:t>
                  </w:r>
                </w:p>
              </w:tc>
              <w:tc>
                <w:tcPr>
                  <w:tcW w:w="788" w:type="dxa"/>
                  <w:noWrap w:val="0"/>
                  <w:vAlign w:val="center"/>
                </w:tcPr>
                <w:p w14:paraId="2543EE56">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10F0F10D">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z w:val="21"/>
                      <w:szCs w:val="21"/>
                      <w:highlight w:val="none"/>
                    </w:rPr>
                    <w:t>2</w:t>
                  </w:r>
                </w:p>
              </w:tc>
              <w:tc>
                <w:tcPr>
                  <w:tcW w:w="920" w:type="dxa"/>
                  <w:noWrap w:val="0"/>
                  <w:vAlign w:val="center"/>
                </w:tcPr>
                <w:p w14:paraId="16FB22A8">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6FF2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20743E3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20</w:t>
                  </w:r>
                </w:p>
              </w:tc>
              <w:tc>
                <w:tcPr>
                  <w:tcW w:w="1985" w:type="dxa"/>
                  <w:noWrap w:val="0"/>
                  <w:vAlign w:val="center"/>
                </w:tcPr>
                <w:p w14:paraId="6F1739C4">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硫氰离心机</w:t>
                  </w:r>
                </w:p>
              </w:tc>
              <w:tc>
                <w:tcPr>
                  <w:tcW w:w="1180" w:type="dxa"/>
                  <w:noWrap w:val="0"/>
                  <w:vAlign w:val="center"/>
                </w:tcPr>
                <w:p w14:paraId="2E8AF98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pacing w:val="14"/>
                      <w:sz w:val="21"/>
                      <w:szCs w:val="21"/>
                      <w:highlight w:val="none"/>
                    </w:rPr>
                  </w:pPr>
                  <w:r>
                    <w:rPr>
                      <w:rFonts w:hint="eastAsia"/>
                      <w:color w:val="000000"/>
                      <w:spacing w:val="14"/>
                      <w:sz w:val="21"/>
                      <w:szCs w:val="21"/>
                      <w:highlight w:val="none"/>
                    </w:rPr>
                    <w:t>LLW350</w:t>
                  </w:r>
                </w:p>
              </w:tc>
              <w:tc>
                <w:tcPr>
                  <w:tcW w:w="948" w:type="dxa"/>
                  <w:noWrap w:val="0"/>
                  <w:vAlign w:val="center"/>
                </w:tcPr>
                <w:p w14:paraId="023D6D82">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9"/>
                      <w:sz w:val="21"/>
                      <w:szCs w:val="21"/>
                      <w:highlight w:val="none"/>
                      <w:lang w:val="en-US" w:eastAsia="zh-CN"/>
                    </w:rPr>
                  </w:pPr>
                  <w:r>
                    <w:rPr>
                      <w:rFonts w:hint="eastAsia" w:eastAsia="宋体"/>
                      <w:color w:val="000000"/>
                      <w:spacing w:val="9"/>
                      <w:sz w:val="21"/>
                      <w:szCs w:val="21"/>
                      <w:highlight w:val="none"/>
                      <w:lang w:val="en-US" w:eastAsia="zh-CN"/>
                    </w:rPr>
                    <w:t>15</w:t>
                  </w:r>
                </w:p>
              </w:tc>
              <w:tc>
                <w:tcPr>
                  <w:tcW w:w="1140" w:type="dxa"/>
                  <w:noWrap w:val="0"/>
                  <w:vAlign w:val="center"/>
                </w:tcPr>
                <w:p w14:paraId="5527FFA0">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11"/>
                      <w:sz w:val="21"/>
                      <w:szCs w:val="21"/>
                      <w:highlight w:val="none"/>
                      <w:lang w:val="en-US" w:eastAsia="zh-CN"/>
                    </w:rPr>
                  </w:pPr>
                  <w:r>
                    <w:rPr>
                      <w:rFonts w:hint="eastAsia" w:eastAsia="宋体"/>
                      <w:color w:val="000000"/>
                      <w:spacing w:val="11"/>
                      <w:sz w:val="21"/>
                      <w:szCs w:val="21"/>
                      <w:highlight w:val="none"/>
                      <w:lang w:val="en-US" w:eastAsia="zh-CN"/>
                    </w:rPr>
                    <w:t>316L</w:t>
                  </w:r>
                </w:p>
              </w:tc>
              <w:tc>
                <w:tcPr>
                  <w:tcW w:w="788" w:type="dxa"/>
                  <w:noWrap w:val="0"/>
                  <w:vAlign w:val="center"/>
                </w:tcPr>
                <w:p w14:paraId="15A78B2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台</w:t>
                  </w:r>
                </w:p>
              </w:tc>
              <w:tc>
                <w:tcPr>
                  <w:tcW w:w="745" w:type="dxa"/>
                  <w:noWrap w:val="0"/>
                  <w:vAlign w:val="center"/>
                </w:tcPr>
                <w:p w14:paraId="41AA7F8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1</w:t>
                  </w:r>
                </w:p>
              </w:tc>
              <w:tc>
                <w:tcPr>
                  <w:tcW w:w="920" w:type="dxa"/>
                  <w:noWrap w:val="0"/>
                  <w:vAlign w:val="center"/>
                </w:tcPr>
                <w:p w14:paraId="42C6CCE9">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775A3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9" w:type="dxa"/>
                  <w:noWrap w:val="0"/>
                  <w:vAlign w:val="center"/>
                </w:tcPr>
                <w:p w14:paraId="74A5F1FA">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pacing w:val="-3"/>
                      <w:sz w:val="21"/>
                      <w:szCs w:val="21"/>
                      <w:highlight w:val="none"/>
                      <w:lang w:val="en-US" w:eastAsia="zh-CN"/>
                    </w:rPr>
                  </w:pPr>
                  <w:r>
                    <w:rPr>
                      <w:rFonts w:hint="eastAsia" w:eastAsia="宋体"/>
                      <w:color w:val="000000"/>
                      <w:spacing w:val="-3"/>
                      <w:sz w:val="21"/>
                      <w:szCs w:val="21"/>
                      <w:highlight w:val="none"/>
                      <w:lang w:val="en-US" w:eastAsia="zh-CN"/>
                    </w:rPr>
                    <w:t>21</w:t>
                  </w:r>
                </w:p>
              </w:tc>
              <w:tc>
                <w:tcPr>
                  <w:tcW w:w="1985" w:type="dxa"/>
                  <w:noWrap w:val="0"/>
                  <w:vAlign w:val="center"/>
                </w:tcPr>
                <w:p w14:paraId="2DA550C3">
                  <w:pPr>
                    <w:keepNext w:val="0"/>
                    <w:keepLines/>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000000"/>
                      <w:spacing w:val="13"/>
                      <w:sz w:val="21"/>
                      <w:szCs w:val="21"/>
                      <w:highlight w:val="none"/>
                      <w:lang w:val="en-US" w:eastAsia="zh-CN"/>
                    </w:rPr>
                  </w:pPr>
                  <w:r>
                    <w:rPr>
                      <w:rFonts w:hint="eastAsia" w:ascii="宋体" w:hAnsi="宋体" w:eastAsia="宋体" w:cs="宋体"/>
                      <w:color w:val="000000"/>
                      <w:spacing w:val="13"/>
                      <w:sz w:val="21"/>
                      <w:szCs w:val="21"/>
                      <w:highlight w:val="none"/>
                      <w:lang w:val="en-US" w:eastAsia="zh-CN"/>
                    </w:rPr>
                    <w:t>清液罐</w:t>
                  </w:r>
                </w:p>
              </w:tc>
              <w:tc>
                <w:tcPr>
                  <w:tcW w:w="1180" w:type="dxa"/>
                  <w:noWrap w:val="0"/>
                  <w:vAlign w:val="center"/>
                </w:tcPr>
                <w:p w14:paraId="163AA361">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pacing w:val="13"/>
                      <w:w w:val="121"/>
                      <w:sz w:val="21"/>
                      <w:szCs w:val="21"/>
                      <w:highlight w:val="none"/>
                    </w:rPr>
                    <w:t>50m³</w:t>
                  </w:r>
                </w:p>
              </w:tc>
              <w:tc>
                <w:tcPr>
                  <w:tcW w:w="948" w:type="dxa"/>
                  <w:noWrap w:val="0"/>
                  <w:vAlign w:val="center"/>
                </w:tcPr>
                <w:p w14:paraId="15DD1682">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Arial"/>
                      <w:color w:val="000000"/>
                      <w:kern w:val="2"/>
                      <w:sz w:val="21"/>
                      <w:szCs w:val="21"/>
                      <w:highlight w:val="none"/>
                      <w:lang w:val="en-US" w:eastAsia="zh-CN" w:bidi="ar-SA"/>
                    </w:rPr>
                  </w:pPr>
                </w:p>
              </w:tc>
              <w:tc>
                <w:tcPr>
                  <w:tcW w:w="1140" w:type="dxa"/>
                  <w:noWrap w:val="0"/>
                  <w:vAlign w:val="center"/>
                </w:tcPr>
                <w:p w14:paraId="51D2859B">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pacing w:val="8"/>
                      <w:sz w:val="21"/>
                      <w:szCs w:val="21"/>
                      <w:highlight w:val="none"/>
                    </w:rPr>
                    <w:t>玻璃钢</w:t>
                  </w:r>
                </w:p>
              </w:tc>
              <w:tc>
                <w:tcPr>
                  <w:tcW w:w="788" w:type="dxa"/>
                  <w:noWrap w:val="0"/>
                  <w:vAlign w:val="center"/>
                </w:tcPr>
                <w:p w14:paraId="6734F529">
                  <w:pPr>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宋体" w:hAnsi="宋体" w:eastAsia="宋体" w:cs="宋体"/>
                      <w:color w:val="000000"/>
                      <w:kern w:val="2"/>
                      <w:sz w:val="21"/>
                      <w:szCs w:val="21"/>
                      <w:highlight w:val="none"/>
                      <w:lang w:val="en-US" w:eastAsia="zh-CN" w:bidi="ar-SA"/>
                    </w:rPr>
                  </w:pPr>
                  <w:r>
                    <w:rPr>
                      <w:rFonts w:ascii="宋体" w:hAnsi="宋体" w:eastAsia="宋体" w:cs="宋体"/>
                      <w:color w:val="000000"/>
                      <w:sz w:val="21"/>
                      <w:szCs w:val="21"/>
                      <w:highlight w:val="none"/>
                    </w:rPr>
                    <w:t>台</w:t>
                  </w:r>
                </w:p>
              </w:tc>
              <w:tc>
                <w:tcPr>
                  <w:tcW w:w="745" w:type="dxa"/>
                  <w:noWrap w:val="0"/>
                  <w:vAlign w:val="center"/>
                </w:tcPr>
                <w:p w14:paraId="2768AD69">
                  <w:pPr>
                    <w:pStyle w:val="25"/>
                    <w:keepNext w:val="0"/>
                    <w:keepLines/>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hAnsi="Times New Roman" w:eastAsia="Times New Roman" w:cs="Times New Roman"/>
                      <w:color w:val="000000"/>
                      <w:kern w:val="2"/>
                      <w:sz w:val="21"/>
                      <w:szCs w:val="21"/>
                      <w:highlight w:val="none"/>
                      <w:lang w:val="en-US" w:eastAsia="en-US" w:bidi="ar-SA"/>
                    </w:rPr>
                  </w:pPr>
                  <w:r>
                    <w:rPr>
                      <w:color w:val="000000"/>
                      <w:sz w:val="21"/>
                      <w:szCs w:val="21"/>
                      <w:highlight w:val="none"/>
                    </w:rPr>
                    <w:t>1</w:t>
                  </w:r>
                </w:p>
              </w:tc>
              <w:tc>
                <w:tcPr>
                  <w:tcW w:w="920" w:type="dxa"/>
                  <w:noWrap w:val="0"/>
                  <w:vAlign w:val="center"/>
                </w:tcPr>
                <w:p w14:paraId="59AB8FC0">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4ADB7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862" w:type="dxa"/>
                  <w:gridSpan w:val="5"/>
                  <w:noWrap w:val="0"/>
                  <w:vAlign w:val="center"/>
                </w:tcPr>
                <w:p w14:paraId="42F4E309">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pacing w:val="11"/>
                      <w:sz w:val="21"/>
                      <w:szCs w:val="21"/>
                      <w:highlight w:val="none"/>
                      <w:lang w:val="en-US" w:eastAsia="zh-CN"/>
                    </w:rPr>
                  </w:pPr>
                  <w:r>
                    <w:rPr>
                      <w:rFonts w:hint="eastAsia" w:eastAsia="宋体"/>
                      <w:color w:val="000000"/>
                      <w:spacing w:val="11"/>
                      <w:sz w:val="21"/>
                      <w:szCs w:val="21"/>
                      <w:highlight w:val="none"/>
                      <w:lang w:val="en-US" w:eastAsia="zh-CN"/>
                    </w:rPr>
                    <w:t>合计</w:t>
                  </w:r>
                </w:p>
              </w:tc>
              <w:tc>
                <w:tcPr>
                  <w:tcW w:w="788" w:type="dxa"/>
                  <w:noWrap w:val="0"/>
                  <w:vAlign w:val="center"/>
                </w:tcPr>
                <w:p w14:paraId="0DB83924">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台</w:t>
                  </w:r>
                </w:p>
              </w:tc>
              <w:tc>
                <w:tcPr>
                  <w:tcW w:w="745" w:type="dxa"/>
                  <w:noWrap w:val="0"/>
                  <w:vAlign w:val="center"/>
                </w:tcPr>
                <w:p w14:paraId="1C0F8904">
                  <w:pPr>
                    <w:pStyle w:val="25"/>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32</w:t>
                  </w:r>
                </w:p>
              </w:tc>
              <w:tc>
                <w:tcPr>
                  <w:tcW w:w="920" w:type="dxa"/>
                  <w:noWrap w:val="0"/>
                  <w:vAlign w:val="center"/>
                </w:tcPr>
                <w:p w14:paraId="5F7516BB">
                  <w:pPr>
                    <w:keepNext w:val="0"/>
                    <w:keepLines/>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bl>
          <w:p w14:paraId="47F02CD6">
            <w:pPr>
              <w:pStyle w:val="22"/>
              <w:keepNext w:val="0"/>
              <w:keepLines/>
              <w:pageBreakBefore w:val="0"/>
              <w:kinsoku/>
              <w:wordWrap/>
              <w:overflowPunct/>
              <w:topLinePunct w:val="0"/>
              <w:bidi w:val="0"/>
              <w:spacing w:line="240" w:lineRule="auto"/>
              <w:ind w:firstLine="482"/>
              <w:jc w:val="center"/>
              <w:textAlignment w:val="auto"/>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表</w:t>
            </w:r>
            <w:r>
              <w:rPr>
                <w:rFonts w:hint="default" w:ascii="Times New Roman" w:hAnsi="Times New Roman" w:cs="Times New Roman"/>
                <w:b/>
                <w:color w:val="000000"/>
                <w:highlight w:val="none"/>
                <w:lang w:val="en-US" w:eastAsia="zh-CN"/>
              </w:rPr>
              <w:t>2-</w:t>
            </w:r>
            <w:r>
              <w:rPr>
                <w:rFonts w:hint="eastAsia" w:ascii="Times New Roman" w:hAnsi="Times New Roman" w:cs="Times New Roman"/>
                <w:b/>
                <w:color w:val="000000"/>
                <w:highlight w:val="none"/>
                <w:lang w:val="en-US" w:eastAsia="zh-CN"/>
              </w:rPr>
              <w:t>4</w:t>
            </w:r>
            <w:r>
              <w:rPr>
                <w:rFonts w:hint="default" w:ascii="Times New Roman" w:hAnsi="Times New Roman" w:cs="Times New Roman"/>
                <w:b/>
                <w:color w:val="000000"/>
                <w:highlight w:val="none"/>
              </w:rPr>
              <w:t xml:space="preserve"> </w:t>
            </w:r>
            <w:r>
              <w:rPr>
                <w:rFonts w:hint="eastAsia" w:ascii="Times New Roman" w:hAnsi="Times New Roman" w:cs="Times New Roman"/>
                <w:b/>
                <w:color w:val="000000"/>
                <w:highlight w:val="none"/>
                <w:lang w:val="en-US" w:eastAsia="zh-CN"/>
              </w:rPr>
              <w:t>生化改造工程</w:t>
            </w:r>
            <w:r>
              <w:rPr>
                <w:rFonts w:hint="default" w:ascii="Times New Roman" w:hAnsi="Times New Roman" w:cs="Times New Roman"/>
                <w:b/>
                <w:color w:val="000000"/>
                <w:highlight w:val="none"/>
              </w:rPr>
              <w:t>主要设备一览表</w:t>
            </w:r>
          </w:p>
          <w:tbl>
            <w:tblPr>
              <w:tblStyle w:val="13"/>
              <w:tblW w:w="8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872"/>
              <w:gridCol w:w="2052"/>
              <w:gridCol w:w="2391"/>
              <w:gridCol w:w="990"/>
            </w:tblGrid>
            <w:tr w14:paraId="6B63D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30AC794E">
                  <w:pPr>
                    <w:keepNext w:val="0"/>
                    <w:keepLines/>
                    <w:pageBreakBefore w:val="0"/>
                    <w:widowControl/>
                    <w:suppressLineNumbers w:val="0"/>
                    <w:kinsoku/>
                    <w:wordWrap/>
                    <w:overflowPunct/>
                    <w:topLinePunct w:val="0"/>
                    <w:bidi w:val="0"/>
                    <w:jc w:val="center"/>
                    <w:textAlignment w:val="auto"/>
                    <w:rPr>
                      <w:rFonts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序号</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1F7CABA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设备名称</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1B579FFE">
                  <w:pPr>
                    <w:keepNext w:val="0"/>
                    <w:keepLines/>
                    <w:pageBreakBefore w:val="0"/>
                    <w:kinsoku/>
                    <w:wordWrap/>
                    <w:overflowPunct/>
                    <w:topLinePunct w:val="0"/>
                    <w:bidi w:val="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lang w:val="en-US" w:eastAsia="zh-CN"/>
                    </w:rPr>
                    <w:t>规格及型号</w:t>
                  </w:r>
                </w:p>
              </w:tc>
              <w:tc>
                <w:tcPr>
                  <w:tcW w:w="2391" w:type="dxa"/>
                  <w:tcBorders>
                    <w:top w:val="single" w:color="000000" w:sz="8" w:space="0"/>
                    <w:left w:val="single" w:color="000000" w:sz="8" w:space="0"/>
                    <w:bottom w:val="single" w:color="000000" w:sz="8" w:space="0"/>
                    <w:right w:val="single" w:color="000000" w:sz="8" w:space="0"/>
                  </w:tcBorders>
                  <w:noWrap/>
                  <w:vAlign w:val="top"/>
                </w:tcPr>
                <w:p w14:paraId="413B1F9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单位</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108513BE">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数量</w:t>
                  </w:r>
                </w:p>
              </w:tc>
            </w:tr>
            <w:tr w14:paraId="2FD0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EF1D19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872" w:type="dxa"/>
                  <w:tcBorders>
                    <w:top w:val="single" w:color="000000" w:sz="8" w:space="0"/>
                    <w:left w:val="single" w:color="000000" w:sz="8" w:space="0"/>
                    <w:bottom w:val="single" w:color="000000" w:sz="8" w:space="0"/>
                    <w:right w:val="single" w:color="000000" w:sz="8" w:space="0"/>
                  </w:tcBorders>
                  <w:noWrap/>
                  <w:vAlign w:val="bottom"/>
                </w:tcPr>
                <w:p w14:paraId="7C6AA93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电催化浮选机</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4BA06E79">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处理量25m³/h</w:t>
                  </w:r>
                  <w:r>
                    <w:rPr>
                      <w:rFonts w:hint="eastAsia" w:ascii="Times New Roman" w:hAnsi="Times New Roman" w:cs="Times New Roman"/>
                      <w:color w:val="000000"/>
                      <w:sz w:val="21"/>
                      <w:szCs w:val="21"/>
                      <w:highlight w:val="none"/>
                      <w:lang w:val="en-US" w:eastAsia="zh-CN"/>
                    </w:rPr>
                    <w:t>，一备一用</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07FBECCB">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台</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7E3CB3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r>
            <w:tr w14:paraId="23E91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0D2F9B6B">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48F56EF4">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磁悬浮风机</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3B93CBE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60m³/min,60kpa,N=75kw</w:t>
                  </w:r>
                  <w:r>
                    <w:rPr>
                      <w:rFonts w:hint="eastAsia" w:ascii="Times New Roman" w:hAnsi="Times New Roman" w:cs="Times New Roman"/>
                      <w:color w:val="000000"/>
                      <w:sz w:val="21"/>
                      <w:szCs w:val="21"/>
                      <w:highlight w:val="none"/>
                      <w:lang w:val="en-US" w:eastAsia="zh-CN"/>
                    </w:rPr>
                    <w:t>，一备一用</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49D3EA6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台</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291A35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r>
            <w:tr w14:paraId="70FDD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50DDA18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872" w:type="dxa"/>
                  <w:tcBorders>
                    <w:top w:val="single" w:color="000000" w:sz="8" w:space="0"/>
                    <w:left w:val="single" w:color="000000" w:sz="8" w:space="0"/>
                    <w:bottom w:val="single" w:color="000000" w:sz="8" w:space="0"/>
                    <w:right w:val="single" w:color="000000" w:sz="8" w:space="0"/>
                  </w:tcBorders>
                  <w:noWrap/>
                  <w:vAlign w:val="bottom"/>
                </w:tcPr>
                <w:p w14:paraId="0CD17C8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混沉净化装置</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4840406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处理量50m³/h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05C99A6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2C10060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0893D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2C70F2B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69EDB66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厌氧水解池改造</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35FACE73">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0150</w:t>
                  </w:r>
                </w:p>
              </w:tc>
              <w:tc>
                <w:tcPr>
                  <w:tcW w:w="2391" w:type="dxa"/>
                  <w:tcBorders>
                    <w:top w:val="single" w:color="000000" w:sz="8" w:space="0"/>
                    <w:left w:val="single" w:color="000000" w:sz="8" w:space="0"/>
                    <w:bottom w:val="single" w:color="000000" w:sz="8" w:space="0"/>
                    <w:right w:val="single" w:color="000000" w:sz="8" w:space="0"/>
                  </w:tcBorders>
                  <w:noWrap/>
                  <w:vAlign w:val="top"/>
                </w:tcPr>
                <w:p w14:paraId="68E6864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1596172D">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r>
            <w:tr w14:paraId="5F17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6F76F48">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F05A15A">
                  <w:pPr>
                    <w:keepNext w:val="0"/>
                    <w:keepLines/>
                    <w:pageBreakBefore w:val="0"/>
                    <w:widowControl/>
                    <w:suppressLineNumbers w:val="0"/>
                    <w:kinsoku/>
                    <w:wordWrap/>
                    <w:overflowPunct/>
                    <w:topLinePunct w:val="0"/>
                    <w:bidi w:val="0"/>
                    <w:jc w:val="center"/>
                    <w:textAlignment w:val="auto"/>
                    <w:rPr>
                      <w:rFonts w:hint="eastAsia" w:ascii="MingLiU" w:hAnsi="MingLiU" w:eastAsia="宋体" w:cs="MingLiU"/>
                      <w:i w:val="0"/>
                      <w:iCs w:val="0"/>
                      <w:color w:val="000000"/>
                      <w:sz w:val="21"/>
                      <w:szCs w:val="21"/>
                      <w:highlight w:val="none"/>
                      <w:u w:val="none"/>
                      <w:lang w:val="en-US" w:eastAsia="zh-CN"/>
                    </w:rPr>
                  </w:pPr>
                  <w:r>
                    <w:rPr>
                      <w:rStyle w:val="26"/>
                      <w:color w:val="000000"/>
                      <w:sz w:val="21"/>
                      <w:szCs w:val="21"/>
                      <w:highlight w:val="none"/>
                      <w:lang w:val="en-US" w:eastAsia="zh-CN" w:bidi="ar"/>
                    </w:rPr>
                    <w:t>臭氧系统</w:t>
                  </w:r>
                  <w:r>
                    <w:rPr>
                      <w:rFonts w:hint="eastAsia"/>
                      <w:color w:val="000000"/>
                      <w:highlight w:val="none"/>
                      <w:lang w:val="en-US" w:eastAsia="zh-CN"/>
                    </w:rPr>
                    <w:t>修复</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4036B85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恢复现有</w:t>
                  </w:r>
                  <w:r>
                    <w:rPr>
                      <w:rFonts w:hint="eastAsia" w:ascii="Times New Roman" w:hAnsi="Times New Roman" w:cs="Times New Roman"/>
                      <w:color w:val="000000"/>
                      <w:sz w:val="21"/>
                      <w:szCs w:val="21"/>
                      <w:highlight w:val="none"/>
                      <w:lang w:val="en-US" w:eastAsia="zh-CN"/>
                    </w:rPr>
                    <w:t>备用的</w:t>
                  </w:r>
                  <w:r>
                    <w:rPr>
                      <w:rFonts w:hint="default" w:ascii="Times New Roman" w:hAnsi="Times New Roman" w:cs="Times New Roman"/>
                      <w:color w:val="000000"/>
                      <w:sz w:val="21"/>
                      <w:szCs w:val="21"/>
                      <w:highlight w:val="none"/>
                    </w:rPr>
                    <w:t>2套臭氧发生器及4座臭氧氧化塔</w:t>
                  </w:r>
                  <w:r>
                    <w:rPr>
                      <w:rFonts w:hint="eastAsia" w:ascii="Times New Roman" w:hAnsi="Times New Roman" w:cs="Times New Roman"/>
                      <w:color w:val="000000"/>
                      <w:sz w:val="21"/>
                      <w:szCs w:val="21"/>
                      <w:highlight w:val="none"/>
                      <w:lang w:val="en-US" w:eastAsia="zh-CN"/>
                    </w:rPr>
                    <w:t>功能</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41BBF3A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FD36F43">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C25C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7FA114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7D29599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Fonts w:hint="default" w:ascii="MingLiU" w:hAnsi="MingLiU" w:eastAsia="MingLiU" w:cs="MingLiU"/>
                      <w:i w:val="0"/>
                      <w:iCs w:val="0"/>
                      <w:color w:val="000000"/>
                      <w:sz w:val="21"/>
                      <w:szCs w:val="21"/>
                      <w:highlight w:val="none"/>
                      <w:u w:val="none"/>
                    </w:rPr>
                    <w:t>纤维束过滤器</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57324C49">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处理量25m³/h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103831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AABAC5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r>
            <w:tr w14:paraId="15B06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799" w:type="dxa"/>
                  <w:gridSpan w:val="3"/>
                  <w:tcBorders>
                    <w:top w:val="single" w:color="000000" w:sz="8" w:space="0"/>
                    <w:left w:val="single" w:color="000000" w:sz="8" w:space="0"/>
                    <w:bottom w:val="single" w:color="000000" w:sz="8" w:space="0"/>
                    <w:right w:val="single" w:color="000000" w:sz="8" w:space="0"/>
                  </w:tcBorders>
                  <w:noWrap/>
                  <w:vAlign w:val="center"/>
                </w:tcPr>
                <w:p w14:paraId="4634F2EE">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合计</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5727752">
                  <w:pPr>
                    <w:keepNext w:val="0"/>
                    <w:keepLines/>
                    <w:pageBreakBefore w:val="0"/>
                    <w:widowControl/>
                    <w:suppressLineNumbers w:val="0"/>
                    <w:kinsoku/>
                    <w:wordWrap/>
                    <w:overflowPunct/>
                    <w:topLinePunct w:val="0"/>
                    <w:bidi w:val="0"/>
                    <w:jc w:val="center"/>
                    <w:textAlignment w:val="auto"/>
                    <w:rPr>
                      <w:rStyle w:val="26"/>
                      <w:rFonts w:hint="default"/>
                      <w:color w:val="000000"/>
                      <w:sz w:val="21"/>
                      <w:szCs w:val="21"/>
                      <w:highlight w:val="none"/>
                      <w:lang w:val="en-US" w:eastAsia="zh-CN" w:bidi="ar"/>
                    </w:rPr>
                  </w:pPr>
                  <w:r>
                    <w:rPr>
                      <w:rStyle w:val="26"/>
                      <w:rFonts w:hint="eastAsia"/>
                      <w:color w:val="000000"/>
                      <w:sz w:val="21"/>
                      <w:szCs w:val="21"/>
                      <w:highlight w:val="none"/>
                      <w:lang w:val="en-US" w:eastAsia="zh-CN" w:bidi="ar"/>
                    </w:rPr>
                    <w:t>台/套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7973969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w:t>
                  </w:r>
                </w:p>
              </w:tc>
            </w:tr>
          </w:tbl>
          <w:p w14:paraId="1F8B2465">
            <w:pPr>
              <w:keepNext w:val="0"/>
              <w:keepLines/>
              <w:pageBreakBefore w:val="0"/>
              <w:kinsoku/>
              <w:wordWrap/>
              <w:overflowPunct/>
              <w:topLinePunct w:val="0"/>
              <w:bidi w:val="0"/>
              <w:jc w:val="center"/>
              <w:textAlignment w:val="auto"/>
              <w:rPr>
                <w:color w:val="000000"/>
                <w:highlight w:val="none"/>
              </w:rPr>
            </w:pPr>
            <w:r>
              <w:rPr>
                <w:rFonts w:hint="default" w:ascii="Times New Roman" w:hAnsi="Times New Roman" w:cs="Times New Roman"/>
                <w:b/>
                <w:color w:val="000000"/>
                <w:sz w:val="24"/>
                <w:szCs w:val="24"/>
                <w:highlight w:val="none"/>
              </w:rPr>
              <w:t>表</w:t>
            </w:r>
            <w:r>
              <w:rPr>
                <w:rFonts w:hint="default" w:ascii="Times New Roman" w:hAnsi="Times New Roman" w:cs="Times New Roman"/>
                <w:b/>
                <w:color w:val="000000"/>
                <w:sz w:val="24"/>
                <w:szCs w:val="24"/>
                <w:highlight w:val="none"/>
                <w:lang w:val="en-US" w:eastAsia="zh-CN"/>
              </w:rPr>
              <w:t>2-</w:t>
            </w:r>
            <w:r>
              <w:rPr>
                <w:rFonts w:hint="eastAsia" w:ascii="Times New Roman" w:hAnsi="Times New Roman" w:cs="Times New Roman"/>
                <w:b/>
                <w:color w:val="000000"/>
                <w:sz w:val="24"/>
                <w:szCs w:val="24"/>
                <w:highlight w:val="none"/>
                <w:lang w:val="en-US" w:eastAsia="zh-CN"/>
              </w:rPr>
              <w:t>5</w:t>
            </w:r>
            <w:r>
              <w:rPr>
                <w:rFonts w:hint="default" w:ascii="Times New Roman" w:hAnsi="Times New Roman" w:cs="Times New Roman"/>
                <w:b/>
                <w:color w:val="000000"/>
                <w:sz w:val="24"/>
                <w:szCs w:val="24"/>
                <w:highlight w:val="none"/>
              </w:rPr>
              <w:t xml:space="preserve"> 中水回用及零排放系统主要设备一览表</w:t>
            </w:r>
          </w:p>
          <w:tbl>
            <w:tblPr>
              <w:tblStyle w:val="13"/>
              <w:tblW w:w="8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872"/>
              <w:gridCol w:w="2052"/>
              <w:gridCol w:w="2391"/>
              <w:gridCol w:w="990"/>
            </w:tblGrid>
            <w:tr w14:paraId="2A2C3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353A8365">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序号</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3EE32A15">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b/>
                      <w:bCs/>
                      <w:i w:val="0"/>
                      <w:iCs w:val="0"/>
                      <w:color w:val="000000"/>
                      <w:sz w:val="21"/>
                      <w:szCs w:val="21"/>
                      <w:highlight w:val="none"/>
                      <w:u w:val="none"/>
                    </w:rPr>
                  </w:pPr>
                  <w:r>
                    <w:rPr>
                      <w:rStyle w:val="26"/>
                      <w:b/>
                      <w:bCs/>
                      <w:color w:val="000000"/>
                      <w:sz w:val="21"/>
                      <w:szCs w:val="21"/>
                      <w:highlight w:val="none"/>
                      <w:lang w:val="en-US" w:eastAsia="zh-CN" w:bidi="ar"/>
                    </w:rPr>
                    <w:t>设备名称</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32ABBF0B">
                  <w:pPr>
                    <w:keepNext w:val="0"/>
                    <w:keepLines/>
                    <w:pageBreakBefore w:val="0"/>
                    <w:kinsoku/>
                    <w:wordWrap/>
                    <w:overflowPunct/>
                    <w:topLinePunct w:val="0"/>
                    <w:bidi w:val="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lang w:val="en-US" w:eastAsia="zh-CN"/>
                    </w:rPr>
                    <w:t>规格及型号</w:t>
                  </w:r>
                </w:p>
              </w:tc>
              <w:tc>
                <w:tcPr>
                  <w:tcW w:w="2391" w:type="dxa"/>
                  <w:tcBorders>
                    <w:top w:val="single" w:color="000000" w:sz="8" w:space="0"/>
                    <w:left w:val="single" w:color="000000" w:sz="8" w:space="0"/>
                    <w:bottom w:val="single" w:color="000000" w:sz="8" w:space="0"/>
                    <w:right w:val="single" w:color="000000" w:sz="8" w:space="0"/>
                  </w:tcBorders>
                  <w:noWrap/>
                  <w:vAlign w:val="top"/>
                </w:tcPr>
                <w:p w14:paraId="5768D782">
                  <w:pPr>
                    <w:keepNext w:val="0"/>
                    <w:keepLines/>
                    <w:pageBreakBefore w:val="0"/>
                    <w:widowControl/>
                    <w:suppressLineNumbers w:val="0"/>
                    <w:kinsoku/>
                    <w:wordWrap/>
                    <w:overflowPunct/>
                    <w:topLinePunct w:val="0"/>
                    <w:bidi w:val="0"/>
                    <w:jc w:val="center"/>
                    <w:textAlignment w:val="auto"/>
                    <w:rPr>
                      <w:rFonts w:hint="default" w:ascii="Arial" w:hAnsi="Arial" w:eastAsia="宋体" w:cs="Arial"/>
                      <w:b/>
                      <w:bCs/>
                      <w:i w:val="0"/>
                      <w:iCs w:val="0"/>
                      <w:color w:val="000000"/>
                      <w:sz w:val="21"/>
                      <w:szCs w:val="21"/>
                      <w:highlight w:val="none"/>
                      <w:u w:val="none"/>
                    </w:rPr>
                  </w:pPr>
                  <w:r>
                    <w:rPr>
                      <w:rStyle w:val="26"/>
                      <w:b/>
                      <w:bCs/>
                      <w:color w:val="000000"/>
                      <w:sz w:val="21"/>
                      <w:szCs w:val="21"/>
                      <w:highlight w:val="none"/>
                      <w:lang w:val="en-US" w:eastAsia="zh-CN" w:bidi="ar"/>
                    </w:rPr>
                    <w:t>单位</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374D40A9">
                  <w:pPr>
                    <w:keepNext w:val="0"/>
                    <w:keepLines/>
                    <w:pageBreakBefore w:val="0"/>
                    <w:widowControl/>
                    <w:suppressLineNumbers w:val="0"/>
                    <w:kinsoku/>
                    <w:wordWrap/>
                    <w:overflowPunct/>
                    <w:topLinePunct w:val="0"/>
                    <w:bidi w:val="0"/>
                    <w:jc w:val="center"/>
                    <w:textAlignment w:val="auto"/>
                    <w:rPr>
                      <w:rFonts w:hint="default" w:ascii="Arial" w:hAnsi="Arial" w:eastAsia="宋体" w:cs="Arial"/>
                      <w:b/>
                      <w:bCs/>
                      <w:i w:val="0"/>
                      <w:iCs w:val="0"/>
                      <w:color w:val="000000"/>
                      <w:sz w:val="21"/>
                      <w:szCs w:val="21"/>
                      <w:highlight w:val="none"/>
                      <w:u w:val="none"/>
                    </w:rPr>
                  </w:pPr>
                  <w:r>
                    <w:rPr>
                      <w:rStyle w:val="26"/>
                      <w:b/>
                      <w:bCs/>
                      <w:color w:val="000000"/>
                      <w:sz w:val="21"/>
                      <w:szCs w:val="21"/>
                      <w:highlight w:val="none"/>
                      <w:lang w:val="en-US" w:eastAsia="zh-CN" w:bidi="ar"/>
                    </w:rPr>
                    <w:t>数量</w:t>
                  </w:r>
                </w:p>
              </w:tc>
            </w:tr>
            <w:tr w14:paraId="3D24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537CA52A">
                  <w:pPr>
                    <w:keepNext w:val="0"/>
                    <w:keepLines/>
                    <w:pageBreakBefore w:val="0"/>
                    <w:widowControl/>
                    <w:suppressLineNumbers w:val="0"/>
                    <w:kinsoku/>
                    <w:wordWrap/>
                    <w:overflowPunct/>
                    <w:topLinePunct w:val="0"/>
                    <w:bidi w:val="0"/>
                    <w:jc w:val="center"/>
                    <w:textAlignment w:val="auto"/>
                    <w:rPr>
                      <w:rStyle w:val="26"/>
                      <w:rFonts w:hint="eastAsia"/>
                      <w:color w:val="000000"/>
                      <w:sz w:val="21"/>
                      <w:szCs w:val="21"/>
                      <w:highlight w:val="none"/>
                      <w:lang w:val="en-US" w:eastAsia="zh-CN" w:bidi="ar"/>
                    </w:rPr>
                  </w:pPr>
                  <w:r>
                    <w:rPr>
                      <w:rStyle w:val="26"/>
                      <w:rFonts w:hint="eastAsia"/>
                      <w:color w:val="000000"/>
                      <w:sz w:val="21"/>
                      <w:szCs w:val="21"/>
                      <w:highlight w:val="none"/>
                      <w:lang w:val="en-US" w:eastAsia="zh-CN" w:bidi="ar"/>
                    </w:rPr>
                    <w:t>一</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345481E6">
                  <w:pPr>
                    <w:keepNext w:val="0"/>
                    <w:keepLines/>
                    <w:pageBreakBefore w:val="0"/>
                    <w:widowControl/>
                    <w:suppressLineNumbers w:val="0"/>
                    <w:kinsoku/>
                    <w:wordWrap/>
                    <w:overflowPunct/>
                    <w:topLinePunct w:val="0"/>
                    <w:bidi w:val="0"/>
                    <w:jc w:val="center"/>
                    <w:textAlignment w:val="auto"/>
                    <w:rPr>
                      <w:rStyle w:val="26"/>
                      <w:color w:val="000000"/>
                      <w:sz w:val="21"/>
                      <w:szCs w:val="21"/>
                      <w:highlight w:val="none"/>
                      <w:lang w:val="en-US" w:eastAsia="zh-CN" w:bidi="ar"/>
                    </w:rPr>
                  </w:pPr>
                  <w:r>
                    <w:rPr>
                      <w:rStyle w:val="26"/>
                      <w:color w:val="000000"/>
                      <w:sz w:val="21"/>
                      <w:szCs w:val="21"/>
                      <w:highlight w:val="none"/>
                      <w:lang w:val="en-US" w:eastAsia="zh-CN" w:bidi="ar"/>
                    </w:rPr>
                    <w:t>中水回用系统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4290C4BA">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64E22AE7">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c>
                <w:tcPr>
                  <w:tcW w:w="990" w:type="dxa"/>
                  <w:tcBorders>
                    <w:top w:val="single" w:color="000000" w:sz="8" w:space="0"/>
                    <w:left w:val="single" w:color="000000" w:sz="8" w:space="0"/>
                    <w:bottom w:val="single" w:color="000000" w:sz="8" w:space="0"/>
                    <w:right w:val="single" w:color="000000" w:sz="8" w:space="0"/>
                  </w:tcBorders>
                  <w:noWrap/>
                  <w:vAlign w:val="top"/>
                </w:tcPr>
                <w:p w14:paraId="6DF52BB6">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r>
            <w:tr w14:paraId="6E13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77F4DFC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4CDDA06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1#</w:t>
                  </w:r>
                  <w:r>
                    <w:rPr>
                      <w:rStyle w:val="26"/>
                      <w:color w:val="000000"/>
                      <w:sz w:val="21"/>
                      <w:szCs w:val="21"/>
                      <w:highlight w:val="none"/>
                      <w:lang w:val="en-US" w:eastAsia="zh-CN" w:bidi="ar"/>
                    </w:rPr>
                    <w:t>缓冲池配套设备</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72403EA8">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曝气头、提升泵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0019C10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296FCC36">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6130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7F14580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159C2B38">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催化氧化装置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33BE0A7">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臭氧发生器、除沫器、稳压装置</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514E2EB">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408A54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0BBE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35DC173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817530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r>
                    <w:rPr>
                      <w:rStyle w:val="28"/>
                      <w:color w:val="000000"/>
                      <w:sz w:val="21"/>
                      <w:szCs w:val="21"/>
                      <w:highlight w:val="none"/>
                      <w:lang w:val="en-US" w:eastAsia="zh-CN" w:bidi="ar"/>
                    </w:rPr>
                    <w:t>缓冲池配套设备</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1022269B">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曝气头、提升泵</w:t>
                  </w:r>
                </w:p>
              </w:tc>
              <w:tc>
                <w:tcPr>
                  <w:tcW w:w="2391" w:type="dxa"/>
                  <w:tcBorders>
                    <w:top w:val="single" w:color="000000" w:sz="8" w:space="0"/>
                    <w:left w:val="single" w:color="000000" w:sz="8" w:space="0"/>
                    <w:bottom w:val="single" w:color="000000" w:sz="8" w:space="0"/>
                    <w:right w:val="single" w:color="000000" w:sz="8" w:space="0"/>
                  </w:tcBorders>
                  <w:noWrap w:val="0"/>
                  <w:vAlign w:val="bottom"/>
                </w:tcPr>
                <w:p w14:paraId="5175A137">
                  <w:pPr>
                    <w:keepNext w:val="0"/>
                    <w:keepLines/>
                    <w:pageBreakBefore w:val="0"/>
                    <w:widowControl/>
                    <w:suppressLineNumbers w:val="0"/>
                    <w:kinsoku/>
                    <w:wordWrap/>
                    <w:overflowPunct/>
                    <w:topLinePunct w:val="0"/>
                    <w:bidi w:val="0"/>
                    <w:jc w:val="center"/>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7B2FE69">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1E97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0CD44D8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7C97693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1#</w:t>
                  </w:r>
                  <w:r>
                    <w:rPr>
                      <w:rStyle w:val="26"/>
                      <w:color w:val="000000"/>
                      <w:sz w:val="21"/>
                      <w:szCs w:val="21"/>
                      <w:highlight w:val="none"/>
                      <w:lang w:val="en-US" w:eastAsia="zh-CN" w:bidi="ar"/>
                    </w:rPr>
                    <w:t>软化高密池配套设备</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2EE98682">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进水142.3m³/h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29A9A38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6497A450">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6D0A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7F806EE0">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872" w:type="dxa"/>
                  <w:tcBorders>
                    <w:top w:val="single" w:color="000000" w:sz="8" w:space="0"/>
                    <w:left w:val="single" w:color="000000" w:sz="8" w:space="0"/>
                    <w:bottom w:val="single" w:color="000000" w:sz="8" w:space="0"/>
                    <w:right w:val="single" w:color="000000" w:sz="8" w:space="0"/>
                  </w:tcBorders>
                  <w:noWrap w:val="0"/>
                  <w:vAlign w:val="bottom"/>
                </w:tcPr>
                <w:p w14:paraId="02CCCDE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2#</w:t>
                  </w:r>
                  <w:r>
                    <w:rPr>
                      <w:rStyle w:val="26"/>
                      <w:color w:val="000000"/>
                      <w:sz w:val="21"/>
                      <w:szCs w:val="21"/>
                      <w:highlight w:val="none"/>
                      <w:lang w:val="en-US" w:eastAsia="zh-CN" w:bidi="ar"/>
                    </w:rPr>
                    <w:t>多介质过滤器系统</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2F45EA5C">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单套进水69.5m³/h</w:t>
                  </w:r>
                </w:p>
              </w:tc>
              <w:tc>
                <w:tcPr>
                  <w:tcW w:w="2391" w:type="dxa"/>
                  <w:tcBorders>
                    <w:top w:val="single" w:color="000000" w:sz="8" w:space="0"/>
                    <w:left w:val="single" w:color="000000" w:sz="8" w:space="0"/>
                    <w:bottom w:val="single" w:color="000000" w:sz="8" w:space="0"/>
                    <w:right w:val="single" w:color="000000" w:sz="8" w:space="0"/>
                  </w:tcBorders>
                  <w:noWrap/>
                  <w:vAlign w:val="top"/>
                </w:tcPr>
                <w:p w14:paraId="1D13A65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台套</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5CFCCD9D">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r>
            <w:tr w14:paraId="57C84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7006724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4613ECC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1#</w:t>
                  </w:r>
                  <w:r>
                    <w:rPr>
                      <w:rStyle w:val="26"/>
                      <w:color w:val="000000"/>
                      <w:sz w:val="21"/>
                      <w:szCs w:val="21"/>
                      <w:highlight w:val="none"/>
                      <w:lang w:val="en-US" w:eastAsia="zh-CN" w:bidi="ar"/>
                    </w:rPr>
                    <w:t>超滤装置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0FA3EAAB">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单套进水69.5m³/h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7F70BFC3">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7019EEE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6E0F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46A13D8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1872" w:type="dxa"/>
                  <w:tcBorders>
                    <w:top w:val="single" w:color="000000" w:sz="8" w:space="0"/>
                    <w:left w:val="single" w:color="000000" w:sz="8" w:space="0"/>
                    <w:bottom w:val="single" w:color="000000" w:sz="8" w:space="0"/>
                    <w:right w:val="single" w:color="000000" w:sz="8" w:space="0"/>
                  </w:tcBorders>
                  <w:noWrap w:val="0"/>
                  <w:vAlign w:val="center"/>
                </w:tcPr>
                <w:p w14:paraId="01C8686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超滤化学清洗装置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4BEA8C2A">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含1水箱，2水泵，1保安过滤器</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714F0B9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3B65F9B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6676F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540B27A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4C86E06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1#</w:t>
                  </w:r>
                  <w:r>
                    <w:rPr>
                      <w:rStyle w:val="26"/>
                      <w:color w:val="000000"/>
                      <w:sz w:val="21"/>
                      <w:szCs w:val="21"/>
                      <w:highlight w:val="none"/>
                      <w:lang w:val="en-US" w:eastAsia="zh-CN" w:bidi="ar"/>
                    </w:rPr>
                    <w:t>反渗透装置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9A02645">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进水62.5m³/h,回收率70%</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2588D441">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20E8B4F3">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16795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48ADA5B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58564E2E">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2#</w:t>
                  </w:r>
                  <w:r>
                    <w:rPr>
                      <w:rStyle w:val="26"/>
                      <w:color w:val="000000"/>
                      <w:sz w:val="21"/>
                      <w:szCs w:val="21"/>
                      <w:highlight w:val="none"/>
                      <w:lang w:val="en-US" w:eastAsia="zh-CN" w:bidi="ar"/>
                    </w:rPr>
                    <w:t>软化高密池配套设备</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18B09D7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进水37.5m³/h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1CA5B739">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4808274B">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91BD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4B962B9">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490C510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3#</w:t>
                  </w:r>
                  <w:r>
                    <w:rPr>
                      <w:rStyle w:val="26"/>
                      <w:color w:val="000000"/>
                      <w:sz w:val="21"/>
                      <w:szCs w:val="21"/>
                      <w:highlight w:val="none"/>
                      <w:lang w:val="en-US" w:eastAsia="zh-CN" w:bidi="ar"/>
                    </w:rPr>
                    <w:t>多介质过滤系统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21D48253">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进水37m³/h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1D4CC3D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4D13B58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93FE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2942B86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63EEBBF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弱酸阳床系统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10DCDA1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进水37m³/h</w:t>
                  </w:r>
                </w:p>
              </w:tc>
              <w:tc>
                <w:tcPr>
                  <w:tcW w:w="2391" w:type="dxa"/>
                  <w:tcBorders>
                    <w:top w:val="single" w:color="000000" w:sz="8" w:space="0"/>
                    <w:left w:val="single" w:color="000000" w:sz="8" w:space="0"/>
                    <w:bottom w:val="single" w:color="000000" w:sz="8" w:space="0"/>
                    <w:right w:val="single" w:color="000000" w:sz="8" w:space="0"/>
                  </w:tcBorders>
                  <w:noWrap/>
                  <w:vAlign w:val="top"/>
                </w:tcPr>
                <w:p w14:paraId="4DDE7DF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5BAC6E4E">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7263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5757B78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1872" w:type="dxa"/>
                  <w:tcBorders>
                    <w:top w:val="single" w:color="000000" w:sz="8" w:space="0"/>
                    <w:left w:val="single" w:color="000000" w:sz="8" w:space="0"/>
                    <w:bottom w:val="single" w:color="000000" w:sz="8" w:space="0"/>
                    <w:right w:val="single" w:color="000000" w:sz="8" w:space="0"/>
                  </w:tcBorders>
                  <w:noWrap w:val="0"/>
                  <w:vAlign w:val="top"/>
                </w:tcPr>
                <w:p w14:paraId="5E7E4368">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弱酸阳床再生系统</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172FF42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配套</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5FB58F9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0CF8D8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FE9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4196E26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1872" w:type="dxa"/>
                  <w:tcBorders>
                    <w:top w:val="single" w:color="000000" w:sz="8" w:space="0"/>
                    <w:left w:val="single" w:color="000000" w:sz="8" w:space="0"/>
                    <w:bottom w:val="single" w:color="000000" w:sz="8" w:space="0"/>
                    <w:right w:val="single" w:color="000000" w:sz="8" w:space="0"/>
                  </w:tcBorders>
                  <w:noWrap w:val="0"/>
                  <w:vAlign w:val="bottom"/>
                </w:tcPr>
                <w:p w14:paraId="16880B7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除碳器和中间水池配套设备</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0999CA1A">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DN1000,填料高度2000mm</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7150020D">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838176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12085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6DBD03EB">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1BA811D6">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2#</w:t>
                  </w:r>
                  <w:r>
                    <w:rPr>
                      <w:rStyle w:val="26"/>
                      <w:color w:val="000000"/>
                      <w:sz w:val="21"/>
                      <w:szCs w:val="21"/>
                      <w:highlight w:val="none"/>
                      <w:lang w:val="en-US" w:eastAsia="zh-CN" w:bidi="ar"/>
                    </w:rPr>
                    <w:t>超滤装置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1CACD064">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单套进水35.8m³/h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00DF4E2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3DADC81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B3E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7ED57CA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C9D155E">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2#</w:t>
                  </w:r>
                  <w:r>
                    <w:rPr>
                      <w:rStyle w:val="26"/>
                      <w:color w:val="000000"/>
                      <w:sz w:val="21"/>
                      <w:szCs w:val="21"/>
                      <w:highlight w:val="none"/>
                      <w:lang w:val="en-US" w:eastAsia="zh-CN" w:bidi="ar"/>
                    </w:rPr>
                    <w:t>反渗透装置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3D67F2B">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单套进水33.3m³/h,回收率75%</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22F514E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6036ABC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03F37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061934C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1872" w:type="dxa"/>
                  <w:tcBorders>
                    <w:top w:val="single" w:color="000000" w:sz="8" w:space="0"/>
                    <w:left w:val="single" w:color="000000" w:sz="8" w:space="0"/>
                    <w:bottom w:val="single" w:color="000000" w:sz="8" w:space="0"/>
                    <w:right w:val="single" w:color="000000" w:sz="8" w:space="0"/>
                  </w:tcBorders>
                  <w:noWrap w:val="0"/>
                  <w:vAlign w:val="center"/>
                </w:tcPr>
                <w:p w14:paraId="2DFF056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臭氧催化氧化装置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D524153">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单套进水8.3m³/h,进水泵、呼吸阀等附件</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7E253C7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5D131A7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65FA3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4D46081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03D303F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3#</w:t>
                  </w:r>
                  <w:r>
                    <w:rPr>
                      <w:rStyle w:val="26"/>
                      <w:color w:val="000000"/>
                      <w:sz w:val="21"/>
                      <w:szCs w:val="21"/>
                      <w:highlight w:val="none"/>
                      <w:lang w:val="en-US" w:eastAsia="zh-CN" w:bidi="ar"/>
                    </w:rPr>
                    <w:t>超滤装置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61DA4AA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单套进水8.3m³/h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A9ED57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4412E5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8D6B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3276E97E">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0839FF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纳滤装置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20FC3CB2">
                  <w:pPr>
                    <w:keepNext w:val="0"/>
                    <w:keepLines/>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1#纳滤单套进水9.5m³/h,回收率75%；2#纳滤单套进水.lm³/h,回收率75%</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4D3B965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878DFC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1858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364CA65D">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19</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03B6EA38">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3#</w:t>
                  </w:r>
                  <w:r>
                    <w:rPr>
                      <w:rStyle w:val="26"/>
                      <w:color w:val="000000"/>
                      <w:sz w:val="21"/>
                      <w:szCs w:val="21"/>
                      <w:highlight w:val="none"/>
                      <w:lang w:val="en-US" w:eastAsia="zh-CN" w:bidi="ar"/>
                    </w:rPr>
                    <w:t>反渗透装置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65E6655">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单套进水5.4m³/h,回收率45%,设置2套，1用1备</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3977F70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7F7F590">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6B084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335F96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1872" w:type="dxa"/>
                  <w:tcBorders>
                    <w:top w:val="single" w:color="000000" w:sz="8" w:space="0"/>
                    <w:left w:val="single" w:color="000000" w:sz="8" w:space="0"/>
                    <w:bottom w:val="single" w:color="000000" w:sz="8" w:space="0"/>
                    <w:right w:val="single" w:color="000000" w:sz="8" w:space="0"/>
                  </w:tcBorders>
                  <w:noWrap w:val="0"/>
                  <w:vAlign w:val="bottom"/>
                </w:tcPr>
                <w:p w14:paraId="6CAD4C23">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中和水池/反洗废水池配套设备</w:t>
                  </w:r>
                </w:p>
              </w:tc>
              <w:tc>
                <w:tcPr>
                  <w:tcW w:w="2052" w:type="dxa"/>
                  <w:tcBorders>
                    <w:top w:val="single" w:color="000000" w:sz="8" w:space="0"/>
                    <w:left w:val="single" w:color="000000" w:sz="8" w:space="0"/>
                    <w:bottom w:val="single" w:color="000000" w:sz="8" w:space="0"/>
                    <w:right w:val="single" w:color="000000" w:sz="8" w:space="0"/>
                  </w:tcBorders>
                  <w:noWrap/>
                  <w:vAlign w:val="center"/>
                </w:tcPr>
                <w:p w14:paraId="5C6D983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含水池、水泵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45442E1D">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75E57BD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45B01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5F82130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0884E8D8">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加药系统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1AF49EA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3511CC10">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c>
                <w:tcPr>
                  <w:tcW w:w="990" w:type="dxa"/>
                  <w:tcBorders>
                    <w:top w:val="single" w:color="000000" w:sz="8" w:space="0"/>
                    <w:left w:val="single" w:color="000000" w:sz="8" w:space="0"/>
                    <w:bottom w:val="single" w:color="000000" w:sz="8" w:space="0"/>
                    <w:right w:val="single" w:color="000000" w:sz="8" w:space="0"/>
                  </w:tcBorders>
                  <w:noWrap/>
                  <w:vAlign w:val="top"/>
                </w:tcPr>
                <w:p w14:paraId="611F0E36">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r>
            <w:tr w14:paraId="426D1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6578176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21.1</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4ED7A1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纯碱加药装置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20A0CEE5">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V=2m³,配加药泵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51AA5F89">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E6270AB">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FA54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3DB6458">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21.2</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558A80A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镁剂加药装置</w:t>
                  </w:r>
                </w:p>
              </w:tc>
              <w:tc>
                <w:tcPr>
                  <w:tcW w:w="2052" w:type="dxa"/>
                  <w:tcBorders>
                    <w:top w:val="single" w:color="000000" w:sz="8" w:space="0"/>
                    <w:left w:val="single" w:color="000000" w:sz="8" w:space="0"/>
                    <w:bottom w:val="single" w:color="000000" w:sz="8" w:space="0"/>
                    <w:right w:val="single" w:color="000000" w:sz="8" w:space="0"/>
                  </w:tcBorders>
                  <w:noWrap w:val="0"/>
                  <w:vAlign w:val="center"/>
                </w:tcPr>
                <w:p w14:paraId="25A6027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V=lm³,配加药泵</w:t>
                  </w:r>
                </w:p>
              </w:tc>
              <w:tc>
                <w:tcPr>
                  <w:tcW w:w="2391" w:type="dxa"/>
                  <w:tcBorders>
                    <w:top w:val="single" w:color="000000" w:sz="8" w:space="0"/>
                    <w:left w:val="single" w:color="000000" w:sz="8" w:space="0"/>
                    <w:bottom w:val="single" w:color="000000" w:sz="8" w:space="0"/>
                    <w:right w:val="single" w:color="000000" w:sz="8" w:space="0"/>
                  </w:tcBorders>
                  <w:noWrap w:val="0"/>
                  <w:vAlign w:val="bottom"/>
                </w:tcPr>
                <w:p w14:paraId="7B362756">
                  <w:pPr>
                    <w:keepNext w:val="0"/>
                    <w:keepLines/>
                    <w:pageBreakBefore w:val="0"/>
                    <w:widowControl/>
                    <w:suppressLineNumbers w:val="0"/>
                    <w:kinsoku/>
                    <w:wordWrap/>
                    <w:overflowPunct/>
                    <w:topLinePunct w:val="0"/>
                    <w:bidi w:val="0"/>
                    <w:jc w:val="center"/>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3654CD67">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78C6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0341438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21.3</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6F09611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聚铁加药装置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593912C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V=lm³,配加药泵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A276D3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20F0B36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B76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6BB65CC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21.4</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669FAFB8">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Style w:val="27"/>
                      <w:rFonts w:eastAsia="宋体"/>
                      <w:color w:val="000000"/>
                      <w:sz w:val="21"/>
                      <w:szCs w:val="21"/>
                      <w:highlight w:val="none"/>
                      <w:lang w:val="en-US" w:eastAsia="zh-CN" w:bidi="ar"/>
                    </w:rPr>
                    <w:t>PAM</w:t>
                  </w:r>
                  <w:r>
                    <w:rPr>
                      <w:rStyle w:val="26"/>
                      <w:color w:val="000000"/>
                      <w:sz w:val="21"/>
                      <w:szCs w:val="21"/>
                      <w:highlight w:val="none"/>
                      <w:lang w:val="en-US" w:eastAsia="zh-CN" w:bidi="ar"/>
                    </w:rPr>
                    <w:t>加药装置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28463499">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投加量0.2kg/h,浓度为0.2%</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3E48E8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1DE0A9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4ED55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405500C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21.5</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14D1FC31">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硫酸加药装置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356076E1">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V=lm³,配加药泵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080F22F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6B636C2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F9C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1BDC9F0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21.6</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409D8891">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碱加药装置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4B01F5CC">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含1储罐1卸料泵1计量箱9计量泵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9374E75">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900894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4B961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2B3ADA6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21.7</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22293FE3">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盐酸加药装置</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394678CF">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含1储罐1卸料泵1计量箱4计量泵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1272785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47F720C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BAD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5D24004D">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21.8</w:t>
                  </w:r>
                </w:p>
              </w:tc>
              <w:tc>
                <w:tcPr>
                  <w:tcW w:w="1872" w:type="dxa"/>
                  <w:tcBorders>
                    <w:top w:val="single" w:color="000000" w:sz="8" w:space="0"/>
                    <w:left w:val="single" w:color="000000" w:sz="8" w:space="0"/>
                    <w:bottom w:val="single" w:color="000000" w:sz="8" w:space="0"/>
                    <w:right w:val="single" w:color="000000" w:sz="8" w:space="0"/>
                  </w:tcBorders>
                  <w:noWrap w:val="0"/>
                  <w:vAlign w:val="bottom"/>
                </w:tcPr>
                <w:p w14:paraId="0C47EE6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次氯酸钠加药装置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122482D4">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含1计量箱4计量泵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765DE3AA">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08C0F5E5">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7AA2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1D796FDA">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21.9</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4816DEB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阻垢剂加药装置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422C24C2">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含2计量箱2搅拌器7计量泵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234E00FF">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52ABF12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2B7C0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17C5A41F">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21.10</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67E531C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还原剂加药装置</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253B505C">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含2计量箱2搅拌器4计量泵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6FD959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7EECC01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0DC8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752F48D3">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21.11</w:t>
                  </w:r>
                </w:p>
              </w:tc>
              <w:tc>
                <w:tcPr>
                  <w:tcW w:w="1872" w:type="dxa"/>
                  <w:tcBorders>
                    <w:top w:val="single" w:color="000000" w:sz="8" w:space="0"/>
                    <w:left w:val="single" w:color="000000" w:sz="8" w:space="0"/>
                    <w:bottom w:val="single" w:color="000000" w:sz="8" w:space="0"/>
                    <w:right w:val="single" w:color="000000" w:sz="8" w:space="0"/>
                  </w:tcBorders>
                  <w:noWrap w:val="0"/>
                  <w:vAlign w:val="bottom"/>
                </w:tcPr>
                <w:p w14:paraId="6B8420B2">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非氧化性杀菌剂加药装置</w:t>
                  </w:r>
                </w:p>
              </w:tc>
              <w:tc>
                <w:tcPr>
                  <w:tcW w:w="2052" w:type="dxa"/>
                  <w:tcBorders>
                    <w:top w:val="single" w:color="000000" w:sz="8" w:space="0"/>
                    <w:left w:val="single" w:color="000000" w:sz="8" w:space="0"/>
                    <w:bottom w:val="single" w:color="000000" w:sz="8" w:space="0"/>
                    <w:right w:val="single" w:color="000000" w:sz="8" w:space="0"/>
                  </w:tcBorders>
                  <w:noWrap w:val="0"/>
                  <w:vAlign w:val="center"/>
                </w:tcPr>
                <w:p w14:paraId="1C7A1B23">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含1计量箱2计量泵</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4AFDA5B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3B925BEC">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787A7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0B15D17D">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rFonts w:hint="eastAsia"/>
                      <w:color w:val="000000"/>
                      <w:sz w:val="21"/>
                      <w:szCs w:val="21"/>
                      <w:highlight w:val="none"/>
                      <w:lang w:val="en-US" w:eastAsia="zh-CN" w:bidi="ar"/>
                    </w:rPr>
                    <w:t>二</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0CC905EB">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零排放系统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7C66E9C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3496201A">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c>
                <w:tcPr>
                  <w:tcW w:w="990" w:type="dxa"/>
                  <w:tcBorders>
                    <w:top w:val="single" w:color="000000" w:sz="8" w:space="0"/>
                    <w:left w:val="single" w:color="000000" w:sz="8" w:space="0"/>
                    <w:bottom w:val="single" w:color="000000" w:sz="8" w:space="0"/>
                    <w:right w:val="single" w:color="000000" w:sz="8" w:space="0"/>
                  </w:tcBorders>
                  <w:noWrap/>
                  <w:vAlign w:val="top"/>
                </w:tcPr>
                <w:p w14:paraId="208E7DF3">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r>
            <w:tr w14:paraId="06387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1366971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004F94D4">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硫酸钠结晶系统</w:t>
                  </w:r>
                </w:p>
              </w:tc>
              <w:tc>
                <w:tcPr>
                  <w:tcW w:w="2052" w:type="dxa"/>
                  <w:tcBorders>
                    <w:top w:val="single" w:color="000000" w:sz="8" w:space="0"/>
                    <w:left w:val="single" w:color="000000" w:sz="8" w:space="0"/>
                    <w:bottom w:val="single" w:color="000000" w:sz="8" w:space="0"/>
                    <w:right w:val="single" w:color="000000" w:sz="8" w:space="0"/>
                  </w:tcBorders>
                  <w:noWrap w:val="0"/>
                  <w:vAlign w:val="top"/>
                </w:tcPr>
                <w:p w14:paraId="710B69A0">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处理能力2.5m³/h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63DEB303">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1DBDB03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7430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dxa"/>
                  <w:tcBorders>
                    <w:top w:val="single" w:color="000000" w:sz="8" w:space="0"/>
                    <w:left w:val="single" w:color="000000" w:sz="8" w:space="0"/>
                    <w:bottom w:val="single" w:color="000000" w:sz="8" w:space="0"/>
                    <w:right w:val="single" w:color="000000" w:sz="8" w:space="0"/>
                  </w:tcBorders>
                  <w:noWrap/>
                  <w:vAlign w:val="center"/>
                </w:tcPr>
                <w:p w14:paraId="68A755A4">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872" w:type="dxa"/>
                  <w:tcBorders>
                    <w:top w:val="single" w:color="000000" w:sz="8" w:space="0"/>
                    <w:left w:val="single" w:color="000000" w:sz="8" w:space="0"/>
                    <w:bottom w:val="single" w:color="000000" w:sz="8" w:space="0"/>
                    <w:right w:val="single" w:color="000000" w:sz="8" w:space="0"/>
                  </w:tcBorders>
                  <w:noWrap/>
                  <w:vAlign w:val="center"/>
                </w:tcPr>
                <w:p w14:paraId="12C1987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氯化钠结晶系统</w:t>
                  </w:r>
                </w:p>
              </w:tc>
              <w:tc>
                <w:tcPr>
                  <w:tcW w:w="2052" w:type="dxa"/>
                  <w:tcBorders>
                    <w:top w:val="single" w:color="000000" w:sz="8" w:space="0"/>
                    <w:left w:val="single" w:color="000000" w:sz="8" w:space="0"/>
                    <w:bottom w:val="single" w:color="000000" w:sz="8" w:space="0"/>
                    <w:right w:val="single" w:color="000000" w:sz="8" w:space="0"/>
                  </w:tcBorders>
                  <w:noWrap w:val="0"/>
                  <w:vAlign w:val="bottom"/>
                </w:tcPr>
                <w:p w14:paraId="475E413D">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处理能力3.0m³/h</w:t>
                  </w:r>
                </w:p>
              </w:tc>
              <w:tc>
                <w:tcPr>
                  <w:tcW w:w="2391" w:type="dxa"/>
                  <w:tcBorders>
                    <w:top w:val="single" w:color="000000" w:sz="8" w:space="0"/>
                    <w:left w:val="single" w:color="000000" w:sz="8" w:space="0"/>
                    <w:bottom w:val="single" w:color="000000" w:sz="8" w:space="0"/>
                    <w:right w:val="single" w:color="000000" w:sz="8" w:space="0"/>
                  </w:tcBorders>
                  <w:noWrap/>
                  <w:vAlign w:val="center"/>
                </w:tcPr>
                <w:p w14:paraId="52C1F929">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center"/>
                </w:tcPr>
                <w:p w14:paraId="2B031B16">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65FA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01265DC6">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3AD91F15">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rFonts w:hint="eastAsia"/>
                      <w:color w:val="000000"/>
                      <w:sz w:val="21"/>
                      <w:szCs w:val="21"/>
                      <w:highlight w:val="none"/>
                      <w:lang w:val="en-US" w:eastAsia="zh-CN" w:bidi="ar"/>
                    </w:rPr>
                    <w:t>杂盐处理</w:t>
                  </w:r>
                  <w:r>
                    <w:rPr>
                      <w:rStyle w:val="26"/>
                      <w:color w:val="000000"/>
                      <w:sz w:val="21"/>
                      <w:szCs w:val="21"/>
                      <w:highlight w:val="none"/>
                      <w:lang w:val="en-US" w:eastAsia="zh-CN" w:bidi="ar"/>
                    </w:rPr>
                    <w:t>系统</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0D4D1EC8">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30752DB1">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192D9BB1">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35CE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4C17D1A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四</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253E0A10">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电器设备</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5737F0B0">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00BD8E3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套</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29F688E2">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4C24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18A5E685">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五</w:t>
                  </w:r>
                </w:p>
              </w:tc>
              <w:tc>
                <w:tcPr>
                  <w:tcW w:w="1872" w:type="dxa"/>
                  <w:tcBorders>
                    <w:top w:val="single" w:color="000000" w:sz="8" w:space="0"/>
                    <w:left w:val="single" w:color="000000" w:sz="8" w:space="0"/>
                    <w:bottom w:val="single" w:color="000000" w:sz="8" w:space="0"/>
                    <w:right w:val="single" w:color="000000" w:sz="8" w:space="0"/>
                  </w:tcBorders>
                  <w:noWrap/>
                  <w:vAlign w:val="top"/>
                </w:tcPr>
                <w:p w14:paraId="5F538F77">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备品配件</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0994BBDD">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33240096">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批</w:t>
                  </w:r>
                </w:p>
              </w:tc>
              <w:tc>
                <w:tcPr>
                  <w:tcW w:w="990" w:type="dxa"/>
                  <w:tcBorders>
                    <w:top w:val="single" w:color="000000" w:sz="8" w:space="0"/>
                    <w:left w:val="single" w:color="000000" w:sz="8" w:space="0"/>
                    <w:bottom w:val="single" w:color="000000" w:sz="8" w:space="0"/>
                    <w:right w:val="single" w:color="000000" w:sz="8" w:space="0"/>
                  </w:tcBorders>
                  <w:noWrap/>
                  <w:vAlign w:val="top"/>
                </w:tcPr>
                <w:p w14:paraId="025B416E">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r>
            <w:tr w14:paraId="54610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dxa"/>
                  <w:tcBorders>
                    <w:top w:val="single" w:color="000000" w:sz="8" w:space="0"/>
                    <w:left w:val="single" w:color="000000" w:sz="8" w:space="0"/>
                    <w:bottom w:val="single" w:color="000000" w:sz="8" w:space="0"/>
                    <w:right w:val="single" w:color="000000" w:sz="8" w:space="0"/>
                  </w:tcBorders>
                  <w:noWrap/>
                  <w:vAlign w:val="top"/>
                </w:tcPr>
                <w:p w14:paraId="6B5869AA">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c>
                <w:tcPr>
                  <w:tcW w:w="1872" w:type="dxa"/>
                  <w:tcBorders>
                    <w:top w:val="single" w:color="000000" w:sz="8" w:space="0"/>
                    <w:left w:val="single" w:color="000000" w:sz="8" w:space="0"/>
                    <w:bottom w:val="single" w:color="000000" w:sz="8" w:space="0"/>
                    <w:right w:val="single" w:color="000000" w:sz="8" w:space="0"/>
                  </w:tcBorders>
                  <w:noWrap/>
                  <w:vAlign w:val="top"/>
                </w:tcPr>
                <w:p w14:paraId="7316933C">
                  <w:pPr>
                    <w:keepNext w:val="0"/>
                    <w:keepLines/>
                    <w:pageBreakBefore w:val="0"/>
                    <w:widowControl/>
                    <w:suppressLineNumbers w:val="0"/>
                    <w:kinsoku/>
                    <w:wordWrap/>
                    <w:overflowPunct/>
                    <w:topLinePunct w:val="0"/>
                    <w:bidi w:val="0"/>
                    <w:jc w:val="center"/>
                    <w:textAlignment w:val="auto"/>
                    <w:rPr>
                      <w:rFonts w:hint="default" w:ascii="MingLiU" w:hAnsi="MingLiU" w:eastAsia="MingLiU" w:cs="MingLiU"/>
                      <w:i w:val="0"/>
                      <w:iCs w:val="0"/>
                      <w:color w:val="000000"/>
                      <w:sz w:val="21"/>
                      <w:szCs w:val="21"/>
                      <w:highlight w:val="none"/>
                      <w:u w:val="none"/>
                    </w:rPr>
                  </w:pPr>
                  <w:r>
                    <w:rPr>
                      <w:rStyle w:val="26"/>
                      <w:color w:val="000000"/>
                      <w:sz w:val="21"/>
                      <w:szCs w:val="21"/>
                      <w:highlight w:val="none"/>
                      <w:lang w:val="en-US" w:eastAsia="zh-CN" w:bidi="ar"/>
                    </w:rPr>
                    <w:t>合计</w:t>
                  </w:r>
                </w:p>
              </w:tc>
              <w:tc>
                <w:tcPr>
                  <w:tcW w:w="2052" w:type="dxa"/>
                  <w:tcBorders>
                    <w:top w:val="single" w:color="000000" w:sz="8" w:space="0"/>
                    <w:left w:val="single" w:color="000000" w:sz="8" w:space="0"/>
                    <w:bottom w:val="single" w:color="000000" w:sz="8" w:space="0"/>
                    <w:right w:val="single" w:color="000000" w:sz="8" w:space="0"/>
                  </w:tcBorders>
                  <w:noWrap/>
                  <w:vAlign w:val="top"/>
                </w:tcPr>
                <w:p w14:paraId="351C3DC6">
                  <w:pPr>
                    <w:keepNext w:val="0"/>
                    <w:keepLines/>
                    <w:pageBreakBefore w:val="0"/>
                    <w:kinsoku/>
                    <w:wordWrap/>
                    <w:overflowPunct/>
                    <w:topLinePunct w:val="0"/>
                    <w:bidi w:val="0"/>
                    <w:jc w:val="center"/>
                    <w:textAlignment w:val="auto"/>
                    <w:rPr>
                      <w:rFonts w:hint="default" w:ascii="Times New Roman" w:hAnsi="Times New Roman" w:cs="Times New Roman"/>
                      <w:color w:val="000000"/>
                      <w:sz w:val="21"/>
                      <w:szCs w:val="21"/>
                      <w:highlight w:val="none"/>
                    </w:rPr>
                  </w:pPr>
                </w:p>
              </w:tc>
              <w:tc>
                <w:tcPr>
                  <w:tcW w:w="2391" w:type="dxa"/>
                  <w:tcBorders>
                    <w:top w:val="single" w:color="000000" w:sz="8" w:space="0"/>
                    <w:left w:val="single" w:color="000000" w:sz="8" w:space="0"/>
                    <w:bottom w:val="single" w:color="000000" w:sz="8" w:space="0"/>
                    <w:right w:val="single" w:color="000000" w:sz="8" w:space="0"/>
                  </w:tcBorders>
                  <w:noWrap/>
                  <w:vAlign w:val="top"/>
                </w:tcPr>
                <w:p w14:paraId="71240852">
                  <w:pPr>
                    <w:keepNext w:val="0"/>
                    <w:keepLines/>
                    <w:pageBreakBefore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p>
              </w:tc>
              <w:tc>
                <w:tcPr>
                  <w:tcW w:w="990" w:type="dxa"/>
                  <w:tcBorders>
                    <w:top w:val="single" w:color="000000" w:sz="8" w:space="0"/>
                    <w:left w:val="single" w:color="000000" w:sz="8" w:space="0"/>
                    <w:bottom w:val="single" w:color="000000" w:sz="8" w:space="0"/>
                    <w:right w:val="single" w:color="000000" w:sz="8" w:space="0"/>
                  </w:tcBorders>
                  <w:noWrap/>
                  <w:vAlign w:val="top"/>
                </w:tcPr>
                <w:p w14:paraId="76003649">
                  <w:pPr>
                    <w:keepNext w:val="0"/>
                    <w:keepLines/>
                    <w:pageBreakBefore w:val="0"/>
                    <w:widowControl/>
                    <w:suppressLineNumbers w:val="0"/>
                    <w:kinsoku/>
                    <w:wordWrap/>
                    <w:overflowPunct/>
                    <w:topLinePunct w:val="0"/>
                    <w:bidi w:val="0"/>
                    <w:jc w:val="center"/>
                    <w:textAlignment w:val="auto"/>
                    <w:rPr>
                      <w:rFonts w:hint="default" w:ascii="Arial" w:hAnsi="Arial" w:eastAsia="宋体" w:cs="Arial"/>
                      <w:i w:val="0"/>
                      <w:iCs w:val="0"/>
                      <w:color w:val="000000"/>
                      <w:sz w:val="21"/>
                      <w:szCs w:val="21"/>
                      <w:highlight w:val="none"/>
                      <w:u w:val="none"/>
                    </w:rPr>
                  </w:pPr>
                  <w:r>
                    <w:rPr>
                      <w:rFonts w:hint="default" w:ascii="Arial" w:hAnsi="Arial" w:eastAsia="宋体" w:cs="Arial"/>
                      <w:i w:val="0"/>
                      <w:iCs w:val="0"/>
                      <w:color w:val="000000"/>
                      <w:kern w:val="0"/>
                      <w:sz w:val="21"/>
                      <w:szCs w:val="21"/>
                      <w:highlight w:val="none"/>
                      <w:u w:val="none"/>
                      <w:lang w:val="en-US" w:eastAsia="zh-CN" w:bidi="ar"/>
                    </w:rPr>
                    <w:t>48</w:t>
                  </w:r>
                </w:p>
              </w:tc>
            </w:tr>
          </w:tbl>
          <w:p w14:paraId="6F8A4768">
            <w:pPr>
              <w:keepNext w:val="0"/>
              <w:keepLines/>
              <w:pageBreakBefore w:val="0"/>
              <w:kinsoku/>
              <w:wordWrap/>
              <w:overflowPunct/>
              <w:topLinePunct w:val="0"/>
              <w:bidi w:val="0"/>
              <w:spacing w:line="360" w:lineRule="auto"/>
              <w:ind w:firstLine="42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highlight w:val="none"/>
              </w:rPr>
              <w:t>4</w:t>
            </w:r>
            <w:r>
              <w:rPr>
                <w:rFonts w:hint="default" w:ascii="Times New Roman" w:hAnsi="Times New Roman" w:cs="Times New Roman"/>
                <w:color w:val="000000"/>
                <w:sz w:val="24"/>
                <w:highlight w:val="none"/>
              </w:rPr>
              <w:t>、主要经济技术指标见表</w:t>
            </w:r>
            <w:r>
              <w:rPr>
                <w:rFonts w:hint="default" w:ascii="Times New Roman" w:hAnsi="Times New Roman" w:cs="Times New Roman"/>
                <w:color w:val="000000"/>
                <w:sz w:val="24"/>
                <w:highlight w:val="none"/>
                <w:lang w:val="en-US" w:eastAsia="zh-CN"/>
              </w:rPr>
              <w:t>2-</w:t>
            </w:r>
            <w:r>
              <w:rPr>
                <w:rFonts w:hint="eastAsia" w:ascii="Times New Roman" w:hAnsi="Times New Roman" w:cs="Times New Roman"/>
                <w:color w:val="000000"/>
                <w:sz w:val="24"/>
                <w:highlight w:val="none"/>
                <w:lang w:val="en-US" w:eastAsia="zh-CN"/>
              </w:rPr>
              <w:t>6</w:t>
            </w:r>
            <w:r>
              <w:rPr>
                <w:rFonts w:hint="default" w:ascii="Times New Roman" w:hAnsi="Times New Roman" w:cs="Times New Roman"/>
                <w:color w:val="000000"/>
                <w:sz w:val="24"/>
                <w:highlight w:val="none"/>
              </w:rPr>
              <w:t>。</w:t>
            </w:r>
          </w:p>
          <w:p w14:paraId="0642D3D8">
            <w:pPr>
              <w:keepNext w:val="0"/>
              <w:keepLines/>
              <w:pageBreakBefore w:val="0"/>
              <w:kinsoku/>
              <w:wordWrap/>
              <w:overflowPunct/>
              <w:topLinePunct w:val="0"/>
              <w:bidi w:val="0"/>
              <w:ind w:firstLine="482" w:firstLineChars="200"/>
              <w:jc w:val="center"/>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表</w:t>
            </w:r>
            <w:r>
              <w:rPr>
                <w:rFonts w:hint="default" w:ascii="Times New Roman" w:hAnsi="Times New Roman" w:cs="Times New Roman"/>
                <w:b/>
                <w:color w:val="000000"/>
                <w:sz w:val="24"/>
                <w:highlight w:val="none"/>
                <w:lang w:val="en-US" w:eastAsia="zh-CN"/>
              </w:rPr>
              <w:t>2-</w:t>
            </w:r>
            <w:r>
              <w:rPr>
                <w:rFonts w:hint="eastAsia" w:ascii="Times New Roman" w:hAnsi="Times New Roman" w:cs="Times New Roman"/>
                <w:b/>
                <w:color w:val="000000"/>
                <w:sz w:val="24"/>
                <w:highlight w:val="none"/>
                <w:lang w:val="en-US" w:eastAsia="zh-CN"/>
              </w:rPr>
              <w:t>6</w:t>
            </w:r>
            <w:r>
              <w:rPr>
                <w:rFonts w:hint="default" w:ascii="Times New Roman" w:hAnsi="Times New Roman" w:cs="Times New Roman"/>
                <w:b/>
                <w:color w:val="000000"/>
                <w:sz w:val="24"/>
                <w:highlight w:val="none"/>
              </w:rPr>
              <w:t xml:space="preserve"> 主要经济技术指标</w:t>
            </w:r>
          </w:p>
          <w:tbl>
            <w:tblPr>
              <w:tblStyle w:val="13"/>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2"/>
              <w:gridCol w:w="1958"/>
              <w:gridCol w:w="1286"/>
              <w:gridCol w:w="1672"/>
              <w:gridCol w:w="2324"/>
            </w:tblGrid>
            <w:tr w14:paraId="6A7F1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613" w:type="pct"/>
                  <w:noWrap w:val="0"/>
                  <w:vAlign w:val="center"/>
                </w:tcPr>
                <w:p w14:paraId="26A917A1">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Cs w:val="21"/>
                      <w:highlight w:val="none"/>
                    </w:rPr>
                  </w:pPr>
                  <w:r>
                    <w:rPr>
                      <w:rFonts w:hint="default" w:ascii="Times New Roman" w:hAnsi="Times New Roman" w:cs="Times New Roman"/>
                      <w:b/>
                      <w:color w:val="000000"/>
                      <w:kern w:val="0"/>
                      <w:szCs w:val="21"/>
                      <w:highlight w:val="none"/>
                    </w:rPr>
                    <w:t>序号</w:t>
                  </w:r>
                </w:p>
              </w:tc>
              <w:tc>
                <w:tcPr>
                  <w:tcW w:w="1186" w:type="pct"/>
                  <w:noWrap w:val="0"/>
                  <w:vAlign w:val="center"/>
                </w:tcPr>
                <w:p w14:paraId="4574FF61">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Cs w:val="21"/>
                      <w:highlight w:val="none"/>
                    </w:rPr>
                  </w:pPr>
                  <w:r>
                    <w:rPr>
                      <w:rFonts w:hint="default" w:ascii="Times New Roman" w:hAnsi="Times New Roman" w:cs="Times New Roman"/>
                      <w:b/>
                      <w:color w:val="000000"/>
                      <w:kern w:val="0"/>
                      <w:szCs w:val="21"/>
                      <w:highlight w:val="none"/>
                    </w:rPr>
                    <w:t>项目名称</w:t>
                  </w:r>
                </w:p>
              </w:tc>
              <w:tc>
                <w:tcPr>
                  <w:tcW w:w="779" w:type="pct"/>
                  <w:noWrap w:val="0"/>
                  <w:vAlign w:val="center"/>
                </w:tcPr>
                <w:p w14:paraId="24BCBDC4">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Cs w:val="21"/>
                      <w:highlight w:val="none"/>
                    </w:rPr>
                  </w:pPr>
                  <w:r>
                    <w:rPr>
                      <w:rFonts w:hint="default" w:ascii="Times New Roman" w:hAnsi="Times New Roman" w:cs="Times New Roman"/>
                      <w:b/>
                      <w:color w:val="000000"/>
                      <w:kern w:val="0"/>
                      <w:szCs w:val="21"/>
                      <w:highlight w:val="none"/>
                    </w:rPr>
                    <w:t>单位</w:t>
                  </w:r>
                </w:p>
              </w:tc>
              <w:tc>
                <w:tcPr>
                  <w:tcW w:w="1013" w:type="pct"/>
                  <w:noWrap w:val="0"/>
                  <w:vAlign w:val="center"/>
                </w:tcPr>
                <w:p w14:paraId="1771D70C">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Cs w:val="21"/>
                      <w:highlight w:val="none"/>
                    </w:rPr>
                  </w:pPr>
                  <w:r>
                    <w:rPr>
                      <w:rFonts w:hint="default" w:ascii="Times New Roman" w:hAnsi="Times New Roman" w:cs="Times New Roman"/>
                      <w:b/>
                      <w:color w:val="000000"/>
                      <w:kern w:val="0"/>
                      <w:szCs w:val="21"/>
                      <w:highlight w:val="none"/>
                    </w:rPr>
                    <w:t>数量/规模</w:t>
                  </w:r>
                </w:p>
              </w:tc>
              <w:tc>
                <w:tcPr>
                  <w:tcW w:w="1408" w:type="pct"/>
                  <w:noWrap w:val="0"/>
                  <w:vAlign w:val="center"/>
                </w:tcPr>
                <w:p w14:paraId="33CFCB89">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b/>
                      <w:color w:val="000000"/>
                      <w:kern w:val="0"/>
                      <w:szCs w:val="21"/>
                      <w:highlight w:val="none"/>
                    </w:rPr>
                  </w:pPr>
                  <w:r>
                    <w:rPr>
                      <w:rFonts w:hint="default" w:ascii="Times New Roman" w:hAnsi="Times New Roman" w:cs="Times New Roman"/>
                      <w:b/>
                      <w:color w:val="000000"/>
                      <w:kern w:val="0"/>
                      <w:szCs w:val="21"/>
                      <w:highlight w:val="none"/>
                    </w:rPr>
                    <w:t>备注</w:t>
                  </w:r>
                </w:p>
              </w:tc>
            </w:tr>
            <w:tr w14:paraId="02544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noWrap w:val="0"/>
                  <w:vAlign w:val="center"/>
                </w:tcPr>
                <w:p w14:paraId="4E1ACEB8">
                  <w:pPr>
                    <w:pStyle w:val="20"/>
                    <w:keepNext w:val="0"/>
                    <w:keepLines/>
                    <w:pageBreakBefore w:val="0"/>
                    <w:kinsoku/>
                    <w:wordWrap/>
                    <w:overflowPunct/>
                    <w:topLinePunct w:val="0"/>
                    <w:bidi w:val="0"/>
                    <w:spacing w:before="0" w:beforeAutospacing="0"/>
                    <w:ind w:left="444" w:right="444"/>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一</w:t>
                  </w:r>
                </w:p>
              </w:tc>
              <w:tc>
                <w:tcPr>
                  <w:tcW w:w="1186" w:type="pct"/>
                  <w:noWrap w:val="0"/>
                  <w:vAlign w:val="center"/>
                </w:tcPr>
                <w:p w14:paraId="3FF24625">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废水处理规模</w:t>
                  </w:r>
                </w:p>
              </w:tc>
              <w:tc>
                <w:tcPr>
                  <w:tcW w:w="779" w:type="pct"/>
                  <w:noWrap w:val="0"/>
                  <w:vAlign w:val="center"/>
                </w:tcPr>
                <w:p w14:paraId="6474A4FF">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c>
                <w:tcPr>
                  <w:tcW w:w="1013" w:type="pct"/>
                  <w:noWrap w:val="0"/>
                  <w:vAlign w:val="center"/>
                </w:tcPr>
                <w:p w14:paraId="5DFA1C82">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c>
                <w:tcPr>
                  <w:tcW w:w="1408" w:type="pct"/>
                  <w:noWrap w:val="0"/>
                  <w:vAlign w:val="center"/>
                </w:tcPr>
                <w:p w14:paraId="4D01C49E">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r>
            <w:tr w14:paraId="60C2E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noWrap w:val="0"/>
                  <w:vAlign w:val="center"/>
                </w:tcPr>
                <w:p w14:paraId="03260E8E">
                  <w:pPr>
                    <w:pStyle w:val="20"/>
                    <w:keepNext w:val="0"/>
                    <w:keepLines/>
                    <w:pageBreakBefore w:val="0"/>
                    <w:kinsoku/>
                    <w:wordWrap/>
                    <w:overflowPunct/>
                    <w:topLinePunct w:val="0"/>
                    <w:bidi w:val="0"/>
                    <w:spacing w:before="0" w:beforeAutospacing="0"/>
                    <w:ind w:left="495" w:right="496"/>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186" w:type="pct"/>
                  <w:noWrap w:val="0"/>
                  <w:vAlign w:val="center"/>
                </w:tcPr>
                <w:p w14:paraId="1B1984EF">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脱硫废水处理</w:t>
                  </w:r>
                  <w:r>
                    <w:rPr>
                      <w:rFonts w:hint="default" w:ascii="Times New Roman" w:hAnsi="Times New Roman" w:cs="Times New Roman"/>
                      <w:color w:val="000000"/>
                      <w:sz w:val="21"/>
                      <w:szCs w:val="21"/>
                      <w:highlight w:val="none"/>
                    </w:rPr>
                    <w:t>系统</w:t>
                  </w:r>
                </w:p>
              </w:tc>
              <w:tc>
                <w:tcPr>
                  <w:tcW w:w="779" w:type="pct"/>
                  <w:noWrap w:val="0"/>
                  <w:vAlign w:val="center"/>
                </w:tcPr>
                <w:p w14:paraId="24DA9483">
                  <w:pPr>
                    <w:pStyle w:val="20"/>
                    <w:keepNext w:val="0"/>
                    <w:keepLines/>
                    <w:pageBreakBefore w:val="0"/>
                    <w:kinsoku/>
                    <w:wordWrap/>
                    <w:overflowPunct/>
                    <w:topLinePunct w:val="0"/>
                    <w:bidi w:val="0"/>
                    <w:spacing w:before="0" w:beforeAutospacing="0"/>
                    <w:ind w:left="425" w:right="425"/>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m³/</w:t>
                  </w:r>
                  <w:r>
                    <w:rPr>
                      <w:rFonts w:hint="eastAsia" w:ascii="Times New Roman" w:hAnsi="Times New Roman" w:cs="Times New Roman"/>
                      <w:color w:val="000000"/>
                      <w:sz w:val="21"/>
                      <w:szCs w:val="21"/>
                      <w:highlight w:val="none"/>
                      <w:lang w:val="en-US" w:eastAsia="zh-CN"/>
                    </w:rPr>
                    <w:t>d</w:t>
                  </w:r>
                </w:p>
              </w:tc>
              <w:tc>
                <w:tcPr>
                  <w:tcW w:w="1013" w:type="pct"/>
                  <w:noWrap w:val="0"/>
                  <w:vAlign w:val="center"/>
                </w:tcPr>
                <w:p w14:paraId="3CD39FDA">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4</w:t>
                  </w:r>
                  <w:r>
                    <w:rPr>
                      <w:rFonts w:hint="default" w:ascii="Times New Roman" w:hAnsi="Times New Roman" w:cs="Times New Roman"/>
                      <w:color w:val="000000"/>
                      <w:sz w:val="21"/>
                      <w:szCs w:val="21"/>
                      <w:highlight w:val="none"/>
                    </w:rPr>
                    <w:t>0</w:t>
                  </w:r>
                </w:p>
              </w:tc>
              <w:tc>
                <w:tcPr>
                  <w:tcW w:w="1408" w:type="pct"/>
                  <w:noWrap w:val="0"/>
                  <w:vAlign w:val="center"/>
                </w:tcPr>
                <w:p w14:paraId="532A11D8">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r>
            <w:tr w14:paraId="16E57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noWrap w:val="0"/>
                  <w:vAlign w:val="center"/>
                </w:tcPr>
                <w:p w14:paraId="4396179B">
                  <w:pPr>
                    <w:pStyle w:val="20"/>
                    <w:keepNext w:val="0"/>
                    <w:keepLines/>
                    <w:pageBreakBefore w:val="0"/>
                    <w:kinsoku/>
                    <w:wordWrap/>
                    <w:overflowPunct/>
                    <w:topLinePunct w:val="0"/>
                    <w:bidi w:val="0"/>
                    <w:spacing w:before="0" w:beforeAutospacing="0"/>
                    <w:ind w:left="495" w:right="496"/>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w:t>
                  </w:r>
                </w:p>
              </w:tc>
              <w:tc>
                <w:tcPr>
                  <w:tcW w:w="1186" w:type="pct"/>
                  <w:noWrap w:val="0"/>
                  <w:vAlign w:val="center"/>
                </w:tcPr>
                <w:p w14:paraId="7A54268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中水回用及零排放系统</w:t>
                  </w:r>
                </w:p>
              </w:tc>
              <w:tc>
                <w:tcPr>
                  <w:tcW w:w="779" w:type="pct"/>
                  <w:noWrap w:val="0"/>
                  <w:vAlign w:val="center"/>
                </w:tcPr>
                <w:p w14:paraId="2D630FC0">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m³/h</w:t>
                  </w:r>
                </w:p>
              </w:tc>
              <w:tc>
                <w:tcPr>
                  <w:tcW w:w="1013" w:type="pct"/>
                  <w:noWrap w:val="0"/>
                  <w:vAlign w:val="center"/>
                </w:tcPr>
                <w:p w14:paraId="2FB1CEF3">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12</w:t>
                  </w:r>
                  <w:r>
                    <w:rPr>
                      <w:rFonts w:hint="default" w:ascii="Times New Roman" w:hAnsi="Times New Roman" w:cs="Times New Roman"/>
                      <w:color w:val="000000"/>
                      <w:sz w:val="21"/>
                      <w:szCs w:val="21"/>
                      <w:highlight w:val="none"/>
                    </w:rPr>
                    <w:t>0</w:t>
                  </w:r>
                </w:p>
              </w:tc>
              <w:tc>
                <w:tcPr>
                  <w:tcW w:w="1408" w:type="pct"/>
                  <w:noWrap w:val="0"/>
                  <w:vAlign w:val="center"/>
                </w:tcPr>
                <w:p w14:paraId="307DD07B">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r>
            <w:tr w14:paraId="616E3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noWrap w:val="0"/>
                  <w:vAlign w:val="center"/>
                </w:tcPr>
                <w:p w14:paraId="48C87E78">
                  <w:pPr>
                    <w:pStyle w:val="20"/>
                    <w:keepNext w:val="0"/>
                    <w:keepLines/>
                    <w:pageBreakBefore w:val="0"/>
                    <w:kinsoku/>
                    <w:wordWrap/>
                    <w:overflowPunct/>
                    <w:topLinePunct w:val="0"/>
                    <w:bidi w:val="0"/>
                    <w:spacing w:before="0" w:beforeAutospacing="0"/>
                    <w:ind w:left="444" w:right="444"/>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二</w:t>
                  </w:r>
                </w:p>
              </w:tc>
              <w:tc>
                <w:tcPr>
                  <w:tcW w:w="1186" w:type="pct"/>
                  <w:noWrap w:val="0"/>
                  <w:vAlign w:val="center"/>
                </w:tcPr>
                <w:p w14:paraId="6FB44695">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年操作时间</w:t>
                  </w:r>
                </w:p>
              </w:tc>
              <w:tc>
                <w:tcPr>
                  <w:tcW w:w="779" w:type="pct"/>
                  <w:noWrap w:val="0"/>
                  <w:vAlign w:val="center"/>
                </w:tcPr>
                <w:p w14:paraId="433B8695">
                  <w:pPr>
                    <w:keepNext w:val="0"/>
                    <w:keepLines/>
                    <w:pageBreakBefore w:val="0"/>
                    <w:widowControl/>
                    <w:kinsoku/>
                    <w:wordWrap/>
                    <w:overflowPunct/>
                    <w:topLinePunct w:val="0"/>
                    <w:bidi w:val="0"/>
                    <w:adjustRightInd w:val="0"/>
                    <w:snapToGrid w:val="0"/>
                    <w:ind w:left="425" w:right="425"/>
                    <w:jc w:val="center"/>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天/年</w:t>
                  </w:r>
                </w:p>
              </w:tc>
              <w:tc>
                <w:tcPr>
                  <w:tcW w:w="1013" w:type="pct"/>
                  <w:noWrap w:val="0"/>
                  <w:vAlign w:val="center"/>
                </w:tcPr>
                <w:p w14:paraId="5927B08F">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365</w:t>
                  </w:r>
                </w:p>
              </w:tc>
              <w:tc>
                <w:tcPr>
                  <w:tcW w:w="1408" w:type="pct"/>
                  <w:noWrap w:val="0"/>
                  <w:vAlign w:val="center"/>
                </w:tcPr>
                <w:p w14:paraId="3B6BD685">
                  <w:pPr>
                    <w:keepNext w:val="0"/>
                    <w:keepLines/>
                    <w:pageBreakBefore w:val="0"/>
                    <w:kinsoku/>
                    <w:wordWrap/>
                    <w:overflowPunct/>
                    <w:topLinePunct w:val="0"/>
                    <w:bidi w:val="0"/>
                    <w:ind w:left="425" w:right="425"/>
                    <w:jc w:val="center"/>
                    <w:textAlignment w:val="auto"/>
                    <w:rPr>
                      <w:rFonts w:hint="default" w:ascii="Times New Roman" w:hAnsi="Times New Roman" w:cs="Times New Roman"/>
                      <w:color w:val="000000"/>
                      <w:kern w:val="0"/>
                      <w:szCs w:val="21"/>
                      <w:highlight w:val="none"/>
                    </w:rPr>
                  </w:pPr>
                </w:p>
              </w:tc>
            </w:tr>
            <w:tr w14:paraId="0EC305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noWrap w:val="0"/>
                  <w:vAlign w:val="center"/>
                </w:tcPr>
                <w:p w14:paraId="6F18CA2F">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三</w:t>
                  </w:r>
                </w:p>
              </w:tc>
              <w:tc>
                <w:tcPr>
                  <w:tcW w:w="1186" w:type="pct"/>
                  <w:noWrap w:val="0"/>
                  <w:vAlign w:val="center"/>
                </w:tcPr>
                <w:p w14:paraId="24C92027">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员工总数</w:t>
                  </w:r>
                </w:p>
              </w:tc>
              <w:tc>
                <w:tcPr>
                  <w:tcW w:w="779" w:type="pct"/>
                  <w:noWrap w:val="0"/>
                  <w:vAlign w:val="center"/>
                </w:tcPr>
                <w:p w14:paraId="6AED22E4">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人</w:t>
                  </w:r>
                </w:p>
              </w:tc>
              <w:tc>
                <w:tcPr>
                  <w:tcW w:w="1013" w:type="pct"/>
                  <w:noWrap w:val="0"/>
                  <w:vAlign w:val="center"/>
                </w:tcPr>
                <w:p w14:paraId="52A5BEF6">
                  <w:pPr>
                    <w:pStyle w:val="20"/>
                    <w:keepNext w:val="0"/>
                    <w:keepLines/>
                    <w:pageBreakBefore w:val="0"/>
                    <w:kinsoku/>
                    <w:wordWrap/>
                    <w:overflowPunct/>
                    <w:topLinePunct w:val="0"/>
                    <w:bidi w:val="0"/>
                    <w:spacing w:before="0" w:beforeAutospacing="0"/>
                    <w:ind w:left="425" w:right="425"/>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val="en-US" w:eastAsia="zh-CN"/>
                    </w:rPr>
                    <w:t>/</w:t>
                  </w:r>
                </w:p>
              </w:tc>
              <w:tc>
                <w:tcPr>
                  <w:tcW w:w="1408" w:type="pct"/>
                  <w:noWrap w:val="0"/>
                  <w:vAlign w:val="center"/>
                </w:tcPr>
                <w:p w14:paraId="4B641983">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2"/>
                      <w:sz w:val="21"/>
                      <w:szCs w:val="21"/>
                      <w:highlight w:val="none"/>
                    </w:rPr>
                    <w:t>依托厂区原有员工，本次不新增</w:t>
                  </w:r>
                </w:p>
              </w:tc>
            </w:tr>
            <w:tr w14:paraId="37DF8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tcBorders>
                    <w:top w:val="single" w:color="000000" w:sz="4" w:space="0"/>
                    <w:left w:val="single" w:color="000000" w:sz="12" w:space="0"/>
                    <w:bottom w:val="single" w:color="000000" w:sz="4" w:space="0"/>
                    <w:right w:val="single" w:color="000000" w:sz="4" w:space="0"/>
                  </w:tcBorders>
                  <w:noWrap w:val="0"/>
                  <w:vAlign w:val="center"/>
                </w:tcPr>
                <w:p w14:paraId="05099E1B">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四</w:t>
                  </w:r>
                </w:p>
              </w:tc>
              <w:tc>
                <w:tcPr>
                  <w:tcW w:w="1186" w:type="pct"/>
                  <w:tcBorders>
                    <w:top w:val="single" w:color="000000" w:sz="4" w:space="0"/>
                    <w:left w:val="single" w:color="000000" w:sz="4" w:space="0"/>
                    <w:bottom w:val="single" w:color="000000" w:sz="4" w:space="0"/>
                    <w:right w:val="single" w:color="000000" w:sz="4" w:space="0"/>
                  </w:tcBorders>
                  <w:noWrap w:val="0"/>
                  <w:vAlign w:val="center"/>
                </w:tcPr>
                <w:p w14:paraId="310B9E5D">
                  <w:pPr>
                    <w:pStyle w:val="29"/>
                    <w:keepNext w:val="0"/>
                    <w:keepLines/>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公用工程消耗</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14:paraId="24136FDB">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p>
              </w:tc>
              <w:tc>
                <w:tcPr>
                  <w:tcW w:w="1013" w:type="pct"/>
                  <w:tcBorders>
                    <w:top w:val="single" w:color="000000" w:sz="4" w:space="0"/>
                    <w:left w:val="single" w:color="000000" w:sz="4" w:space="0"/>
                    <w:bottom w:val="single" w:color="000000" w:sz="4" w:space="0"/>
                    <w:right w:val="single" w:color="000000" w:sz="4" w:space="0"/>
                  </w:tcBorders>
                  <w:noWrap w:val="0"/>
                  <w:vAlign w:val="center"/>
                </w:tcPr>
                <w:p w14:paraId="1B90D535">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p>
              </w:tc>
              <w:tc>
                <w:tcPr>
                  <w:tcW w:w="1408" w:type="pct"/>
                  <w:tcBorders>
                    <w:top w:val="single" w:color="000000" w:sz="4" w:space="0"/>
                    <w:left w:val="single" w:color="000000" w:sz="4" w:space="0"/>
                    <w:bottom w:val="single" w:color="000000" w:sz="4" w:space="0"/>
                    <w:right w:val="single" w:color="000000" w:sz="12" w:space="0"/>
                  </w:tcBorders>
                  <w:noWrap w:val="0"/>
                  <w:vAlign w:val="center"/>
                </w:tcPr>
                <w:p w14:paraId="34878F20">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p>
              </w:tc>
            </w:tr>
            <w:tr w14:paraId="37B4A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13" w:type="pct"/>
                  <w:tcBorders>
                    <w:top w:val="single" w:color="000000" w:sz="4" w:space="0"/>
                    <w:left w:val="single" w:color="000000" w:sz="12" w:space="0"/>
                    <w:bottom w:val="single" w:color="000000" w:sz="4" w:space="0"/>
                    <w:right w:val="single" w:color="000000" w:sz="4" w:space="0"/>
                  </w:tcBorders>
                  <w:noWrap w:val="0"/>
                  <w:vAlign w:val="center"/>
                </w:tcPr>
                <w:p w14:paraId="54A219AC">
                  <w:pPr>
                    <w:keepNext w:val="0"/>
                    <w:keepLines/>
                    <w:pageBreakBefore w:val="0"/>
                    <w:widowControl/>
                    <w:kinsoku/>
                    <w:wordWrap/>
                    <w:overflowPunct/>
                    <w:topLinePunct w:val="0"/>
                    <w:bidi w:val="0"/>
                    <w:adjustRightInd w:val="0"/>
                    <w:snapToGrid w:val="0"/>
                    <w:jc w:val="center"/>
                    <w:textAlignment w:val="auto"/>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1</w:t>
                  </w:r>
                </w:p>
              </w:tc>
              <w:tc>
                <w:tcPr>
                  <w:tcW w:w="1186" w:type="pct"/>
                  <w:tcBorders>
                    <w:top w:val="single" w:color="000000" w:sz="4" w:space="0"/>
                    <w:left w:val="single" w:color="000000" w:sz="4" w:space="0"/>
                    <w:bottom w:val="single" w:color="000000" w:sz="4" w:space="0"/>
                    <w:right w:val="single" w:color="000000" w:sz="4" w:space="0"/>
                  </w:tcBorders>
                  <w:noWrap w:val="0"/>
                  <w:vAlign w:val="center"/>
                </w:tcPr>
                <w:p w14:paraId="6867A8C9">
                  <w:pPr>
                    <w:pStyle w:val="29"/>
                    <w:keepNext w:val="0"/>
                    <w:keepLines/>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电</w:t>
                  </w:r>
                </w:p>
              </w:tc>
              <w:tc>
                <w:tcPr>
                  <w:tcW w:w="779" w:type="pct"/>
                  <w:tcBorders>
                    <w:top w:val="single" w:color="000000" w:sz="4" w:space="0"/>
                    <w:left w:val="single" w:color="000000" w:sz="4" w:space="0"/>
                    <w:bottom w:val="single" w:color="000000" w:sz="4" w:space="0"/>
                    <w:right w:val="single" w:color="000000" w:sz="4" w:space="0"/>
                  </w:tcBorders>
                  <w:noWrap w:val="0"/>
                  <w:vAlign w:val="center"/>
                </w:tcPr>
                <w:p w14:paraId="6F1BD882">
                  <w:pPr>
                    <w:keepNext w:val="0"/>
                    <w:keepLines/>
                    <w:pageBreakBefore w:val="0"/>
                    <w:kinsoku/>
                    <w:wordWrap/>
                    <w:overflowPunct/>
                    <w:topLinePunct w:val="0"/>
                    <w:bidi w:val="0"/>
                    <w:jc w:val="center"/>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10</w:t>
                  </w:r>
                  <w:r>
                    <w:rPr>
                      <w:rFonts w:hint="default" w:ascii="Times New Roman" w:hAnsi="Times New Roman" w:cs="Times New Roman"/>
                      <w:color w:val="000000"/>
                      <w:highlight w:val="none"/>
                      <w:vertAlign w:val="superscript"/>
                    </w:rPr>
                    <w:t>4</w:t>
                  </w:r>
                  <w:r>
                    <w:rPr>
                      <w:rFonts w:hint="default" w:ascii="Times New Roman" w:hAnsi="Times New Roman" w:cs="Times New Roman"/>
                      <w:color w:val="000000"/>
                      <w:highlight w:val="none"/>
                    </w:rPr>
                    <w:t>kWh/a</w:t>
                  </w:r>
                </w:p>
              </w:tc>
              <w:tc>
                <w:tcPr>
                  <w:tcW w:w="1013" w:type="pct"/>
                  <w:tcBorders>
                    <w:top w:val="single" w:color="000000" w:sz="4" w:space="0"/>
                    <w:left w:val="single" w:color="000000" w:sz="4" w:space="0"/>
                    <w:bottom w:val="single" w:color="000000" w:sz="4" w:space="0"/>
                    <w:right w:val="single" w:color="000000" w:sz="4" w:space="0"/>
                  </w:tcBorders>
                  <w:noWrap w:val="0"/>
                  <w:vAlign w:val="center"/>
                </w:tcPr>
                <w:p w14:paraId="1BBE7BC2">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1961.61</w:t>
                  </w:r>
                </w:p>
              </w:tc>
              <w:tc>
                <w:tcPr>
                  <w:tcW w:w="1408" w:type="pct"/>
                  <w:tcBorders>
                    <w:top w:val="single" w:color="000000" w:sz="4" w:space="0"/>
                    <w:left w:val="single" w:color="000000" w:sz="4" w:space="0"/>
                    <w:bottom w:val="single" w:color="000000" w:sz="4" w:space="0"/>
                    <w:right w:val="single" w:color="000000" w:sz="12" w:space="0"/>
                  </w:tcBorders>
                  <w:noWrap w:val="0"/>
                  <w:vAlign w:val="center"/>
                </w:tcPr>
                <w:p w14:paraId="1CCDB7D7">
                  <w:pPr>
                    <w:pStyle w:val="20"/>
                    <w:keepNext w:val="0"/>
                    <w:keepLines/>
                    <w:pageBreakBefore w:val="0"/>
                    <w:kinsoku/>
                    <w:wordWrap/>
                    <w:overflowPunct/>
                    <w:topLinePunct w:val="0"/>
                    <w:bidi w:val="0"/>
                    <w:spacing w:before="0" w:beforeAutospacing="0"/>
                    <w:ind w:left="425" w:right="425"/>
                    <w:jc w:val="center"/>
                    <w:textAlignment w:val="auto"/>
                    <w:rPr>
                      <w:rFonts w:hint="default" w:ascii="Times New Roman" w:hAnsi="Times New Roman" w:cs="Times New Roman"/>
                      <w:color w:val="000000"/>
                      <w:sz w:val="21"/>
                      <w:szCs w:val="21"/>
                      <w:highlight w:val="none"/>
                    </w:rPr>
                  </w:pPr>
                </w:p>
              </w:tc>
            </w:tr>
          </w:tbl>
          <w:p w14:paraId="3707535C">
            <w:pPr>
              <w:keepNext w:val="0"/>
              <w:keepLines/>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lang w:val="en-US" w:eastAsia="zh-CN"/>
              </w:rPr>
              <w:t>4</w:t>
            </w:r>
            <w:r>
              <w:rPr>
                <w:rFonts w:hint="default" w:ascii="Times New Roman" w:hAnsi="Times New Roman" w:cs="Times New Roman"/>
                <w:b/>
                <w:color w:val="000000"/>
                <w:sz w:val="24"/>
                <w:highlight w:val="none"/>
              </w:rPr>
              <w:t>、原</w:t>
            </w:r>
            <w:r>
              <w:rPr>
                <w:rFonts w:hint="default" w:ascii="Times New Roman" w:hAnsi="Times New Roman" w:cs="Times New Roman"/>
                <w:b/>
                <w:color w:val="000000"/>
                <w:sz w:val="24"/>
                <w:highlight w:val="none"/>
                <w:lang w:eastAsia="zh-CN"/>
              </w:rPr>
              <w:t>料</w:t>
            </w:r>
            <w:r>
              <w:rPr>
                <w:rFonts w:hint="default" w:ascii="Times New Roman" w:hAnsi="Times New Roman" w:cs="Times New Roman"/>
                <w:b/>
                <w:color w:val="000000"/>
                <w:sz w:val="24"/>
                <w:highlight w:val="none"/>
              </w:rPr>
              <w:t>及能源消耗</w:t>
            </w:r>
          </w:p>
          <w:p w14:paraId="7C85392A">
            <w:pPr>
              <w:keepNext w:val="0"/>
              <w:keepLines/>
              <w:pageBreakBefore w:val="0"/>
              <w:widowControl w:val="0"/>
              <w:kinsoku/>
              <w:wordWrap/>
              <w:overflowPunct/>
              <w:topLinePunct w:val="0"/>
              <w:autoSpaceDE/>
              <w:autoSpaceDN/>
              <w:bidi w:val="0"/>
              <w:adjustRightInd w:val="0"/>
              <w:snapToGrid w:val="0"/>
              <w:spacing w:line="360" w:lineRule="auto"/>
              <w:ind w:right="0" w:firstLine="480" w:firstLineChars="200"/>
              <w:jc w:val="left"/>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本项目的原材料见表</w:t>
            </w:r>
            <w:r>
              <w:rPr>
                <w:rFonts w:hint="default" w:ascii="Times New Roman" w:hAnsi="Times New Roman" w:cs="Times New Roman"/>
                <w:color w:val="000000"/>
                <w:sz w:val="24"/>
                <w:highlight w:val="none"/>
                <w:lang w:val="en-US" w:eastAsia="zh-CN"/>
              </w:rPr>
              <w:t>2-7</w:t>
            </w:r>
            <w:r>
              <w:rPr>
                <w:rFonts w:hint="default" w:ascii="Times New Roman" w:hAnsi="Times New Roman" w:cs="Times New Roman"/>
                <w:color w:val="000000"/>
                <w:sz w:val="24"/>
                <w:highlight w:val="none"/>
              </w:rPr>
              <w:t>。</w:t>
            </w:r>
          </w:p>
          <w:p w14:paraId="0C88AE68">
            <w:pPr>
              <w:keepNext w:val="0"/>
              <w:keepLines/>
              <w:pageBreakBefore w:val="0"/>
              <w:widowControl w:val="0"/>
              <w:tabs>
                <w:tab w:val="left" w:pos="578"/>
              </w:tabs>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cs="Times New Roman"/>
                <w:b/>
                <w:bCs/>
                <w:color w:val="000000"/>
                <w:spacing w:val="-1"/>
                <w:szCs w:val="21"/>
                <w:highlight w:val="none"/>
              </w:rPr>
            </w:pPr>
            <w:r>
              <w:rPr>
                <w:rFonts w:hint="default" w:ascii="Times New Roman" w:hAnsi="Times New Roman" w:cs="Times New Roman"/>
                <w:b/>
                <w:bCs/>
                <w:color w:val="000000"/>
                <w:szCs w:val="21"/>
                <w:highlight w:val="none"/>
              </w:rPr>
              <w:t>表</w:t>
            </w:r>
            <w:r>
              <w:rPr>
                <w:rFonts w:hint="default" w:ascii="Times New Roman" w:hAnsi="Times New Roman" w:cs="Times New Roman"/>
                <w:b/>
                <w:bCs/>
                <w:color w:val="000000"/>
                <w:szCs w:val="21"/>
                <w:highlight w:val="none"/>
                <w:lang w:val="en-US" w:eastAsia="zh-CN"/>
              </w:rPr>
              <w:t xml:space="preserve">2-7 </w:t>
            </w:r>
            <w:r>
              <w:rPr>
                <w:rFonts w:hint="default" w:ascii="Times New Roman" w:hAnsi="Times New Roman" w:cs="Times New Roman"/>
                <w:b/>
                <w:bCs/>
                <w:color w:val="000000"/>
                <w:spacing w:val="-1"/>
                <w:szCs w:val="21"/>
                <w:highlight w:val="none"/>
              </w:rPr>
              <w:t>项目</w:t>
            </w:r>
            <w:r>
              <w:rPr>
                <w:rFonts w:hint="default" w:ascii="Times New Roman" w:hAnsi="Times New Roman" w:cs="Times New Roman"/>
                <w:b/>
                <w:bCs/>
                <w:color w:val="000000"/>
                <w:spacing w:val="-1"/>
                <w:szCs w:val="21"/>
                <w:highlight w:val="none"/>
                <w:lang w:val="en-US" w:eastAsia="zh-CN"/>
              </w:rPr>
              <w:t>原辅料一览</w:t>
            </w:r>
            <w:r>
              <w:rPr>
                <w:rFonts w:hint="default" w:ascii="Times New Roman" w:hAnsi="Times New Roman" w:cs="Times New Roman"/>
                <w:b/>
                <w:bCs/>
                <w:color w:val="000000"/>
                <w:spacing w:val="-1"/>
                <w:szCs w:val="21"/>
                <w:highlight w:val="none"/>
              </w:rPr>
              <w:t>表</w:t>
            </w:r>
          </w:p>
          <w:tbl>
            <w:tblPr>
              <w:tblStyle w:val="13"/>
              <w:tblW w:w="5000"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72"/>
              <w:gridCol w:w="571"/>
              <w:gridCol w:w="1415"/>
              <w:gridCol w:w="997"/>
              <w:gridCol w:w="1920"/>
              <w:gridCol w:w="1920"/>
              <w:gridCol w:w="958"/>
            </w:tblGrid>
            <w:tr w14:paraId="3924F3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blHeader/>
              </w:trPr>
              <w:tc>
                <w:tcPr>
                  <w:tcW w:w="285" w:type="pct"/>
                  <w:noWrap w:val="0"/>
                  <w:vAlign w:val="center"/>
                </w:tcPr>
                <w:p w14:paraId="3CCACC69">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项目</w:t>
                  </w:r>
                </w:p>
              </w:tc>
              <w:tc>
                <w:tcPr>
                  <w:tcW w:w="345" w:type="pct"/>
                  <w:noWrap w:val="0"/>
                  <w:vAlign w:val="center"/>
                </w:tcPr>
                <w:p w14:paraId="303474C3">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序号</w:t>
                  </w:r>
                </w:p>
              </w:tc>
              <w:tc>
                <w:tcPr>
                  <w:tcW w:w="857" w:type="pct"/>
                  <w:noWrap w:val="0"/>
                  <w:vAlign w:val="center"/>
                </w:tcPr>
                <w:p w14:paraId="4496D760">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原材料名称</w:t>
                  </w:r>
                </w:p>
              </w:tc>
              <w:tc>
                <w:tcPr>
                  <w:tcW w:w="604" w:type="pct"/>
                  <w:noWrap w:val="0"/>
                  <w:vAlign w:val="center"/>
                </w:tcPr>
                <w:p w14:paraId="3FF6F321">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单位</w:t>
                  </w:r>
                </w:p>
              </w:tc>
              <w:tc>
                <w:tcPr>
                  <w:tcW w:w="1163" w:type="pct"/>
                  <w:noWrap w:val="0"/>
                  <w:vAlign w:val="center"/>
                </w:tcPr>
                <w:p w14:paraId="4C8C1AF7">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年用量/处理量</w:t>
                  </w:r>
                </w:p>
              </w:tc>
              <w:tc>
                <w:tcPr>
                  <w:tcW w:w="1163" w:type="pct"/>
                  <w:noWrap w:val="0"/>
                  <w:vAlign w:val="center"/>
                </w:tcPr>
                <w:p w14:paraId="39D12D43">
                  <w:pPr>
                    <w:keepNext w:val="0"/>
                    <w:keepLines/>
                    <w:pageBreakBefore w:val="0"/>
                    <w:tabs>
                      <w:tab w:val="left" w:pos="1774"/>
                    </w:tabs>
                    <w:kinsoku/>
                    <w:wordWrap/>
                    <w:overflowPunct/>
                    <w:topLinePunct w:val="0"/>
                    <w:bidi w:val="0"/>
                    <w:jc w:val="center"/>
                    <w:textAlignment w:val="auto"/>
                    <w:rPr>
                      <w:rFonts w:hint="default" w:ascii="Times New Roman" w:hAnsi="Times New Roman" w:cs="Times New Roman"/>
                      <w:b/>
                      <w:bCs/>
                      <w:color w:val="000000"/>
                      <w:sz w:val="18"/>
                      <w:szCs w:val="18"/>
                      <w:highlight w:val="none"/>
                    </w:rPr>
                  </w:pPr>
                  <w:r>
                    <w:rPr>
                      <w:rFonts w:hint="default" w:ascii="Times New Roman" w:hAnsi="Times New Roman" w:cs="Times New Roman"/>
                      <w:b/>
                      <w:bCs/>
                      <w:color w:val="000000"/>
                      <w:sz w:val="18"/>
                      <w:szCs w:val="18"/>
                      <w:highlight w:val="none"/>
                    </w:rPr>
                    <w:t>最大储存量</w:t>
                  </w:r>
                </w:p>
              </w:tc>
              <w:tc>
                <w:tcPr>
                  <w:tcW w:w="580" w:type="pct"/>
                  <w:noWrap w:val="0"/>
                  <w:vAlign w:val="center"/>
                </w:tcPr>
                <w:p w14:paraId="26FF841E">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来源</w:t>
                  </w:r>
                </w:p>
              </w:tc>
            </w:tr>
            <w:tr w14:paraId="2D9E0B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restart"/>
                  <w:noWrap w:val="0"/>
                  <w:vAlign w:val="center"/>
                </w:tcPr>
                <w:p w14:paraId="20438C5C">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原辅料</w:t>
                  </w:r>
                </w:p>
              </w:tc>
              <w:tc>
                <w:tcPr>
                  <w:tcW w:w="345" w:type="pct"/>
                  <w:noWrap w:val="0"/>
                  <w:vAlign w:val="center"/>
                </w:tcPr>
                <w:p w14:paraId="72856A93">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857" w:type="pct"/>
                  <w:noWrap w:val="0"/>
                  <w:vAlign w:val="center"/>
                </w:tcPr>
                <w:p w14:paraId="0F8A2E92">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PAC</w:t>
                  </w:r>
                </w:p>
              </w:tc>
              <w:tc>
                <w:tcPr>
                  <w:tcW w:w="604" w:type="pct"/>
                  <w:noWrap w:val="0"/>
                  <w:vAlign w:val="center"/>
                </w:tcPr>
                <w:p w14:paraId="334FED3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001C933B">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71.88 </w:t>
                  </w:r>
                </w:p>
              </w:tc>
              <w:tc>
                <w:tcPr>
                  <w:tcW w:w="1163" w:type="pct"/>
                  <w:noWrap w:val="0"/>
                  <w:vAlign w:val="center"/>
                </w:tcPr>
                <w:p w14:paraId="4E7B2129">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w:t>
                  </w:r>
                </w:p>
              </w:tc>
              <w:tc>
                <w:tcPr>
                  <w:tcW w:w="580" w:type="pct"/>
                  <w:noWrap w:val="0"/>
                  <w:vAlign w:val="center"/>
                </w:tcPr>
                <w:p w14:paraId="5100D4B1">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496B42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39321A7E">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50CF87DA">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w:t>
                  </w:r>
                </w:p>
              </w:tc>
              <w:tc>
                <w:tcPr>
                  <w:tcW w:w="857" w:type="pct"/>
                  <w:noWrap w:val="0"/>
                  <w:vAlign w:val="center"/>
                </w:tcPr>
                <w:p w14:paraId="16F977CB">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PAM</w:t>
                  </w:r>
                </w:p>
              </w:tc>
              <w:tc>
                <w:tcPr>
                  <w:tcW w:w="604" w:type="pct"/>
                  <w:noWrap w:val="0"/>
                  <w:vAlign w:val="center"/>
                </w:tcPr>
                <w:p w14:paraId="68726351">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79A46171">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1.44 </w:t>
                  </w:r>
                </w:p>
              </w:tc>
              <w:tc>
                <w:tcPr>
                  <w:tcW w:w="1163" w:type="pct"/>
                  <w:noWrap w:val="0"/>
                  <w:vAlign w:val="center"/>
                </w:tcPr>
                <w:p w14:paraId="119168F7">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w:t>
                  </w:r>
                </w:p>
              </w:tc>
              <w:tc>
                <w:tcPr>
                  <w:tcW w:w="580" w:type="pct"/>
                  <w:noWrap w:val="0"/>
                  <w:vAlign w:val="center"/>
                </w:tcPr>
                <w:p w14:paraId="0EA16AC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4AEFFB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1557A9D3">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738DEBA9">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w:t>
                  </w:r>
                </w:p>
              </w:tc>
              <w:tc>
                <w:tcPr>
                  <w:tcW w:w="857" w:type="pct"/>
                  <w:noWrap w:val="0"/>
                  <w:vAlign w:val="center"/>
                </w:tcPr>
                <w:p w14:paraId="63CCE542">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纯碱</w:t>
                  </w:r>
                </w:p>
              </w:tc>
              <w:tc>
                <w:tcPr>
                  <w:tcW w:w="604" w:type="pct"/>
                  <w:noWrap w:val="0"/>
                  <w:vAlign w:val="center"/>
                </w:tcPr>
                <w:p w14:paraId="552A30FD">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45E2361E">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601.77 </w:t>
                  </w:r>
                </w:p>
              </w:tc>
              <w:tc>
                <w:tcPr>
                  <w:tcW w:w="1163" w:type="pct"/>
                  <w:noWrap w:val="0"/>
                  <w:vAlign w:val="center"/>
                </w:tcPr>
                <w:p w14:paraId="0E6DDAC4">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13</w:t>
                  </w:r>
                </w:p>
              </w:tc>
              <w:tc>
                <w:tcPr>
                  <w:tcW w:w="580" w:type="pct"/>
                  <w:noWrap w:val="0"/>
                  <w:vAlign w:val="center"/>
                </w:tcPr>
                <w:p w14:paraId="0D2B7DA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358B06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60164F57">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24745C35">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4</w:t>
                  </w:r>
                </w:p>
              </w:tc>
              <w:tc>
                <w:tcPr>
                  <w:tcW w:w="857" w:type="pct"/>
                  <w:noWrap w:val="0"/>
                  <w:vAlign w:val="center"/>
                </w:tcPr>
                <w:p w14:paraId="621CE50F">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六水氯化镁</w:t>
                  </w:r>
                </w:p>
              </w:tc>
              <w:tc>
                <w:tcPr>
                  <w:tcW w:w="604" w:type="pct"/>
                  <w:noWrap w:val="0"/>
                  <w:vAlign w:val="center"/>
                </w:tcPr>
                <w:p w14:paraId="09D89A8B">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17D0D6EE">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55.43 </w:t>
                  </w:r>
                </w:p>
              </w:tc>
              <w:tc>
                <w:tcPr>
                  <w:tcW w:w="1163" w:type="pct"/>
                  <w:noWrap w:val="0"/>
                  <w:vAlign w:val="center"/>
                </w:tcPr>
                <w:p w14:paraId="23F64301">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w:t>
                  </w:r>
                </w:p>
              </w:tc>
              <w:tc>
                <w:tcPr>
                  <w:tcW w:w="580" w:type="pct"/>
                  <w:noWrap w:val="0"/>
                  <w:vAlign w:val="center"/>
                </w:tcPr>
                <w:p w14:paraId="6E6853CD">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274798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25A3E8B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50A098D1">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w:t>
                  </w:r>
                </w:p>
              </w:tc>
              <w:tc>
                <w:tcPr>
                  <w:tcW w:w="857" w:type="pct"/>
                  <w:noWrap w:val="0"/>
                  <w:vAlign w:val="center"/>
                </w:tcPr>
                <w:p w14:paraId="3A723F87">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硫酸</w:t>
                  </w:r>
                </w:p>
              </w:tc>
              <w:tc>
                <w:tcPr>
                  <w:tcW w:w="604" w:type="pct"/>
                  <w:noWrap w:val="0"/>
                  <w:vAlign w:val="center"/>
                </w:tcPr>
                <w:p w14:paraId="20886843">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0BBCD137">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88.41 </w:t>
                  </w:r>
                </w:p>
              </w:tc>
              <w:tc>
                <w:tcPr>
                  <w:tcW w:w="1163" w:type="pct"/>
                  <w:noWrap w:val="0"/>
                  <w:vAlign w:val="center"/>
                </w:tcPr>
                <w:p w14:paraId="65060D32">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eastAsia" w:ascii="Times New Roman" w:hAnsi="Times New Roman" w:eastAsia="宋体" w:cs="Times New Roman"/>
                      <w:i w:val="0"/>
                      <w:iCs w:val="0"/>
                      <w:color w:val="000000"/>
                      <w:kern w:val="0"/>
                      <w:sz w:val="22"/>
                      <w:szCs w:val="22"/>
                      <w:highlight w:val="none"/>
                      <w:u w:val="none"/>
                      <w:lang w:val="en-US" w:eastAsia="zh-CN" w:bidi="ar"/>
                    </w:rPr>
                    <w:t>3</w:t>
                  </w:r>
                </w:p>
              </w:tc>
              <w:tc>
                <w:tcPr>
                  <w:tcW w:w="580" w:type="pct"/>
                  <w:noWrap w:val="0"/>
                  <w:vAlign w:val="center"/>
                </w:tcPr>
                <w:p w14:paraId="2F5ABE29">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5C46A3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2FB13250">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7BA2A94D">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w:t>
                  </w:r>
                </w:p>
              </w:tc>
              <w:tc>
                <w:tcPr>
                  <w:tcW w:w="857" w:type="pct"/>
                  <w:noWrap w:val="0"/>
                  <w:vAlign w:val="center"/>
                </w:tcPr>
                <w:p w14:paraId="38FEB476">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次氯酸钠</w:t>
                  </w:r>
                </w:p>
              </w:tc>
              <w:tc>
                <w:tcPr>
                  <w:tcW w:w="604" w:type="pct"/>
                  <w:noWrap w:val="0"/>
                  <w:vAlign w:val="center"/>
                </w:tcPr>
                <w:p w14:paraId="1EEAB193">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6C98BACB">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26.67 </w:t>
                  </w:r>
                </w:p>
              </w:tc>
              <w:tc>
                <w:tcPr>
                  <w:tcW w:w="1163" w:type="pct"/>
                  <w:noWrap w:val="0"/>
                  <w:vAlign w:val="center"/>
                </w:tcPr>
                <w:p w14:paraId="00D0B91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w:t>
                  </w:r>
                </w:p>
              </w:tc>
              <w:tc>
                <w:tcPr>
                  <w:tcW w:w="580" w:type="pct"/>
                  <w:noWrap w:val="0"/>
                  <w:vAlign w:val="center"/>
                </w:tcPr>
                <w:p w14:paraId="735E33C2">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54FF73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34472922">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714FDA27">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7</w:t>
                  </w:r>
                </w:p>
              </w:tc>
              <w:tc>
                <w:tcPr>
                  <w:tcW w:w="857" w:type="pct"/>
                  <w:noWrap w:val="0"/>
                  <w:vAlign w:val="center"/>
                </w:tcPr>
                <w:p w14:paraId="0B4616CD">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碱</w:t>
                  </w:r>
                </w:p>
              </w:tc>
              <w:tc>
                <w:tcPr>
                  <w:tcW w:w="604" w:type="pct"/>
                  <w:noWrap w:val="0"/>
                  <w:vAlign w:val="center"/>
                </w:tcPr>
                <w:p w14:paraId="436DBC47">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58A1A9CF">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1175.20 </w:t>
                  </w:r>
                </w:p>
              </w:tc>
              <w:tc>
                <w:tcPr>
                  <w:tcW w:w="1163" w:type="pct"/>
                  <w:noWrap w:val="0"/>
                  <w:vAlign w:val="center"/>
                </w:tcPr>
                <w:p w14:paraId="136C641F">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w:t>
                  </w:r>
                </w:p>
              </w:tc>
              <w:tc>
                <w:tcPr>
                  <w:tcW w:w="580" w:type="pct"/>
                  <w:noWrap w:val="0"/>
                  <w:vAlign w:val="center"/>
                </w:tcPr>
                <w:p w14:paraId="0F954571">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3B4747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692AF48E">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1627DE1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8</w:t>
                  </w:r>
                </w:p>
              </w:tc>
              <w:tc>
                <w:tcPr>
                  <w:tcW w:w="857" w:type="pct"/>
                  <w:noWrap w:val="0"/>
                  <w:vAlign w:val="center"/>
                </w:tcPr>
                <w:p w14:paraId="74FCFAC9">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盐酸</w:t>
                  </w:r>
                </w:p>
              </w:tc>
              <w:tc>
                <w:tcPr>
                  <w:tcW w:w="604" w:type="pct"/>
                  <w:noWrap w:val="0"/>
                  <w:vAlign w:val="center"/>
                </w:tcPr>
                <w:p w14:paraId="353D803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0C182679">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147.62 </w:t>
                  </w:r>
                </w:p>
              </w:tc>
              <w:tc>
                <w:tcPr>
                  <w:tcW w:w="1163" w:type="pct"/>
                  <w:noWrap w:val="0"/>
                  <w:vAlign w:val="center"/>
                </w:tcPr>
                <w:p w14:paraId="67E6F566">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3</w:t>
                  </w:r>
                </w:p>
              </w:tc>
              <w:tc>
                <w:tcPr>
                  <w:tcW w:w="580" w:type="pct"/>
                  <w:noWrap w:val="0"/>
                  <w:vAlign w:val="center"/>
                </w:tcPr>
                <w:p w14:paraId="5CFCEC86">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1ADEE1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4D4122D2">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70D5A686">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9</w:t>
                  </w:r>
                </w:p>
              </w:tc>
              <w:tc>
                <w:tcPr>
                  <w:tcW w:w="857" w:type="pct"/>
                  <w:noWrap w:val="0"/>
                  <w:vAlign w:val="center"/>
                </w:tcPr>
                <w:p w14:paraId="2896CFFA">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阻垢剂</w:t>
                  </w:r>
                </w:p>
              </w:tc>
              <w:tc>
                <w:tcPr>
                  <w:tcW w:w="604" w:type="pct"/>
                  <w:noWrap w:val="0"/>
                  <w:vAlign w:val="center"/>
                </w:tcPr>
                <w:p w14:paraId="167BE1AF">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1163" w:type="pct"/>
                  <w:noWrap w:val="0"/>
                  <w:vAlign w:val="center"/>
                </w:tcPr>
                <w:p w14:paraId="2F9FD945">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4.33 </w:t>
                  </w:r>
                </w:p>
              </w:tc>
              <w:tc>
                <w:tcPr>
                  <w:tcW w:w="1163" w:type="pct"/>
                  <w:noWrap w:val="0"/>
                  <w:vAlign w:val="center"/>
                </w:tcPr>
                <w:p w14:paraId="6E17BB50">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0.2</w:t>
                  </w:r>
                </w:p>
              </w:tc>
              <w:tc>
                <w:tcPr>
                  <w:tcW w:w="580" w:type="pct"/>
                  <w:noWrap w:val="0"/>
                  <w:vAlign w:val="center"/>
                </w:tcPr>
                <w:p w14:paraId="51147B77">
                  <w:pPr>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72E891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6C88A120">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13678FF0">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10</w:t>
                  </w:r>
                </w:p>
              </w:tc>
              <w:tc>
                <w:tcPr>
                  <w:tcW w:w="857" w:type="pct"/>
                  <w:noWrap w:val="0"/>
                  <w:vAlign w:val="center"/>
                </w:tcPr>
                <w:p w14:paraId="2BCC5D49">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还原剂</w:t>
                  </w:r>
                </w:p>
              </w:tc>
              <w:tc>
                <w:tcPr>
                  <w:tcW w:w="604" w:type="pct"/>
                  <w:noWrap w:val="0"/>
                  <w:vAlign w:val="center"/>
                </w:tcPr>
                <w:p w14:paraId="28445604">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1163" w:type="pct"/>
                  <w:noWrap w:val="0"/>
                  <w:vAlign w:val="center"/>
                </w:tcPr>
                <w:p w14:paraId="70A86834">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4.03 </w:t>
                  </w:r>
                </w:p>
              </w:tc>
              <w:tc>
                <w:tcPr>
                  <w:tcW w:w="1163" w:type="pct"/>
                  <w:noWrap w:val="0"/>
                  <w:vAlign w:val="center"/>
                </w:tcPr>
                <w:p w14:paraId="5F7B410C">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0.2</w:t>
                  </w:r>
                </w:p>
              </w:tc>
              <w:tc>
                <w:tcPr>
                  <w:tcW w:w="580" w:type="pct"/>
                  <w:noWrap w:val="0"/>
                  <w:vAlign w:val="center"/>
                </w:tcPr>
                <w:p w14:paraId="4234F628">
                  <w:pPr>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15FA21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vMerge w:val="continue"/>
                  <w:noWrap w:val="0"/>
                  <w:vAlign w:val="center"/>
                </w:tcPr>
                <w:p w14:paraId="3888E595">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06915386">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11</w:t>
                  </w:r>
                </w:p>
              </w:tc>
              <w:tc>
                <w:tcPr>
                  <w:tcW w:w="857" w:type="pct"/>
                  <w:noWrap w:val="0"/>
                  <w:vAlign w:val="center"/>
                </w:tcPr>
                <w:p w14:paraId="58F79E5E">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非氧化性杀菌剂</w:t>
                  </w:r>
                </w:p>
              </w:tc>
              <w:tc>
                <w:tcPr>
                  <w:tcW w:w="604" w:type="pct"/>
                  <w:noWrap w:val="0"/>
                  <w:vAlign w:val="center"/>
                </w:tcPr>
                <w:p w14:paraId="1C0A294B">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t</w:t>
                  </w:r>
                </w:p>
              </w:tc>
              <w:tc>
                <w:tcPr>
                  <w:tcW w:w="1163" w:type="pct"/>
                  <w:noWrap w:val="0"/>
                  <w:vAlign w:val="center"/>
                </w:tcPr>
                <w:p w14:paraId="59362317">
                  <w:pPr>
                    <w:keepNext w:val="0"/>
                    <w:keepLines/>
                    <w:pageBreakBefore w:val="0"/>
                    <w:widowControl/>
                    <w:kinsoku/>
                    <w:wordWrap/>
                    <w:overflowPunct/>
                    <w:topLinePunct w:val="0"/>
                    <w:bidi w:val="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Cs w:val="21"/>
                      <w:highlight w:val="none"/>
                    </w:rPr>
                    <w:t xml:space="preserve">0.86 </w:t>
                  </w:r>
                </w:p>
              </w:tc>
              <w:tc>
                <w:tcPr>
                  <w:tcW w:w="1163" w:type="pct"/>
                  <w:noWrap w:val="0"/>
                  <w:vAlign w:val="center"/>
                </w:tcPr>
                <w:p w14:paraId="6B046BCB">
                  <w:pPr>
                    <w:keepNext w:val="0"/>
                    <w:keepLines/>
                    <w:pageBreakBefore w:val="0"/>
                    <w:widowControl/>
                    <w:suppressLineNumbers w:val="0"/>
                    <w:kinsoku/>
                    <w:wordWrap/>
                    <w:overflowPunct/>
                    <w:topLinePunct w:val="0"/>
                    <w:bidi w:val="0"/>
                    <w:jc w:val="center"/>
                    <w:textAlignment w:val="auto"/>
                    <w:rPr>
                      <w:rFonts w:hint="default" w:ascii="Times New Roman" w:hAnsi="Times New Roman" w:cs="Times New Roman"/>
                      <w:color w:val="000000"/>
                      <w:sz w:val="18"/>
                      <w:szCs w:val="18"/>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0.1</w:t>
                  </w:r>
                </w:p>
              </w:tc>
              <w:tc>
                <w:tcPr>
                  <w:tcW w:w="580" w:type="pct"/>
                  <w:noWrap w:val="0"/>
                  <w:vAlign w:val="center"/>
                </w:tcPr>
                <w:p w14:paraId="3BE866FD">
                  <w:pPr>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外购</w:t>
                  </w:r>
                </w:p>
              </w:tc>
            </w:tr>
            <w:tr w14:paraId="144EAA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285" w:type="pct"/>
                  <w:noWrap w:val="0"/>
                  <w:vAlign w:val="center"/>
                </w:tcPr>
                <w:p w14:paraId="228898CE">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rPr>
                  </w:pPr>
                </w:p>
              </w:tc>
              <w:tc>
                <w:tcPr>
                  <w:tcW w:w="345" w:type="pct"/>
                  <w:noWrap w:val="0"/>
                  <w:vAlign w:val="center"/>
                </w:tcPr>
                <w:p w14:paraId="666CBF5D">
                  <w:pPr>
                    <w:pStyle w:val="20"/>
                    <w:keepNext w:val="0"/>
                    <w:keepLines/>
                    <w:pageBreakBefore w:val="0"/>
                    <w:kinsoku/>
                    <w:wordWrap/>
                    <w:overflowPunct/>
                    <w:topLinePunct w:val="0"/>
                    <w:bidi w:val="0"/>
                    <w:spacing w:before="0" w:beforeAutospacing="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857" w:type="pct"/>
                  <w:noWrap w:val="0"/>
                  <w:vAlign w:val="center"/>
                </w:tcPr>
                <w:p w14:paraId="4F3834E5">
                  <w:pPr>
                    <w:keepNext w:val="0"/>
                    <w:keepLines/>
                    <w:pageBreakBefore w:val="0"/>
                    <w:widowControl/>
                    <w:kinsoku/>
                    <w:wordWrap/>
                    <w:overflowPunct/>
                    <w:topLinePunct w:val="0"/>
                    <w:bidi w:val="0"/>
                    <w:jc w:val="center"/>
                    <w:textAlignment w:val="auto"/>
                    <w:rPr>
                      <w:rFonts w:hint="eastAsia" w:ascii="Times New Roman" w:hAnsi="Times New Roman" w:eastAsia="宋体" w:cs="Times New Roman"/>
                      <w:color w:val="000000"/>
                      <w:kern w:val="0"/>
                      <w:szCs w:val="21"/>
                      <w:highlight w:val="none"/>
                      <w:lang w:val="en-US" w:eastAsia="zh-CN"/>
                    </w:rPr>
                  </w:pPr>
                  <w:r>
                    <w:rPr>
                      <w:rFonts w:hint="eastAsia" w:ascii="Times New Roman" w:hAnsi="Times New Roman" w:cs="Times New Roman"/>
                      <w:color w:val="000000"/>
                      <w:kern w:val="0"/>
                      <w:szCs w:val="21"/>
                      <w:highlight w:val="none"/>
                      <w:lang w:val="en-US" w:eastAsia="zh-CN"/>
                    </w:rPr>
                    <w:t>活性炭</w:t>
                  </w:r>
                </w:p>
              </w:tc>
              <w:tc>
                <w:tcPr>
                  <w:tcW w:w="604" w:type="pct"/>
                  <w:noWrap w:val="0"/>
                  <w:vAlign w:val="center"/>
                </w:tcPr>
                <w:p w14:paraId="6D5F9239">
                  <w:pPr>
                    <w:pStyle w:val="20"/>
                    <w:keepNext w:val="0"/>
                    <w:keepLines/>
                    <w:pageBreakBefore w:val="0"/>
                    <w:kinsoku/>
                    <w:wordWrap/>
                    <w:overflowPunct/>
                    <w:topLinePunct w:val="0"/>
                    <w:bidi w:val="0"/>
                    <w:spacing w:before="0" w:beforeAutospacing="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t</w:t>
                  </w:r>
                </w:p>
              </w:tc>
              <w:tc>
                <w:tcPr>
                  <w:tcW w:w="1163" w:type="pct"/>
                  <w:noWrap w:val="0"/>
                  <w:vAlign w:val="center"/>
                </w:tcPr>
                <w:p w14:paraId="28883B67">
                  <w:pPr>
                    <w:keepNext w:val="0"/>
                    <w:keepLines/>
                    <w:pageBreakBefore w:val="0"/>
                    <w:widowControl/>
                    <w:kinsoku/>
                    <w:wordWrap/>
                    <w:overflowPunct/>
                    <w:topLinePunct w:val="0"/>
                    <w:bidi w:val="0"/>
                    <w:jc w:val="center"/>
                    <w:textAlignment w:val="auto"/>
                    <w:rPr>
                      <w:rFonts w:hint="default" w:ascii="Times New Roman" w:hAnsi="Times New Roman" w:eastAsia="宋体" w:cs="Times New Roman"/>
                      <w:color w:val="000000"/>
                      <w:kern w:val="0"/>
                      <w:szCs w:val="21"/>
                      <w:highlight w:val="none"/>
                      <w:lang w:val="en-US" w:eastAsia="zh-CN"/>
                    </w:rPr>
                  </w:pPr>
                  <w:r>
                    <w:rPr>
                      <w:rFonts w:hint="eastAsia" w:ascii="Times New Roman" w:hAnsi="Times New Roman" w:cs="Times New Roman"/>
                      <w:color w:val="000000"/>
                      <w:kern w:val="0"/>
                      <w:szCs w:val="21"/>
                      <w:highlight w:val="none"/>
                      <w:lang w:val="en-US" w:eastAsia="zh-CN"/>
                    </w:rPr>
                    <w:t>73</w:t>
                  </w:r>
                </w:p>
              </w:tc>
              <w:tc>
                <w:tcPr>
                  <w:tcW w:w="1163" w:type="pct"/>
                  <w:noWrap w:val="0"/>
                  <w:vAlign w:val="center"/>
                </w:tcPr>
                <w:p w14:paraId="145E697D">
                  <w:pPr>
                    <w:keepNext w:val="0"/>
                    <w:keepLines/>
                    <w:pageBreakBefore w:val="0"/>
                    <w:widowControl/>
                    <w:suppressLineNumbers w:val="0"/>
                    <w:kinsoku/>
                    <w:wordWrap/>
                    <w:overflowPunct/>
                    <w:topLinePunct w:val="0"/>
                    <w:bidi w:val="0"/>
                    <w:jc w:val="center"/>
                    <w:textAlignment w:val="auto"/>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eastAsia="宋体" w:cs="Times New Roman"/>
                      <w:i w:val="0"/>
                      <w:iCs w:val="0"/>
                      <w:color w:val="000000"/>
                      <w:kern w:val="0"/>
                      <w:sz w:val="22"/>
                      <w:szCs w:val="22"/>
                      <w:highlight w:val="none"/>
                      <w:u w:val="none"/>
                      <w:lang w:val="en-US" w:eastAsia="zh-CN" w:bidi="ar"/>
                    </w:rPr>
                    <w:t>2</w:t>
                  </w:r>
                </w:p>
              </w:tc>
              <w:tc>
                <w:tcPr>
                  <w:tcW w:w="580" w:type="pct"/>
                  <w:noWrap w:val="0"/>
                  <w:vAlign w:val="center"/>
                </w:tcPr>
                <w:p w14:paraId="258E4D53">
                  <w:pPr>
                    <w:keepNext w:val="0"/>
                    <w:keepLines/>
                    <w:pageBreakBefore w:val="0"/>
                    <w:kinsoku/>
                    <w:wordWrap/>
                    <w:overflowPunct/>
                    <w:topLinePunct w:val="0"/>
                    <w:bidi w:val="0"/>
                    <w:spacing w:before="0" w:beforeAutospacing="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外购</w:t>
                  </w:r>
                </w:p>
              </w:tc>
            </w:tr>
          </w:tbl>
          <w:p w14:paraId="172E0246">
            <w:pPr>
              <w:keepNext w:val="0"/>
              <w:keepLines/>
              <w:pageBreakBefore w:val="0"/>
              <w:kinsoku/>
              <w:wordWrap/>
              <w:overflowPunct/>
              <w:topLinePunct w:val="0"/>
              <w:bidi w:val="0"/>
              <w:spacing w:line="360" w:lineRule="auto"/>
              <w:ind w:firstLine="482" w:firstLineChars="200"/>
              <w:textAlignment w:val="auto"/>
              <w:rPr>
                <w:rFonts w:hint="default" w:ascii="Times New Roman" w:hAnsi="Times New Roman" w:cs="Times New Roman"/>
                <w:b/>
                <w:color w:val="000000"/>
                <w:sz w:val="24"/>
                <w:highlight w:val="none"/>
              </w:rPr>
            </w:pPr>
            <w:r>
              <w:rPr>
                <w:rFonts w:hint="eastAsia" w:ascii="Times New Roman" w:hAnsi="Times New Roman" w:cs="Times New Roman"/>
                <w:b/>
                <w:color w:val="000000"/>
                <w:sz w:val="24"/>
                <w:highlight w:val="none"/>
                <w:lang w:val="en-US" w:eastAsia="zh-CN"/>
              </w:rPr>
              <w:t>5</w:t>
            </w:r>
            <w:r>
              <w:rPr>
                <w:rFonts w:hint="default" w:ascii="Times New Roman" w:hAnsi="Times New Roman" w:cs="Times New Roman"/>
                <w:b/>
                <w:color w:val="000000"/>
                <w:sz w:val="24"/>
                <w:highlight w:val="none"/>
              </w:rPr>
              <w:t>、总平面布置</w:t>
            </w:r>
          </w:p>
          <w:p w14:paraId="69217327">
            <w:pPr>
              <w:keepNext w:val="0"/>
              <w:keepLines/>
              <w:pageBreakBefore w:val="0"/>
              <w:kinsoku/>
              <w:wordWrap/>
              <w:overflowPunct/>
              <w:topLinePunct w:val="0"/>
              <w:bidi w:val="0"/>
              <w:spacing w:line="360" w:lineRule="auto"/>
              <w:jc w:val="left"/>
              <w:textAlignment w:val="auto"/>
              <w:rPr>
                <w:rStyle w:val="21"/>
                <w:rFonts w:hint="default" w:ascii="Times New Roman" w:hAnsi="Times New Roman" w:cs="Times New Roman"/>
                <w:color w:val="000000"/>
                <w:highlight w:val="none"/>
              </w:rPr>
            </w:pPr>
            <w:r>
              <w:rPr>
                <w:rFonts w:hint="default" w:ascii="Times New Roman" w:hAnsi="Times New Roman" w:cs="Times New Roman"/>
                <w:b/>
                <w:color w:val="000000"/>
                <w:sz w:val="24"/>
                <w:highlight w:val="none"/>
              </w:rPr>
              <w:t xml:space="preserve">  </w:t>
            </w:r>
            <w:r>
              <w:rPr>
                <w:rFonts w:hint="default" w:ascii="Times New Roman" w:hAnsi="Times New Roman" w:cs="Times New Roman"/>
                <w:b/>
                <w:color w:val="000000"/>
                <w:sz w:val="24"/>
                <w:highlight w:val="none"/>
                <w:lang w:val="en-US" w:eastAsia="zh-CN"/>
              </w:rPr>
              <w:t xml:space="preserve">  </w:t>
            </w:r>
            <w:r>
              <w:rPr>
                <w:rFonts w:hint="default" w:ascii="Times New Roman" w:hAnsi="Times New Roman" w:cs="Times New Roman"/>
                <w:b w:val="0"/>
                <w:bCs/>
                <w:color w:val="000000"/>
                <w:sz w:val="24"/>
                <w:highlight w:val="none"/>
                <w:lang w:val="en-US" w:eastAsia="zh-CN"/>
              </w:rPr>
              <w:t>本项目污水处理装置改造区布置在厂区中西部。公用工程区、办公生活区依托原有，位于厂区西南侧，储存装卸区位于厂区西侧。厂区西北侧设置1个物流出入口，南侧设置2个人流出入口。厂内道路相互贯通，满足全厂运输、消防和疏散要求</w:t>
            </w:r>
            <w:r>
              <w:rPr>
                <w:rFonts w:hint="default" w:ascii="Times New Roman" w:hAnsi="Times New Roman" w:cs="Times New Roman"/>
                <w:b w:val="0"/>
                <w:bCs/>
                <w:color w:val="000000"/>
                <w:sz w:val="24"/>
                <w:highlight w:val="none"/>
              </w:rPr>
              <w:t>。具体平面布置见附图</w:t>
            </w:r>
            <w:r>
              <w:rPr>
                <w:rFonts w:hint="default" w:ascii="Times New Roman" w:hAnsi="Times New Roman" w:cs="Times New Roman"/>
                <w:b w:val="0"/>
                <w:bCs/>
                <w:color w:val="000000"/>
                <w:sz w:val="24"/>
                <w:highlight w:val="none"/>
                <w:lang w:val="en-US" w:eastAsia="zh-CN"/>
              </w:rPr>
              <w:t>3</w:t>
            </w:r>
            <w:r>
              <w:rPr>
                <w:rStyle w:val="21"/>
                <w:rFonts w:hint="default" w:ascii="Times New Roman" w:hAnsi="Times New Roman" w:cs="Times New Roman"/>
                <w:color w:val="000000"/>
                <w:highlight w:val="none"/>
              </w:rPr>
              <w:t>。</w:t>
            </w:r>
          </w:p>
          <w:p w14:paraId="0F142ED6">
            <w:pPr>
              <w:keepNext w:val="0"/>
              <w:keepLines/>
              <w:pageBreakBefore w:val="0"/>
              <w:kinsoku/>
              <w:wordWrap/>
              <w:overflowPunct/>
              <w:topLinePunct w:val="0"/>
              <w:bidi w:val="0"/>
              <w:spacing w:line="360" w:lineRule="auto"/>
              <w:ind w:firstLine="482" w:firstLineChars="200"/>
              <w:textAlignment w:val="auto"/>
              <w:rPr>
                <w:rFonts w:hint="default" w:ascii="Times New Roman" w:hAnsi="Times New Roman" w:cs="Times New Roman"/>
                <w:b/>
                <w:color w:val="000000"/>
                <w:sz w:val="24"/>
                <w:highlight w:val="none"/>
              </w:rPr>
            </w:pPr>
            <w:r>
              <w:rPr>
                <w:rFonts w:hint="eastAsia" w:ascii="Times New Roman" w:hAnsi="Times New Roman" w:cs="Times New Roman"/>
                <w:b/>
                <w:color w:val="000000"/>
                <w:sz w:val="24"/>
                <w:highlight w:val="none"/>
                <w:lang w:val="en-US" w:eastAsia="zh-CN"/>
              </w:rPr>
              <w:t>6</w:t>
            </w:r>
            <w:r>
              <w:rPr>
                <w:rFonts w:hint="default" w:ascii="Times New Roman" w:hAnsi="Times New Roman" w:cs="Times New Roman"/>
                <w:b/>
                <w:color w:val="000000"/>
                <w:sz w:val="24"/>
                <w:highlight w:val="none"/>
              </w:rPr>
              <w:t>、公用工程</w:t>
            </w:r>
          </w:p>
          <w:p w14:paraId="1CCA3458">
            <w:pPr>
              <w:keepNext w:val="0"/>
              <w:keepLines/>
              <w:pageBreakBefore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1、给水</w:t>
            </w:r>
          </w:p>
          <w:p w14:paraId="77C095F3">
            <w:pPr>
              <w:pStyle w:val="2"/>
              <w:keepNext w:val="0"/>
              <w:keepLines/>
              <w:pageBreakBefore w:val="0"/>
              <w:kinsoku/>
              <w:wordWrap/>
              <w:overflowPunct/>
              <w:topLinePunct w:val="0"/>
              <w:bidi w:val="0"/>
              <w:spacing w:line="360" w:lineRule="auto"/>
              <w:ind w:firstLine="480"/>
              <w:textAlignment w:val="auto"/>
              <w:rPr>
                <w:rFonts w:hint="eastAsia"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eastAsia="zh-CN"/>
              </w:rPr>
              <w:t>本项目员工依托厂区原有不新增，因此，不新增生活用水</w:t>
            </w:r>
            <w:r>
              <w:rPr>
                <w:rFonts w:hint="eastAsia" w:ascii="Times New Roman" w:hAnsi="Times New Roman" w:cs="Times New Roman"/>
                <w:color w:val="000000"/>
                <w:sz w:val="24"/>
                <w:highlight w:val="none"/>
                <w:lang w:eastAsia="zh-CN"/>
              </w:rPr>
              <w:t>。</w:t>
            </w:r>
          </w:p>
          <w:p w14:paraId="21114F27">
            <w:pPr>
              <w:pStyle w:val="2"/>
              <w:keepNext w:val="0"/>
              <w:keepLines/>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新增生产用主要为脱硫系统用水补充水，约为62.05m³/a（</w:t>
            </w:r>
            <w:r>
              <w:rPr>
                <w:rFonts w:hint="eastAsia"/>
                <w:color w:val="000000"/>
                <w:sz w:val="24"/>
                <w:highlight w:val="none"/>
              </w:rPr>
              <w:t>0.17m³/h）</w:t>
            </w:r>
            <w:r>
              <w:rPr>
                <w:rFonts w:hint="default" w:ascii="Times New Roman" w:hAnsi="Times New Roman" w:cs="Times New Roman"/>
                <w:color w:val="000000"/>
                <w:sz w:val="24"/>
                <w:highlight w:val="none"/>
                <w:lang w:eastAsia="zh-CN"/>
              </w:rPr>
              <w:t>。</w:t>
            </w:r>
          </w:p>
          <w:p w14:paraId="5BD94089">
            <w:pPr>
              <w:pStyle w:val="2"/>
              <w:keepNext w:val="0"/>
              <w:keepLines/>
              <w:pageBreakBefore w:val="0"/>
              <w:kinsoku/>
              <w:wordWrap/>
              <w:overflowPunct/>
              <w:topLinePunct w:val="0"/>
              <w:bidi w:val="0"/>
              <w:spacing w:line="360" w:lineRule="auto"/>
              <w:ind w:firstLine="48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2、排水</w:t>
            </w:r>
          </w:p>
          <w:p w14:paraId="50540FEC">
            <w:pPr>
              <w:keepNext w:val="0"/>
              <w:keepLines/>
              <w:pageBreakBefore w:val="0"/>
              <w:kinsoku/>
              <w:wordWrap/>
              <w:overflowPunct/>
              <w:topLinePunct w:val="0"/>
              <w:bidi w:val="0"/>
              <w:spacing w:line="360" w:lineRule="auto"/>
              <w:ind w:firstLine="480" w:firstLineChars="200"/>
              <w:jc w:val="both"/>
              <w:textAlignment w:val="auto"/>
              <w:rPr>
                <w:rFonts w:hint="default"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本工程产生废水主要包括中水回用系统反洗排水、零排放系统预热器产生的污冷凝水、脱硫废水罐排水。</w:t>
            </w:r>
          </w:p>
          <w:p w14:paraId="290C0385">
            <w:pPr>
              <w:keepNext w:val="0"/>
              <w:keepLines/>
              <w:pageBreakBefore w:val="0"/>
              <w:kinsoku/>
              <w:wordWrap/>
              <w:overflowPunct/>
              <w:topLinePunct w:val="0"/>
              <w:bidi w:val="0"/>
              <w:spacing w:line="360" w:lineRule="auto"/>
              <w:ind w:firstLine="480" w:firstLineChars="200"/>
              <w:jc w:val="both"/>
              <w:textAlignment w:val="auto"/>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中水回用系统反洗排水、零排放系统预热器产生的污冷凝水返回中水回用系统处理后回用于生产，脱硫废水罐排水返回浓缩釜，蒸发产生的蒸汽凝结水全部回用于脱硫系统。</w:t>
            </w:r>
          </w:p>
          <w:p w14:paraId="4CB0424F">
            <w:pPr>
              <w:pStyle w:val="2"/>
              <w:keepNext w:val="0"/>
              <w:keepLines/>
              <w:pageBreakBefore w:val="0"/>
              <w:kinsoku/>
              <w:wordWrap/>
              <w:overflowPunct/>
              <w:topLinePunct w:val="0"/>
              <w:bidi w:val="0"/>
              <w:ind w:left="0" w:leftChars="0" w:firstLine="0" w:firstLineChars="0"/>
              <w:jc w:val="both"/>
              <w:textAlignment w:val="auto"/>
              <w:rPr>
                <w:rFonts w:hint="default" w:ascii="Times New Roman" w:hAnsi="Times New Roman" w:cs="Times New Roman"/>
                <w:color w:val="000000"/>
                <w:highlight w:val="none"/>
              </w:rPr>
            </w:pPr>
            <w:r>
              <w:rPr>
                <w:color w:val="000000"/>
                <w:sz w:val="24"/>
                <w:highlight w:val="none"/>
              </w:rPr>
              <mc:AlternateContent>
                <mc:Choice Requires="wpg">
                  <w:drawing>
                    <wp:anchor distT="0" distB="0" distL="114300" distR="114300" simplePos="0" relativeHeight="251671552" behindDoc="0" locked="0" layoutInCell="1" allowOverlap="1">
                      <wp:simplePos x="0" y="0"/>
                      <wp:positionH relativeFrom="column">
                        <wp:posOffset>616585</wp:posOffset>
                      </wp:positionH>
                      <wp:positionV relativeFrom="paragraph">
                        <wp:posOffset>82550</wp:posOffset>
                      </wp:positionV>
                      <wp:extent cx="3166110" cy="531495"/>
                      <wp:effectExtent l="4445" t="0" r="10795" b="22225"/>
                      <wp:wrapNone/>
                      <wp:docPr id="67" name="组合 67"/>
                      <wp:cNvGraphicFramePr/>
                      <a:graphic xmlns:a="http://schemas.openxmlformats.org/drawingml/2006/main">
                        <a:graphicData uri="http://schemas.microsoft.com/office/word/2010/wordprocessingGroup">
                          <wpg:wgp>
                            <wpg:cNvGrpSpPr/>
                            <wpg:grpSpPr>
                              <a:xfrm>
                                <a:off x="0" y="0"/>
                                <a:ext cx="3166110" cy="531495"/>
                                <a:chOff x="5780" y="242642"/>
                                <a:chExt cx="4986" cy="837"/>
                              </a:xfrm>
                            </wpg:grpSpPr>
                            <wps:wsp>
                              <wps:cNvPr id="60" name="直接箭头连接符 60"/>
                              <wps:cNvCnPr/>
                              <wps:spPr>
                                <a:xfrm>
                                  <a:off x="6724" y="243241"/>
                                  <a:ext cx="542" cy="9"/>
                                </a:xfrm>
                                <a:prstGeom prst="straightConnector1">
                                  <a:avLst/>
                                </a:prstGeom>
                                <a:ln w="9525" cap="flat" cmpd="sng">
                                  <a:solidFill>
                                    <a:srgbClr val="000000"/>
                                  </a:solidFill>
                                  <a:prstDash val="solid"/>
                                  <a:headEnd type="none" w="med" len="med"/>
                                  <a:tailEnd type="triangle" w="med" len="med"/>
                                </a:ln>
                              </wps:spPr>
                              <wps:bodyPr/>
                            </wps:wsp>
                            <wps:wsp>
                              <wps:cNvPr id="61" name="矩形 61"/>
                              <wps:cNvSpPr/>
                              <wps:spPr>
                                <a:xfrm>
                                  <a:off x="7250" y="243011"/>
                                  <a:ext cx="1424" cy="4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8A2D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left"/>
                                      <w:textAlignment w:val="auto"/>
                                      <w:rPr>
                                        <w:rFonts w:hint="default"/>
                                        <w:b w:val="0"/>
                                        <w:bCs w:val="0"/>
                                        <w:sz w:val="21"/>
                                        <w:szCs w:val="21"/>
                                        <w:lang w:val="en-US"/>
                                      </w:rPr>
                                    </w:pPr>
                                    <w:r>
                                      <w:rPr>
                                        <w:rFonts w:hint="eastAsia" w:ascii="宋体" w:hAnsi="宋体" w:eastAsia="宋体" w:cs="宋体"/>
                                        <w:b w:val="0"/>
                                        <w:bCs w:val="0"/>
                                        <w:color w:val="000000"/>
                                        <w:kern w:val="0"/>
                                        <w:sz w:val="21"/>
                                        <w:szCs w:val="21"/>
                                        <w:lang w:val="en-US" w:eastAsia="zh-CN" w:bidi="ar"/>
                                      </w:rPr>
                                      <w:t>脱硫提盐装置1.67</w:t>
                                    </w:r>
                                  </w:p>
                                  <w:p w14:paraId="6A94CC66"/>
                                </w:txbxContent>
                              </wps:txbx>
                              <wps:bodyPr upright="1"/>
                            </wps:wsp>
                            <wps:wsp>
                              <wps:cNvPr id="62" name="直接箭头连接符 62"/>
                              <wps:cNvCnPr/>
                              <wps:spPr>
                                <a:xfrm>
                                  <a:off x="8701" y="243263"/>
                                  <a:ext cx="553" cy="7"/>
                                </a:xfrm>
                                <a:prstGeom prst="straightConnector1">
                                  <a:avLst/>
                                </a:prstGeom>
                                <a:ln w="9525" cap="flat" cmpd="sng">
                                  <a:solidFill>
                                    <a:srgbClr val="000000"/>
                                  </a:solidFill>
                                  <a:prstDash val="solid"/>
                                  <a:headEnd type="none" w="med" len="med"/>
                                  <a:tailEnd type="triangle" w="med" len="med"/>
                                </a:ln>
                              </wps:spPr>
                              <wps:bodyPr/>
                            </wps:wsp>
                            <wps:wsp>
                              <wps:cNvPr id="63" name="矩形 63"/>
                              <wps:cNvSpPr/>
                              <wps:spPr>
                                <a:xfrm>
                                  <a:off x="9254" y="243027"/>
                                  <a:ext cx="1512" cy="4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534B6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left"/>
                                      <w:textAlignment w:val="auto"/>
                                      <w:rPr>
                                        <w:rFonts w:hint="default"/>
                                        <w:b w:val="0"/>
                                        <w:bCs w:val="0"/>
                                        <w:sz w:val="21"/>
                                        <w:szCs w:val="21"/>
                                        <w:lang w:val="en-US"/>
                                      </w:rPr>
                                    </w:pPr>
                                    <w:r>
                                      <w:rPr>
                                        <w:rFonts w:hint="eastAsia" w:ascii="宋体" w:hAnsi="宋体" w:eastAsia="宋体" w:cs="宋体"/>
                                        <w:b w:val="0"/>
                                        <w:bCs w:val="0"/>
                                        <w:color w:val="000000"/>
                                        <w:kern w:val="0"/>
                                        <w:sz w:val="21"/>
                                        <w:szCs w:val="21"/>
                                        <w:lang w:val="en-US" w:eastAsia="zh-CN" w:bidi="ar"/>
                                      </w:rPr>
                                      <w:t>脱硫系统回用1.67</w:t>
                                    </w:r>
                                  </w:p>
                                  <w:p w14:paraId="655894D4"/>
                                </w:txbxContent>
                              </wps:txbx>
                              <wps:bodyPr upright="1"/>
                            </wps:wsp>
                            <wps:wsp>
                              <wps:cNvPr id="64" name="矩形 64"/>
                              <wps:cNvSpPr/>
                              <wps:spPr>
                                <a:xfrm>
                                  <a:off x="8725" y="242664"/>
                                  <a:ext cx="860" cy="436"/>
                                </a:xfrm>
                                <a:prstGeom prst="rect">
                                  <a:avLst/>
                                </a:prstGeom>
                                <a:noFill/>
                                <a:ln>
                                  <a:noFill/>
                                </a:ln>
                              </wps:spPr>
                              <wps:txbx>
                                <w:txbxContent>
                                  <w:p w14:paraId="73F4AFC8">
                                    <w:pPr>
                                      <w:jc w:val="both"/>
                                      <w:rPr>
                                        <w:rFonts w:hint="default" w:eastAsia="宋体"/>
                                        <w:szCs w:val="21"/>
                                        <w:lang w:val="en-US" w:eastAsia="zh-CN"/>
                                      </w:rPr>
                                    </w:pPr>
                                    <w:r>
                                      <w:rPr>
                                        <w:rFonts w:hint="eastAsia"/>
                                        <w:szCs w:val="21"/>
                                        <w:lang w:val="en-US" w:eastAsia="zh-CN"/>
                                      </w:rPr>
                                      <w:t>0.17</w:t>
                                    </w:r>
                                  </w:p>
                                </w:txbxContent>
                              </wps:txbx>
                              <wps:bodyPr upright="1"/>
                            </wps:wsp>
                            <wps:wsp>
                              <wps:cNvPr id="65" name="矩形 65"/>
                              <wps:cNvSpPr/>
                              <wps:spPr>
                                <a:xfrm>
                                  <a:off x="5780" y="243015"/>
                                  <a:ext cx="930"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4CD16C">
                                    <w:pPr>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sz w:val="21"/>
                                        <w:szCs w:val="21"/>
                                      </w:rPr>
                                    </w:pPr>
                                    <w:r>
                                      <w:rPr>
                                        <w:rFonts w:hint="eastAsia"/>
                                        <w:sz w:val="21"/>
                                        <w:szCs w:val="21"/>
                                        <w:lang w:val="en-US" w:eastAsia="zh-CN"/>
                                      </w:rPr>
                                      <w:t>新鲜</w:t>
                                    </w:r>
                                    <w:r>
                                      <w:rPr>
                                        <w:rFonts w:hint="eastAsia"/>
                                        <w:sz w:val="21"/>
                                        <w:szCs w:val="21"/>
                                      </w:rPr>
                                      <w:t>水</w:t>
                                    </w:r>
                                  </w:p>
                                </w:txbxContent>
                              </wps:txbx>
                              <wps:bodyPr upright="1"/>
                            </wps:wsp>
                            <wps:wsp>
                              <wps:cNvPr id="66" name="矩形 66"/>
                              <wps:cNvSpPr/>
                              <wps:spPr>
                                <a:xfrm>
                                  <a:off x="6640" y="242642"/>
                                  <a:ext cx="860" cy="436"/>
                                </a:xfrm>
                                <a:prstGeom prst="rect">
                                  <a:avLst/>
                                </a:prstGeom>
                                <a:noFill/>
                                <a:ln>
                                  <a:noFill/>
                                </a:ln>
                              </wps:spPr>
                              <wps:txbx>
                                <w:txbxContent>
                                  <w:p w14:paraId="6F096829">
                                    <w:pPr>
                                      <w:jc w:val="both"/>
                                      <w:rPr>
                                        <w:rFonts w:hint="default" w:eastAsia="宋体"/>
                                        <w:szCs w:val="21"/>
                                        <w:lang w:val="en-US" w:eastAsia="zh-CN"/>
                                      </w:rPr>
                                    </w:pPr>
                                    <w:r>
                                      <w:rPr>
                                        <w:rFonts w:hint="eastAsia"/>
                                        <w:szCs w:val="21"/>
                                        <w:lang w:val="en-US" w:eastAsia="zh-CN"/>
                                      </w:rPr>
                                      <w:t>0.17</w:t>
                                    </w:r>
                                  </w:p>
                                </w:txbxContent>
                              </wps:txbx>
                              <wps:bodyPr upright="1"/>
                            </wps:wsp>
                          </wpg:wgp>
                        </a:graphicData>
                      </a:graphic>
                    </wp:anchor>
                  </w:drawing>
                </mc:Choice>
                <mc:Fallback>
                  <w:pict>
                    <v:group id="_x0000_s1026" o:spid="_x0000_s1026" o:spt="203" style="position:absolute;left:0pt;margin-left:48.55pt;margin-top:6.5pt;height:41.85pt;width:249.3pt;z-index:251671552;mso-width-relative:page;mso-height-relative:page;" coordorigin="5780,242642" coordsize="4986,837" o:gfxdata="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LwaGsHYAAAACAEAAA8AAAAAAAAAAQAgAAAAIgAAAGRycy9kb3ducmV2&#10;LnhtbFBLAQIUABQAAAAIAIdO4kC+nKUxxAMAAPkQAAAOAAAAAAAAAAEAIAAAACcBAABkcnMvZTJv&#10;RG9jLnhtbFBLBQYAAAAABgAGAFkBAABdBwAAAAA=&#10;">
                      <o:lock v:ext="edit" aspectratio="f"/>
                      <v:shape id="_x0000_s1026" o:spid="_x0000_s1026" o:spt="32" type="#_x0000_t32" style="position:absolute;left:6724;top:243241;height:9;width:542;"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_x0000_s1026" o:spid="_x0000_s1026" o:spt="1" style="position:absolute;left:7250;top:243011;height:452;width:1424;"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F98A2D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left"/>
                                <w:textAlignment w:val="auto"/>
                                <w:rPr>
                                  <w:rFonts w:hint="default"/>
                                  <w:b w:val="0"/>
                                  <w:bCs w:val="0"/>
                                  <w:sz w:val="21"/>
                                  <w:szCs w:val="21"/>
                                  <w:lang w:val="en-US"/>
                                </w:rPr>
                              </w:pPr>
                              <w:r>
                                <w:rPr>
                                  <w:rFonts w:hint="eastAsia" w:ascii="宋体" w:hAnsi="宋体" w:eastAsia="宋体" w:cs="宋体"/>
                                  <w:b w:val="0"/>
                                  <w:bCs w:val="0"/>
                                  <w:color w:val="000000"/>
                                  <w:kern w:val="0"/>
                                  <w:sz w:val="21"/>
                                  <w:szCs w:val="21"/>
                                  <w:lang w:val="en-US" w:eastAsia="zh-CN" w:bidi="ar"/>
                                </w:rPr>
                                <w:t>脱硫提盐装置1.67</w:t>
                              </w:r>
                            </w:p>
                            <w:p w14:paraId="6A94CC66"/>
                          </w:txbxContent>
                        </v:textbox>
                      </v:rect>
                      <v:shape id="_x0000_s1026" o:spid="_x0000_s1026" o:spt="32" type="#_x0000_t32" style="position:absolute;left:8701;top:243263;height:7;width:553;"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9254;top:243027;height:452;width:1512;"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534B6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left"/>
                                <w:textAlignment w:val="auto"/>
                                <w:rPr>
                                  <w:rFonts w:hint="default"/>
                                  <w:b w:val="0"/>
                                  <w:bCs w:val="0"/>
                                  <w:sz w:val="21"/>
                                  <w:szCs w:val="21"/>
                                  <w:lang w:val="en-US"/>
                                </w:rPr>
                              </w:pPr>
                              <w:r>
                                <w:rPr>
                                  <w:rFonts w:hint="eastAsia" w:ascii="宋体" w:hAnsi="宋体" w:eastAsia="宋体" w:cs="宋体"/>
                                  <w:b w:val="0"/>
                                  <w:bCs w:val="0"/>
                                  <w:color w:val="000000"/>
                                  <w:kern w:val="0"/>
                                  <w:sz w:val="21"/>
                                  <w:szCs w:val="21"/>
                                  <w:lang w:val="en-US" w:eastAsia="zh-CN" w:bidi="ar"/>
                                </w:rPr>
                                <w:t>脱硫系统回用1.67</w:t>
                              </w:r>
                            </w:p>
                            <w:p w14:paraId="655894D4"/>
                          </w:txbxContent>
                        </v:textbox>
                      </v:rect>
                      <v:rect id="_x0000_s1026" o:spid="_x0000_s1026" o:spt="1" style="position:absolute;left:8725;top:242664;height:436;width:860;" filled="f" stroked="f" coordsize="21600,21600" o:gfxdata="UEsDBAoAAAAAAIdO4kAAAAAAAAAAAAAAAAAEAAAAZHJzL1BLAwQUAAAACACHTuJANwLRbr0AAADb&#10;AAAADwAAAGRycy9kb3ducmV2LnhtbEWPQYvCMBSE78L+h/AWvMiaKiJ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tF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3F4AFC8">
                              <w:pPr>
                                <w:jc w:val="both"/>
                                <w:rPr>
                                  <w:rFonts w:hint="default" w:eastAsia="宋体"/>
                                  <w:szCs w:val="21"/>
                                  <w:lang w:val="en-US" w:eastAsia="zh-CN"/>
                                </w:rPr>
                              </w:pPr>
                              <w:r>
                                <w:rPr>
                                  <w:rFonts w:hint="eastAsia"/>
                                  <w:szCs w:val="21"/>
                                  <w:lang w:val="en-US" w:eastAsia="zh-CN"/>
                                </w:rPr>
                                <w:t>0.17</w:t>
                              </w:r>
                            </w:p>
                          </w:txbxContent>
                        </v:textbox>
                      </v:rect>
                      <v:rect id="_x0000_s1026" o:spid="_x0000_s1026" o:spt="1" style="position:absolute;left:5780;top:243015;height:422;width:93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D4CD16C">
                              <w:pPr>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sz w:val="21"/>
                                  <w:szCs w:val="21"/>
                                </w:rPr>
                              </w:pPr>
                              <w:r>
                                <w:rPr>
                                  <w:rFonts w:hint="eastAsia"/>
                                  <w:sz w:val="21"/>
                                  <w:szCs w:val="21"/>
                                  <w:lang w:val="en-US" w:eastAsia="zh-CN"/>
                                </w:rPr>
                                <w:t>新鲜</w:t>
                              </w:r>
                              <w:r>
                                <w:rPr>
                                  <w:rFonts w:hint="eastAsia"/>
                                  <w:sz w:val="21"/>
                                  <w:szCs w:val="21"/>
                                </w:rPr>
                                <w:t>水</w:t>
                              </w:r>
                            </w:p>
                          </w:txbxContent>
                        </v:textbox>
                      </v:rect>
                      <v:rect id="_x0000_s1026" o:spid="_x0000_s1026" o:spt="1" style="position:absolute;left:6640;top:242642;height:436;width:860;" filled="f" stroked="f" coordsize="21600,21600" o:gfxdata="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zq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F096829">
                              <w:pPr>
                                <w:jc w:val="both"/>
                                <w:rPr>
                                  <w:rFonts w:hint="default" w:eastAsia="宋体"/>
                                  <w:szCs w:val="21"/>
                                  <w:lang w:val="en-US" w:eastAsia="zh-CN"/>
                                </w:rPr>
                              </w:pPr>
                              <w:r>
                                <w:rPr>
                                  <w:rFonts w:hint="eastAsia"/>
                                  <w:szCs w:val="21"/>
                                  <w:lang w:val="en-US" w:eastAsia="zh-CN"/>
                                </w:rPr>
                                <w:t>0.17</w:t>
                              </w:r>
                            </w:p>
                          </w:txbxContent>
                        </v:textbox>
                      </v:rect>
                    </v:group>
                  </w:pict>
                </mc:Fallback>
              </mc:AlternateContent>
            </w:r>
          </w:p>
          <w:p w14:paraId="4838272A">
            <w:pPr>
              <w:pStyle w:val="2"/>
              <w:keepNext w:val="0"/>
              <w:keepLines/>
              <w:pageBreakBefore w:val="0"/>
              <w:kinsoku/>
              <w:wordWrap/>
              <w:overflowPunct/>
              <w:topLinePunct w:val="0"/>
              <w:bidi w:val="0"/>
              <w:ind w:left="0" w:leftChars="0" w:firstLine="0" w:firstLineChars="0"/>
              <w:jc w:val="both"/>
              <w:textAlignment w:val="auto"/>
              <w:rPr>
                <w:rFonts w:hint="default" w:ascii="Times New Roman" w:hAnsi="Times New Roman" w:cs="Times New Roman"/>
                <w:color w:val="000000"/>
                <w:highlight w:val="none"/>
              </w:rPr>
            </w:pPr>
          </w:p>
          <w:p w14:paraId="6511DE1B">
            <w:pPr>
              <w:pStyle w:val="2"/>
              <w:keepNext w:val="0"/>
              <w:keepLines/>
              <w:pageBreakBefore w:val="0"/>
              <w:kinsoku/>
              <w:wordWrap/>
              <w:overflowPunct/>
              <w:topLinePunct w:val="0"/>
              <w:bidi w:val="0"/>
              <w:ind w:left="0" w:leftChars="0" w:firstLine="0" w:firstLineChars="0"/>
              <w:jc w:val="both"/>
              <w:textAlignment w:val="auto"/>
              <w:rPr>
                <w:rFonts w:hint="default" w:ascii="Times New Roman" w:hAnsi="Times New Roman" w:cs="Times New Roman"/>
                <w:color w:val="000000"/>
                <w:highlight w:val="none"/>
              </w:rPr>
            </w:pPr>
          </w:p>
          <w:p w14:paraId="68CBF1F4">
            <w:pPr>
              <w:keepNext w:val="0"/>
              <w:keepLines/>
              <w:pageBreakBefore w:val="0"/>
              <w:kinsoku/>
              <w:wordWrap/>
              <w:overflowPunct/>
              <w:topLinePunct w:val="0"/>
              <w:bidi w:val="0"/>
              <w:spacing w:line="360" w:lineRule="auto"/>
              <w:jc w:val="center"/>
              <w:textAlignment w:val="auto"/>
              <w:rPr>
                <w:rFonts w:hint="default" w:ascii="Times New Roman" w:hAnsi="Times New Roman" w:eastAsia="宋体" w:cs="Times New Roman"/>
                <w:color w:val="000000"/>
                <w:highlight w:val="none"/>
                <w:lang w:eastAsia="zh-CN"/>
              </w:rPr>
            </w:pPr>
            <w:r>
              <w:rPr>
                <w:rFonts w:hint="default" w:ascii="Times New Roman" w:hAnsi="Times New Roman" w:cs="Times New Roman"/>
                <w:b/>
                <w:bCs/>
                <w:color w:val="000000"/>
                <w:sz w:val="24"/>
                <w:highlight w:val="none"/>
                <w:lang w:eastAsia="zh-CN"/>
              </w:rPr>
              <w:t>图</w:t>
            </w:r>
            <w:r>
              <w:rPr>
                <w:rFonts w:hint="default" w:ascii="Times New Roman" w:hAnsi="Times New Roman" w:cs="Times New Roman"/>
                <w:b/>
                <w:bCs/>
                <w:color w:val="000000"/>
                <w:sz w:val="24"/>
                <w:highlight w:val="none"/>
                <w:lang w:val="en-US" w:eastAsia="zh-CN"/>
              </w:rPr>
              <w:t xml:space="preserve">2-1 </w:t>
            </w:r>
            <w:r>
              <w:rPr>
                <w:rFonts w:hint="eastAsia" w:ascii="Times New Roman" w:hAnsi="Times New Roman" w:cs="Times New Roman"/>
                <w:b/>
                <w:bCs/>
                <w:color w:val="000000"/>
                <w:sz w:val="24"/>
                <w:highlight w:val="none"/>
                <w:lang w:val="en-US" w:eastAsia="zh-CN"/>
              </w:rPr>
              <w:t>本</w:t>
            </w:r>
            <w:r>
              <w:rPr>
                <w:rFonts w:hint="default" w:ascii="Times New Roman" w:hAnsi="Times New Roman" w:cs="Times New Roman"/>
                <w:b/>
                <w:bCs/>
                <w:color w:val="000000"/>
                <w:sz w:val="24"/>
                <w:highlight w:val="none"/>
              </w:rPr>
              <w:t>项目水平衡图</w:t>
            </w:r>
            <w:r>
              <w:rPr>
                <w:rFonts w:hint="default" w:ascii="Times New Roman" w:hAnsi="Times New Roman" w:cs="Times New Roman"/>
                <w:b/>
                <w:bCs/>
                <w:color w:val="000000"/>
                <w:sz w:val="24"/>
                <w:highlight w:val="none"/>
                <w:lang w:eastAsia="zh-CN"/>
              </w:rPr>
              <w:t>（</w:t>
            </w:r>
            <w:r>
              <w:rPr>
                <w:rFonts w:hint="default" w:ascii="Times New Roman" w:hAnsi="Times New Roman" w:cs="Times New Roman"/>
                <w:b/>
                <w:bCs/>
                <w:color w:val="000000"/>
                <w:sz w:val="24"/>
                <w:highlight w:val="none"/>
                <w:lang w:val="en-US" w:eastAsia="zh-CN"/>
              </w:rPr>
              <w:t>m³/h</w:t>
            </w:r>
            <w:r>
              <w:rPr>
                <w:rFonts w:hint="default" w:ascii="Times New Roman" w:hAnsi="Times New Roman" w:cs="Times New Roman"/>
                <w:b/>
                <w:bCs/>
                <w:color w:val="000000"/>
                <w:sz w:val="24"/>
                <w:highlight w:val="none"/>
                <w:lang w:eastAsia="zh-CN"/>
              </w:rPr>
              <w:t>）</w:t>
            </w:r>
          </w:p>
          <w:p w14:paraId="18924C3C">
            <w:pPr>
              <w:keepNext w:val="0"/>
              <w:keepLines/>
              <w:pageBreakBefore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eastAsia="zh-CN"/>
              </w:rPr>
              <w:t>（3）供电</w:t>
            </w:r>
          </w:p>
          <w:p w14:paraId="092D10EA">
            <w:pPr>
              <w:keepNext w:val="0"/>
              <w:keepLines/>
              <w:pageBreakBefore w:val="0"/>
              <w:kinsoku/>
              <w:wordWrap/>
              <w:overflowPunct/>
              <w:topLinePunct w:val="0"/>
              <w:bidi w:val="0"/>
              <w:spacing w:line="360" w:lineRule="auto"/>
              <w:ind w:firstLine="480" w:firstLineChars="200"/>
              <w:jc w:val="left"/>
              <w:textAlignment w:val="auto"/>
              <w:rPr>
                <w:rFonts w:hint="default" w:ascii="Times New Roman" w:hAnsi="Times New Roman" w:cs="Times New Roman"/>
                <w:bCs/>
                <w:color w:val="000000"/>
                <w:szCs w:val="21"/>
                <w:highlight w:val="none"/>
              </w:rPr>
            </w:pPr>
            <w:r>
              <w:rPr>
                <w:rFonts w:hint="default" w:ascii="Times New Roman" w:hAnsi="Times New Roman" w:cs="Times New Roman"/>
                <w:color w:val="000000"/>
                <w:sz w:val="24"/>
                <w:highlight w:val="none"/>
                <w:lang w:eastAsia="zh-CN"/>
              </w:rPr>
              <w:t>本项目用电</w:t>
            </w:r>
            <w:r>
              <w:rPr>
                <w:rFonts w:hint="eastAsia" w:ascii="Times New Roman" w:hAnsi="Times New Roman" w:cs="Times New Roman"/>
                <w:color w:val="000000"/>
                <w:sz w:val="24"/>
                <w:highlight w:val="none"/>
                <w:lang w:val="en-US" w:eastAsia="zh-CN"/>
              </w:rPr>
              <w:t>依托</w:t>
            </w:r>
            <w:r>
              <w:rPr>
                <w:rFonts w:hint="default" w:ascii="Times New Roman" w:hAnsi="Times New Roman" w:cs="Times New Roman"/>
                <w:color w:val="000000"/>
                <w:sz w:val="24"/>
                <w:highlight w:val="none"/>
                <w:lang w:eastAsia="zh-CN"/>
              </w:rPr>
              <w:t>现有厂区</w:t>
            </w:r>
            <w:r>
              <w:rPr>
                <w:rFonts w:hint="eastAsia" w:ascii="Times New Roman" w:hAnsi="Times New Roman" w:cs="Times New Roman"/>
                <w:color w:val="000000"/>
                <w:sz w:val="24"/>
                <w:highlight w:val="none"/>
                <w:lang w:val="en-US" w:eastAsia="zh-CN"/>
              </w:rPr>
              <w:t>供电管网</w:t>
            </w:r>
            <w:r>
              <w:rPr>
                <w:rFonts w:hint="default" w:ascii="Times New Roman" w:hAnsi="Times New Roman" w:cs="Times New Roman"/>
                <w:color w:val="000000"/>
                <w:sz w:val="24"/>
                <w:highlight w:val="none"/>
                <w:lang w:eastAsia="zh-CN"/>
              </w:rPr>
              <w:t>，供电能力满足本项目用电要求。</w:t>
            </w:r>
          </w:p>
        </w:tc>
      </w:tr>
      <w:tr w14:paraId="1BDF9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7" w:type="dxa"/>
            <w:noWrap w:val="0"/>
            <w:vAlign w:val="center"/>
          </w:tcPr>
          <w:p w14:paraId="4D2F7A21">
            <w:pPr>
              <w:keepNext w:val="0"/>
              <w:keepLines/>
              <w:pageBreakBefore w:val="0"/>
              <w:kinsoku/>
              <w:wordWrap/>
              <w:overflowPunct/>
              <w:topLinePunct w:val="0"/>
              <w:bidi w:val="0"/>
              <w:adjustRightInd w:val="0"/>
              <w:snapToGrid w:val="0"/>
              <w:jc w:val="center"/>
              <w:textAlignment w:val="auto"/>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工艺流程和产排污环节</w:t>
            </w:r>
          </w:p>
        </w:tc>
        <w:tc>
          <w:tcPr>
            <w:tcW w:w="8499" w:type="dxa"/>
            <w:noWrap w:val="0"/>
            <w:vAlign w:val="top"/>
          </w:tcPr>
          <w:p w14:paraId="53644811">
            <w:pPr>
              <w:keepNext w:val="0"/>
              <w:keepLines/>
              <w:pageBreakBefore w:val="0"/>
              <w:widowControl/>
              <w:kinsoku/>
              <w:wordWrap/>
              <w:overflowPunct/>
              <w:topLinePunct w:val="0"/>
              <w:bidi w:val="0"/>
              <w:spacing w:line="360" w:lineRule="auto"/>
              <w:textAlignment w:val="auto"/>
              <w:rPr>
                <w:rFonts w:hint="default" w:ascii="Times New Roman" w:hAnsi="Times New Roman" w:cs="Times New Roman"/>
                <w:b/>
                <w:color w:val="000000"/>
                <w:kern w:val="0"/>
                <w:sz w:val="24"/>
                <w:highlight w:val="none"/>
              </w:rPr>
            </w:pPr>
            <w:bookmarkStart w:id="2" w:name="_Toc65446908"/>
            <w:r>
              <w:rPr>
                <w:rFonts w:hint="default" w:ascii="Times New Roman" w:hAnsi="Times New Roman" w:cs="Times New Roman"/>
                <w:b/>
                <w:color w:val="000000"/>
                <w:kern w:val="0"/>
                <w:sz w:val="24"/>
                <w:highlight w:val="none"/>
              </w:rPr>
              <w:t>项目生产工艺及流程</w:t>
            </w:r>
            <w:bookmarkEnd w:id="2"/>
          </w:p>
          <w:p w14:paraId="089EDDE1">
            <w:pPr>
              <w:keepNext w:val="0"/>
              <w:keepLines/>
              <w:pageBreakBefore w:val="0"/>
              <w:widowControl/>
              <w:kinsoku/>
              <w:wordWrap/>
              <w:overflowPunct/>
              <w:topLinePunct w:val="0"/>
              <w:bidi w:val="0"/>
              <w:spacing w:line="360" w:lineRule="auto"/>
              <w:textAlignment w:val="auto"/>
              <w:rPr>
                <w:rFonts w:hint="default" w:ascii="Times New Roman" w:hAnsi="Times New Roman" w:cs="Times New Roman"/>
                <w:b/>
                <w:color w:val="000000"/>
                <w:kern w:val="0"/>
                <w:sz w:val="24"/>
                <w:highlight w:val="none"/>
              </w:rPr>
            </w:pPr>
            <w:r>
              <w:rPr>
                <w:rFonts w:hint="default" w:ascii="Times New Roman" w:hAnsi="Times New Roman" w:cs="Times New Roman"/>
                <w:b/>
                <w:color w:val="000000"/>
                <w:kern w:val="0"/>
                <w:sz w:val="24"/>
                <w:highlight w:val="none"/>
              </w:rPr>
              <w:t>一、施工期工艺流程及产污节点</w:t>
            </w:r>
          </w:p>
          <w:p w14:paraId="19531BE0">
            <w:pPr>
              <w:keepNext w:val="0"/>
              <w:keepLines/>
              <w:pageBreakBefore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cs="Times New Roman"/>
                <w:color w:val="000000"/>
                <w:sz w:val="24"/>
                <w:highlight w:val="none"/>
              </w:rPr>
              <w:t>工程施</w:t>
            </w:r>
            <w:r>
              <w:rPr>
                <w:rFonts w:hint="default" w:ascii="Times New Roman" w:hAnsi="Times New Roman" w:cs="Times New Roman"/>
                <w:color w:val="000000"/>
                <w:sz w:val="24"/>
                <w:highlight w:val="none"/>
                <w:lang w:val="en-US" w:eastAsia="zh-CN"/>
              </w:rPr>
              <w:t>工</w:t>
            </w:r>
            <w:r>
              <w:rPr>
                <w:rFonts w:hint="default" w:ascii="Times New Roman" w:hAnsi="Times New Roman" w:cs="Times New Roman"/>
                <w:color w:val="000000"/>
                <w:sz w:val="24"/>
                <w:highlight w:val="none"/>
              </w:rPr>
              <w:t>期间要进行基础工程、主体工程、设备安装、工程验收等工程的建设，这些工序将产生噪声、扬尘、固体废弃物、少量污水和废气等污染物。施工流程及排污节点见图2。</w:t>
            </w:r>
          </w:p>
          <w:p w14:paraId="7FFB05CB">
            <w:pPr>
              <w:keepNext w:val="0"/>
              <w:keepLines/>
              <w:pageBreakBefore w:val="0"/>
              <w:kinsoku/>
              <w:wordWrap/>
              <w:overflowPunct/>
              <w:topLinePunct w:val="0"/>
              <w:bidi w:val="0"/>
              <w:spacing w:line="360" w:lineRule="auto"/>
              <w:jc w:val="center"/>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object>
                <v:shape id="_x0000_i1025" o:spt="75" type="#_x0000_t75" style="height:125.8pt;width:352.05pt;" o:ole="t" filled="f" o:preferrelative="t" stroked="f" coordsize="21600,21600">
                  <v:path/>
                  <v:fill on="f" focussize="0,0"/>
                  <v:stroke on="f"/>
                  <v:imagedata r:id="rId14" o:title=""/>
                  <o:lock v:ext="edit" aspectratio="t"/>
                  <w10:wrap type="none"/>
                  <w10:anchorlock/>
                </v:shape>
                <o:OLEObject Type="Embed" ProgID="Visio.Drawing.15" ShapeID="_x0000_i1025" DrawAspect="Content" ObjectID="_1468075725" r:id="rId13">
                  <o:LockedField>false</o:LockedField>
                </o:OLEObject>
              </w:object>
            </w:r>
          </w:p>
          <w:p w14:paraId="58232034">
            <w:pPr>
              <w:keepNext w:val="0"/>
              <w:keepLines/>
              <w:pageBreakBefore w:val="0"/>
              <w:kinsoku/>
              <w:wordWrap/>
              <w:overflowPunct/>
              <w:topLinePunct w:val="0"/>
              <w:autoSpaceDE w:val="0"/>
              <w:autoSpaceDN w:val="0"/>
              <w:bidi w:val="0"/>
              <w:spacing w:line="360" w:lineRule="auto"/>
              <w:jc w:val="center"/>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图</w:t>
            </w:r>
            <w:r>
              <w:rPr>
                <w:rFonts w:hint="default" w:ascii="Times New Roman" w:hAnsi="Times New Roman" w:cs="Times New Roman"/>
                <w:b/>
                <w:color w:val="000000"/>
                <w:sz w:val="24"/>
                <w:highlight w:val="none"/>
                <w:lang w:val="en-US" w:eastAsia="zh-CN"/>
              </w:rPr>
              <w:t>2-2</w:t>
            </w:r>
            <w:r>
              <w:rPr>
                <w:rFonts w:hint="default" w:ascii="Times New Roman" w:hAnsi="Times New Roman" w:cs="Times New Roman"/>
                <w:b/>
                <w:color w:val="000000"/>
                <w:sz w:val="24"/>
                <w:highlight w:val="none"/>
              </w:rPr>
              <w:t xml:space="preserve"> 施工期工艺流程及产污节点图</w:t>
            </w:r>
          </w:p>
          <w:p w14:paraId="6224CFB0">
            <w:pPr>
              <w:keepNext w:val="0"/>
              <w:keepLines/>
              <w:pageBreakBefore w:val="0"/>
              <w:kinsoku/>
              <w:wordWrap/>
              <w:overflowPunct/>
              <w:topLinePunct w:val="0"/>
              <w:bidi w:val="0"/>
              <w:snapToGrid w:val="0"/>
              <w:spacing w:line="360" w:lineRule="auto"/>
              <w:textAlignment w:val="auto"/>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二、运营期工艺流程</w:t>
            </w:r>
            <w:r>
              <w:rPr>
                <w:rFonts w:hint="default" w:ascii="Times New Roman" w:hAnsi="Times New Roman" w:cs="Times New Roman"/>
                <w:b/>
                <w:color w:val="000000"/>
                <w:sz w:val="24"/>
                <w:highlight w:val="none"/>
              </w:rPr>
              <w:t>及产物环节</w:t>
            </w:r>
          </w:p>
          <w:p w14:paraId="5B0964BC">
            <w:pPr>
              <w:keepNext w:val="0"/>
              <w:keepLines/>
              <w:pageBreakBefore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000000"/>
                <w:sz w:val="24"/>
                <w:highlight w:val="none"/>
                <w:lang w:eastAsia="zh-CN"/>
              </w:rPr>
            </w:pPr>
            <w:r>
              <w:rPr>
                <w:rFonts w:hint="default" w:ascii="Times New Roman" w:hAnsi="Times New Roman" w:cs="Times New Roman"/>
                <w:color w:val="000000"/>
                <w:sz w:val="24"/>
                <w:highlight w:val="none"/>
                <w:lang w:val="en-US" w:eastAsia="zh-CN"/>
              </w:rPr>
              <w:t>1、</w:t>
            </w:r>
            <w:r>
              <w:rPr>
                <w:rFonts w:hint="default" w:ascii="Times New Roman" w:hAnsi="Times New Roman" w:cs="Times New Roman"/>
                <w:color w:val="000000"/>
                <w:sz w:val="24"/>
                <w:highlight w:val="none"/>
              </w:rPr>
              <w:t>项目</w:t>
            </w:r>
            <w:r>
              <w:rPr>
                <w:rFonts w:hint="default" w:ascii="Times New Roman" w:hAnsi="Times New Roman" w:cs="Times New Roman"/>
                <w:color w:val="000000"/>
                <w:sz w:val="24"/>
                <w:highlight w:val="none"/>
                <w:lang w:val="en-US" w:eastAsia="zh-CN"/>
              </w:rPr>
              <w:t>生化处理系统</w:t>
            </w:r>
            <w:r>
              <w:rPr>
                <w:rFonts w:hint="eastAsia" w:ascii="Times New Roman" w:hAnsi="Times New Roman" w:cs="Times New Roman"/>
                <w:color w:val="000000"/>
                <w:sz w:val="24"/>
                <w:highlight w:val="none"/>
                <w:lang w:val="en-US" w:eastAsia="zh-CN"/>
              </w:rPr>
              <w:t>改造后</w:t>
            </w:r>
            <w:r>
              <w:rPr>
                <w:rFonts w:hint="default" w:ascii="Times New Roman" w:hAnsi="Times New Roman" w:cs="Times New Roman"/>
                <w:color w:val="000000"/>
                <w:sz w:val="24"/>
                <w:highlight w:val="none"/>
              </w:rPr>
              <w:t>具体工艺</w:t>
            </w:r>
            <w:r>
              <w:rPr>
                <w:rFonts w:hint="default" w:ascii="Times New Roman" w:hAnsi="Times New Roman" w:cs="Times New Roman"/>
                <w:color w:val="000000"/>
                <w:sz w:val="24"/>
                <w:highlight w:val="none"/>
                <w:lang w:eastAsia="zh-CN"/>
              </w:rPr>
              <w:t>流程图示</w:t>
            </w:r>
            <w:r>
              <w:rPr>
                <w:rFonts w:hint="default" w:ascii="Times New Roman" w:hAnsi="Times New Roman" w:cs="Times New Roman"/>
                <w:color w:val="000000"/>
                <w:sz w:val="24"/>
                <w:highlight w:val="none"/>
              </w:rPr>
              <w:t>如下：</w:t>
            </w:r>
          </w:p>
        </w:tc>
      </w:tr>
    </w:tbl>
    <w:p w14:paraId="1924DA38">
      <w:pPr>
        <w:rPr>
          <w:color w:val="000000"/>
          <w:highlight w:val="none"/>
        </w:rPr>
        <w:sectPr>
          <w:pgSz w:w="11906" w:h="16838"/>
          <w:pgMar w:top="1134" w:right="1134" w:bottom="1134" w:left="1531" w:header="851" w:footer="851" w:gutter="0"/>
          <w:pgBorders>
            <w:top w:val="none" w:sz="0" w:space="0"/>
            <w:left w:val="none" w:sz="0" w:space="0"/>
            <w:bottom w:val="none" w:sz="0" w:space="0"/>
            <w:right w:val="none" w:sz="0" w:space="0"/>
          </w:pgBorders>
          <w:cols w:space="720" w:num="1"/>
          <w:docGrid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8650"/>
      </w:tblGrid>
      <w:tr w14:paraId="0195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5" w:hRule="atLeast"/>
        </w:trPr>
        <w:tc>
          <w:tcPr>
            <w:tcW w:w="807" w:type="dxa"/>
            <w:noWrap w:val="0"/>
            <w:vAlign w:val="top"/>
          </w:tcPr>
          <w:p w14:paraId="3A556863">
            <w:pPr>
              <w:pStyle w:val="2"/>
              <w:rPr>
                <w:color w:val="000000"/>
                <w:highlight w:val="none"/>
                <w:vertAlign w:val="baseline"/>
              </w:rPr>
            </w:pPr>
          </w:p>
        </w:tc>
        <w:tc>
          <w:tcPr>
            <w:tcW w:w="8650" w:type="dxa"/>
            <w:noWrap w:val="0"/>
            <w:vAlign w:val="top"/>
          </w:tcPr>
          <w:p w14:paraId="0BF8B989">
            <w:pPr>
              <w:pStyle w:val="2"/>
              <w:rPr>
                <w:color w:val="000000"/>
                <w:highlight w:val="none"/>
                <w:vertAlign w:val="baseline"/>
              </w:rPr>
            </w:pPr>
            <w:r>
              <w:rPr>
                <w:rFonts w:hint="default" w:ascii="Times New Roman" w:hAnsi="Times New Roman" w:cs="Times New Roman"/>
                <w:b/>
                <w:bCs/>
                <w:color w:val="000000"/>
                <w:sz w:val="24"/>
                <w:highlight w:val="none"/>
                <w:lang w:eastAsia="zh-CN"/>
              </w:rPr>
              <w:t>图</w:t>
            </w:r>
            <w:r>
              <w:rPr>
                <w:rFonts w:hint="default" w:ascii="Times New Roman" w:hAnsi="Times New Roman" w:cs="Times New Roman"/>
                <w:b/>
                <w:bCs/>
                <w:color w:val="000000"/>
                <w:sz w:val="24"/>
                <w:highlight w:val="none"/>
                <w:lang w:val="en-US" w:eastAsia="zh-CN"/>
              </w:rPr>
              <w:t>2-3 生化处理系统工艺流程</w:t>
            </w:r>
            <w:r>
              <w:rPr>
                <w:b/>
                <w:bCs/>
                <w:color w:val="000000"/>
                <w:sz w:val="24"/>
                <w:highlight w:val="none"/>
              </w:rPr>
              <w:t>图</w:t>
            </w:r>
            <w:r>
              <w:rPr>
                <w:rFonts w:hint="eastAsia" w:ascii="Times New Roman" w:hAnsi="Times New Roman" w:cs="Times New Roman"/>
                <w:b/>
                <w:bCs/>
                <w:color w:val="000000"/>
                <w:sz w:val="24"/>
                <w:highlight w:val="none"/>
                <w:lang w:val="en-US" w:eastAsia="zh-CN"/>
              </w:rPr>
              <w:t>（红色虚线框内为本次改造部分）</w:t>
            </w:r>
            <w:r>
              <w:rPr>
                <w:color w:val="000000"/>
                <w:highlight w:val="none"/>
              </w:rPr>
              <w:drawing>
                <wp:anchor distT="0" distB="0" distL="114300" distR="114300" simplePos="0" relativeHeight="251675648" behindDoc="0" locked="0" layoutInCell="1" allowOverlap="1">
                  <wp:simplePos x="0" y="0"/>
                  <wp:positionH relativeFrom="column">
                    <wp:posOffset>38100</wp:posOffset>
                  </wp:positionH>
                  <wp:positionV relativeFrom="paragraph">
                    <wp:posOffset>-6350</wp:posOffset>
                  </wp:positionV>
                  <wp:extent cx="5223510" cy="8855075"/>
                  <wp:effectExtent l="0" t="0" r="15240" b="3175"/>
                  <wp:wrapTopAndBottom/>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15"/>
                          <a:stretch>
                            <a:fillRect/>
                          </a:stretch>
                        </pic:blipFill>
                        <pic:spPr>
                          <a:xfrm>
                            <a:off x="0" y="0"/>
                            <a:ext cx="5223510" cy="8855075"/>
                          </a:xfrm>
                          <a:prstGeom prst="rect">
                            <a:avLst/>
                          </a:prstGeom>
                          <a:noFill/>
                          <a:ln>
                            <a:noFill/>
                          </a:ln>
                        </pic:spPr>
                      </pic:pic>
                    </a:graphicData>
                  </a:graphic>
                </wp:anchor>
              </w:drawing>
            </w:r>
          </w:p>
        </w:tc>
      </w:tr>
    </w:tbl>
    <w:p w14:paraId="30AD7D6C">
      <w:pPr>
        <w:pStyle w:val="2"/>
        <w:ind w:left="0" w:leftChars="0" w:firstLine="0" w:firstLineChars="0"/>
        <w:rPr>
          <w:color w:val="000000"/>
          <w:highlight w:val="none"/>
        </w:rPr>
        <w:sectPr>
          <w:pgSz w:w="11906" w:h="16838"/>
          <w:pgMar w:top="1134" w:right="1134" w:bottom="1134" w:left="1531" w:header="851" w:footer="851" w:gutter="0"/>
          <w:pgBorders>
            <w:top w:val="none" w:sz="0" w:space="0"/>
            <w:left w:val="none" w:sz="0" w:space="0"/>
            <w:bottom w:val="none" w:sz="0" w:space="0"/>
            <w:right w:val="none" w:sz="0" w:space="0"/>
          </w:pgBorders>
          <w:cols w:space="720" w:num="1"/>
          <w:docGrid w:linePitch="312" w:charSpace="0"/>
        </w:sectPr>
      </w:pPr>
    </w:p>
    <w:tbl>
      <w:tblPr>
        <w:tblStyle w:val="13"/>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499"/>
      </w:tblGrid>
      <w:tr w14:paraId="7AB68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7" w:type="dxa"/>
            <w:noWrap w:val="0"/>
            <w:vAlign w:val="center"/>
          </w:tcPr>
          <w:p w14:paraId="5BCEEB17">
            <w:pPr>
              <w:keepNext w:val="0"/>
              <w:keepLines/>
              <w:pageBreakBefore w:val="0"/>
              <w:kinsoku/>
              <w:wordWrap/>
              <w:overflowPunct/>
              <w:topLinePunct w:val="0"/>
              <w:bidi w:val="0"/>
              <w:adjustRightInd w:val="0"/>
              <w:snapToGrid w:val="0"/>
              <w:jc w:val="center"/>
              <w:textAlignment w:val="auto"/>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工艺流程和产排污环节</w:t>
            </w:r>
          </w:p>
        </w:tc>
        <w:tc>
          <w:tcPr>
            <w:tcW w:w="8499" w:type="dxa"/>
            <w:noWrap w:val="0"/>
            <w:vAlign w:val="top"/>
          </w:tcPr>
          <w:p w14:paraId="013C9D49">
            <w:pPr>
              <w:keepNext w:val="0"/>
              <w:keepLines/>
              <w:pageBreakBefore w:val="0"/>
              <w:widowControl w:val="0"/>
              <w:kinsoku/>
              <w:wordWrap/>
              <w:overflowPunct/>
              <w:topLinePunct w:val="0"/>
              <w:autoSpaceDE/>
              <w:autoSpaceDN/>
              <w:bidi w:val="0"/>
              <w:adjustRightInd/>
              <w:snapToGrid/>
              <w:spacing w:line="520" w:lineRule="exact"/>
              <w:ind w:firstLine="0" w:firstLineChars="0"/>
              <w:jc w:val="both"/>
              <w:textAlignment w:val="auto"/>
              <w:rPr>
                <w:rFonts w:hint="default" w:ascii="Times New Roman" w:hAnsi="Times New Roman" w:eastAsia="宋体" w:cs="Times New Roman"/>
                <w:b/>
                <w:color w:val="000000"/>
                <w:sz w:val="24"/>
                <w:highlight w:val="none"/>
                <w:lang w:val="en-US" w:eastAsia="zh-CN"/>
              </w:rPr>
            </w:pPr>
            <w:r>
              <w:rPr>
                <w:color w:val="000000"/>
                <w:sz w:val="24"/>
                <w:highlight w:val="none"/>
              </w:rPr>
              <mc:AlternateContent>
                <mc:Choice Requires="wps">
                  <w:drawing>
                    <wp:anchor distT="0" distB="0" distL="114300" distR="114300" simplePos="0" relativeHeight="251672576" behindDoc="0" locked="0" layoutInCell="1" allowOverlap="1">
                      <wp:simplePos x="0" y="0"/>
                      <wp:positionH relativeFrom="column">
                        <wp:posOffset>1843405</wp:posOffset>
                      </wp:positionH>
                      <wp:positionV relativeFrom="paragraph">
                        <wp:posOffset>-3166745</wp:posOffset>
                      </wp:positionV>
                      <wp:extent cx="2333625" cy="511810"/>
                      <wp:effectExtent l="0" t="0" r="0" b="0"/>
                      <wp:wrapNone/>
                      <wp:docPr id="45" name="矩形 45"/>
                      <wp:cNvGraphicFramePr/>
                      <a:graphic xmlns:a="http://schemas.openxmlformats.org/drawingml/2006/main">
                        <a:graphicData uri="http://schemas.microsoft.com/office/word/2010/wordprocessingShape">
                          <wps:wsp>
                            <wps:cNvSpPr/>
                            <wps:spPr>
                              <a:xfrm>
                                <a:off x="0" y="0"/>
                                <a:ext cx="2333625" cy="511810"/>
                              </a:xfrm>
                              <a:prstGeom prst="rect">
                                <a:avLst/>
                              </a:prstGeom>
                              <a:noFill/>
                              <a:ln>
                                <a:noFill/>
                              </a:ln>
                            </wps:spPr>
                            <wps:bodyPr upright="1"/>
                          </wps:wsp>
                        </a:graphicData>
                      </a:graphic>
                    </wp:anchor>
                  </w:drawing>
                </mc:Choice>
                <mc:Fallback>
                  <w:pict>
                    <v:rect id="_x0000_s1026" o:spid="_x0000_s1026" o:spt="1" style="position:absolute;left:0pt;margin-left:145.15pt;margin-top:-249.35pt;height:40.3pt;width:183.75pt;z-index:251672576;mso-width-relative:page;mso-height-relative:page;" filled="f" stroked="f" coordsize="21600,21600" o:gfxdata="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DO8a13QAAAA0BAAAPAAAA&#10;AAAAAAEAIAAAACIAAABkcnMvZG93bnJldi54bWxQSwECFAAUAAAACACHTuJAI7iU7Z4BAAA4AwAA&#10;DgAAAAAAAAABACAAAAAsAQAAZHJzL2Uyb0RvYy54bWxQSwUGAAAAAAYABgBZAQAAPAUAAAAA&#10;">
                      <v:fill on="f" focussize="0,0"/>
                      <v:stroke on="f"/>
                      <v:imagedata o:title=""/>
                      <o:lock v:ext="edit" aspectratio="f"/>
                    </v:rect>
                  </w:pict>
                </mc:Fallback>
              </mc:AlternateContent>
            </w:r>
            <w:r>
              <w:rPr>
                <w:rFonts w:hint="default" w:ascii="Times New Roman" w:hAnsi="Times New Roman" w:cs="Times New Roman"/>
                <w:b/>
                <w:color w:val="000000"/>
                <w:sz w:val="24"/>
                <w:highlight w:val="none"/>
                <w:lang w:val="en-US" w:eastAsia="zh-CN"/>
              </w:rPr>
              <w:t>工艺流程简述</w:t>
            </w:r>
            <w:r>
              <w:rPr>
                <w:rFonts w:hint="eastAsia" w:ascii="Times New Roman" w:hAnsi="Times New Roman" w:cs="Times New Roman"/>
                <w:b/>
                <w:color w:val="000000"/>
                <w:sz w:val="24"/>
                <w:highlight w:val="none"/>
                <w:lang w:val="en-US" w:eastAsia="zh-CN"/>
              </w:rPr>
              <w:t>：</w:t>
            </w:r>
          </w:p>
          <w:p w14:paraId="2D0848C4">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eastAsia" w:ascii="Times New Roman" w:hAnsi="Times New Roman" w:cs="Times New Roman"/>
                <w:b w:val="0"/>
                <w:bCs/>
                <w:color w:val="000000"/>
                <w:sz w:val="24"/>
                <w:highlight w:val="none"/>
                <w:lang w:eastAsia="zh-CN"/>
              </w:rPr>
              <w:t>（</w:t>
            </w:r>
            <w:r>
              <w:rPr>
                <w:rFonts w:hint="eastAsia" w:ascii="Times New Roman" w:hAnsi="Times New Roman" w:cs="Times New Roman"/>
                <w:b w:val="0"/>
                <w:bCs/>
                <w:color w:val="000000"/>
                <w:sz w:val="24"/>
                <w:highlight w:val="none"/>
                <w:lang w:val="en-US" w:eastAsia="zh-CN"/>
              </w:rPr>
              <w:t>1</w:t>
            </w:r>
            <w:r>
              <w:rPr>
                <w:rFonts w:hint="eastAsia" w:ascii="Times New Roman" w:hAnsi="Times New Roman" w:cs="Times New Roman"/>
                <w:b w:val="0"/>
                <w:bCs/>
                <w:color w:val="000000"/>
                <w:sz w:val="24"/>
                <w:highlight w:val="none"/>
                <w:lang w:eastAsia="zh-CN"/>
              </w:rPr>
              <w:t>）</w:t>
            </w:r>
            <w:r>
              <w:rPr>
                <w:rFonts w:hint="default" w:ascii="Times New Roman" w:hAnsi="Times New Roman" w:cs="Times New Roman"/>
                <w:b w:val="0"/>
                <w:bCs/>
                <w:color w:val="000000"/>
                <w:sz w:val="24"/>
                <w:highlight w:val="none"/>
              </w:rPr>
              <w:t>微絮凝破氰反应/隔油池+</w:t>
            </w:r>
            <w:r>
              <w:rPr>
                <w:rFonts w:hint="eastAsia" w:ascii="Times New Roman" w:hAnsi="Times New Roman" w:cs="Times New Roman"/>
                <w:b w:val="0"/>
                <w:bCs/>
                <w:color w:val="000000"/>
                <w:sz w:val="24"/>
                <w:highlight w:val="none"/>
                <w:lang w:val="en-US" w:eastAsia="zh-CN"/>
              </w:rPr>
              <w:t>电解浮选</w:t>
            </w:r>
            <w:r>
              <w:rPr>
                <w:rFonts w:hint="default" w:ascii="Times New Roman" w:hAnsi="Times New Roman" w:cs="Times New Roman"/>
                <w:b w:val="0"/>
                <w:bCs/>
                <w:color w:val="000000"/>
                <w:sz w:val="24"/>
                <w:highlight w:val="none"/>
              </w:rPr>
              <w:t>机：</w:t>
            </w:r>
          </w:p>
          <w:p w14:paraId="20653BD3">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default" w:ascii="Times New Roman" w:hAnsi="Times New Roman" w:cs="Times New Roman"/>
                <w:b w:val="0"/>
                <w:bCs/>
                <w:color w:val="000000"/>
                <w:sz w:val="24"/>
                <w:highlight w:val="none"/>
              </w:rPr>
              <w:t>氨蒸废水进入微絮凝破氰反应/隔油池，加入PAC、PAM及</w:t>
            </w:r>
            <w:r>
              <w:rPr>
                <w:bCs/>
                <w:color w:val="000000"/>
                <w:sz w:val="24"/>
                <w:highlight w:val="none"/>
              </w:rPr>
              <w:t>次</w:t>
            </w:r>
            <w:r>
              <w:rPr>
                <w:rFonts w:hint="eastAsia"/>
                <w:bCs/>
                <w:color w:val="000000"/>
                <w:sz w:val="24"/>
                <w:highlight w:val="none"/>
                <w:lang w:val="en-US" w:eastAsia="zh-CN"/>
              </w:rPr>
              <w:t>氯酸</w:t>
            </w:r>
            <w:r>
              <w:rPr>
                <w:bCs/>
                <w:color w:val="000000"/>
                <w:sz w:val="24"/>
                <w:highlight w:val="none"/>
              </w:rPr>
              <w:t>钠，</w:t>
            </w:r>
            <w:r>
              <w:rPr>
                <w:rFonts w:hint="default" w:ascii="Times New Roman" w:hAnsi="Times New Roman" w:cs="Times New Roman"/>
                <w:b w:val="0"/>
                <w:bCs/>
                <w:color w:val="000000"/>
                <w:sz w:val="24"/>
                <w:highlight w:val="none"/>
              </w:rPr>
              <w:t>调节废水中pH浓度，并通过电解浮选机作用，使废水和药物充分混合，为后续</w:t>
            </w:r>
            <w:r>
              <w:rPr>
                <w:rFonts w:hint="eastAsia" w:ascii="Times New Roman" w:hAnsi="Times New Roman" w:cs="Times New Roman"/>
                <w:b w:val="0"/>
                <w:bCs/>
                <w:color w:val="000000"/>
                <w:sz w:val="24"/>
                <w:highlight w:val="none"/>
                <w:lang w:val="en-US" w:eastAsia="zh-CN"/>
              </w:rPr>
              <w:t>的生化系统、膜装置的稳定运行提供保障</w:t>
            </w:r>
            <w:r>
              <w:rPr>
                <w:rFonts w:hint="default" w:ascii="Times New Roman" w:hAnsi="Times New Roman" w:cs="Times New Roman"/>
                <w:b w:val="0"/>
                <w:bCs/>
                <w:color w:val="000000"/>
                <w:sz w:val="24"/>
                <w:highlight w:val="none"/>
              </w:rPr>
              <w:t>。</w:t>
            </w:r>
          </w:p>
          <w:p w14:paraId="659B6519">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eastAsia" w:ascii="Times New Roman" w:hAnsi="Times New Roman" w:cs="Times New Roman"/>
                <w:b w:val="0"/>
                <w:bCs/>
                <w:color w:val="000000"/>
                <w:sz w:val="24"/>
                <w:highlight w:val="none"/>
                <w:lang w:eastAsia="zh-CN"/>
              </w:rPr>
              <w:t>（</w:t>
            </w:r>
            <w:r>
              <w:rPr>
                <w:rFonts w:hint="eastAsia" w:ascii="Times New Roman" w:hAnsi="Times New Roman" w:cs="Times New Roman"/>
                <w:b w:val="0"/>
                <w:bCs/>
                <w:color w:val="000000"/>
                <w:sz w:val="24"/>
                <w:highlight w:val="none"/>
                <w:lang w:val="en-US" w:eastAsia="zh-CN"/>
              </w:rPr>
              <w:t>2</w:t>
            </w:r>
            <w:r>
              <w:rPr>
                <w:rFonts w:hint="eastAsia" w:ascii="Times New Roman" w:hAnsi="Times New Roman" w:cs="Times New Roman"/>
                <w:b w:val="0"/>
                <w:bCs/>
                <w:color w:val="000000"/>
                <w:sz w:val="24"/>
                <w:highlight w:val="none"/>
                <w:lang w:eastAsia="zh-CN"/>
              </w:rPr>
              <w:t>）</w:t>
            </w:r>
            <w:r>
              <w:rPr>
                <w:rFonts w:hint="default" w:ascii="Times New Roman" w:hAnsi="Times New Roman" w:cs="Times New Roman"/>
                <w:b w:val="0"/>
                <w:bCs/>
                <w:color w:val="000000"/>
                <w:sz w:val="24"/>
                <w:highlight w:val="none"/>
              </w:rPr>
              <w:t>生化调节池:</w:t>
            </w:r>
          </w:p>
          <w:p w14:paraId="7487E350">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default" w:ascii="Times New Roman" w:hAnsi="Times New Roman" w:cs="Times New Roman"/>
                <w:b w:val="0"/>
                <w:bCs/>
                <w:color w:val="000000"/>
                <w:sz w:val="24"/>
                <w:highlight w:val="none"/>
              </w:rPr>
              <w:t>为适应污水水质及水量的变化在系统中设1座调节池，调节池在系统中进行水质、水量调节、保证进入生化系统水质、水量均匀稳定，提高污水处理系统的抗冲击性能，并减少处理单元的设计规模。</w:t>
            </w:r>
          </w:p>
          <w:p w14:paraId="4C5462A1">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default" w:ascii="Times New Roman" w:hAnsi="Times New Roman" w:cs="Times New Roman"/>
                <w:b w:val="0"/>
                <w:bCs/>
                <w:color w:val="000000"/>
                <w:sz w:val="24"/>
                <w:highlight w:val="none"/>
              </w:rPr>
              <w:t>项目生产废水经“微絮凝破氰反应/隔油池+电解浮选机”后进入调节池，生活废水经管网直接进入调节池。调节池采用钢筋混凝土结构。调节池中设置三台二级提升泵、二备一用，污水由泵以30</w:t>
            </w:r>
            <w:r>
              <w:rPr>
                <w:rFonts w:hint="eastAsia" w:ascii="Times New Roman" w:hAnsi="Times New Roman" w:cs="Times New Roman"/>
                <w:b w:val="0"/>
                <w:bCs/>
                <w:color w:val="000000"/>
                <w:sz w:val="24"/>
                <w:highlight w:val="none"/>
                <w:lang w:val="en-US" w:eastAsia="zh-CN"/>
              </w:rPr>
              <w:t>m³</w:t>
            </w:r>
            <w:r>
              <w:rPr>
                <w:rFonts w:hint="default" w:ascii="Times New Roman" w:hAnsi="Times New Roman" w:cs="Times New Roman"/>
                <w:b w:val="0"/>
                <w:bCs/>
                <w:color w:val="000000"/>
                <w:sz w:val="24"/>
                <w:highlight w:val="none"/>
              </w:rPr>
              <w:t>/</w:t>
            </w:r>
            <w:r>
              <w:rPr>
                <w:rFonts w:hint="eastAsia" w:ascii="Times New Roman" w:hAnsi="Times New Roman" w:cs="Times New Roman"/>
                <w:b w:val="0"/>
                <w:bCs/>
                <w:color w:val="000000"/>
                <w:sz w:val="24"/>
                <w:highlight w:val="none"/>
                <w:lang w:val="en-US" w:eastAsia="zh-CN"/>
              </w:rPr>
              <w:t>h</w:t>
            </w:r>
            <w:r>
              <w:rPr>
                <w:bCs/>
                <w:color w:val="000000"/>
                <w:sz w:val="24"/>
                <w:highlight w:val="none"/>
              </w:rPr>
              <w:t>定</w:t>
            </w:r>
            <w:r>
              <w:rPr>
                <w:rFonts w:hint="default" w:ascii="Times New Roman" w:hAnsi="Times New Roman" w:cs="Times New Roman"/>
                <w:b w:val="0"/>
                <w:bCs/>
                <w:color w:val="000000"/>
                <w:sz w:val="24"/>
                <w:highlight w:val="none"/>
              </w:rPr>
              <w:t>量抽入后级污水处理装置。集水池用于污水收集及暂存，在工艺中起缓冲水量的功能。</w:t>
            </w:r>
          </w:p>
          <w:p w14:paraId="70802D2A">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eastAsia" w:ascii="Times New Roman" w:hAnsi="Times New Roman" w:cs="Times New Roman"/>
                <w:b w:val="0"/>
                <w:bCs/>
                <w:color w:val="000000"/>
                <w:sz w:val="24"/>
                <w:highlight w:val="none"/>
                <w:lang w:eastAsia="zh-CN"/>
              </w:rPr>
              <w:t>（</w:t>
            </w:r>
            <w:r>
              <w:rPr>
                <w:rFonts w:hint="eastAsia" w:ascii="Times New Roman" w:hAnsi="Times New Roman" w:cs="Times New Roman"/>
                <w:b w:val="0"/>
                <w:bCs/>
                <w:color w:val="000000"/>
                <w:sz w:val="24"/>
                <w:highlight w:val="none"/>
                <w:lang w:val="en-US" w:eastAsia="zh-CN"/>
              </w:rPr>
              <w:t>3</w:t>
            </w:r>
            <w:r>
              <w:rPr>
                <w:rFonts w:hint="eastAsia" w:ascii="Times New Roman" w:hAnsi="Times New Roman" w:cs="Times New Roman"/>
                <w:b w:val="0"/>
                <w:bCs/>
                <w:color w:val="000000"/>
                <w:sz w:val="24"/>
                <w:highlight w:val="none"/>
                <w:lang w:eastAsia="zh-CN"/>
              </w:rPr>
              <w:t>）</w:t>
            </w:r>
            <w:r>
              <w:rPr>
                <w:rFonts w:hint="default" w:ascii="Times New Roman" w:hAnsi="Times New Roman" w:cs="Times New Roman"/>
                <w:b w:val="0"/>
                <w:bCs/>
                <w:color w:val="000000"/>
                <w:sz w:val="24"/>
                <w:highlight w:val="none"/>
              </w:rPr>
              <w:t>HUB厌氧水解+缺氧生化池+好氧曝气池+沉淀池:</w:t>
            </w:r>
          </w:p>
          <w:p w14:paraId="5FCCE14C">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default" w:ascii="Times New Roman" w:hAnsi="Times New Roman" w:cs="Times New Roman"/>
                <w:b w:val="0"/>
                <w:bCs/>
                <w:color w:val="000000"/>
                <w:sz w:val="24"/>
                <w:highlight w:val="none"/>
              </w:rPr>
              <w:t>在厌氧池内，增加潜水搅拌机实现泥水充分的接触，通过厌氧菌、兼氧菌的作用，降解污水中的有机污染物，并将难降解有机污染物分解为小分子的易降解污染物，提高废水的B/C；HUB厌氧水解池出水进入A/O生化池，通过硝化反硝化反应作用，实现废水COD和氨氮的进一步降解；生化出水经沉淀后，泵入混沉净化装置系统，然后自流入现有生化沉淀池进一步实现泥水分离。</w:t>
            </w:r>
          </w:p>
          <w:p w14:paraId="375CDC4B">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eastAsia" w:ascii="Times New Roman" w:hAnsi="Times New Roman" w:cs="Times New Roman"/>
                <w:b w:val="0"/>
                <w:bCs/>
                <w:color w:val="000000"/>
                <w:sz w:val="24"/>
                <w:highlight w:val="none"/>
                <w:lang w:eastAsia="zh-CN"/>
              </w:rPr>
              <w:t>（</w:t>
            </w:r>
            <w:r>
              <w:rPr>
                <w:rFonts w:hint="eastAsia" w:ascii="Times New Roman" w:hAnsi="Times New Roman" w:cs="Times New Roman"/>
                <w:b w:val="0"/>
                <w:bCs/>
                <w:color w:val="000000"/>
                <w:sz w:val="24"/>
                <w:highlight w:val="none"/>
                <w:lang w:val="en-US" w:eastAsia="zh-CN"/>
              </w:rPr>
              <w:t>4</w:t>
            </w:r>
            <w:r>
              <w:rPr>
                <w:rFonts w:hint="eastAsia" w:ascii="Times New Roman" w:hAnsi="Times New Roman" w:cs="Times New Roman"/>
                <w:b w:val="0"/>
                <w:bCs/>
                <w:color w:val="000000"/>
                <w:sz w:val="24"/>
                <w:highlight w:val="none"/>
                <w:lang w:eastAsia="zh-CN"/>
              </w:rPr>
              <w:t>）高密度絮凝沉淀池+纤维球过滤器+臭氧催化氧化+MAK生物滤塔</w:t>
            </w:r>
            <w:r>
              <w:rPr>
                <w:rFonts w:hint="default" w:ascii="Times New Roman" w:hAnsi="Times New Roman" w:cs="Times New Roman"/>
                <w:b w:val="0"/>
                <w:bCs/>
                <w:color w:val="000000"/>
                <w:sz w:val="24"/>
                <w:highlight w:val="none"/>
              </w:rPr>
              <w:t>+排放调节池：</w:t>
            </w:r>
          </w:p>
          <w:p w14:paraId="66CC5A77">
            <w:pPr>
              <w:keepNext w:val="0"/>
              <w:keepLines/>
              <w:pageBreakBefore w:val="0"/>
              <w:numPr>
                <w:ilvl w:val="0"/>
                <w:numId w:val="0"/>
              </w:numPr>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color w:val="000000"/>
                <w:sz w:val="24"/>
                <w:highlight w:val="none"/>
                <w:lang w:eastAsia="zh-CN"/>
              </w:rPr>
            </w:pPr>
            <w:r>
              <w:rPr>
                <w:rFonts w:hint="default" w:ascii="Times New Roman" w:hAnsi="Times New Roman" w:cs="Times New Roman"/>
                <w:b w:val="0"/>
                <w:bCs/>
                <w:color w:val="000000"/>
                <w:sz w:val="24"/>
                <w:highlight w:val="none"/>
              </w:rPr>
              <w:t>深度处理单元主要包括高密度絮沉反应器、全自动过滤器+纳米臭氧催化氧化、接触氧化池、MAK生物塔、纤维束过滤器等。生化出水依次经过各深度处理单元，进一步降低污染物浓度，以达到净化水质的效果。其中高密度絮沉反应器处理过程中加入絮凝剂及PAM进一步增强污染物絮凝作用，高密度絮沉反应器和纳米臭氧催化氧化产生的上清液及反冲洗水回流至高密度絮沉反应器。高密度絮沉反应器产出污泥进入污泥浓缩机池。原有砂滤去除SS效果差，将原有砂滤改为纤维球过滤器，SS去除率可提高到80%。纤维素过滤器比传统的沙滤罐的cod去除效率可提高40%左右</w:t>
            </w:r>
            <w:r>
              <w:rPr>
                <w:rFonts w:hint="eastAsia" w:ascii="Times New Roman" w:hAnsi="Times New Roman" w:cs="Times New Roman"/>
                <w:b w:val="0"/>
                <w:bCs/>
                <w:color w:val="000000"/>
                <w:sz w:val="24"/>
                <w:highlight w:val="none"/>
                <w:lang w:eastAsia="zh-CN"/>
              </w:rPr>
              <w:t>。</w:t>
            </w:r>
          </w:p>
          <w:p w14:paraId="3D058605">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eastAsia" w:ascii="Times New Roman" w:hAnsi="Times New Roman" w:cs="Times New Roman"/>
                <w:b w:val="0"/>
                <w:bCs/>
                <w:color w:val="000000"/>
                <w:sz w:val="24"/>
                <w:highlight w:val="none"/>
                <w:lang w:eastAsia="zh-CN"/>
              </w:rPr>
              <w:t>（</w:t>
            </w:r>
            <w:r>
              <w:rPr>
                <w:rFonts w:hint="eastAsia" w:ascii="Times New Roman" w:hAnsi="Times New Roman" w:cs="Times New Roman"/>
                <w:b w:val="0"/>
                <w:bCs/>
                <w:color w:val="000000"/>
                <w:sz w:val="24"/>
                <w:highlight w:val="none"/>
                <w:lang w:val="en-US" w:eastAsia="zh-CN"/>
              </w:rPr>
              <w:t>5</w:t>
            </w:r>
            <w:r>
              <w:rPr>
                <w:rFonts w:hint="eastAsia" w:ascii="Times New Roman" w:hAnsi="Times New Roman" w:cs="Times New Roman"/>
                <w:b w:val="0"/>
                <w:bCs/>
                <w:color w:val="000000"/>
                <w:sz w:val="24"/>
                <w:highlight w:val="none"/>
                <w:lang w:eastAsia="zh-CN"/>
              </w:rPr>
              <w:t>）</w:t>
            </w:r>
            <w:r>
              <w:rPr>
                <w:rFonts w:hint="default" w:ascii="Times New Roman" w:hAnsi="Times New Roman" w:cs="Times New Roman"/>
                <w:b w:val="0"/>
                <w:bCs/>
                <w:color w:val="000000"/>
                <w:sz w:val="24"/>
                <w:highlight w:val="none"/>
              </w:rPr>
              <w:t>污泥处理：</w:t>
            </w:r>
          </w:p>
          <w:p w14:paraId="587994D0">
            <w:pPr>
              <w:keepNext w:val="0"/>
              <w:keepLines/>
              <w:pageBreakBefore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b w:val="0"/>
                <w:bCs/>
                <w:color w:val="000000"/>
                <w:sz w:val="24"/>
                <w:highlight w:val="none"/>
              </w:rPr>
            </w:pPr>
            <w:r>
              <w:rPr>
                <w:rFonts w:hint="default" w:ascii="Times New Roman" w:hAnsi="Times New Roman" w:cs="Times New Roman"/>
                <w:b w:val="0"/>
                <w:bCs/>
                <w:color w:val="000000"/>
                <w:sz w:val="24"/>
                <w:highlight w:val="none"/>
              </w:rPr>
              <w:t>污泥进入污泥浓缩池后，经污泥脱水机完成脱水工作，最终产出的泥饼送备煤车间掺入炼焦原料煤中炼焦。</w:t>
            </w:r>
          </w:p>
          <w:p w14:paraId="7D117CD8">
            <w:pPr>
              <w:keepNext w:val="0"/>
              <w:keepLines/>
              <w:pageBreakBefore w:val="0"/>
              <w:numPr>
                <w:ilvl w:val="0"/>
                <w:numId w:val="2"/>
              </w:numPr>
              <w:kinsoku/>
              <w:wordWrap/>
              <w:overflowPunct/>
              <w:topLinePunct w:val="0"/>
              <w:bidi w:val="0"/>
              <w:spacing w:line="360" w:lineRule="auto"/>
              <w:ind w:left="240" w:leftChars="0" w:firstLine="0" w:firstLineChars="0"/>
              <w:jc w:val="left"/>
              <w:textAlignment w:val="auto"/>
              <w:rPr>
                <w:rFonts w:hint="default" w:ascii="Times New Roman" w:hAnsi="Times New Roman" w:cs="Times New Roman"/>
                <w:b w:val="0"/>
                <w:bCs/>
                <w:color w:val="000000"/>
                <w:sz w:val="24"/>
                <w:highlight w:val="none"/>
                <w:lang w:eastAsia="zh-CN"/>
              </w:rPr>
            </w:pPr>
            <w:r>
              <w:rPr>
                <w:rFonts w:hint="eastAsia" w:ascii="Times New Roman" w:hAnsi="Times New Roman" w:cs="Times New Roman"/>
                <w:b w:val="0"/>
                <w:bCs/>
                <w:color w:val="000000"/>
                <w:sz w:val="24"/>
                <w:highlight w:val="none"/>
                <w:lang w:val="en-US" w:eastAsia="zh-CN"/>
              </w:rPr>
              <w:t>脱硫废水处理装置</w:t>
            </w:r>
            <w:r>
              <w:rPr>
                <w:rFonts w:hint="default" w:ascii="Times New Roman" w:hAnsi="Times New Roman" w:cs="Times New Roman"/>
                <w:b w:val="0"/>
                <w:bCs/>
                <w:color w:val="000000"/>
                <w:sz w:val="24"/>
                <w:highlight w:val="none"/>
                <w:lang w:val="en-US" w:eastAsia="zh-CN"/>
              </w:rPr>
              <w:t>工艺流程图示如下</w:t>
            </w:r>
            <w:r>
              <w:rPr>
                <w:rFonts w:hint="default" w:ascii="Times New Roman" w:hAnsi="Times New Roman" w:cs="Times New Roman"/>
                <w:b w:val="0"/>
                <w:bCs/>
                <w:color w:val="000000"/>
                <w:sz w:val="24"/>
                <w:highlight w:val="none"/>
                <w:lang w:eastAsia="zh-CN"/>
              </w:rPr>
              <w:t>。</w:t>
            </w:r>
          </w:p>
          <w:p w14:paraId="17ED13B0">
            <w:pPr>
              <w:keepNext w:val="0"/>
              <w:keepLines/>
              <w:pageBreakBefore w:val="0"/>
              <w:numPr>
                <w:ilvl w:val="0"/>
                <w:numId w:val="0"/>
              </w:numPr>
              <w:kinsoku/>
              <w:wordWrap/>
              <w:overflowPunct/>
              <w:topLinePunct w:val="0"/>
              <w:bidi w:val="0"/>
              <w:spacing w:line="360" w:lineRule="auto"/>
              <w:jc w:val="left"/>
              <w:textAlignment w:val="auto"/>
              <w:rPr>
                <w:rFonts w:hint="default" w:ascii="Times New Roman" w:hAnsi="Times New Roman" w:cs="Times New Roman"/>
                <w:b w:val="0"/>
                <w:bCs/>
                <w:color w:val="000000"/>
                <w:sz w:val="24"/>
                <w:highlight w:val="none"/>
                <w:lang w:eastAsia="zh-CN"/>
              </w:rPr>
            </w:pPr>
            <w:r>
              <w:rPr>
                <w:color w:val="000000"/>
                <w:sz w:val="21"/>
                <w:highlight w:val="none"/>
              </w:rPr>
              <mc:AlternateContent>
                <mc:Choice Requires="wpg">
                  <w:drawing>
                    <wp:anchor distT="0" distB="0" distL="114300" distR="114300" simplePos="0" relativeHeight="251673600" behindDoc="0" locked="0" layoutInCell="1" allowOverlap="1">
                      <wp:simplePos x="0" y="0"/>
                      <wp:positionH relativeFrom="column">
                        <wp:posOffset>722630</wp:posOffset>
                      </wp:positionH>
                      <wp:positionV relativeFrom="paragraph">
                        <wp:posOffset>66040</wp:posOffset>
                      </wp:positionV>
                      <wp:extent cx="3586480" cy="3634740"/>
                      <wp:effectExtent l="3810" t="4445" r="10160" b="18415"/>
                      <wp:wrapNone/>
                      <wp:docPr id="44" name="组合 44"/>
                      <wp:cNvGraphicFramePr/>
                      <a:graphic xmlns:a="http://schemas.openxmlformats.org/drawingml/2006/main">
                        <a:graphicData uri="http://schemas.microsoft.com/office/word/2010/wordprocessingGroup">
                          <wpg:wgp>
                            <wpg:cNvGrpSpPr/>
                            <wpg:grpSpPr>
                              <a:xfrm>
                                <a:off x="0" y="0"/>
                                <a:ext cx="3586480" cy="3634740"/>
                                <a:chOff x="6503" y="309729"/>
                                <a:chExt cx="5648" cy="5724"/>
                              </a:xfrm>
                            </wpg:grpSpPr>
                            <wps:wsp>
                              <wps:cNvPr id="38" name="直接连接符 38"/>
                              <wps:cNvCnPr/>
                              <wps:spPr>
                                <a:xfrm flipV="1">
                                  <a:off x="11231" y="310241"/>
                                  <a:ext cx="318" cy="300"/>
                                </a:xfrm>
                                <a:prstGeom prst="line">
                                  <a:avLst/>
                                </a:prstGeom>
                                <a:ln w="9525" cap="flat" cmpd="sng">
                                  <a:solidFill>
                                    <a:srgbClr val="000000"/>
                                  </a:solidFill>
                                  <a:prstDash val="dash"/>
                                  <a:headEnd type="none" w="med" len="med"/>
                                  <a:tailEnd type="triangle" w="med" len="med"/>
                                </a:ln>
                              </wps:spPr>
                              <wps:bodyPr upright="1"/>
                            </wps:wsp>
                            <wps:wsp>
                              <wps:cNvPr id="39" name="直接连接符 39"/>
                              <wps:cNvCnPr/>
                              <wps:spPr>
                                <a:xfrm flipV="1">
                                  <a:off x="6503" y="312731"/>
                                  <a:ext cx="320" cy="431"/>
                                </a:xfrm>
                                <a:prstGeom prst="line">
                                  <a:avLst/>
                                </a:prstGeom>
                                <a:ln w="9525" cap="flat" cmpd="sng">
                                  <a:solidFill>
                                    <a:srgbClr val="000000"/>
                                  </a:solidFill>
                                  <a:prstDash val="dash"/>
                                  <a:headEnd type="none" w="med" len="med"/>
                                  <a:tailEnd type="triangle" w="med" len="med"/>
                                </a:ln>
                              </wps:spPr>
                              <wps:bodyPr upright="1"/>
                            </wps:wsp>
                            <wps:wsp>
                              <wps:cNvPr id="40" name="直接连接符 40"/>
                              <wps:cNvCnPr/>
                              <wps:spPr>
                                <a:xfrm>
                                  <a:off x="10740" y="314568"/>
                                  <a:ext cx="467" cy="431"/>
                                </a:xfrm>
                                <a:prstGeom prst="line">
                                  <a:avLst/>
                                </a:prstGeom>
                                <a:ln w="9525" cap="flat" cmpd="sng">
                                  <a:solidFill>
                                    <a:srgbClr val="000000"/>
                                  </a:solidFill>
                                  <a:prstDash val="dash"/>
                                  <a:headEnd type="none" w="med" len="med"/>
                                  <a:tailEnd type="triangle" w="med" len="med"/>
                                </a:ln>
                              </wps:spPr>
                              <wps:bodyPr upright="1"/>
                            </wps:wsp>
                            <wps:wsp>
                              <wps:cNvPr id="41" name="文本框 41"/>
                              <wps:cNvSpPr txBox="1"/>
                              <wps:spPr>
                                <a:xfrm>
                                  <a:off x="10932" y="315003"/>
                                  <a:ext cx="732" cy="450"/>
                                </a:xfrm>
                                <a:prstGeom prst="rect">
                                  <a:avLst/>
                                </a:prstGeom>
                                <a:noFill/>
                                <a:ln w="9525" cap="flat" cmpd="sng">
                                  <a:solidFill>
                                    <a:srgbClr val="000000"/>
                                  </a:solidFill>
                                  <a:prstDash val="dash"/>
                                  <a:miter/>
                                  <a:headEnd type="none" w="med" len="med"/>
                                  <a:tailEnd type="none" w="med" len="med"/>
                                </a:ln>
                              </wps:spPr>
                              <wps:txbx>
                                <w:txbxContent>
                                  <w:p w14:paraId="669A7678">
                                    <w:pPr>
                                      <w:rPr>
                                        <w:rFonts w:hint="eastAsia" w:eastAsia="宋体"/>
                                        <w:color w:val="FF0000"/>
                                        <w:lang w:val="en-US" w:eastAsia="zh-CN"/>
                                      </w:rPr>
                                    </w:pPr>
                                    <w:r>
                                      <w:rPr>
                                        <w:rFonts w:hint="eastAsia"/>
                                        <w:color w:val="FF0000"/>
                                        <w:lang w:val="en-US" w:eastAsia="zh-CN"/>
                                      </w:rPr>
                                      <w:t>噪声</w:t>
                                    </w:r>
                                  </w:p>
                                </w:txbxContent>
                              </wps:txbx>
                              <wps:bodyPr upright="1"/>
                            </wps:wsp>
                            <wps:wsp>
                              <wps:cNvPr id="42" name="文本框 42"/>
                              <wps:cNvSpPr txBox="1"/>
                              <wps:spPr>
                                <a:xfrm>
                                  <a:off x="11419" y="309729"/>
                                  <a:ext cx="732" cy="450"/>
                                </a:xfrm>
                                <a:prstGeom prst="rect">
                                  <a:avLst/>
                                </a:prstGeom>
                                <a:noFill/>
                                <a:ln w="9525" cap="flat" cmpd="sng">
                                  <a:solidFill>
                                    <a:srgbClr val="000000"/>
                                  </a:solidFill>
                                  <a:prstDash val="dash"/>
                                  <a:miter/>
                                  <a:headEnd type="none" w="med" len="med"/>
                                  <a:tailEnd type="none" w="med" len="med"/>
                                </a:ln>
                              </wps:spPr>
                              <wps:txbx>
                                <w:txbxContent>
                                  <w:p w14:paraId="15543DB4">
                                    <w:pPr>
                                      <w:rPr>
                                        <w:rFonts w:hint="eastAsia" w:eastAsia="宋体"/>
                                        <w:color w:val="FF0000"/>
                                        <w:lang w:val="en-US" w:eastAsia="zh-CN"/>
                                      </w:rPr>
                                    </w:pPr>
                                    <w:r>
                                      <w:rPr>
                                        <w:rFonts w:hint="eastAsia"/>
                                        <w:color w:val="FF0000"/>
                                        <w:lang w:val="en-US" w:eastAsia="zh-CN"/>
                                      </w:rPr>
                                      <w:t>噪声</w:t>
                                    </w:r>
                                  </w:p>
                                </w:txbxContent>
                              </wps:txbx>
                              <wps:bodyPr upright="1"/>
                            </wps:wsp>
                            <wps:wsp>
                              <wps:cNvPr id="43" name="文本框 43"/>
                              <wps:cNvSpPr txBox="1"/>
                              <wps:spPr>
                                <a:xfrm>
                                  <a:off x="6559" y="312262"/>
                                  <a:ext cx="732" cy="450"/>
                                </a:xfrm>
                                <a:prstGeom prst="rect">
                                  <a:avLst/>
                                </a:prstGeom>
                                <a:noFill/>
                                <a:ln w="9525" cap="flat" cmpd="sng">
                                  <a:solidFill>
                                    <a:srgbClr val="000000"/>
                                  </a:solidFill>
                                  <a:prstDash val="dash"/>
                                  <a:miter/>
                                  <a:headEnd type="none" w="med" len="med"/>
                                  <a:tailEnd type="none" w="med" len="med"/>
                                </a:ln>
                              </wps:spPr>
                              <wps:txbx>
                                <w:txbxContent>
                                  <w:p w14:paraId="6B136C57">
                                    <w:pPr>
                                      <w:rPr>
                                        <w:rFonts w:hint="eastAsia" w:eastAsia="宋体"/>
                                        <w:color w:val="FF0000"/>
                                        <w:lang w:val="en-US" w:eastAsia="zh-CN"/>
                                      </w:rPr>
                                    </w:pPr>
                                    <w:r>
                                      <w:rPr>
                                        <w:rFonts w:hint="eastAsia"/>
                                        <w:color w:val="FF0000"/>
                                        <w:lang w:val="en-US" w:eastAsia="zh-CN"/>
                                      </w:rPr>
                                      <w:t>噪声</w:t>
                                    </w:r>
                                  </w:p>
                                </w:txbxContent>
                              </wps:txbx>
                              <wps:bodyPr upright="1"/>
                            </wps:wsp>
                          </wpg:wgp>
                        </a:graphicData>
                      </a:graphic>
                    </wp:anchor>
                  </w:drawing>
                </mc:Choice>
                <mc:Fallback>
                  <w:pict>
                    <v:group id="_x0000_s1026" o:spid="_x0000_s1026" o:spt="203" style="position:absolute;left:0pt;margin-left:56.9pt;margin-top:5.2pt;height:286.2pt;width:282.4pt;z-index:251673600;mso-width-relative:page;mso-height-relative:page;" coordorigin="6503,309729" coordsize="5648,5724" o:gfxdata="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d9/bU9oAAAAKAQAADwAAAAAAAAABACAAAAAiAAAAZHJzL2Rvd25yZXYu&#10;eG1sUEsBAhQAFAAAAAgAh07iQDhLcj6IAwAA8Q8AAA4AAAAAAAAAAQAgAAAAKQEAAGRycy9lMm9E&#10;b2MueG1sUEsFBgAAAAAGAAYAWQEAACMHAAAAAA==&#10;">
                      <o:lock v:ext="edit" aspectratio="f"/>
                      <v:line id="_x0000_s1026" o:spid="_x0000_s1026" o:spt="20" style="position:absolute;left:11231;top:310241;flip:y;height:300;width:318;" filled="f" stroked="t" coordsize="21600,21600" o:gfxdata="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fh5VM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6503;top:312731;flip:y;height:431;width:320;" filled="f" stroked="t" coordsize="21600,21600" o:gfxdata="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LMN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_x0000_s1026" o:spid="_x0000_s1026" o:spt="20" style="position:absolute;left:10740;top:314568;height:431;width:467;" filled="f" stroked="t" coordsize="21600,21600" o:gfxdata="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ErGy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shape id="_x0000_s1026" o:spid="_x0000_s1026" o:spt="202" type="#_x0000_t202" style="position:absolute;left:10932;top:315003;height:450;width:732;" filled="f" stroked="t" coordsize="21600,21600" o:gfxdata="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287r4A&#10;AADbAAAADwAAAAAAAAABACAAAAAiAAAAZHJzL2Rvd25yZXYueG1sUEsBAhQAFAAAAAgAh07iQDMv&#10;BZ47AAAAOQAAABAAAAAAAAAAAQAgAAAADQEAAGRycy9zaGFwZXhtbC54bWxQSwUGAAAAAAYABgBb&#10;AQAAtwMAAAAA&#10;">
                        <v:fill on="f" focussize="0,0"/>
                        <v:stroke color="#000000" joinstyle="miter" dashstyle="dash"/>
                        <v:imagedata o:title=""/>
                        <o:lock v:ext="edit" aspectratio="f"/>
                        <v:textbox>
                          <w:txbxContent>
                            <w:p w14:paraId="669A7678">
                              <w:pPr>
                                <w:rPr>
                                  <w:rFonts w:hint="eastAsia" w:eastAsia="宋体"/>
                                  <w:color w:val="FF0000"/>
                                  <w:lang w:val="en-US" w:eastAsia="zh-CN"/>
                                </w:rPr>
                              </w:pPr>
                              <w:r>
                                <w:rPr>
                                  <w:rFonts w:hint="eastAsia"/>
                                  <w:color w:val="FF0000"/>
                                  <w:lang w:val="en-US" w:eastAsia="zh-CN"/>
                                </w:rPr>
                                <w:t>噪声</w:t>
                              </w:r>
                            </w:p>
                          </w:txbxContent>
                        </v:textbox>
                      </v:shape>
                      <v:shape id="_x0000_s1026" o:spid="_x0000_s1026" o:spt="202" type="#_x0000_t202" style="position:absolute;left:11419;top:309729;height:450;width:732;" filled="f" stroked="t" coordsize="21600,21600" o:gfxdata="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Ipm/&#10;AAAA2wAAAA8AAAAAAAAAAQAgAAAAIgAAAGRycy9kb3ducmV2LnhtbFBLAQIUABQAAAAIAIdO4kAz&#10;LwWeOwAAADkAAAAQAAAAAAAAAAEAIAAAAA4BAABkcnMvc2hhcGV4bWwueG1sUEsFBgAAAAAGAAYA&#10;WwEAALgDAAAAAA==&#10;">
                        <v:fill on="f" focussize="0,0"/>
                        <v:stroke color="#000000" joinstyle="miter" dashstyle="dash"/>
                        <v:imagedata o:title=""/>
                        <o:lock v:ext="edit" aspectratio="f"/>
                        <v:textbox>
                          <w:txbxContent>
                            <w:p w14:paraId="15543DB4">
                              <w:pPr>
                                <w:rPr>
                                  <w:rFonts w:hint="eastAsia" w:eastAsia="宋体"/>
                                  <w:color w:val="FF0000"/>
                                  <w:lang w:val="en-US" w:eastAsia="zh-CN"/>
                                </w:rPr>
                              </w:pPr>
                              <w:r>
                                <w:rPr>
                                  <w:rFonts w:hint="eastAsia"/>
                                  <w:color w:val="FF0000"/>
                                  <w:lang w:val="en-US" w:eastAsia="zh-CN"/>
                                </w:rPr>
                                <w:t>噪声</w:t>
                              </w:r>
                            </w:p>
                          </w:txbxContent>
                        </v:textbox>
                      </v:shape>
                      <v:shape id="_x0000_s1026" o:spid="_x0000_s1026" o:spt="202" type="#_x0000_t202" style="position:absolute;left:6559;top:312262;height:450;width:732;" filled="f" stroked="t" coordsize="21600,21600" o:gfxdata="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4cCvQAA&#10;ANsAAAAPAAAAAAAAAAEAIAAAACIAAABkcnMvZG93bnJldi54bWxQSwECFAAUAAAACACHTuJAMy8F&#10;njsAAAA5AAAAEAAAAAAAAAABACAAAAAMAQAAZHJzL3NoYXBleG1sLnhtbFBLBQYAAAAABgAGAFsB&#10;AAC2AwAAAAA=&#10;">
                        <v:fill on="f" focussize="0,0"/>
                        <v:stroke color="#000000" joinstyle="miter" dashstyle="dash"/>
                        <v:imagedata o:title=""/>
                        <o:lock v:ext="edit" aspectratio="f"/>
                        <v:textbox>
                          <w:txbxContent>
                            <w:p w14:paraId="6B136C57">
                              <w:pPr>
                                <w:rPr>
                                  <w:rFonts w:hint="eastAsia" w:eastAsia="宋体"/>
                                  <w:color w:val="FF0000"/>
                                  <w:lang w:val="en-US" w:eastAsia="zh-CN"/>
                                </w:rPr>
                              </w:pPr>
                              <w:r>
                                <w:rPr>
                                  <w:rFonts w:hint="eastAsia"/>
                                  <w:color w:val="FF0000"/>
                                  <w:lang w:val="en-US" w:eastAsia="zh-CN"/>
                                </w:rPr>
                                <w:t>噪声</w:t>
                              </w:r>
                            </w:p>
                          </w:txbxContent>
                        </v:textbox>
                      </v:shape>
                    </v:group>
                  </w:pict>
                </mc:Fallback>
              </mc:AlternateContent>
            </w:r>
            <w:r>
              <w:rPr>
                <w:rFonts w:ascii="宋体" w:hAnsi="宋体" w:eastAsia="宋体" w:cs="宋体"/>
                <w:color w:val="000000"/>
                <w:kern w:val="0"/>
                <w:sz w:val="21"/>
                <w:szCs w:val="20"/>
                <w:highlight w:val="none"/>
                <w:lang w:val="en-US" w:eastAsia="zh-CN" w:bidi="ar-SA"/>
              </w:rPr>
              <mc:AlternateContent>
                <mc:Choice Requires="wpc">
                  <w:drawing>
                    <wp:inline distT="0" distB="0" distL="114300" distR="114300">
                      <wp:extent cx="5254625" cy="3329305"/>
                      <wp:effectExtent l="0" t="0" r="3175" b="0"/>
                      <wp:docPr id="2" name="画布 2"/>
                      <wp:cNvGraphicFramePr/>
                      <a:graphic xmlns:a="http://schemas.openxmlformats.org/drawingml/2006/main">
                        <a:graphicData uri="http://schemas.microsoft.com/office/word/2010/wordprocessingCanvas">
                          <wpc:wpc>
                            <wpc:bg>
                              <a:noFill/>
                            </wpc:bg>
                            <wpc:whole>
                              <a:ln>
                                <a:noFill/>
                              </a:ln>
                            </wpc:whole>
                            <wps:wsp>
                              <wps:cNvPr id="72" name="流程图: 可选过程 72"/>
                              <wps:cNvSpPr/>
                              <wps:spPr>
                                <a:xfrm>
                                  <a:off x="50165" y="57721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3C5E3C05">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脱硫原液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流程图: 可选过程 73"/>
                              <wps:cNvSpPr/>
                              <wps:spPr>
                                <a:xfrm>
                                  <a:off x="1354455" y="57404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145342E9">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流程图: 可选过程 74"/>
                              <wps:cNvSpPr/>
                              <wps:spPr>
                                <a:xfrm>
                                  <a:off x="1354455" y="4381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0DDAFEB">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活性炭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流程图: 可选过程 75"/>
                              <wps:cNvSpPr/>
                              <wps:spPr>
                                <a:xfrm>
                                  <a:off x="2657475" y="57404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1E5C402E">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脱色压滤机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流程图: 可选过程 76"/>
                              <wps:cNvSpPr/>
                              <wps:spPr>
                                <a:xfrm>
                                  <a:off x="3970020" y="169164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17A8341F">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返回脱硫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流程图: 可选过程 77"/>
                              <wps:cNvSpPr/>
                              <wps:spPr>
                                <a:xfrm>
                                  <a:off x="2657475" y="4826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35D28E40">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废活性炭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流程图: 可选过程 78"/>
                              <wps:cNvSpPr/>
                              <wps:spPr>
                                <a:xfrm>
                                  <a:off x="2658745" y="111379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16FD596D">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硫酸钠结晶釜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流程图: 可选过程 79"/>
                              <wps:cNvSpPr/>
                              <wps:spPr>
                                <a:xfrm>
                                  <a:off x="3983355" y="111506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EA5CAE4">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硫酸钠浓缩釜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流程图: 可选过程 80"/>
                              <wps:cNvSpPr/>
                              <wps:spPr>
                                <a:xfrm>
                                  <a:off x="3980815" y="57023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269CD50F">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脱色中转槽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流程图: 可选过程 81"/>
                              <wps:cNvSpPr/>
                              <wps:spPr>
                                <a:xfrm>
                                  <a:off x="1320165" y="168846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7CF03697">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流程图: 可选过程 82"/>
                              <wps:cNvSpPr/>
                              <wps:spPr>
                                <a:xfrm>
                                  <a:off x="38735" y="281749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C12B757">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硫代硫酸钠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流程图: 可选过程 83"/>
                              <wps:cNvSpPr/>
                              <wps:spPr>
                                <a:xfrm>
                                  <a:off x="1328420" y="281432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C44DF28">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硫氰酸钠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流程图: 可选过程 84"/>
                              <wps:cNvSpPr/>
                              <wps:spPr>
                                <a:xfrm>
                                  <a:off x="39370" y="223901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435F1902">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硫代离心机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流程图: 可选过程 85"/>
                              <wps:cNvSpPr/>
                              <wps:spPr>
                                <a:xfrm>
                                  <a:off x="1324610" y="223774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2FC4E4A9">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硫代母液槽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流程图: 可选过程 86"/>
                              <wps:cNvSpPr/>
                              <wps:spPr>
                                <a:xfrm>
                                  <a:off x="1324610" y="111823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24901FC">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硫酸钠压滤机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流程图: 可选过程 87"/>
                              <wps:cNvSpPr/>
                              <wps:spPr>
                                <a:xfrm>
                                  <a:off x="2642870" y="224282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15D46A7E">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硫氰浓缩釜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流程图: 可选过程 88"/>
                              <wps:cNvSpPr/>
                              <wps:spPr>
                                <a:xfrm>
                                  <a:off x="46990" y="112331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5DFF240B">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硫代结晶釜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流程图: 可选过程 89"/>
                              <wps:cNvSpPr/>
                              <wps:spPr>
                                <a:xfrm>
                                  <a:off x="3971925" y="224472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6A6AF7E1">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硫氰结晶釜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流程图: 可选过程 90"/>
                              <wps:cNvSpPr/>
                              <wps:spPr>
                                <a:xfrm>
                                  <a:off x="2644775" y="280543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78AB9971">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硫氰离心机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直接箭头连接符 91"/>
                              <wps:cNvCnPr/>
                              <wps:spPr>
                                <a:xfrm flipV="1">
                                  <a:off x="1146810" y="737870"/>
                                  <a:ext cx="207645" cy="317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2" name="直接箭头连接符 92"/>
                              <wps:cNvCnPr/>
                              <wps:spPr>
                                <a:xfrm flipV="1">
                                  <a:off x="3206115" y="375285"/>
                                  <a:ext cx="0" cy="19875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3" name="直接箭头连接符 93"/>
                              <wps:cNvCnPr/>
                              <wps:spPr>
                                <a:xfrm>
                                  <a:off x="1903095" y="370840"/>
                                  <a:ext cx="0" cy="20320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4" name="直接箭头连接符 94"/>
                              <wps:cNvCnPr/>
                              <wps:spPr>
                                <a:xfrm>
                                  <a:off x="4529455" y="897255"/>
                                  <a:ext cx="2540" cy="21780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5" name="直接箭头连接符 95"/>
                              <wps:cNvCnPr/>
                              <wps:spPr>
                                <a:xfrm flipV="1">
                                  <a:off x="3754120" y="734060"/>
                                  <a:ext cx="226695" cy="381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6" name="直接箭头连接符 96"/>
                              <wps:cNvCnPr/>
                              <wps:spPr>
                                <a:xfrm>
                                  <a:off x="2451100" y="737870"/>
                                  <a:ext cx="206375" cy="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7" name="直接箭头连接符 97"/>
                              <wps:cNvCnPr/>
                              <wps:spPr>
                                <a:xfrm flipH="1">
                                  <a:off x="1868805" y="1445260"/>
                                  <a:ext cx="4445" cy="24320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8" name="直接箭头连接符 98"/>
                              <wps:cNvCnPr/>
                              <wps:spPr>
                                <a:xfrm>
                                  <a:off x="3739515" y="1853565"/>
                                  <a:ext cx="230505" cy="190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99" name="直接箭头连接符 99"/>
                              <wps:cNvCnPr/>
                              <wps:spPr>
                                <a:xfrm>
                                  <a:off x="3741420" y="2969260"/>
                                  <a:ext cx="219710" cy="762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0" name="直接箭头连接符 100"/>
                              <wps:cNvCnPr/>
                              <wps:spPr>
                                <a:xfrm flipH="1" flipV="1">
                                  <a:off x="3755390" y="1277620"/>
                                  <a:ext cx="227965" cy="127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1" name="直接箭头连接符 101"/>
                              <wps:cNvCnPr/>
                              <wps:spPr>
                                <a:xfrm flipH="1">
                                  <a:off x="2421255" y="1277620"/>
                                  <a:ext cx="237490" cy="444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2" name="直接箭头连接符 102"/>
                              <wps:cNvCnPr/>
                              <wps:spPr>
                                <a:xfrm flipH="1">
                                  <a:off x="1143635" y="1282065"/>
                                  <a:ext cx="180975" cy="508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3" name="直接箭头连接符 103"/>
                              <wps:cNvCnPr/>
                              <wps:spPr>
                                <a:xfrm flipV="1">
                                  <a:off x="3191510" y="2016760"/>
                                  <a:ext cx="0" cy="22606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4" name="直接箭头连接符 104"/>
                              <wps:cNvCnPr/>
                              <wps:spPr>
                                <a:xfrm>
                                  <a:off x="2421255" y="2401570"/>
                                  <a:ext cx="221615" cy="508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5" name="直接箭头连接符 105"/>
                              <wps:cNvCnPr/>
                              <wps:spPr>
                                <a:xfrm flipV="1">
                                  <a:off x="1136015" y="2401570"/>
                                  <a:ext cx="188595" cy="127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6" name="直接箭头连接符 106"/>
                              <wps:cNvCnPr/>
                              <wps:spPr>
                                <a:xfrm flipH="1">
                                  <a:off x="588010" y="1450340"/>
                                  <a:ext cx="7620" cy="78867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07" name="直接箭头连接符 107"/>
                              <wps:cNvCnPr/>
                              <wps:spPr>
                                <a:xfrm>
                                  <a:off x="3739515" y="2406650"/>
                                  <a:ext cx="232410" cy="1905"/>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1" name="流程图: 可选过程 1"/>
                              <wps:cNvSpPr/>
                              <wps:spPr>
                                <a:xfrm>
                                  <a:off x="2642870" y="1689735"/>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76F35BC6">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蒸发冷凝液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肘形连接符 3"/>
                              <wps:cNvCnPr/>
                              <wps:spPr>
                                <a:xfrm rot="5400000">
                                  <a:off x="3737610" y="895350"/>
                                  <a:ext cx="247650" cy="1340485"/>
                                </a:xfrm>
                                <a:prstGeom prst="bentConnector3">
                                  <a:avLst>
                                    <a:gd name="adj1" fmla="val 36538"/>
                                  </a:avLst>
                                </a:prstGeom>
                                <a:noFill/>
                                <a:ln w="25400" cap="flat" cmpd="sng" algn="ctr">
                                  <a:solidFill>
                                    <a:srgbClr val="000000"/>
                                  </a:solidFill>
                                  <a:prstDash val="solid"/>
                                  <a:tailEnd type="triangle" w="med" len="med"/>
                                </a:ln>
                                <a:effectLst/>
                              </wps:spPr>
                              <wps:bodyPr/>
                            </wps:wsp>
                            <wps:wsp>
                              <wps:cNvPr id="4" name="流程图: 可选过程 4"/>
                              <wps:cNvSpPr/>
                              <wps:spPr>
                                <a:xfrm>
                                  <a:off x="3961130" y="2813050"/>
                                  <a:ext cx="1096645" cy="327025"/>
                                </a:xfrm>
                                <a:prstGeom prst="flowChartAlternateProcess">
                                  <a:avLst/>
                                </a:prstGeom>
                                <a:solidFill>
                                  <a:srgbClr val="FFFFFF"/>
                                </a:solidFill>
                                <a:ln w="6350" cap="flat" cmpd="sng" algn="ctr">
                                  <a:solidFill>
                                    <a:srgbClr val="000000"/>
                                  </a:solidFill>
                                  <a:prstDash val="solid"/>
                                  <a:tailEnd type="triangle" w="med" len="med"/>
                                </a:ln>
                                <a:effectLst/>
                              </wps:spPr>
                              <wps:txbx>
                                <w:txbxContent>
                                  <w:p w14:paraId="53D7C4D0">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w:t>
                                    </w:r>
                                    <w:r>
                                      <w:rPr>
                                        <w:rFonts w:hint="eastAsia" w:cs="Times New Roman"/>
                                        <w:kern w:val="0"/>
                                        <w:sz w:val="24"/>
                                        <w:szCs w:val="20"/>
                                        <w:lang w:val="en-US" w:eastAsia="zh-CN"/>
                                      </w:rPr>
                                      <w:t>母液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直接箭头连接符 5"/>
                              <wps:cNvCnPr/>
                              <wps:spPr>
                                <a:xfrm flipH="1">
                                  <a:off x="587375" y="2566035"/>
                                  <a:ext cx="635" cy="25146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6" name="直接箭头连接符 6"/>
                              <wps:cNvCnPr/>
                              <wps:spPr>
                                <a:xfrm flipH="1">
                                  <a:off x="2425065" y="2969260"/>
                                  <a:ext cx="219710" cy="8890"/>
                                </a:xfrm>
                                <a:prstGeom prst="straightConnector1">
                                  <a:avLst/>
                                </a:prstGeom>
                                <a:noFill/>
                                <a:ln w="19050" cap="flat" cmpd="sng" algn="ctr">
                                  <a:solidFill>
                                    <a:srgbClr val="000000">
                                      <a:shade val="95000"/>
                                      <a:satMod val="105000"/>
                                    </a:srgbClr>
                                  </a:solidFill>
                                  <a:prstDash val="solid"/>
                                  <a:tailEnd type="triangle" w="med" len="med"/>
                                </a:ln>
                                <a:effectLst/>
                              </wps:spPr>
                              <wps:bodyPr/>
                            </wps:wsp>
                            <wps:wsp>
                              <wps:cNvPr id="7" name="肘形连接符 7"/>
                              <wps:cNvCnPr/>
                              <wps:spPr>
                                <a:xfrm rot="5400000">
                                  <a:off x="3740150" y="2025015"/>
                                  <a:ext cx="233680" cy="1327150"/>
                                </a:xfrm>
                                <a:prstGeom prst="bentConnector3">
                                  <a:avLst>
                                    <a:gd name="adj1" fmla="val 50000"/>
                                  </a:avLst>
                                </a:prstGeom>
                                <a:noFill/>
                                <a:ln w="25400" cap="flat" cmpd="sng" algn="ctr">
                                  <a:solidFill>
                                    <a:srgbClr val="000000"/>
                                  </a:solidFill>
                                  <a:prstDash val="solid"/>
                                  <a:tailEnd type="triangle" w="med" len="med"/>
                                </a:ln>
                                <a:effectLst/>
                              </wps:spPr>
                              <wps:bodyPr/>
                            </wps:wsp>
                            <wps:wsp>
                              <wps:cNvPr id="8" name="肘形连接符 8"/>
                              <wps:cNvCnPr/>
                              <wps:spPr>
                                <a:xfrm flipV="1">
                                  <a:off x="5057775" y="734060"/>
                                  <a:ext cx="19685" cy="2242820"/>
                                </a:xfrm>
                                <a:prstGeom prst="bentConnector3">
                                  <a:avLst>
                                    <a:gd name="adj1" fmla="val 812903"/>
                                  </a:avLst>
                                </a:prstGeom>
                                <a:noFill/>
                                <a:ln w="25400" cap="flat" cmpd="sng" algn="ctr">
                                  <a:solidFill>
                                    <a:srgbClr val="000000"/>
                                  </a:solidFill>
                                  <a:prstDash val="solid"/>
                                  <a:tailEnd type="triangle" w="med" len="med"/>
                                </a:ln>
                                <a:effectLst/>
                              </wps:spPr>
                              <wps:bodyPr/>
                            </wps:wsp>
                          </wpc:wpc>
                        </a:graphicData>
                      </a:graphic>
                    </wp:inline>
                  </w:drawing>
                </mc:Choice>
                <mc:Fallback>
                  <w:pict>
                    <v:group id="_x0000_s1026" o:spid="_x0000_s1026" o:spt="203" style="height:262.15pt;width:413.75pt;" coordsize="5254625,3329305" editas="canvas" o:gfxdata="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">
                      <o:lock v:ext="edit" aspectratio="f"/>
                      <v:shape id="_x0000_s1026" o:spid="_x0000_s1026" style="position:absolute;left:0;top:0;height:3329305;width:5254625;" filled="f" stroked="f" coordsize="21600,21600" o:gfxdata="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nMHfodgAAAAFAQAADwAAAAAAAAABACAAAAAiAAAAZHJzL2Rvd25yZXYueG1sUEsB&#10;AhQAFAAAAAgAh07iQBM1lKrACQAAJ38AAA4AAAAAAAAAAQAgAAAAJwEAAGRycy9lMm9Eb2MueG1s&#10;UEsFBgAAAAAGAAYAWQEAAFkNAAAAAA==&#10;">
                        <v:fill on="f" focussize="0,0"/>
                        <v:stroke on="f"/>
                        <v:imagedata o:title=""/>
                        <o:lock v:ext="edit" aspectratio="f"/>
                      </v:shape>
                      <v:shape id="_x0000_s1026" o:spid="_x0000_s1026" o:spt="176" type="#_x0000_t176" style="position:absolute;left:50165;top:57721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ABQOnwvwIAAFQFAAAOAAAA&#10;AAAAAAEAIAAAACQBAABkcnMvZTJvRG9jLnhtbFBLBQYAAAAABgAGAFkBAABVBgAAAAA=&#10;">
                        <v:fill on="t" focussize="0,0"/>
                        <v:stroke weight="0.5pt" color="#000000" joinstyle="round" endarrow="block"/>
                        <v:imagedata o:title=""/>
                        <o:lock v:ext="edit" aspectratio="f"/>
                        <v:textbox>
                          <w:txbxContent>
                            <w:p w14:paraId="3C5E3C05">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脱硫原液</w:t>
                              </w:r>
                            </w:p>
                          </w:txbxContent>
                        </v:textbox>
                      </v:shape>
                      <v:shape id="_x0000_s1026" o:spid="_x0000_s1026" o:spt="176" type="#_x0000_t176" style="position:absolute;left:1354455;top:57404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DgYpdXvwIAAFYFAAAOAAAA&#10;AAAAAAEAIAAAACQBAABkcnMvZTJvRG9jLnhtbFBLBQYAAAAABgAGAFkBAABVBgAAAAA=&#10;">
                        <v:fill on="t" focussize="0,0"/>
                        <v:stroke weight="0.5pt" color="#000000" joinstyle="round" endarrow="block"/>
                        <v:imagedata o:title=""/>
                        <o:lock v:ext="edit" aspectratio="f"/>
                        <v:textbox>
                          <w:txbxContent>
                            <w:p w14:paraId="145342E9">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脱色釜</w:t>
                              </w:r>
                            </w:p>
                          </w:txbxContent>
                        </v:textbox>
                      </v:shape>
                      <v:shape id="_x0000_s1026" o:spid="_x0000_s1026" o:spt="176" type="#_x0000_t176" style="position:absolute;left:1354455;top:4381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Qk5xa9UAAAAFAQAADwAAAAAA&#10;AAABACAAAAAiAAAAZHJzL2Rvd25yZXYueG1sUEsBAhQAFAAAAAgAh07iQBHil67BAgAAVQUAAA4A&#10;AAAAAAAAAQAgAAAAJAEAAGRycy9lMm9Eb2MueG1sUEsFBgAAAAAGAAYAWQEAAFcGAAAAAA==&#10;">
                        <v:fill on="t" focussize="0,0"/>
                        <v:stroke weight="0.5pt" color="#000000" joinstyle="round" endarrow="block"/>
                        <v:imagedata o:title=""/>
                        <o:lock v:ext="edit" aspectratio="f"/>
                        <v:textbox>
                          <w:txbxContent>
                            <w:p w14:paraId="60DDAFEB">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活性炭</w:t>
                              </w:r>
                            </w:p>
                          </w:txbxContent>
                        </v:textbox>
                      </v:shape>
                      <v:shape id="_x0000_s1026" o:spid="_x0000_s1026" o:spt="176" type="#_x0000_t176" style="position:absolute;left:2657475;top:57404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CTnFr1QAAAAUBAAAPAAAAAAAA&#10;AAEAIAAAACIAAABkcnMvZG93bnJldi54bWxQSwECFAAUAAAACACHTuJAgVtTAMACAABWBQAADgAA&#10;AAAAAAABACAAAAAkAQAAZHJzL2Uyb0RvYy54bWxQSwUGAAAAAAYABgBZAQAAVgYAAAAA&#10;">
                        <v:fill on="t" focussize="0,0"/>
                        <v:stroke weight="0.5pt" color="#000000" joinstyle="round" endarrow="block"/>
                        <v:imagedata o:title=""/>
                        <o:lock v:ext="edit" aspectratio="f"/>
                        <v:textbox>
                          <w:txbxContent>
                            <w:p w14:paraId="1E5C402E">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脱色压滤机</w:t>
                              </w:r>
                            </w:p>
                          </w:txbxContent>
                        </v:textbox>
                      </v:shape>
                      <v:shape id="_x0000_s1026" o:spid="_x0000_s1026" o:spt="176" type="#_x0000_t176" style="position:absolute;left:3970020;top:169164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CTnFr1QAAAAUBAAAPAAAAAAAA&#10;AAEAIAAAACIAAABkcnMvZG93bnJldi54bWxQSwECFAAUAAAACACHTuJAj+tDWsACAABXBQAADgAA&#10;AAAAAAABACAAAAAkAQAAZHJzL2Uyb0RvYy54bWxQSwUGAAAAAAYABgBZAQAAVgYAAAAA&#10;">
                        <v:fill on="t" focussize="0,0"/>
                        <v:stroke weight="0.5pt" color="#000000" joinstyle="round" endarrow="block"/>
                        <v:imagedata o:title=""/>
                        <o:lock v:ext="edit" aspectratio="f"/>
                        <v:textbox>
                          <w:txbxContent>
                            <w:p w14:paraId="17A8341F">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返回脱硫</w:t>
                              </w:r>
                            </w:p>
                          </w:txbxContent>
                        </v:textbox>
                      </v:shape>
                      <v:shape id="_x0000_s1026" o:spid="_x0000_s1026" o:spt="176" type="#_x0000_t176" style="position:absolute;left:2657475;top:4826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CTnFr1QAAAAUBAAAPAAAAAAAAAAEA&#10;IAAAACIAAABkcnMvZG93bnJldi54bWxQSwECFAAUAAAACACHTuJA17hYrr0CAABVBQAADgAAAAAA&#10;AAABACAAAAAkAQAAZHJzL2Uyb0RvYy54bWxQSwUGAAAAAAYABgBZAQAAUwYAAAAA&#10;">
                        <v:fill on="t" focussize="0,0"/>
                        <v:stroke weight="0.5pt" color="#000000" joinstyle="round" endarrow="block"/>
                        <v:imagedata o:title=""/>
                        <o:lock v:ext="edit" aspectratio="f"/>
                        <v:textbox>
                          <w:txbxContent>
                            <w:p w14:paraId="35D28E40">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废活性炭</w:t>
                              </w:r>
                            </w:p>
                          </w:txbxContent>
                        </v:textbox>
                      </v:shape>
                      <v:shape id="_x0000_s1026" o:spid="_x0000_s1026" o:spt="176" type="#_x0000_t176" style="position:absolute;left:2658745;top:111379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AU3a0lvwIAAFcFAAAOAAAA&#10;AAAAAAEAIAAAACQBAABkcnMvZTJvRG9jLnhtbFBLBQYAAAAABgAGAFkBAABVBgAAAAA=&#10;">
                        <v:fill on="t" focussize="0,0"/>
                        <v:stroke weight="0.5pt" color="#000000" joinstyle="round" endarrow="block"/>
                        <v:imagedata o:title=""/>
                        <o:lock v:ext="edit" aspectratio="f"/>
                        <v:textbox>
                          <w:txbxContent>
                            <w:p w14:paraId="16FD596D">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硫酸钠结晶釜</w:t>
                              </w:r>
                            </w:p>
                          </w:txbxContent>
                        </v:textbox>
                      </v:shape>
                      <v:shape id="_x0000_s1026" o:spid="_x0000_s1026" o:spt="176" type="#_x0000_t176" style="position:absolute;left:3983355;top:111506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CTnFr1QAAAAUBAAAPAAAAAAAA&#10;AAEAIAAAACIAAABkcnMvZG93bnJldi54bWxQSwECFAAUAAAACACHTuJAPGpjPMACAABXBQAADgAA&#10;AAAAAAABACAAAAAkAQAAZHJzL2Uyb0RvYy54bWxQSwUGAAAAAAYABgBZAQAAVgYAAAAA&#10;">
                        <v:fill on="t" focussize="0,0"/>
                        <v:stroke weight="0.5pt" color="#000000" joinstyle="round" endarrow="block"/>
                        <v:imagedata o:title=""/>
                        <o:lock v:ext="edit" aspectratio="f"/>
                        <v:textbox>
                          <w:txbxContent>
                            <w:p w14:paraId="6EA5CAE4">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硫酸钠浓缩釜</w:t>
                              </w:r>
                            </w:p>
                          </w:txbxContent>
                        </v:textbox>
                      </v:shape>
                      <v:shape id="_x0000_s1026" o:spid="_x0000_s1026" o:spt="176" type="#_x0000_t176" style="position:absolute;left:3980815;top:57023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Abw9fQvwIAAFYFAAAOAAAA&#10;AAAAAAEAIAAAACQBAABkcnMvZTJvRG9jLnhtbFBLBQYAAAAABgAGAFkBAABVBgAAAAA=&#10;">
                        <v:fill on="t" focussize="0,0"/>
                        <v:stroke weight="0.5pt" color="#000000" joinstyle="round" endarrow="block"/>
                        <v:imagedata o:title=""/>
                        <o:lock v:ext="edit" aspectratio="f"/>
                        <v:textbox>
                          <w:txbxContent>
                            <w:p w14:paraId="269CD50F">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脱色中转槽</w:t>
                              </w:r>
                            </w:p>
                          </w:txbxContent>
                        </v:textbox>
                      </v:shape>
                      <v:shape id="_x0000_s1026" o:spid="_x0000_s1026" o:spt="176" type="#_x0000_t176" style="position:absolute;left:1320165;top:168846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CTnFr1QAAAAUBAAAPAAAAAAAAAAEA&#10;IAAAACIAAABkcnMvZG93bnJldi54bWxQSwECFAAUAAAACACHTuJAU6dS6L0CAABXBQAADgAAAAAA&#10;AAABACAAAAAkAQAAZHJzL2Uyb0RvYy54bWxQSwUGAAAAAAYABgBZAQAAUwYAAAAA&#10;">
                        <v:fill on="t" focussize="0,0"/>
                        <v:stroke weight="0.5pt" color="#000000" joinstyle="round" endarrow="block"/>
                        <v:imagedata o:title=""/>
                        <o:lock v:ext="edit" aspectratio="f"/>
                        <v:textbox>
                          <w:txbxContent>
                            <w:p w14:paraId="7CF03697">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w:t>
                              </w:r>
                            </w:p>
                          </w:txbxContent>
                        </v:textbox>
                      </v:shape>
                      <v:shape id="_x0000_s1026" o:spid="_x0000_s1026" o:spt="176" type="#_x0000_t176" style="position:absolute;left:38735;top:281749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CTnFr1QAAAAUBAAAPAAAA&#10;AAAAAAEAIAAAACIAAABkcnMvZG93bnJldi54bWxQSwECFAAUAAAACACHTuJAwC7znMMCAABVBQAA&#10;DgAAAAAAAAABACAAAAAkAQAAZHJzL2Uyb0RvYy54bWxQSwUGAAAAAAYABgBZAQAAWQYAAAAA&#10;">
                        <v:fill on="t" focussize="0,0"/>
                        <v:stroke weight="0.5pt" color="#000000" joinstyle="round" endarrow="block"/>
                        <v:imagedata o:title=""/>
                        <o:lock v:ext="edit" aspectratio="f"/>
                        <v:textbox>
                          <w:txbxContent>
                            <w:p w14:paraId="6C12B757">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硫代硫酸钠</w:t>
                              </w:r>
                            </w:p>
                          </w:txbxContent>
                        </v:textbox>
                      </v:shape>
                      <v:shape id="_x0000_s1026" o:spid="_x0000_s1026" o:spt="176" type="#_x0000_t176" style="position:absolute;left:1328420;top:281432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CTnFr1QAAAAUBAAAPAAAAAAAAAAEA&#10;IAAAACIAAABkcnMvZG93bnJldi54bWxQSwECFAAUAAAACACHTuJAZUWsd70CAABXBQAADgAAAAAA&#10;AAABACAAAAAkAQAAZHJzL2Uyb0RvYy54bWxQSwUGAAAAAAYABgBZAQAAUwYAAAAA&#10;">
                        <v:fill on="t" focussize="0,0"/>
                        <v:stroke weight="0.5pt" color="#000000" joinstyle="round" endarrow="block"/>
                        <v:imagedata o:title=""/>
                        <o:lock v:ext="edit" aspectratio="f"/>
                        <v:textbox>
                          <w:txbxContent>
                            <w:p w14:paraId="6C44DF28">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硫氰酸钠</w:t>
                              </w:r>
                            </w:p>
                          </w:txbxContent>
                        </v:textbox>
                      </v:shape>
                      <v:shape id="_x0000_s1026" o:spid="_x0000_s1026" o:spt="176" type="#_x0000_t176" style="position:absolute;left:39370;top:223901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CTnFr1QAAAAUBAAAPAAAAAAAAAAEA&#10;IAAAACIAAABkcnMvZG93bnJldi54bWxQSwECFAAUAAAACACHTuJAPhHe6r0CAABVBQAADgAAAAAA&#10;AAABACAAAAAkAQAAZHJzL2Uyb0RvYy54bWxQSwUGAAAAAAYABgBZAQAAUwYAAAAA&#10;">
                        <v:fill on="t" focussize="0,0"/>
                        <v:stroke weight="0.5pt" color="#000000" joinstyle="round" endarrow="block"/>
                        <v:imagedata o:title=""/>
                        <o:lock v:ext="edit" aspectratio="f"/>
                        <v:textbox>
                          <w:txbxContent>
                            <w:p w14:paraId="435F1902">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硫代离心机</w:t>
                              </w:r>
                            </w:p>
                          </w:txbxContent>
                        </v:textbox>
                      </v:shape>
                      <v:shape id="_x0000_s1026" o:spid="_x0000_s1026" o:spt="176" type="#_x0000_t176" style="position:absolute;left:1324610;top:223774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EJOcWvVAAAABQEAAA8AAAAA&#10;AAAAAQAgAAAAIgAAAGRycy9kb3ducmV2LnhtbFBLAQIUABQAAAAIAIdO4kAPGpwCwgIAAFcFAAAO&#10;AAAAAAAAAAEAIAAAACQBAABkcnMvZTJvRG9jLnhtbFBLBQYAAAAABgAGAFkBAABYBgAAAAA=&#10;">
                        <v:fill on="t" focussize="0,0"/>
                        <v:stroke weight="0.5pt" color="#000000" joinstyle="round" endarrow="block"/>
                        <v:imagedata o:title=""/>
                        <o:lock v:ext="edit" aspectratio="f"/>
                        <v:textbox>
                          <w:txbxContent>
                            <w:p w14:paraId="2FC4E4A9">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硫代母液槽</w:t>
                              </w:r>
                            </w:p>
                          </w:txbxContent>
                        </v:textbox>
                      </v:shape>
                      <v:shape id="_x0000_s1026" o:spid="_x0000_s1026" o:spt="176" type="#_x0000_t176" style="position:absolute;left:1324610;top:111823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CTnFr1QAAAAUBAAAPAAAAAAAA&#10;AAEAIAAAACIAAABkcnMvZG93bnJldi54bWxQSwECFAAUAAAACACHTuJAnulF/MACAABXBQAADgAA&#10;AAAAAAABACAAAAAkAQAAZHJzL2Uyb0RvYy54bWxQSwUGAAAAAAYABgBZAQAAVgYAAAAA&#10;">
                        <v:fill on="t" focussize="0,0"/>
                        <v:stroke weight="0.5pt" color="#000000" joinstyle="round" endarrow="block"/>
                        <v:imagedata o:title=""/>
                        <o:lock v:ext="edit" aspectratio="f"/>
                        <v:textbox>
                          <w:txbxContent>
                            <w:p w14:paraId="624901FC">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硫酸钠压滤机</w:t>
                              </w:r>
                            </w:p>
                          </w:txbxContent>
                        </v:textbox>
                      </v:shape>
                      <v:shape id="_x0000_s1026" o:spid="_x0000_s1026" o:spt="176" type="#_x0000_t176" style="position:absolute;left:2642870;top:224282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Bh4nRwvwIAAFcFAAAOAAAA&#10;AAAAAAEAIAAAACQBAABkcnMvZTJvRG9jLnhtbFBLBQYAAAAABgAGAFkBAABVBgAAAAA=&#10;">
                        <v:fill on="t" focussize="0,0"/>
                        <v:stroke weight="0.5pt" color="#000000" joinstyle="round" endarrow="block"/>
                        <v:imagedata o:title=""/>
                        <o:lock v:ext="edit" aspectratio="f"/>
                        <v:textbox>
                          <w:txbxContent>
                            <w:p w14:paraId="15D46A7E">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硫氰浓缩釜</w:t>
                              </w:r>
                            </w:p>
                          </w:txbxContent>
                        </v:textbox>
                      </v:shape>
                      <v:shape id="_x0000_s1026" o:spid="_x0000_s1026" o:spt="176" type="#_x0000_t176" style="position:absolute;left:46990;top:112331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CTnFr1QAAAAUBAAAPAAAA&#10;AAAAAAEAIAAAACIAAABkcnMvZG93bnJldi54bWxQSwECFAAUAAAACACHTuJA+Gr8gsMCAABVBQAA&#10;DgAAAAAAAAABACAAAAAkAQAAZHJzL2Uyb0RvYy54bWxQSwUGAAAAAAYABgBZAQAAWQYAAAAA&#10;">
                        <v:fill on="t" focussize="0,0"/>
                        <v:stroke weight="0.5pt" color="#000000" joinstyle="round" endarrow="block"/>
                        <v:imagedata o:title=""/>
                        <o:lock v:ext="edit" aspectratio="f"/>
                        <v:textbox>
                          <w:txbxContent>
                            <w:p w14:paraId="5DFF240B">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硫代结晶釜</w:t>
                              </w:r>
                            </w:p>
                          </w:txbxContent>
                        </v:textbox>
                      </v:shape>
                      <v:shape id="_x0000_s1026" o:spid="_x0000_s1026" o:spt="176" type="#_x0000_t176" style="position:absolute;left:3971925;top:224472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Qk5xa9UAAAAFAQAADwAAAAAA&#10;AAABACAAAAAiAAAAZHJzL2Rvd25yZXYueG1sUEsBAhQAFAAAAAgAh07iQNhO3kzBAgAAVwUAAA4A&#10;AAAAAAAAAQAgAAAAJAEAAGRycy9lMm9Eb2MueG1sUEsFBgAAAAAGAAYAWQEAAFcGAAAAAA==&#10;">
                        <v:fill on="t" focussize="0,0"/>
                        <v:stroke weight="0.5pt" color="#000000" joinstyle="round" endarrow="block"/>
                        <v:imagedata o:title=""/>
                        <o:lock v:ext="edit" aspectratio="f"/>
                        <v:textbox>
                          <w:txbxContent>
                            <w:p w14:paraId="6A6AF7E1">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硫氰结晶釜</w:t>
                              </w:r>
                            </w:p>
                          </w:txbxContent>
                        </v:textbox>
                      </v:shape>
                      <v:shape id="_x0000_s1026" o:spid="_x0000_s1026" o:spt="176" type="#_x0000_t176" style="position:absolute;left:2644775;top:280543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OcWvVAAAABQEAAA8AAAAAAAAA&#10;AQAgAAAAIgAAAGRycy9kb3ducmV2LnhtbFBLAQIUABQAAAAIAIdO4kAQejzAvwIAAFcFAAAOAAAA&#10;AAAAAAEAIAAAACQBAABkcnMvZTJvRG9jLnhtbFBLBQYAAAAABgAGAFkBAABVBgAAAAA=&#10;">
                        <v:fill on="t" focussize="0,0"/>
                        <v:stroke weight="0.5pt" color="#000000" joinstyle="round" endarrow="block"/>
                        <v:imagedata o:title=""/>
                        <o:lock v:ext="edit" aspectratio="f"/>
                        <v:textbox>
                          <w:txbxContent>
                            <w:p w14:paraId="78AB9971">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硫氰离心机</w:t>
                              </w:r>
                            </w:p>
                          </w:txbxContent>
                        </v:textbox>
                      </v:shape>
                      <v:shape id="_x0000_s1026" o:spid="_x0000_s1026" o:spt="32" type="#_x0000_t32" style="position:absolute;left:1146810;top:737870;flip:y;height:3175;width:20764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SbQW1QAAAAUBAAAPAAAAAAAAAAEAIAAAACIAAABkcnMvZG93bnJl&#10;di54bWxQSwECFAAUAAAACACHTuJAO6a7PTkCAAA9BAAADgAAAAAAAAABACAAAAAkAQAAZHJzL2Uy&#10;b0RvYy54bWxQSwUGAAAAAAYABgBZAQAAzwUAAAAA&#10;">
                        <v:fill on="f" focussize="0,0"/>
                        <v:stroke weight="1.5pt" color="#000000" joinstyle="round" endarrow="block"/>
                        <v:imagedata o:title=""/>
                        <o:lock v:ext="edit" aspectratio="f"/>
                      </v:shape>
                      <v:shape id="_x0000_s1026" o:spid="_x0000_s1026" o:spt="32" type="#_x0000_t32" style="position:absolute;left:3206115;top:375285;flip:y;height:198755;width:0;"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0m0FtUAAAAFAQAADwAAAAAAAAABACAAAAAiAAAAZHJzL2Rvd25yZXYueG1s&#10;UEsBAhQAFAAAAAgAh07iQOYG7Iw0AgAAOgQAAA4AAAAAAAAAAQAgAAAAJAEAAGRycy9lMm9Eb2Mu&#10;eG1sUEsFBgAAAAAGAAYAWQEAAMoFAAAAAA==&#10;">
                        <v:fill on="f" focussize="0,0"/>
                        <v:stroke weight="1.5pt" color="#000000" joinstyle="round" endarrow="block"/>
                        <v:imagedata o:title=""/>
                        <o:lock v:ext="edit" aspectratio="f"/>
                      </v:shape>
                      <v:shape id="_x0000_s1026" o:spid="_x0000_s1026" o:spt="32" type="#_x0000_t32" style="position:absolute;left:1903095;top:370840;height:203200;width:0;"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ctHXtcAAAAFAQAADwAAAAAAAAABACAAAAAiAAAAZHJzL2Rvd25yZXYueG1sUEsBAhQA&#10;FAAAAAgAh07iQCYtg9gsAgAAMAQAAA4AAAAAAAAAAQAgAAAAJgEAAGRycy9lMm9Eb2MueG1sUEsF&#10;BgAAAAAGAAYAWQEAAMQFAAAAAA==&#10;">
                        <v:fill on="f" focussize="0,0"/>
                        <v:stroke weight="1.5pt" color="#000000" joinstyle="round" endarrow="block"/>
                        <v:imagedata o:title=""/>
                        <o:lock v:ext="edit" aspectratio="f"/>
                      </v:shape>
                      <v:shape id="_x0000_s1026" o:spid="_x0000_s1026" o:spt="32" type="#_x0000_t32" style="position:absolute;left:4529455;top:897255;height:217805;width:2540;"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y0de1wAAAAUBAAAPAAAAAAAAAAEAIAAAACIAAABkcnMvZG93bnJldi54bWxQ&#10;SwECFAAUAAAACACHTuJAdkAEyzECAAAzBAAADgAAAAAAAAABACAAAAAmAQAAZHJzL2Uyb0RvYy54&#10;bWxQSwUGAAAAAAYABgBZAQAAyQUAAAAA&#10;">
                        <v:fill on="f" focussize="0,0"/>
                        <v:stroke weight="1.5pt" color="#000000" joinstyle="round" endarrow="block"/>
                        <v:imagedata o:title=""/>
                        <o:lock v:ext="edit" aspectratio="f"/>
                      </v:shape>
                      <v:shape id="_x0000_s1026" o:spid="_x0000_s1026" o:spt="32" type="#_x0000_t32" style="position:absolute;left:3754120;top:734060;flip:y;height:3810;width:22669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JtBbVAAAABQEAAA8AAAAAAAAAAQAgAAAAIgAAAGRycy9kb3ducmV2&#10;LnhtbFBLAQIUABQAAAAIAIdO4kBg79jMOAIAAD0EAAAOAAAAAAAAAAEAIAAAACQBAABkcnMvZTJv&#10;RG9jLnhtbFBLBQYAAAAABgAGAFkBAADOBQAAAAA=&#10;">
                        <v:fill on="f" focussize="0,0"/>
                        <v:stroke weight="1.5pt" color="#000000" joinstyle="round" endarrow="block"/>
                        <v:imagedata o:title=""/>
                        <o:lock v:ext="edit" aspectratio="f"/>
                      </v:shape>
                      <v:shape id="_x0000_s1026" o:spid="_x0000_s1026" o:spt="32" type="#_x0000_t32" style="position:absolute;left:2451100;top:737870;height:0;width:206375;"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ctHXtcAAAAFAQAADwAAAAAAAAABACAAAAAiAAAAZHJzL2Rvd25yZXYueG1sUEsB&#10;AhQAFAAAAAgAh07iQOUBbzcvAgAAMAQAAA4AAAAAAAAAAQAgAAAAJgEAAGRycy9lMm9Eb2MueG1s&#10;UEsFBgAAAAAGAAYAWQEAAMcFAAAAAA==&#10;">
                        <v:fill on="f" focussize="0,0"/>
                        <v:stroke weight="1.5pt" color="#000000" joinstyle="round" endarrow="block"/>
                        <v:imagedata o:title=""/>
                        <o:lock v:ext="edit" aspectratio="f"/>
                      </v:shape>
                      <v:shape id="_x0000_s1026" o:spid="_x0000_s1026" o:spt="32" type="#_x0000_t32" style="position:absolute;left:1868805;top:1445260;flip:x;height:243205;width:444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JtBbVAAAABQEAAA8AAAAAAAAAAQAgAAAAIgAAAGRycy9kb3ducmV2&#10;LnhtbFBLAQIUABQAAAAIAIdO4kChM047OAIAAD4EAAAOAAAAAAAAAAEAIAAAACQBAABkcnMvZTJv&#10;RG9jLnhtbFBLBQYAAAAABgAGAFkBAADOBQAAAAA=&#10;">
                        <v:fill on="f" focussize="0,0"/>
                        <v:stroke weight="1.5pt" color="#000000" joinstyle="round" endarrow="block"/>
                        <v:imagedata o:title=""/>
                        <o:lock v:ext="edit" aspectratio="f"/>
                      </v:shape>
                      <v:shape id="_x0000_s1026" o:spid="_x0000_s1026" o:spt="32" type="#_x0000_t32" style="position:absolute;left:3739515;top:1853565;height:1905;width:230505;"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ctHXtcAAAAFAQAADwAAAAAAAAABACAAAAAiAAAAZHJzL2Rvd25yZXYueG1sUEsB&#10;AhQAFAAAAAgAh07iQDKjE7UvAgAANAQAAA4AAAAAAAAAAQAgAAAAJgEAAGRycy9lMm9Eb2MueG1s&#10;UEsFBgAAAAAGAAYAWQEAAMcFAAAAAA==&#10;">
                        <v:fill on="f" focussize="0,0"/>
                        <v:stroke weight="1.5pt" color="#000000" joinstyle="round" endarrow="block"/>
                        <v:imagedata o:title=""/>
                        <o:lock v:ext="edit" aspectratio="f"/>
                      </v:shape>
                      <v:shape id="_x0000_s1026" o:spid="_x0000_s1026" o:spt="32" type="#_x0000_t32" style="position:absolute;left:3741420;top:2969260;height:7620;width:219710;"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ctHXtcAAAAFAQAADwAAAAAAAAABACAAAAAiAAAAZHJzL2Rvd25yZXYueG1s&#10;UEsBAhQAFAAAAAgAh07iQDCF18IyAgAANAQAAA4AAAAAAAAAAQAgAAAAJgEAAGRycy9lMm9Eb2Mu&#10;eG1sUEsFBgAAAAAGAAYAWQEAAMoFAAAAAA==&#10;">
                        <v:fill on="f" focussize="0,0"/>
                        <v:stroke weight="1.5pt" color="#000000" joinstyle="round" endarrow="block"/>
                        <v:imagedata o:title=""/>
                        <o:lock v:ext="edit" aspectratio="f"/>
                      </v:shape>
                      <v:shape id="_x0000_s1026" o:spid="_x0000_s1026" o:spt="32" type="#_x0000_t32" style="position:absolute;left:3755390;top:1277620;flip:x y;height:1270;width:227965;" filled="f" stroked="t" coordsize="21600,21600" o:gfxdata="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PdHd1wAAAAUBAAAPAAAAAAAAAAEAIAAAACIAAABkcnMv&#10;ZG93bnJldi54bWxQSwECFAAUAAAACACHTuJAgFx7ej0CAABKBAAADgAAAAAAAAABACAAAAAmAQAA&#10;ZHJzL2Uyb0RvYy54bWxQSwUGAAAAAAYABgBZAQAA1QUAAAAA&#10;">
                        <v:fill on="f" focussize="0,0"/>
                        <v:stroke weight="1.5pt" color="#000000" joinstyle="round" endarrow="block"/>
                        <v:imagedata o:title=""/>
                        <o:lock v:ext="edit" aspectratio="f"/>
                      </v:shape>
                      <v:shape id="_x0000_s1026" o:spid="_x0000_s1026" o:spt="32" type="#_x0000_t32" style="position:absolute;left:2421255;top:1277620;flip:x;height:4445;width:237490;"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0m0FtUAAAAFAQAADwAAAAAAAAABACAAAAAiAAAAZHJzL2Rvd25y&#10;ZXYueG1sUEsBAhQAFAAAAAgAh07iQMH1cYE6AgAAQAQAAA4AAAAAAAAAAQAgAAAAJAEAAGRycy9l&#10;Mm9Eb2MueG1sUEsFBgAAAAAGAAYAWQEAANAFAAAAAA==&#10;">
                        <v:fill on="f" focussize="0,0"/>
                        <v:stroke weight="1.5pt" color="#000000" joinstyle="round" endarrow="block"/>
                        <v:imagedata o:title=""/>
                        <o:lock v:ext="edit" aspectratio="f"/>
                      </v:shape>
                      <v:shape id="_x0000_s1026" o:spid="_x0000_s1026" o:spt="32" type="#_x0000_t32" style="position:absolute;left:1143635;top:1282065;flip:x;height:5080;width:18097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SbQW1QAAAAUBAAAPAAAAAAAAAAEAIAAAACIAAABkcnMvZG93bnJl&#10;di54bWxQSwECFAAUAAAACACHTuJAjT6OhzkCAABABAAADgAAAAAAAAABACAAAAAkAQAAZHJzL2Uy&#10;b0RvYy54bWxQSwUGAAAAAAYABgBZAQAAzwUAAAAA&#10;">
                        <v:fill on="f" focussize="0,0"/>
                        <v:stroke weight="1.5pt" color="#000000" joinstyle="round" endarrow="block"/>
                        <v:imagedata o:title=""/>
                        <o:lock v:ext="edit" aspectratio="f"/>
                      </v:shape>
                      <v:shape id="_x0000_s1026" o:spid="_x0000_s1026" o:spt="32" type="#_x0000_t32" style="position:absolute;left:3191510;top:2016760;flip:y;height:226060;width:0;"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0m0FtUAAAAFAQAADwAAAAAAAAABACAAAAAiAAAAZHJzL2Rvd25yZXYueG1s&#10;UEsBAhQAFAAAAAgAh07iQB1TbDY0AgAAPQQAAA4AAAAAAAAAAQAgAAAAJAEAAGRycy9lMm9Eb2Mu&#10;eG1sUEsFBgAAAAAGAAYAWQEAAMoFAAAAAA==&#10;">
                        <v:fill on="f" focussize="0,0"/>
                        <v:stroke weight="1.5pt" color="#000000" joinstyle="round" endarrow="block"/>
                        <v:imagedata o:title=""/>
                        <o:lock v:ext="edit" aspectratio="f"/>
                      </v:shape>
                      <v:shape id="_x0000_s1026" o:spid="_x0000_s1026" o:spt="32" type="#_x0000_t32" style="position:absolute;left:2421255;top:2401570;height:5080;width:221615;"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y0de1wAAAAUBAAAPAAAAAAAAAAEAIAAAACIAAABkcnMvZG93bnJldi54bWxQ&#10;SwECFAAUAAAACACHTuJA/BvuQTECAAA2BAAADgAAAAAAAAABACAAAAAmAQAAZHJzL2Uyb0RvYy54&#10;bWxQSwUGAAAAAAYABgBZAQAAyQUAAAAA&#10;">
                        <v:fill on="f" focussize="0,0"/>
                        <v:stroke weight="1.5pt" color="#000000" joinstyle="round" endarrow="block"/>
                        <v:imagedata o:title=""/>
                        <o:lock v:ext="edit" aspectratio="f"/>
                      </v:shape>
                      <v:shape id="_x0000_s1026" o:spid="_x0000_s1026" o:spt="32" type="#_x0000_t32" style="position:absolute;left:1136015;top:2401570;flip:y;height:1270;width:18859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0m0FtUAAAAFAQAADwAAAAAAAAABACAAAAAiAAAAZHJzL2Rvd25yZXYueG1s&#10;UEsBAhQAFAAAAAgAh07iQN0JH3w0AgAAQAQAAA4AAAAAAAAAAQAgAAAAJAEAAGRycy9lMm9Eb2Mu&#10;eG1sUEsFBgAAAAAGAAYAWQEAAMoFAAAAAA==&#10;">
                        <v:fill on="f" focussize="0,0"/>
                        <v:stroke weight="1.5pt" color="#000000" joinstyle="round" endarrow="block"/>
                        <v:imagedata o:title=""/>
                        <o:lock v:ext="edit" aspectratio="f"/>
                      </v:shape>
                      <v:shape id="_x0000_s1026" o:spid="_x0000_s1026" o:spt="32" type="#_x0000_t32" style="position:absolute;left:588010;top:1450340;flip:x;height:788670;width:7620;"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0m0FtUAAAAFAQAADwAAAAAAAAABACAAAAAiAAAAZHJzL2Rvd25yZXYu&#10;eG1sUEsBAhQAFAAAAAgAh07iQKcYu/E3AgAAPwQAAA4AAAAAAAAAAQAgAAAAJAEAAGRycy9lMm9E&#10;b2MueG1sUEsFBgAAAAAGAAYAWQEAAM0FAAAAAA==&#10;">
                        <v:fill on="f" focussize="0,0"/>
                        <v:stroke weight="1.5pt" color="#000000" joinstyle="round" endarrow="block"/>
                        <v:imagedata o:title=""/>
                        <o:lock v:ext="edit" aspectratio="f"/>
                      </v:shape>
                      <v:shape id="_x0000_s1026" o:spid="_x0000_s1026" o:spt="32" type="#_x0000_t32" style="position:absolute;left:3739515;top:2406650;height:1905;width:232410;" filled="f" stroked="t" coordsize="21600,21600" o:gfxdata="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y0de1wAAAAUBAAAPAAAAAAAAAAEAIAAAACIAAABkcnMvZG93bnJldi54bWxQ&#10;SwECFAAUAAAACACHTuJA/rtIZjECAAA2BAAADgAAAAAAAAABACAAAAAmAQAAZHJzL2Uyb0RvYy54&#10;bWxQSwUGAAAAAAYABgBZAQAAyQUAAAAA&#10;">
                        <v:fill on="f" focussize="0,0"/>
                        <v:stroke weight="1.5pt" color="#000000" joinstyle="round" endarrow="block"/>
                        <v:imagedata o:title=""/>
                        <o:lock v:ext="edit" aspectratio="f"/>
                      </v:shape>
                      <v:shape id="_x0000_s1026" o:spid="_x0000_s1026" o:spt="176" type="#_x0000_t176" style="position:absolute;left:2642870;top:1689735;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Qk5xa9UAAAAFAQAADwAAAAAA&#10;AAABACAAAAAiAAAAZHJzL2Rvd25yZXYueG1sUEsBAhQAFAAAAAgAh07iQNekBubBAgAAVQUAAA4A&#10;AAAAAAAAAQAgAAAAJAEAAGRycy9lMm9Eb2MueG1sUEsFBgAAAAAGAAYAWQEAAFcGAAAAAA==&#10;">
                        <v:fill on="t" focussize="0,0"/>
                        <v:stroke weight="0.5pt" color="#000000" joinstyle="round" endarrow="block"/>
                        <v:imagedata o:title=""/>
                        <o:lock v:ext="edit" aspectratio="f"/>
                        <v:textbox>
                          <w:txbxContent>
                            <w:p w14:paraId="76F35BC6">
                              <w:pPr>
                                <w:widowControl/>
                                <w:jc w:val="center"/>
                                <w:rPr>
                                  <w:rFonts w:hint="default" w:ascii="宋体" w:hAnsi="宋体" w:eastAsia="宋体" w:cs="Times New Roman"/>
                                  <w:kern w:val="0"/>
                                  <w:sz w:val="24"/>
                                  <w:szCs w:val="20"/>
                                  <w:lang w:val="en-US" w:eastAsia="zh-CN"/>
                                </w:rPr>
                              </w:pPr>
                              <w:r>
                                <w:rPr>
                                  <w:rFonts w:hint="eastAsia" w:cs="Times New Roman"/>
                                  <w:kern w:val="0"/>
                                  <w:sz w:val="24"/>
                                  <w:szCs w:val="20"/>
                                  <w:lang w:val="en-US" w:eastAsia="zh-CN"/>
                                </w:rPr>
                                <w:t>蒸发冷凝液</w:t>
                              </w:r>
                            </w:p>
                          </w:txbxContent>
                        </v:textbox>
                      </v:shape>
                      <v:shape id="_x0000_s1026" o:spid="_x0000_s1026" o:spt="34" type="#_x0000_t34" style="position:absolute;left:3737610;top:895350;height:1340485;width:247650;rotation:5898240f;" filled="f" stroked="t" coordsize="21600,21600" o:gfxdata="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gMZ4PVAAAABQEAAA8AAAAAAAAAAQAgAAAAIgAAAGRycy9kb3ducmV2Lnht&#10;bFBLAQIUABQAAAAIAIdO4kALbixVNQIAACwEAAAOAAAAAAAAAAEAIAAAACQBAABkcnMvZTJvRG9j&#10;LnhtbFBLBQYAAAAABgAGAFkBAADLBQAAAAA=&#10;" adj="7892">
                        <v:fill on="f" focussize="0,0"/>
                        <v:stroke weight="2pt" color="#000000" joinstyle="round" endarrow="block"/>
                        <v:imagedata o:title=""/>
                        <o:lock v:ext="edit" aspectratio="f"/>
                      </v:shape>
                      <v:shape id="_x0000_s1026" o:spid="_x0000_s1026" o:spt="176" type="#_x0000_t176" style="position:absolute;left:3961130;top:2813050;height:327025;width:1096645;v-text-anchor:middle;" fillcolor="#FFFFFF" filled="t" stroked="t" coordsize="21600,21600" o:gfxdata="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JOcWvVAAAABQEAAA8AAAAAAAAAAQAg&#10;AAAAIgAAAGRycy9kb3ducmV2LnhtbFBLAQIUABQAAAAIAIdO4kBaNPu6vAIAAFUFAAAOAAAAAAAA&#10;AAEAIAAAACQBAABkcnMvZTJvRG9jLnhtbFBLBQYAAAAABgAGAFkBAABSBgAAAAA=&#10;">
                        <v:fill on="t" focussize="0,0"/>
                        <v:stroke weight="0.5pt" color="#000000" joinstyle="round" endarrow="block"/>
                        <v:imagedata o:title=""/>
                        <o:lock v:ext="edit" aspectratio="f"/>
                        <v:textbox>
                          <w:txbxContent>
                            <w:p w14:paraId="53D7C4D0">
                              <w:pPr>
                                <w:widowControl/>
                                <w:jc w:val="center"/>
                                <w:rPr>
                                  <w:rFonts w:hint="default" w:ascii="宋体" w:hAnsi="宋体" w:eastAsia="宋体" w:cs="Times New Roman"/>
                                  <w:kern w:val="0"/>
                                  <w:sz w:val="24"/>
                                  <w:szCs w:val="20"/>
                                  <w:lang w:val="en-US" w:eastAsia="zh-CN"/>
                                </w:rPr>
                              </w:pPr>
                              <w:r>
                                <w:rPr>
                                  <w:rFonts w:hint="eastAsia" w:ascii="宋体" w:hAnsi="宋体" w:eastAsia="宋体" w:cs="Times New Roman"/>
                                  <w:kern w:val="0"/>
                                  <w:sz w:val="24"/>
                                  <w:szCs w:val="20"/>
                                  <w:lang w:val="en-US" w:eastAsia="zh-CN"/>
                                </w:rPr>
                                <w:t>硫氰</w:t>
                              </w:r>
                              <w:r>
                                <w:rPr>
                                  <w:rFonts w:hint="eastAsia" w:cs="Times New Roman"/>
                                  <w:kern w:val="0"/>
                                  <w:sz w:val="24"/>
                                  <w:szCs w:val="20"/>
                                  <w:lang w:val="en-US" w:eastAsia="zh-CN"/>
                                </w:rPr>
                                <w:t>母液</w:t>
                              </w:r>
                            </w:p>
                          </w:txbxContent>
                        </v:textbox>
                      </v:shape>
                      <v:shape id="_x0000_s1026" o:spid="_x0000_s1026" o:spt="32" type="#_x0000_t32" style="position:absolute;left:587375;top:2566035;flip:x;height:251460;width:635;"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9JtBbVAAAABQEAAA8AAAAAAAAAAQAgAAAAIgAAAGRycy9kb3ducmV2Lnht&#10;bFBLAQIUABQAAAAIAIdO4kCR4sxANQIAADoEAAAOAAAAAAAAAAEAIAAAACQBAABkcnMvZTJvRG9j&#10;LnhtbFBLBQYAAAAABgAGAFkBAADLBQAAAAA=&#10;">
                        <v:fill on="f" focussize="0,0"/>
                        <v:stroke weight="1.5pt" color="#000000" joinstyle="round" endarrow="block"/>
                        <v:imagedata o:title=""/>
                        <o:lock v:ext="edit" aspectratio="f"/>
                      </v:shape>
                      <v:shape id="_x0000_s1026" o:spid="_x0000_s1026" o:spt="32" type="#_x0000_t32" style="position:absolute;left:2425065;top:2969260;flip:x;height:8890;width:219710;" filled="f" stroked="t" coordsize="21600,21600" o:gfxdata="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0m0FtUAAAAFAQAADwAAAAAAAAABACAAAAAiAAAAZHJzL2Rvd25yZXYu&#10;eG1sUEsBAhQAFAAAAAgAh07iQAjMlgc3AgAAPAQAAA4AAAAAAAAAAQAgAAAAJAEAAGRycy9lMm9E&#10;b2MueG1sUEsFBgAAAAAGAAYAWQEAAM0FAAAAAA==&#10;">
                        <v:fill on="f" focussize="0,0"/>
                        <v:stroke weight="1.5pt" color="#000000" joinstyle="round" endarrow="block"/>
                        <v:imagedata o:title=""/>
                        <o:lock v:ext="edit" aspectratio="f"/>
                      </v:shape>
                      <v:shape id="_x0000_s1026" o:spid="_x0000_s1026" o:spt="34" type="#_x0000_t34" style="position:absolute;left:3740150;top:2025015;height:1327150;width:233680;rotation:5898240f;" filled="f" stroked="t" coordsize="21600,21600" o:gfxdata="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RzP9YAAAAFAQAADwAAAAAAAAABACAAAAAiAAAAZHJzL2Rvd25yZXYueG1s&#10;UEsBAhQAFAAAAAgAh07iQA+8khUzAgAALQQAAA4AAAAAAAAAAQAgAAAAJQEAAGRycy9lMm9Eb2Mu&#10;eG1sUEsFBgAAAAAGAAYAWQEAAMoFAAAAAA==&#10;" adj="10800">
                        <v:fill on="f" focussize="0,0"/>
                        <v:stroke weight="2pt" color="#000000" joinstyle="round" endarrow="block"/>
                        <v:imagedata o:title=""/>
                        <o:lock v:ext="edit" aspectratio="f"/>
                      </v:shape>
                      <v:shape id="_x0000_s1026" o:spid="_x0000_s1026" o:spt="34" type="#_x0000_t34" style="position:absolute;left:5057775;top:734060;flip:y;height:2242820;width:19685;" filled="f" stroked="t" coordsize="21600,21600" o:gfxdata="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xQyN0wAAAAUBAAAPAAAAAAAAAAEAIAAAACIAAABkcnMvZG93bnJldi54bWxQ&#10;SwECFAAUAAAACACHTuJAMEqw7jUCAAAoBAAADgAAAAAAAAABACAAAAAiAQAAZHJzL2Uyb0RvYy54&#10;bWxQSwUGAAAAAAYABgBZAQAAyQUAAAAA&#10;" adj="175587">
                        <v:fill on="f" focussize="0,0"/>
                        <v:stroke weight="2pt" color="#000000" joinstyle="round" endarrow="block"/>
                        <v:imagedata o:title=""/>
                        <o:lock v:ext="edit" aspectratio="f"/>
                      </v:shape>
                      <w10:wrap type="none"/>
                      <w10:anchorlock/>
                    </v:group>
                  </w:pict>
                </mc:Fallback>
              </mc:AlternateContent>
            </w:r>
          </w:p>
          <w:p w14:paraId="37AB8256">
            <w:pPr>
              <w:keepNext w:val="0"/>
              <w:keepLines/>
              <w:pageBreakBefore w:val="0"/>
              <w:numPr>
                <w:ilvl w:val="0"/>
                <w:numId w:val="0"/>
              </w:numPr>
              <w:kinsoku/>
              <w:wordWrap/>
              <w:overflowPunct/>
              <w:topLinePunct w:val="0"/>
              <w:bidi w:val="0"/>
              <w:spacing w:line="360" w:lineRule="auto"/>
              <w:ind w:left="240" w:leftChars="0"/>
              <w:jc w:val="center"/>
              <w:textAlignment w:val="auto"/>
              <w:rPr>
                <w:rFonts w:hint="default" w:ascii="Times New Roman" w:hAnsi="Times New Roman" w:cs="Times New Roman"/>
                <w:b/>
                <w:bCs/>
                <w:color w:val="000000"/>
                <w:sz w:val="24"/>
                <w:highlight w:val="none"/>
                <w:lang w:eastAsia="zh-CN"/>
              </w:rPr>
            </w:pPr>
          </w:p>
          <w:p w14:paraId="2A1F0554">
            <w:pPr>
              <w:keepNext w:val="0"/>
              <w:keepLines/>
              <w:pageBreakBefore w:val="0"/>
              <w:numPr>
                <w:ilvl w:val="0"/>
                <w:numId w:val="0"/>
              </w:numPr>
              <w:kinsoku/>
              <w:wordWrap/>
              <w:overflowPunct/>
              <w:topLinePunct w:val="0"/>
              <w:bidi w:val="0"/>
              <w:spacing w:line="360" w:lineRule="auto"/>
              <w:ind w:left="240" w:leftChars="0"/>
              <w:jc w:val="center"/>
              <w:textAlignment w:val="auto"/>
              <w:rPr>
                <w:rFonts w:hint="default" w:ascii="Times New Roman" w:hAnsi="Times New Roman" w:cs="Times New Roman"/>
                <w:b/>
                <w:bCs/>
                <w:color w:val="000000"/>
                <w:sz w:val="24"/>
                <w:highlight w:val="none"/>
                <w:lang w:eastAsia="zh-CN"/>
              </w:rPr>
            </w:pPr>
          </w:p>
          <w:p w14:paraId="2628B64F">
            <w:pPr>
              <w:keepNext w:val="0"/>
              <w:keepLines/>
              <w:pageBreakBefore w:val="0"/>
              <w:numPr>
                <w:ilvl w:val="0"/>
                <w:numId w:val="0"/>
              </w:numPr>
              <w:kinsoku/>
              <w:wordWrap/>
              <w:overflowPunct/>
              <w:topLinePunct w:val="0"/>
              <w:bidi w:val="0"/>
              <w:spacing w:line="360" w:lineRule="auto"/>
              <w:ind w:left="240" w:leftChars="0"/>
              <w:jc w:val="center"/>
              <w:textAlignment w:val="auto"/>
              <w:rPr>
                <w:rFonts w:hint="default" w:ascii="Times New Roman" w:hAnsi="Times New Roman" w:cs="Times New Roman"/>
                <w:b w:val="0"/>
                <w:bCs/>
                <w:color w:val="000000"/>
                <w:sz w:val="24"/>
                <w:highlight w:val="none"/>
                <w:lang w:eastAsia="zh-CN"/>
              </w:rPr>
            </w:pPr>
            <w:r>
              <w:rPr>
                <w:rFonts w:hint="default" w:ascii="Times New Roman" w:hAnsi="Times New Roman" w:cs="Times New Roman"/>
                <w:b/>
                <w:bCs/>
                <w:color w:val="000000"/>
                <w:sz w:val="24"/>
                <w:highlight w:val="none"/>
                <w:lang w:eastAsia="zh-CN"/>
              </w:rPr>
              <w:t>图</w:t>
            </w:r>
            <w:r>
              <w:rPr>
                <w:rFonts w:hint="default" w:ascii="Times New Roman" w:hAnsi="Times New Roman" w:cs="Times New Roman"/>
                <w:b/>
                <w:bCs/>
                <w:color w:val="000000"/>
                <w:sz w:val="24"/>
                <w:highlight w:val="none"/>
                <w:lang w:val="en-US" w:eastAsia="zh-CN"/>
              </w:rPr>
              <w:t>2-</w:t>
            </w:r>
            <w:r>
              <w:rPr>
                <w:rFonts w:hint="eastAsia" w:ascii="Times New Roman" w:hAnsi="Times New Roman" w:cs="Times New Roman"/>
                <w:b/>
                <w:bCs/>
                <w:color w:val="000000"/>
                <w:sz w:val="24"/>
                <w:highlight w:val="none"/>
                <w:lang w:val="en-US" w:eastAsia="zh-CN"/>
              </w:rPr>
              <w:t>4</w:t>
            </w:r>
            <w:r>
              <w:rPr>
                <w:rFonts w:hint="default" w:ascii="Times New Roman" w:hAnsi="Times New Roman" w:cs="Times New Roman"/>
                <w:b/>
                <w:bCs/>
                <w:color w:val="000000"/>
                <w:sz w:val="24"/>
                <w:highlight w:val="none"/>
                <w:lang w:val="en-US" w:eastAsia="zh-CN"/>
              </w:rPr>
              <w:t xml:space="preserve"> </w:t>
            </w:r>
            <w:r>
              <w:rPr>
                <w:rFonts w:hint="eastAsia" w:ascii="Times New Roman" w:hAnsi="Times New Roman" w:cs="Times New Roman"/>
                <w:b/>
                <w:bCs/>
                <w:color w:val="000000"/>
                <w:sz w:val="24"/>
                <w:highlight w:val="none"/>
                <w:lang w:val="en-US" w:eastAsia="zh-CN"/>
              </w:rPr>
              <w:t>脱硫废水处理</w:t>
            </w:r>
            <w:r>
              <w:rPr>
                <w:rFonts w:hint="default" w:ascii="Times New Roman" w:hAnsi="Times New Roman" w:cs="Times New Roman"/>
                <w:b/>
                <w:bCs/>
                <w:color w:val="000000"/>
                <w:sz w:val="24"/>
                <w:highlight w:val="none"/>
                <w:lang w:val="en-US" w:eastAsia="zh-CN"/>
              </w:rPr>
              <w:t>系统工艺流程图</w:t>
            </w:r>
          </w:p>
          <w:p w14:paraId="4FA4DDAB">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default" w:ascii="Times New Roman" w:hAnsi="Times New Roman" w:cs="Times New Roman"/>
                <w:b w:val="0"/>
                <w:bCs/>
                <w:color w:val="000000"/>
                <w:sz w:val="24"/>
                <w:szCs w:val="24"/>
                <w:highlight w:val="none"/>
                <w:lang w:eastAsia="zh-CN"/>
              </w:rPr>
            </w:pPr>
            <w:r>
              <w:rPr>
                <w:rFonts w:hint="default" w:ascii="Times New Roman" w:hAnsi="Times New Roman" w:cs="Times New Roman"/>
                <w:b/>
                <w:color w:val="000000"/>
                <w:sz w:val="24"/>
                <w:szCs w:val="24"/>
                <w:highlight w:val="none"/>
                <w:lang w:val="en-US" w:eastAsia="zh-CN"/>
              </w:rPr>
              <w:t>工艺流程简述</w:t>
            </w:r>
            <w:r>
              <w:rPr>
                <w:rFonts w:hint="eastAsia" w:ascii="Times New Roman" w:hAnsi="Times New Roman" w:cs="Times New Roman"/>
                <w:b/>
                <w:color w:val="000000"/>
                <w:sz w:val="24"/>
                <w:szCs w:val="24"/>
                <w:highlight w:val="none"/>
                <w:lang w:val="en-US" w:eastAsia="zh-CN"/>
              </w:rPr>
              <w:t>：</w:t>
            </w:r>
          </w:p>
          <w:p w14:paraId="4E64D40F">
            <w:pPr>
              <w:keepNext w:val="0"/>
              <w:keepLines/>
              <w:pageBreakBefore w:val="0"/>
              <w:widowControl w:val="0"/>
              <w:kinsoku/>
              <w:wordWrap/>
              <w:overflowPunct/>
              <w:topLinePunct w:val="0"/>
              <w:autoSpaceDE/>
              <w:autoSpaceDN/>
              <w:bidi w:val="0"/>
              <w:adjustRightInd w:val="0"/>
              <w:snapToGrid w:val="0"/>
              <w:spacing w:line="360" w:lineRule="auto"/>
              <w:ind w:left="0" w:right="0" w:firstLine="566"/>
              <w:jc w:val="both"/>
              <w:textAlignment w:val="auto"/>
              <w:rPr>
                <w:rFonts w:hint="default" w:ascii="宋体" w:hAnsi="宋体" w:eastAsia="宋体" w:cs="宋体"/>
                <w:color w:val="000000"/>
                <w:spacing w:val="-1"/>
                <w:sz w:val="24"/>
                <w:szCs w:val="24"/>
                <w:highlight w:val="none"/>
                <w:lang w:val="en-US" w:eastAsia="zh-CN"/>
              </w:rPr>
            </w:pPr>
            <w:r>
              <w:rPr>
                <w:rFonts w:hint="eastAsia" w:ascii="宋体" w:hAnsi="宋体" w:eastAsia="宋体" w:cs="宋体"/>
                <w:color w:val="000000"/>
                <w:spacing w:val="-1"/>
                <w:sz w:val="24"/>
                <w:szCs w:val="24"/>
                <w:highlight w:val="none"/>
                <w:lang w:val="en-US" w:eastAsia="zh-CN"/>
              </w:rPr>
              <w:t>本处理装置主要针对现有工程脱硫废水（40m³/h）进行提盐处理，处理后的脱硫废水回用于脱硫系统。</w:t>
            </w:r>
          </w:p>
          <w:p w14:paraId="38E96811">
            <w:pPr>
              <w:keepNext w:val="0"/>
              <w:keepLines/>
              <w:pageBreakBefore w:val="0"/>
              <w:widowControl w:val="0"/>
              <w:kinsoku/>
              <w:wordWrap/>
              <w:overflowPunct/>
              <w:topLinePunct w:val="0"/>
              <w:autoSpaceDE/>
              <w:autoSpaceDN/>
              <w:bidi w:val="0"/>
              <w:adjustRightInd w:val="0"/>
              <w:snapToGrid w:val="0"/>
              <w:spacing w:line="360" w:lineRule="auto"/>
              <w:ind w:left="0" w:right="0" w:firstLine="566"/>
              <w:jc w:val="both"/>
              <w:textAlignment w:val="auto"/>
              <w:rPr>
                <w:rFonts w:ascii="宋体" w:hAnsi="宋体" w:eastAsia="宋体" w:cs="宋体"/>
                <w:color w:val="000000"/>
                <w:spacing w:val="-1"/>
                <w:sz w:val="24"/>
                <w:szCs w:val="24"/>
                <w:highlight w:val="none"/>
              </w:rPr>
            </w:pPr>
            <w:r>
              <w:rPr>
                <w:rFonts w:ascii="宋体" w:hAnsi="宋体" w:eastAsia="宋体" w:cs="宋体"/>
                <w:color w:val="000000"/>
                <w:spacing w:val="-1"/>
                <w:sz w:val="24"/>
                <w:szCs w:val="24"/>
                <w:highlight w:val="none"/>
              </w:rPr>
              <w:t>本项目采用</w:t>
            </w:r>
            <w:r>
              <w:rPr>
                <w:rFonts w:hint="eastAsia" w:ascii="宋体" w:hAnsi="宋体" w:eastAsia="宋体" w:cs="宋体"/>
                <w:color w:val="000000"/>
                <w:spacing w:val="-1"/>
                <w:sz w:val="24"/>
                <w:szCs w:val="24"/>
                <w:highlight w:val="none"/>
                <w:lang w:eastAsia="zh-CN"/>
              </w:rPr>
              <w:t>脱硫废水</w:t>
            </w:r>
            <w:r>
              <w:rPr>
                <w:rFonts w:ascii="宋体" w:hAnsi="宋体" w:eastAsia="宋体" w:cs="宋体"/>
                <w:color w:val="000000"/>
                <w:spacing w:val="-1"/>
                <w:sz w:val="24"/>
                <w:szCs w:val="24"/>
                <w:highlight w:val="none"/>
              </w:rPr>
              <w:t>分部结晶分离提纯技术，主要分为脱色、负压蒸发、分歩结晶、离心脱水几部分，其详细工艺流程如下：</w:t>
            </w:r>
          </w:p>
          <w:p w14:paraId="69D6FA46">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76" w:firstLineChars="200"/>
              <w:jc w:val="left"/>
              <w:textAlignment w:val="auto"/>
              <w:rPr>
                <w:rFonts w:hint="eastAsia" w:ascii="宋体" w:hAnsi="宋体" w:eastAsia="宋体" w:cs="宋体"/>
                <w:color w:val="000000"/>
                <w:spacing w:val="-2"/>
                <w:sz w:val="24"/>
                <w:szCs w:val="24"/>
                <w:highlight w:val="none"/>
                <w:lang w:val="en-US" w:eastAsia="zh-CN"/>
              </w:rPr>
            </w:pPr>
            <w:r>
              <w:rPr>
                <w:rFonts w:hint="eastAsia" w:ascii="宋体" w:hAnsi="宋体" w:eastAsia="宋体" w:cs="宋体"/>
                <w:color w:val="000000"/>
                <w:spacing w:val="-1"/>
                <w:sz w:val="24"/>
                <w:szCs w:val="24"/>
                <w:highlight w:val="none"/>
                <w:lang w:val="en-US" w:eastAsia="zh-CN"/>
              </w:rPr>
              <w:t>脱硫系统产生</w:t>
            </w:r>
            <w:r>
              <w:rPr>
                <w:rFonts w:ascii="宋体" w:hAnsi="宋体" w:eastAsia="宋体" w:cs="宋体"/>
                <w:color w:val="000000"/>
                <w:spacing w:val="-1"/>
                <w:sz w:val="24"/>
                <w:szCs w:val="24"/>
                <w:highlight w:val="none"/>
              </w:rPr>
              <w:t>的</w:t>
            </w:r>
            <w:r>
              <w:rPr>
                <w:rFonts w:hint="eastAsia" w:ascii="宋体" w:hAnsi="宋体" w:eastAsia="宋体" w:cs="宋体"/>
                <w:color w:val="000000"/>
                <w:spacing w:val="-1"/>
                <w:sz w:val="24"/>
                <w:szCs w:val="24"/>
                <w:highlight w:val="none"/>
                <w:lang w:eastAsia="zh-CN"/>
              </w:rPr>
              <w:t>脱硫废水</w:t>
            </w:r>
            <w:r>
              <w:rPr>
                <w:rFonts w:ascii="宋体" w:hAnsi="宋体" w:eastAsia="宋体" w:cs="宋体"/>
                <w:color w:val="000000"/>
                <w:spacing w:val="-1"/>
                <w:sz w:val="24"/>
                <w:szCs w:val="24"/>
                <w:highlight w:val="none"/>
              </w:rPr>
              <w:t>先通过进料泵输入到脱色釜中，加入活性炭对</w:t>
            </w:r>
            <w:r>
              <w:rPr>
                <w:rFonts w:hint="eastAsia" w:ascii="宋体" w:hAnsi="宋体" w:eastAsia="宋体" w:cs="宋体"/>
                <w:color w:val="000000"/>
                <w:spacing w:val="-1"/>
                <w:sz w:val="24"/>
                <w:szCs w:val="24"/>
                <w:highlight w:val="none"/>
                <w:lang w:eastAsia="zh-CN"/>
              </w:rPr>
              <w:t>脱硫废水</w:t>
            </w:r>
            <w:r>
              <w:rPr>
                <w:rFonts w:ascii="宋体" w:hAnsi="宋体" w:eastAsia="宋体" w:cs="宋体"/>
                <w:color w:val="000000"/>
                <w:spacing w:val="-1"/>
                <w:sz w:val="24"/>
                <w:szCs w:val="24"/>
                <w:highlight w:val="none"/>
              </w:rPr>
              <w:t>进行脱色处理，产生的废活性炭通过压滤机排出，脱色滤液进入中转罐内，中转罐的液体通过泵输入到浓缩系统中，浓缩料液从浓缩釜底部自流至硫酸钠结晶釜中，冷却降温到38℃左右析出结晶，将晶浆料液排入</w:t>
            </w:r>
            <w:r>
              <w:rPr>
                <w:rFonts w:ascii="宋体" w:hAnsi="宋体" w:eastAsia="宋体" w:cs="宋体"/>
                <w:color w:val="000000"/>
                <w:spacing w:val="-5"/>
                <w:sz w:val="24"/>
                <w:szCs w:val="24"/>
                <w:highlight w:val="none"/>
              </w:rPr>
              <w:t>硫酸钠压滤机进行过滤，过滤出的硫酸钠</w:t>
            </w:r>
            <w:r>
              <w:rPr>
                <w:rFonts w:hint="eastAsia" w:ascii="Times New Roman" w:hAnsi="Times New Roman" w:cs="Times New Roman"/>
                <w:color w:val="000000"/>
                <w:sz w:val="24"/>
                <w:szCs w:val="24"/>
                <w:highlight w:val="none"/>
                <w:lang w:val="en-US" w:eastAsia="zh-CN"/>
              </w:rPr>
              <w:t>若鉴定为危险废物，则作为危废管理，暂存于危废库，定期委托资质单位处理；若鉴定为非危险废物，且达到相应的副产品质量标准，则按照副产品外售；若鉴定为非危险废物，但不满足相应的副产品质量标准，则按照一般固废处理。</w:t>
            </w:r>
            <w:r>
              <w:rPr>
                <w:rFonts w:ascii="宋体" w:hAnsi="宋体" w:eastAsia="宋体" w:cs="宋体"/>
                <w:color w:val="000000"/>
                <w:spacing w:val="-5"/>
                <w:sz w:val="24"/>
                <w:szCs w:val="24"/>
                <w:highlight w:val="none"/>
              </w:rPr>
              <w:t>过滤后的滤液进入硫</w:t>
            </w:r>
            <w:r>
              <w:rPr>
                <w:rFonts w:ascii="宋体" w:hAnsi="宋体" w:eastAsia="宋体" w:cs="宋体"/>
                <w:color w:val="000000"/>
                <w:spacing w:val="-1"/>
                <w:sz w:val="24"/>
                <w:szCs w:val="24"/>
                <w:highlight w:val="none"/>
              </w:rPr>
              <w:t>代硫酸钠结晶釜，硫代硫酸钠充分结晶后进入离心机进行分离。分离后的硫代硫酸钠</w:t>
            </w:r>
            <w:r>
              <w:rPr>
                <w:rFonts w:hint="eastAsia" w:ascii="Times New Roman" w:hAnsi="Times New Roman" w:cs="Times New Roman"/>
                <w:color w:val="000000"/>
                <w:sz w:val="24"/>
                <w:szCs w:val="24"/>
                <w:highlight w:val="none"/>
                <w:lang w:val="en-US" w:eastAsia="zh-CN"/>
              </w:rPr>
              <w:t>若鉴定为危险废物，则作为危废管理，暂存于危废库，定期委托资质单位处理；若鉴定为一般固废，且达到相应的副产品质量标准，则按照副产品外售；若鉴定为一般固废，但不满足相应的副产品质量标准，则按照一般固废处理。</w:t>
            </w:r>
            <w:r>
              <w:rPr>
                <w:rFonts w:ascii="宋体" w:hAnsi="宋体" w:eastAsia="宋体" w:cs="宋体"/>
                <w:color w:val="000000"/>
                <w:spacing w:val="-1"/>
                <w:sz w:val="24"/>
                <w:szCs w:val="24"/>
                <w:highlight w:val="none"/>
              </w:rPr>
              <w:t>分离后的母液进入硫氰浓缩釜进行浓缩处理，处理</w:t>
            </w:r>
            <w:r>
              <w:rPr>
                <w:rFonts w:ascii="宋体" w:hAnsi="宋体" w:eastAsia="宋体" w:cs="宋体"/>
                <w:color w:val="000000"/>
                <w:spacing w:val="-5"/>
                <w:sz w:val="24"/>
                <w:szCs w:val="24"/>
                <w:highlight w:val="none"/>
              </w:rPr>
              <w:t>后的液体进入硫氰结晶釜，待结晶体饱和后进入离心机分离，分离得到的</w:t>
            </w:r>
            <w:r>
              <w:rPr>
                <w:rFonts w:ascii="宋体" w:hAnsi="宋体" w:eastAsia="宋体" w:cs="宋体"/>
                <w:color w:val="000000"/>
                <w:spacing w:val="-1"/>
                <w:sz w:val="24"/>
                <w:szCs w:val="24"/>
                <w:highlight w:val="none"/>
              </w:rPr>
              <w:t>硫氰酸钠</w:t>
            </w:r>
            <w:r>
              <w:rPr>
                <w:rFonts w:hint="eastAsia" w:ascii="Times New Roman" w:hAnsi="Times New Roman" w:cs="Times New Roman"/>
                <w:color w:val="000000"/>
                <w:sz w:val="24"/>
                <w:szCs w:val="24"/>
                <w:highlight w:val="none"/>
                <w:lang w:val="en-US" w:eastAsia="zh-CN"/>
              </w:rPr>
              <w:t>若鉴定为危险废物，则作为危废管理，暂存于危废库，定期委托资质单位处理；若鉴定为一般固废，且达到相应的副产品质量标准，则按照副产品外售；若鉴定为一般固废，但不满足相应的副产品质量标准，则按照一般固废处理</w:t>
            </w:r>
            <w:r>
              <w:rPr>
                <w:rFonts w:hint="eastAsia" w:ascii="宋体" w:hAnsi="宋体" w:eastAsia="宋体" w:cs="宋体"/>
                <w:color w:val="000000"/>
                <w:spacing w:val="-1"/>
                <w:sz w:val="24"/>
                <w:szCs w:val="24"/>
                <w:highlight w:val="none"/>
                <w:lang w:eastAsia="zh-CN"/>
              </w:rPr>
              <w:t>。</w:t>
            </w:r>
            <w:r>
              <w:rPr>
                <w:rFonts w:ascii="宋体" w:hAnsi="宋体" w:eastAsia="宋体" w:cs="宋体"/>
                <w:color w:val="000000"/>
                <w:spacing w:val="-1"/>
                <w:sz w:val="24"/>
                <w:szCs w:val="24"/>
                <w:highlight w:val="none"/>
              </w:rPr>
              <w:t>分离出的母液进入二次浓缩系统进行</w:t>
            </w:r>
            <w:r>
              <w:rPr>
                <w:rFonts w:ascii="宋体" w:hAnsi="宋体" w:eastAsia="宋体" w:cs="宋体"/>
                <w:color w:val="000000"/>
                <w:spacing w:val="-2"/>
                <w:sz w:val="24"/>
                <w:szCs w:val="24"/>
                <w:highlight w:val="none"/>
              </w:rPr>
              <w:t>浓缩。</w:t>
            </w:r>
            <w:r>
              <w:rPr>
                <w:rFonts w:hint="eastAsia" w:ascii="宋体" w:hAnsi="宋体" w:eastAsia="宋体" w:cs="宋体"/>
                <w:color w:val="000000"/>
                <w:spacing w:val="-2"/>
                <w:sz w:val="24"/>
                <w:szCs w:val="24"/>
                <w:highlight w:val="none"/>
                <w:lang w:val="en-US" w:eastAsia="zh-CN"/>
              </w:rPr>
              <w:t>蒸发过程产生的蒸汽冷凝水回用于脱硫系统。</w:t>
            </w:r>
          </w:p>
          <w:p w14:paraId="7424FFBD">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根据工程设计，脱硫废水处理产生的硫氰酸钠、硫代硫酸钠和硫酸钠执行质量标准见表2-8、2-9、2-10。</w:t>
            </w:r>
          </w:p>
          <w:p w14:paraId="5CE3DDDB">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2" w:firstLineChars="200"/>
              <w:jc w:val="center"/>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表2-8 《工业硫氰酸钠》（HG/T 3812-2006）</w:t>
            </w:r>
          </w:p>
          <w:p w14:paraId="213AE111">
            <w:pPr>
              <w:spacing w:line="110" w:lineRule="exact"/>
              <w:rPr>
                <w:color w:val="000000"/>
                <w:highlight w:val="none"/>
              </w:rPr>
            </w:pPr>
          </w:p>
          <w:tbl>
            <w:tblPr>
              <w:tblStyle w:val="24"/>
              <w:tblW w:w="82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1"/>
              <w:gridCol w:w="4028"/>
            </w:tblGrid>
            <w:tr w14:paraId="1339F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 w:hRule="atLeast"/>
                <w:jc w:val="center"/>
              </w:trPr>
              <w:tc>
                <w:tcPr>
                  <w:tcW w:w="4271" w:type="dxa"/>
                  <w:vMerge w:val="restart"/>
                  <w:tcBorders>
                    <w:bottom w:val="nil"/>
                  </w:tcBorders>
                  <w:noWrap w:val="0"/>
                  <w:vAlign w:val="center"/>
                </w:tcPr>
                <w:p w14:paraId="74EC7200">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000000"/>
                      <w:sz w:val="21"/>
                      <w:szCs w:val="21"/>
                      <w:highlight w:val="none"/>
                    </w:rPr>
                  </w:pPr>
                  <w:r>
                    <w:rPr>
                      <w:b/>
                      <w:bCs/>
                      <w:color w:val="000000"/>
                      <w:spacing w:val="-4"/>
                      <w:sz w:val="21"/>
                      <w:szCs w:val="21"/>
                      <w:highlight w:val="none"/>
                    </w:rPr>
                    <w:t>项目</w:t>
                  </w:r>
                </w:p>
              </w:tc>
              <w:tc>
                <w:tcPr>
                  <w:tcW w:w="4028" w:type="dxa"/>
                  <w:noWrap w:val="0"/>
                  <w:vAlign w:val="center"/>
                </w:tcPr>
                <w:p w14:paraId="525BA48D">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000000"/>
                      <w:sz w:val="21"/>
                      <w:szCs w:val="21"/>
                      <w:highlight w:val="none"/>
                    </w:rPr>
                  </w:pPr>
                  <w:r>
                    <w:rPr>
                      <w:b/>
                      <w:bCs/>
                      <w:color w:val="000000"/>
                      <w:spacing w:val="-4"/>
                      <w:sz w:val="21"/>
                      <w:szCs w:val="21"/>
                      <w:highlight w:val="none"/>
                    </w:rPr>
                    <w:t>指标</w:t>
                  </w:r>
                </w:p>
              </w:tc>
            </w:tr>
            <w:tr w14:paraId="4FF95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vMerge w:val="continue"/>
                  <w:tcBorders>
                    <w:top w:val="nil"/>
                  </w:tcBorders>
                  <w:noWrap w:val="0"/>
                  <w:vAlign w:val="center"/>
                </w:tcPr>
                <w:p w14:paraId="3874B0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b/>
                      <w:bCs/>
                      <w:color w:val="000000"/>
                      <w:sz w:val="21"/>
                      <w:szCs w:val="21"/>
                      <w:highlight w:val="none"/>
                    </w:rPr>
                  </w:pPr>
                </w:p>
              </w:tc>
              <w:tc>
                <w:tcPr>
                  <w:tcW w:w="4028" w:type="dxa"/>
                  <w:noWrap w:val="0"/>
                  <w:vAlign w:val="center"/>
                </w:tcPr>
                <w:p w14:paraId="6ED41E71">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b/>
                      <w:bCs/>
                      <w:color w:val="000000"/>
                      <w:sz w:val="21"/>
                      <w:szCs w:val="21"/>
                      <w:highlight w:val="none"/>
                      <w:lang w:eastAsia="zh-CN"/>
                    </w:rPr>
                  </w:pPr>
                  <w:r>
                    <w:rPr>
                      <w:rFonts w:hint="eastAsia" w:eastAsia="宋体"/>
                      <w:b/>
                      <w:bCs/>
                      <w:color w:val="000000"/>
                      <w:spacing w:val="-4"/>
                      <w:sz w:val="21"/>
                      <w:szCs w:val="21"/>
                      <w:highlight w:val="none"/>
                      <w:lang w:val="en-US" w:eastAsia="zh-CN"/>
                    </w:rPr>
                    <w:t>合格品</w:t>
                  </w:r>
                </w:p>
              </w:tc>
            </w:tr>
            <w:tr w14:paraId="61530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51A946A9">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000000"/>
                      <w:sz w:val="21"/>
                      <w:szCs w:val="21"/>
                      <w:highlight w:val="none"/>
                    </w:rPr>
                  </w:pPr>
                  <w:r>
                    <w:rPr>
                      <w:color w:val="000000"/>
                      <w:spacing w:val="-2"/>
                      <w:sz w:val="21"/>
                      <w:szCs w:val="21"/>
                      <w:highlight w:val="none"/>
                    </w:rPr>
                    <w:t>硫氰酸钠（</w:t>
                  </w:r>
                  <w:r>
                    <w:rPr>
                      <w:rFonts w:ascii="Times New Roman" w:hAnsi="Times New Roman" w:eastAsia="Times New Roman" w:cs="Times New Roman"/>
                      <w:color w:val="000000"/>
                      <w:spacing w:val="-2"/>
                      <w:sz w:val="21"/>
                      <w:szCs w:val="21"/>
                      <w:highlight w:val="none"/>
                    </w:rPr>
                    <w:t>NaCNS</w:t>
                  </w:r>
                  <w:r>
                    <w:rPr>
                      <w:color w:val="000000"/>
                      <w:spacing w:val="-2"/>
                      <w:sz w:val="21"/>
                      <w:szCs w:val="21"/>
                      <w:highlight w:val="none"/>
                    </w:rPr>
                    <w:t>）</w:t>
                  </w:r>
                </w:p>
                <w:p w14:paraId="1C787E85">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17"/>
                      <w:sz w:val="21"/>
                      <w:szCs w:val="21"/>
                      <w:highlight w:val="none"/>
                    </w:rPr>
                    <w:t>质量分数，</w:t>
                  </w:r>
                  <w:r>
                    <w:rPr>
                      <w:color w:val="000000"/>
                      <w:spacing w:val="-24"/>
                      <w:sz w:val="21"/>
                      <w:szCs w:val="21"/>
                      <w:highlight w:val="none"/>
                    </w:rPr>
                    <w:t xml:space="preserve"> </w:t>
                  </w:r>
                  <w:r>
                    <w:rPr>
                      <w:rFonts w:ascii="Times New Roman" w:hAnsi="Times New Roman" w:eastAsia="Times New Roman" w:cs="Times New Roman"/>
                      <w:color w:val="000000"/>
                      <w:spacing w:val="-17"/>
                      <w:sz w:val="21"/>
                      <w:szCs w:val="21"/>
                      <w:highlight w:val="none"/>
                    </w:rPr>
                    <w:t>%</w:t>
                  </w:r>
                </w:p>
              </w:tc>
              <w:tc>
                <w:tcPr>
                  <w:tcW w:w="4028" w:type="dxa"/>
                  <w:noWrap w:val="0"/>
                  <w:vAlign w:val="center"/>
                </w:tcPr>
                <w:p w14:paraId="192B17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3"/>
                      <w:sz w:val="21"/>
                      <w:szCs w:val="21"/>
                      <w:highlight w:val="none"/>
                    </w:rPr>
                    <w:t>9</w:t>
                  </w:r>
                  <w:r>
                    <w:rPr>
                      <w:rFonts w:hint="eastAsia" w:ascii="Times New Roman" w:hAnsi="Times New Roman" w:eastAsia="宋体" w:cs="Times New Roman"/>
                      <w:color w:val="000000"/>
                      <w:spacing w:val="-3"/>
                      <w:sz w:val="21"/>
                      <w:szCs w:val="21"/>
                      <w:highlight w:val="none"/>
                      <w:lang w:val="en-US" w:eastAsia="zh-CN"/>
                    </w:rPr>
                    <w:t>6</w:t>
                  </w:r>
                  <w:r>
                    <w:rPr>
                      <w:rFonts w:ascii="Times New Roman" w:hAnsi="Times New Roman" w:eastAsia="Times New Roman" w:cs="Times New Roman"/>
                      <w:color w:val="000000"/>
                      <w:spacing w:val="-3"/>
                      <w:sz w:val="21"/>
                      <w:szCs w:val="21"/>
                      <w:highlight w:val="none"/>
                    </w:rPr>
                    <w:t>.0</w:t>
                  </w:r>
                </w:p>
              </w:tc>
            </w:tr>
            <w:tr w14:paraId="18FCE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4C44ADD4">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5"/>
                      <w:sz w:val="21"/>
                      <w:szCs w:val="21"/>
                      <w:highlight w:val="none"/>
                    </w:rPr>
                    <w:t>铁（</w:t>
                  </w:r>
                  <w:r>
                    <w:rPr>
                      <w:rFonts w:ascii="Times New Roman" w:hAnsi="Times New Roman" w:eastAsia="Times New Roman" w:cs="Times New Roman"/>
                      <w:color w:val="000000"/>
                      <w:spacing w:val="-5"/>
                      <w:sz w:val="21"/>
                      <w:szCs w:val="21"/>
                      <w:highlight w:val="none"/>
                    </w:rPr>
                    <w:t>Fe</w:t>
                  </w:r>
                  <w:r>
                    <w:rPr>
                      <w:rFonts w:ascii="Times New Roman" w:hAnsi="Times New Roman" w:eastAsia="Times New Roman" w:cs="Times New Roman"/>
                      <w:color w:val="000000"/>
                      <w:spacing w:val="-32"/>
                      <w:sz w:val="21"/>
                      <w:szCs w:val="21"/>
                      <w:highlight w:val="none"/>
                    </w:rPr>
                    <w:t xml:space="preserve"> </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p>
              </w:tc>
              <w:tc>
                <w:tcPr>
                  <w:tcW w:w="4028" w:type="dxa"/>
                  <w:noWrap w:val="0"/>
                  <w:vAlign w:val="center"/>
                </w:tcPr>
                <w:p w14:paraId="070778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eastAsia="zh-CN"/>
                    </w:rPr>
                  </w:pPr>
                  <w:r>
                    <w:rPr>
                      <w:rFonts w:ascii="Times New Roman" w:hAnsi="Times New Roman" w:eastAsia="Times New Roman" w:cs="Times New Roman"/>
                      <w:color w:val="000000"/>
                      <w:spacing w:val="-2"/>
                      <w:sz w:val="21"/>
                      <w:szCs w:val="21"/>
                      <w:highlight w:val="none"/>
                    </w:rPr>
                    <w:t>0.000</w:t>
                  </w:r>
                  <w:r>
                    <w:rPr>
                      <w:rFonts w:hint="eastAsia" w:ascii="Times New Roman" w:hAnsi="Times New Roman" w:eastAsia="宋体" w:cs="Times New Roman"/>
                      <w:color w:val="000000"/>
                      <w:spacing w:val="-2"/>
                      <w:sz w:val="21"/>
                      <w:szCs w:val="21"/>
                      <w:highlight w:val="none"/>
                      <w:lang w:val="en-US" w:eastAsia="zh-CN"/>
                    </w:rPr>
                    <w:t>4</w:t>
                  </w:r>
                </w:p>
              </w:tc>
            </w:tr>
            <w:tr w14:paraId="6892A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58BD4CBA">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7"/>
                      <w:sz w:val="21"/>
                      <w:szCs w:val="21"/>
                      <w:highlight w:val="none"/>
                    </w:rPr>
                    <w:t>（</w:t>
                  </w:r>
                  <w:r>
                    <w:rPr>
                      <w:rFonts w:ascii="Times New Roman" w:hAnsi="Times New Roman" w:eastAsia="Times New Roman" w:cs="Times New Roman"/>
                      <w:color w:val="000000"/>
                      <w:spacing w:val="-7"/>
                      <w:sz w:val="21"/>
                      <w:szCs w:val="21"/>
                      <w:highlight w:val="none"/>
                    </w:rPr>
                    <w:t>CI</w:t>
                  </w:r>
                  <w:r>
                    <w:rPr>
                      <w:rFonts w:ascii="Times New Roman" w:hAnsi="Times New Roman" w:eastAsia="Times New Roman" w:cs="Times New Roman"/>
                      <w:color w:val="000000"/>
                      <w:spacing w:val="-31"/>
                      <w:sz w:val="21"/>
                      <w:szCs w:val="21"/>
                      <w:highlight w:val="none"/>
                    </w:rPr>
                    <w:t xml:space="preserve"> </w:t>
                  </w:r>
                  <w:r>
                    <w:rPr>
                      <w:color w:val="000000"/>
                      <w:spacing w:val="-7"/>
                      <w:sz w:val="21"/>
                      <w:szCs w:val="21"/>
                      <w:highlight w:val="none"/>
                    </w:rPr>
                    <w:t>，</w:t>
                  </w:r>
                  <w:r>
                    <w:rPr>
                      <w:rFonts w:ascii="Times New Roman" w:hAnsi="Times New Roman" w:eastAsia="Times New Roman" w:cs="Times New Roman"/>
                      <w:color w:val="000000"/>
                      <w:spacing w:val="-7"/>
                      <w:sz w:val="21"/>
                      <w:szCs w:val="21"/>
                      <w:highlight w:val="none"/>
                    </w:rPr>
                    <w:t>%</w:t>
                  </w:r>
                  <w:r>
                    <w:rPr>
                      <w:color w:val="000000"/>
                      <w:spacing w:val="-7"/>
                      <w:sz w:val="21"/>
                      <w:szCs w:val="21"/>
                      <w:highlight w:val="none"/>
                    </w:rPr>
                    <w:t>）</w:t>
                  </w:r>
                  <w:r>
                    <w:rPr>
                      <w:rFonts w:ascii="Times New Roman" w:hAnsi="Times New Roman" w:eastAsia="Times New Roman" w:cs="Times New Roman"/>
                      <w:color w:val="000000"/>
                      <w:spacing w:val="-7"/>
                      <w:sz w:val="21"/>
                      <w:szCs w:val="21"/>
                      <w:highlight w:val="none"/>
                    </w:rPr>
                    <w:t>≤</w:t>
                  </w:r>
                </w:p>
              </w:tc>
              <w:tc>
                <w:tcPr>
                  <w:tcW w:w="4028" w:type="dxa"/>
                  <w:noWrap w:val="0"/>
                  <w:vAlign w:val="center"/>
                </w:tcPr>
                <w:p w14:paraId="26D711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val="en-US" w:eastAsia="zh-CN"/>
                    </w:rPr>
                  </w:pPr>
                  <w:r>
                    <w:rPr>
                      <w:rFonts w:ascii="Times New Roman" w:hAnsi="Times New Roman" w:eastAsia="Times New Roman" w:cs="Times New Roman"/>
                      <w:color w:val="000000"/>
                      <w:spacing w:val="-3"/>
                      <w:sz w:val="21"/>
                      <w:szCs w:val="21"/>
                      <w:highlight w:val="none"/>
                    </w:rPr>
                    <w:t>0.0</w:t>
                  </w:r>
                  <w:r>
                    <w:rPr>
                      <w:rFonts w:hint="eastAsia" w:ascii="Times New Roman" w:hAnsi="Times New Roman" w:eastAsia="宋体" w:cs="Times New Roman"/>
                      <w:color w:val="000000"/>
                      <w:spacing w:val="-3"/>
                      <w:sz w:val="21"/>
                      <w:szCs w:val="21"/>
                      <w:highlight w:val="none"/>
                      <w:lang w:val="en-US" w:eastAsia="zh-CN"/>
                    </w:rPr>
                    <w:t>4</w:t>
                  </w:r>
                </w:p>
              </w:tc>
            </w:tr>
            <w:tr w14:paraId="0A2B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701C7231">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5"/>
                      <w:sz w:val="21"/>
                      <w:szCs w:val="21"/>
                      <w:highlight w:val="none"/>
                    </w:rPr>
                    <w:t>硫酸根（</w:t>
                  </w:r>
                  <w:r>
                    <w:rPr>
                      <w:rFonts w:ascii="Times New Roman" w:hAnsi="Times New Roman" w:eastAsia="Times New Roman" w:cs="Times New Roman"/>
                      <w:color w:val="000000"/>
                      <w:spacing w:val="-5"/>
                      <w:sz w:val="21"/>
                      <w:szCs w:val="21"/>
                      <w:highlight w:val="none"/>
                    </w:rPr>
                    <w:t>SO</w:t>
                  </w:r>
                  <w:r>
                    <w:rPr>
                      <w:rFonts w:hint="eastAsia" w:ascii="Times New Roman" w:hAnsi="Times New Roman" w:eastAsia="宋体" w:cs="Times New Roman"/>
                      <w:color w:val="000000"/>
                      <w:spacing w:val="-24"/>
                      <w:sz w:val="21"/>
                      <w:szCs w:val="21"/>
                      <w:highlight w:val="none"/>
                      <w:vertAlign w:val="subscript"/>
                      <w:lang w:val="en-US" w:eastAsia="zh-CN"/>
                    </w:rPr>
                    <w:t>4</w:t>
                  </w:r>
                  <w:r>
                    <w:rPr>
                      <w:rFonts w:hint="eastAsia" w:ascii="Times New Roman" w:hAnsi="Times New Roman" w:eastAsia="宋体" w:cs="Times New Roman"/>
                      <w:color w:val="000000"/>
                      <w:spacing w:val="-24"/>
                      <w:sz w:val="21"/>
                      <w:szCs w:val="21"/>
                      <w:highlight w:val="none"/>
                      <w:vertAlign w:val="superscript"/>
                      <w:lang w:val="en-US" w:eastAsia="zh-CN"/>
                    </w:rPr>
                    <w:t>2-</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p>
              </w:tc>
              <w:tc>
                <w:tcPr>
                  <w:tcW w:w="4028" w:type="dxa"/>
                  <w:noWrap w:val="0"/>
                  <w:vAlign w:val="center"/>
                </w:tcPr>
                <w:p w14:paraId="27C1AB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eastAsia="zh-CN"/>
                    </w:rPr>
                  </w:pPr>
                  <w:r>
                    <w:rPr>
                      <w:rFonts w:ascii="Times New Roman" w:hAnsi="Times New Roman" w:eastAsia="Times New Roman" w:cs="Times New Roman"/>
                      <w:color w:val="000000"/>
                      <w:spacing w:val="-2"/>
                      <w:sz w:val="21"/>
                      <w:szCs w:val="21"/>
                      <w:highlight w:val="none"/>
                    </w:rPr>
                    <w:t>0.0</w:t>
                  </w:r>
                  <w:r>
                    <w:rPr>
                      <w:rFonts w:hint="eastAsia" w:ascii="Times New Roman" w:hAnsi="Times New Roman" w:eastAsia="宋体" w:cs="Times New Roman"/>
                      <w:color w:val="000000"/>
                      <w:spacing w:val="-2"/>
                      <w:sz w:val="21"/>
                      <w:szCs w:val="21"/>
                      <w:highlight w:val="none"/>
                      <w:lang w:val="en-US" w:eastAsia="zh-CN"/>
                    </w:rPr>
                    <w:t>4</w:t>
                  </w:r>
                </w:p>
              </w:tc>
            </w:tr>
            <w:tr w14:paraId="278B1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6BC4AC86">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其他硫化物（</w:t>
                  </w:r>
                  <w:r>
                    <w:rPr>
                      <w:rFonts w:ascii="Times New Roman" w:hAnsi="Times New Roman" w:eastAsia="Times New Roman" w:cs="Times New Roman"/>
                      <w:color w:val="000000"/>
                      <w:spacing w:val="-2"/>
                      <w:sz w:val="21"/>
                      <w:szCs w:val="21"/>
                      <w:highlight w:val="none"/>
                    </w:rPr>
                    <w:t>S%</w:t>
                  </w:r>
                  <w:r>
                    <w:rPr>
                      <w:color w:val="000000"/>
                      <w:spacing w:val="-2"/>
                      <w:sz w:val="21"/>
                      <w:szCs w:val="21"/>
                      <w:highlight w:val="none"/>
                    </w:rPr>
                    <w:t>）</w:t>
                  </w:r>
                  <w:r>
                    <w:rPr>
                      <w:rFonts w:ascii="Times New Roman" w:hAnsi="Times New Roman" w:eastAsia="Times New Roman" w:cs="Times New Roman"/>
                      <w:color w:val="000000"/>
                      <w:spacing w:val="-2"/>
                      <w:sz w:val="21"/>
                      <w:szCs w:val="21"/>
                      <w:highlight w:val="none"/>
                    </w:rPr>
                    <w:t>≤</w:t>
                  </w:r>
                </w:p>
              </w:tc>
              <w:tc>
                <w:tcPr>
                  <w:tcW w:w="4028" w:type="dxa"/>
                  <w:noWrap w:val="0"/>
                  <w:vAlign w:val="center"/>
                </w:tcPr>
                <w:p w14:paraId="0D9A15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val="en-US" w:eastAsia="zh-CN"/>
                    </w:rPr>
                  </w:pPr>
                  <w:r>
                    <w:rPr>
                      <w:rFonts w:ascii="Times New Roman" w:hAnsi="Times New Roman" w:eastAsia="Times New Roman" w:cs="Times New Roman"/>
                      <w:color w:val="000000"/>
                      <w:spacing w:val="-2"/>
                      <w:sz w:val="21"/>
                      <w:szCs w:val="21"/>
                      <w:highlight w:val="none"/>
                    </w:rPr>
                    <w:t>0.00</w:t>
                  </w:r>
                  <w:r>
                    <w:rPr>
                      <w:rFonts w:hint="eastAsia" w:ascii="Times New Roman" w:hAnsi="Times New Roman" w:eastAsia="宋体" w:cs="Times New Roman"/>
                      <w:color w:val="000000"/>
                      <w:spacing w:val="-2"/>
                      <w:sz w:val="21"/>
                      <w:szCs w:val="21"/>
                      <w:highlight w:val="none"/>
                      <w:lang w:val="en-US" w:eastAsia="zh-CN"/>
                    </w:rPr>
                    <w:t>1</w:t>
                  </w:r>
                </w:p>
              </w:tc>
            </w:tr>
            <w:tr w14:paraId="51B52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40FF68A7">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5"/>
                      <w:sz w:val="21"/>
                      <w:szCs w:val="21"/>
                      <w:highlight w:val="none"/>
                    </w:rPr>
                    <w:t>重金属（</w:t>
                  </w:r>
                  <w:r>
                    <w:rPr>
                      <w:rFonts w:ascii="Times New Roman" w:hAnsi="Times New Roman" w:eastAsia="Times New Roman" w:cs="Times New Roman"/>
                      <w:color w:val="000000"/>
                      <w:spacing w:val="-5"/>
                      <w:sz w:val="21"/>
                      <w:szCs w:val="21"/>
                      <w:highlight w:val="none"/>
                    </w:rPr>
                    <w:t>Pb</w:t>
                  </w:r>
                  <w:r>
                    <w:rPr>
                      <w:rFonts w:ascii="Times New Roman" w:hAnsi="Times New Roman" w:eastAsia="Times New Roman" w:cs="Times New Roman"/>
                      <w:color w:val="000000"/>
                      <w:spacing w:val="-25"/>
                      <w:sz w:val="21"/>
                      <w:szCs w:val="21"/>
                      <w:highlight w:val="none"/>
                    </w:rPr>
                    <w:t xml:space="preserve"> </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p>
              </w:tc>
              <w:tc>
                <w:tcPr>
                  <w:tcW w:w="4028" w:type="dxa"/>
                  <w:noWrap w:val="0"/>
                  <w:vAlign w:val="center"/>
                </w:tcPr>
                <w:p w14:paraId="311840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eastAsia="zh-CN"/>
                    </w:rPr>
                  </w:pPr>
                  <w:r>
                    <w:rPr>
                      <w:rFonts w:ascii="Times New Roman" w:hAnsi="Times New Roman" w:eastAsia="Times New Roman" w:cs="Times New Roman"/>
                      <w:color w:val="000000"/>
                      <w:spacing w:val="-2"/>
                      <w:sz w:val="21"/>
                      <w:szCs w:val="21"/>
                      <w:highlight w:val="none"/>
                    </w:rPr>
                    <w:t>0.00</w:t>
                  </w:r>
                  <w:r>
                    <w:rPr>
                      <w:rFonts w:hint="eastAsia" w:ascii="Times New Roman" w:hAnsi="Times New Roman" w:eastAsia="宋体" w:cs="Times New Roman"/>
                      <w:color w:val="000000"/>
                      <w:spacing w:val="-2"/>
                      <w:sz w:val="21"/>
                      <w:szCs w:val="21"/>
                      <w:highlight w:val="none"/>
                      <w:lang w:val="en-US" w:eastAsia="zh-CN"/>
                    </w:rPr>
                    <w:t>2</w:t>
                  </w:r>
                </w:p>
              </w:tc>
            </w:tr>
            <w:tr w14:paraId="0F432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71" w:type="dxa"/>
                  <w:noWrap w:val="0"/>
                  <w:vAlign w:val="center"/>
                </w:tcPr>
                <w:p w14:paraId="2682E1C6">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水不溶物（</w:t>
                  </w:r>
                  <w:r>
                    <w:rPr>
                      <w:rFonts w:ascii="Times New Roman" w:hAnsi="Times New Roman" w:eastAsia="Times New Roman" w:cs="Times New Roman"/>
                      <w:color w:val="000000"/>
                      <w:spacing w:val="-2"/>
                      <w:sz w:val="21"/>
                      <w:szCs w:val="21"/>
                      <w:highlight w:val="none"/>
                    </w:rPr>
                    <w:t>%</w:t>
                  </w:r>
                  <w:r>
                    <w:rPr>
                      <w:color w:val="000000"/>
                      <w:spacing w:val="-2"/>
                      <w:sz w:val="21"/>
                      <w:szCs w:val="21"/>
                      <w:highlight w:val="none"/>
                    </w:rPr>
                    <w:t>）</w:t>
                  </w:r>
                  <w:r>
                    <w:rPr>
                      <w:rFonts w:ascii="Times New Roman" w:hAnsi="Times New Roman" w:eastAsia="Times New Roman" w:cs="Times New Roman"/>
                      <w:color w:val="000000"/>
                      <w:spacing w:val="-2"/>
                      <w:sz w:val="21"/>
                      <w:szCs w:val="21"/>
                      <w:highlight w:val="none"/>
                    </w:rPr>
                    <w:t>≤</w:t>
                  </w:r>
                </w:p>
              </w:tc>
              <w:tc>
                <w:tcPr>
                  <w:tcW w:w="4028" w:type="dxa"/>
                  <w:noWrap w:val="0"/>
                  <w:vAlign w:val="center"/>
                </w:tcPr>
                <w:p w14:paraId="3E59A7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0.005</w:t>
                  </w:r>
                </w:p>
              </w:tc>
            </w:tr>
          </w:tbl>
          <w:p w14:paraId="4C80D728">
            <w:pPr>
              <w:spacing w:before="78" w:line="220" w:lineRule="auto"/>
              <w:ind w:left="1426"/>
              <w:rPr>
                <w:rFonts w:ascii="Times New Roman" w:hAnsi="Times New Roman" w:eastAsia="Times New Roman" w:cs="Times New Roman"/>
                <w:color w:val="000000"/>
                <w:sz w:val="24"/>
                <w:szCs w:val="24"/>
                <w:highlight w:val="none"/>
              </w:rPr>
            </w:pPr>
            <w:r>
              <w:rPr>
                <w:rFonts w:hint="eastAsia" w:ascii="宋体" w:hAnsi="宋体" w:eastAsia="宋体" w:cs="宋体"/>
                <w:b/>
                <w:bCs/>
                <w:color w:val="000000"/>
                <w:sz w:val="24"/>
                <w:szCs w:val="24"/>
                <w:highlight w:val="none"/>
                <w:lang w:val="en-US" w:eastAsia="zh-CN"/>
              </w:rPr>
              <w:t xml:space="preserve">表2-9 </w:t>
            </w:r>
            <w:r>
              <w:rPr>
                <w:rFonts w:ascii="宋体" w:hAnsi="宋体" w:eastAsia="宋体" w:cs="宋体"/>
                <w:b/>
                <w:bCs/>
                <w:color w:val="000000"/>
                <w:sz w:val="24"/>
                <w:szCs w:val="24"/>
                <w:highlight w:val="none"/>
              </w:rPr>
              <w:t>《工业无水硫酸钠》（</w:t>
            </w:r>
            <w:r>
              <w:rPr>
                <w:rFonts w:ascii="Times New Roman" w:hAnsi="Times New Roman" w:eastAsia="Times New Roman" w:cs="Times New Roman"/>
                <w:b/>
                <w:bCs/>
                <w:color w:val="000000"/>
                <w:sz w:val="24"/>
                <w:szCs w:val="24"/>
                <w:highlight w:val="none"/>
              </w:rPr>
              <w:t>GB</w:t>
            </w:r>
            <w:r>
              <w:rPr>
                <w:rFonts w:hint="eastAsia" w:ascii="Times New Roman" w:hAnsi="Times New Roman" w:eastAsia="宋体" w:cs="Times New Roman"/>
                <w:b/>
                <w:bCs/>
                <w:color w:val="000000"/>
                <w:sz w:val="24"/>
                <w:szCs w:val="24"/>
                <w:highlight w:val="none"/>
                <w:lang w:val="en-US" w:eastAsia="zh-CN"/>
              </w:rPr>
              <w:t>/</w:t>
            </w:r>
            <w:r>
              <w:rPr>
                <w:rFonts w:ascii="Times New Roman" w:hAnsi="Times New Roman" w:eastAsia="Times New Roman" w:cs="Times New Roman"/>
                <w:b/>
                <w:bCs/>
                <w:color w:val="000000"/>
                <w:sz w:val="24"/>
                <w:szCs w:val="24"/>
                <w:highlight w:val="none"/>
              </w:rPr>
              <w:t>T</w:t>
            </w:r>
            <w:r>
              <w:rPr>
                <w:rFonts w:hint="eastAsia" w:ascii="Times New Roman" w:hAnsi="Times New Roman" w:eastAsia="宋体" w:cs="Times New Roman"/>
                <w:b/>
                <w:bCs/>
                <w:color w:val="000000"/>
                <w:sz w:val="24"/>
                <w:szCs w:val="24"/>
                <w:highlight w:val="none"/>
                <w:lang w:val="en-US" w:eastAsia="zh-CN"/>
              </w:rPr>
              <w:t xml:space="preserve"> </w:t>
            </w:r>
            <w:r>
              <w:rPr>
                <w:rFonts w:ascii="Times New Roman" w:hAnsi="Times New Roman" w:eastAsia="Times New Roman" w:cs="Times New Roman"/>
                <w:b/>
                <w:bCs/>
                <w:color w:val="000000"/>
                <w:sz w:val="24"/>
                <w:szCs w:val="24"/>
                <w:highlight w:val="none"/>
              </w:rPr>
              <w:t>6009—201</w:t>
            </w:r>
            <w:r>
              <w:rPr>
                <w:rFonts w:ascii="Times New Roman" w:hAnsi="Times New Roman" w:eastAsia="Times New Roman" w:cs="Times New Roman"/>
                <w:b/>
                <w:bCs/>
                <w:color w:val="000000"/>
                <w:spacing w:val="-1"/>
                <w:sz w:val="24"/>
                <w:szCs w:val="24"/>
                <w:highlight w:val="none"/>
              </w:rPr>
              <w:t>4</w:t>
            </w:r>
            <w:r>
              <w:rPr>
                <w:rFonts w:ascii="宋体" w:hAnsi="宋体" w:eastAsia="宋体" w:cs="宋体"/>
                <w:b/>
                <w:bCs/>
                <w:color w:val="000000"/>
                <w:spacing w:val="-1"/>
                <w:sz w:val="24"/>
                <w:szCs w:val="24"/>
                <w:highlight w:val="none"/>
              </w:rPr>
              <w:t>）</w:t>
            </w:r>
            <w:r>
              <w:rPr>
                <w:rFonts w:ascii="宋体" w:hAnsi="宋体" w:eastAsia="宋体" w:cs="宋体"/>
                <w:color w:val="000000"/>
                <w:spacing w:val="-1"/>
                <w:sz w:val="24"/>
                <w:szCs w:val="24"/>
                <w:highlight w:val="none"/>
              </w:rPr>
              <w:t xml:space="preserve">  </w:t>
            </w:r>
          </w:p>
          <w:p w14:paraId="282CC455">
            <w:pPr>
              <w:spacing w:line="110" w:lineRule="exact"/>
              <w:rPr>
                <w:color w:val="000000"/>
                <w:highlight w:val="none"/>
              </w:rPr>
            </w:pPr>
          </w:p>
          <w:tbl>
            <w:tblPr>
              <w:tblStyle w:val="24"/>
              <w:tblW w:w="80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8"/>
              <w:gridCol w:w="2891"/>
            </w:tblGrid>
            <w:tr w14:paraId="786AD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5148" w:type="dxa"/>
                  <w:tcBorders>
                    <w:bottom w:val="nil"/>
                  </w:tcBorders>
                  <w:noWrap w:val="0"/>
                  <w:vAlign w:val="top"/>
                </w:tcPr>
                <w:p w14:paraId="1EF362F9">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000000"/>
                      <w:sz w:val="21"/>
                      <w:szCs w:val="21"/>
                      <w:highlight w:val="none"/>
                    </w:rPr>
                  </w:pPr>
                  <w:r>
                    <w:rPr>
                      <w:b/>
                      <w:bCs/>
                      <w:color w:val="000000"/>
                      <w:spacing w:val="-4"/>
                      <w:sz w:val="21"/>
                      <w:szCs w:val="21"/>
                      <w:highlight w:val="none"/>
                    </w:rPr>
                    <w:t>项目</w:t>
                  </w:r>
                </w:p>
              </w:tc>
              <w:tc>
                <w:tcPr>
                  <w:tcW w:w="2891" w:type="dxa"/>
                  <w:noWrap w:val="0"/>
                  <w:vAlign w:val="top"/>
                </w:tcPr>
                <w:p w14:paraId="74B3E126">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color w:val="000000"/>
                      <w:sz w:val="21"/>
                      <w:szCs w:val="21"/>
                      <w:highlight w:val="none"/>
                    </w:rPr>
                  </w:pPr>
                  <w:r>
                    <w:rPr>
                      <w:rFonts w:hint="eastAsia" w:ascii="Times New Roman" w:hAnsi="Times New Roman" w:eastAsia="宋体" w:cs="Times New Roman"/>
                      <w:b/>
                      <w:bCs/>
                      <w:color w:val="000000"/>
                      <w:spacing w:val="-2"/>
                      <w:sz w:val="21"/>
                      <w:szCs w:val="21"/>
                      <w:highlight w:val="none"/>
                      <w:lang w:val="en-US" w:eastAsia="zh-CN"/>
                    </w:rPr>
                    <w:t>指标</w:t>
                  </w:r>
                  <w:r>
                    <w:rPr>
                      <w:rFonts w:ascii="Times New Roman" w:hAnsi="Times New Roman" w:eastAsia="Times New Roman" w:cs="Times New Roman"/>
                      <w:b/>
                      <w:bCs/>
                      <w:color w:val="000000"/>
                      <w:spacing w:val="-2"/>
                      <w:sz w:val="21"/>
                      <w:szCs w:val="21"/>
                      <w:highlight w:val="none"/>
                    </w:rPr>
                    <w:t>III</w:t>
                  </w:r>
                  <w:r>
                    <w:rPr>
                      <w:b/>
                      <w:bCs/>
                      <w:color w:val="000000"/>
                      <w:spacing w:val="-2"/>
                      <w:sz w:val="21"/>
                      <w:szCs w:val="21"/>
                      <w:highlight w:val="none"/>
                    </w:rPr>
                    <w:t>类</w:t>
                  </w:r>
                </w:p>
              </w:tc>
            </w:tr>
            <w:tr w14:paraId="3F646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66D8163E">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4"/>
                      <w:sz w:val="21"/>
                      <w:szCs w:val="21"/>
                      <w:highlight w:val="none"/>
                    </w:rPr>
                    <w:t>硫酸钠（</w:t>
                  </w:r>
                  <w:r>
                    <w:rPr>
                      <w:rFonts w:ascii="Times New Roman" w:hAnsi="Times New Roman" w:eastAsia="Times New Roman" w:cs="Times New Roman"/>
                      <w:color w:val="000000"/>
                      <w:spacing w:val="-4"/>
                      <w:sz w:val="21"/>
                      <w:szCs w:val="21"/>
                      <w:highlight w:val="none"/>
                    </w:rPr>
                    <w:t>Na</w:t>
                  </w:r>
                  <w:r>
                    <w:rPr>
                      <w:rFonts w:ascii="Times New Roman" w:hAnsi="Times New Roman" w:eastAsia="Times New Roman" w:cs="Times New Roman"/>
                      <w:color w:val="000000"/>
                      <w:spacing w:val="-4"/>
                      <w:position w:val="-1"/>
                      <w:sz w:val="21"/>
                      <w:szCs w:val="21"/>
                      <w:highlight w:val="none"/>
                    </w:rPr>
                    <w:t>2</w:t>
                  </w:r>
                  <w:r>
                    <w:rPr>
                      <w:rFonts w:ascii="Times New Roman" w:hAnsi="Times New Roman" w:eastAsia="Times New Roman" w:cs="Times New Roman"/>
                      <w:color w:val="000000"/>
                      <w:spacing w:val="-4"/>
                      <w:sz w:val="21"/>
                      <w:szCs w:val="21"/>
                      <w:highlight w:val="none"/>
                    </w:rPr>
                    <w:t>SO</w:t>
                  </w:r>
                  <w:r>
                    <w:rPr>
                      <w:rFonts w:ascii="Times New Roman" w:hAnsi="Times New Roman" w:eastAsia="Times New Roman" w:cs="Times New Roman"/>
                      <w:color w:val="000000"/>
                      <w:spacing w:val="-4"/>
                      <w:position w:val="-1"/>
                      <w:sz w:val="21"/>
                      <w:szCs w:val="21"/>
                      <w:highlight w:val="none"/>
                    </w:rPr>
                    <w:t xml:space="preserve">4 </w:t>
                  </w:r>
                  <w:r>
                    <w:rPr>
                      <w:color w:val="000000"/>
                      <w:spacing w:val="-4"/>
                      <w:sz w:val="21"/>
                      <w:szCs w:val="21"/>
                      <w:highlight w:val="none"/>
                    </w:rPr>
                    <w:t>）</w:t>
                  </w:r>
                  <w:r>
                    <w:rPr>
                      <w:color w:val="000000"/>
                      <w:spacing w:val="-59"/>
                      <w:sz w:val="21"/>
                      <w:szCs w:val="21"/>
                      <w:highlight w:val="none"/>
                    </w:rPr>
                    <w:t xml:space="preserve"> </w:t>
                  </w:r>
                  <w:r>
                    <w:rPr>
                      <w:rFonts w:ascii="Times New Roman" w:hAnsi="Times New Roman" w:eastAsia="Times New Roman" w:cs="Times New Roman"/>
                      <w:color w:val="000000"/>
                      <w:spacing w:val="-4"/>
                      <w:sz w:val="21"/>
                      <w:szCs w:val="21"/>
                      <w:highlight w:val="none"/>
                    </w:rPr>
                    <w:t>w%</w:t>
                  </w:r>
                  <w:r>
                    <w:rPr>
                      <w:rFonts w:ascii="Times New Roman" w:hAnsi="Times New Roman" w:eastAsia="Times New Roman" w:cs="Times New Roman"/>
                      <w:color w:val="000000"/>
                      <w:spacing w:val="57"/>
                      <w:sz w:val="21"/>
                      <w:szCs w:val="21"/>
                      <w:highlight w:val="none"/>
                    </w:rPr>
                    <w:t xml:space="preserve"> </w:t>
                  </w:r>
                  <w:r>
                    <w:rPr>
                      <w:rFonts w:ascii="Times New Roman" w:hAnsi="Times New Roman" w:eastAsia="Times New Roman" w:cs="Times New Roman"/>
                      <w:color w:val="000000"/>
                      <w:spacing w:val="-4"/>
                      <w:sz w:val="21"/>
                      <w:szCs w:val="21"/>
                      <w:highlight w:val="none"/>
                    </w:rPr>
                    <w:t>≥</w:t>
                  </w:r>
                </w:p>
              </w:tc>
              <w:tc>
                <w:tcPr>
                  <w:tcW w:w="2891" w:type="dxa"/>
                  <w:noWrap w:val="0"/>
                  <w:vAlign w:val="top"/>
                </w:tcPr>
                <w:p w14:paraId="3D8495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sz w:val="21"/>
                      <w:szCs w:val="21"/>
                      <w:highlight w:val="none"/>
                      <w:lang w:eastAsia="zh-CN"/>
                    </w:rPr>
                  </w:pPr>
                  <w:r>
                    <w:rPr>
                      <w:rFonts w:ascii="Times New Roman" w:hAnsi="Times New Roman" w:eastAsia="Times New Roman" w:cs="Times New Roman"/>
                      <w:color w:val="000000"/>
                      <w:spacing w:val="-3"/>
                      <w:sz w:val="21"/>
                      <w:szCs w:val="21"/>
                      <w:highlight w:val="none"/>
                    </w:rPr>
                    <w:t>9</w:t>
                  </w:r>
                  <w:r>
                    <w:rPr>
                      <w:rFonts w:hint="eastAsia" w:ascii="Times New Roman" w:hAnsi="Times New Roman" w:eastAsia="宋体" w:cs="Times New Roman"/>
                      <w:color w:val="000000"/>
                      <w:spacing w:val="-3"/>
                      <w:sz w:val="21"/>
                      <w:szCs w:val="21"/>
                      <w:highlight w:val="none"/>
                      <w:lang w:val="en-US" w:eastAsia="zh-CN"/>
                    </w:rPr>
                    <w:t>2</w:t>
                  </w:r>
                </w:p>
              </w:tc>
            </w:tr>
            <w:tr w14:paraId="3CD5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0DE12F58">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水不溶物含量</w:t>
                  </w:r>
                  <w:r>
                    <w:rPr>
                      <w:color w:val="000000"/>
                      <w:spacing w:val="-60"/>
                      <w:sz w:val="21"/>
                      <w:szCs w:val="21"/>
                      <w:highlight w:val="none"/>
                    </w:rPr>
                    <w:t xml:space="preserve"> </w:t>
                  </w:r>
                  <w:r>
                    <w:rPr>
                      <w:rFonts w:ascii="Times New Roman" w:hAnsi="Times New Roman" w:eastAsia="Times New Roman" w:cs="Times New Roman"/>
                      <w:color w:val="000000"/>
                      <w:spacing w:val="-2"/>
                      <w:sz w:val="21"/>
                      <w:szCs w:val="21"/>
                      <w:highlight w:val="none"/>
                    </w:rPr>
                    <w:t>w%</w:t>
                  </w:r>
                  <w:r>
                    <w:rPr>
                      <w:rFonts w:ascii="Times New Roman" w:hAnsi="Times New Roman" w:eastAsia="Times New Roman" w:cs="Times New Roman"/>
                      <w:color w:val="000000"/>
                      <w:spacing w:val="57"/>
                      <w:sz w:val="21"/>
                      <w:szCs w:val="21"/>
                      <w:highlight w:val="none"/>
                    </w:rPr>
                    <w:t xml:space="preserve"> </w:t>
                  </w:r>
                  <w:r>
                    <w:rPr>
                      <w:rFonts w:ascii="Times New Roman" w:hAnsi="Times New Roman" w:eastAsia="Times New Roman" w:cs="Times New Roman"/>
                      <w:color w:val="000000"/>
                      <w:spacing w:val="-2"/>
                      <w:sz w:val="21"/>
                      <w:szCs w:val="21"/>
                      <w:highlight w:val="none"/>
                    </w:rPr>
                    <w:t>≤</w:t>
                  </w:r>
                </w:p>
              </w:tc>
              <w:tc>
                <w:tcPr>
                  <w:tcW w:w="2891" w:type="dxa"/>
                  <w:noWrap w:val="0"/>
                  <w:vAlign w:val="top"/>
                </w:tcPr>
                <w:p w14:paraId="4E84D1C3">
                  <w:pPr>
                    <w:keepNext w:val="0"/>
                    <w:keepLines w:val="0"/>
                    <w:pageBreakBefore w:val="0"/>
                    <w:widowControl w:val="0"/>
                    <w:tabs>
                      <w:tab w:val="left" w:pos="950"/>
                    </w:tabs>
                    <w:kinsoku/>
                    <w:wordWrap/>
                    <w:overflowPunct/>
                    <w:topLinePunct w:val="0"/>
                    <w:autoSpaceDE/>
                    <w:autoSpaceDN/>
                    <w:bidi w:val="0"/>
                    <w:adjustRightInd/>
                    <w:snapToGrid/>
                    <w:spacing w:line="240" w:lineRule="auto"/>
                    <w:ind w:left="0"/>
                    <w:jc w:val="center"/>
                    <w:textAlignment w:val="auto"/>
                    <w:rPr>
                      <w:rFonts w:hint="eastAsia" w:ascii="Arial" w:eastAsia="宋体"/>
                      <w:color w:val="000000"/>
                      <w:sz w:val="21"/>
                      <w:szCs w:val="21"/>
                      <w:highlight w:val="none"/>
                      <w:lang w:eastAsia="zh-CN"/>
                    </w:rPr>
                  </w:pPr>
                  <w:r>
                    <w:rPr>
                      <w:rFonts w:hint="eastAsia" w:ascii="Arial" w:hAnsi="Arial" w:eastAsia="宋体" w:cs="Arial"/>
                      <w:color w:val="000000"/>
                      <w:position w:val="-1"/>
                      <w:sz w:val="21"/>
                      <w:szCs w:val="21"/>
                      <w:highlight w:val="none"/>
                      <w:u w:val="single" w:color="auto"/>
                      <w:lang w:val="en-US" w:eastAsia="zh-CN"/>
                    </w:rPr>
                    <w:t>/</w:t>
                  </w:r>
                </w:p>
              </w:tc>
            </w:tr>
            <w:tr w14:paraId="5518B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432B0334">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钙和镁（以镁计）</w:t>
                  </w:r>
                  <w:r>
                    <w:rPr>
                      <w:color w:val="000000"/>
                      <w:spacing w:val="66"/>
                      <w:sz w:val="21"/>
                      <w:szCs w:val="21"/>
                      <w:highlight w:val="none"/>
                    </w:rPr>
                    <w:t xml:space="preserve"> </w:t>
                  </w:r>
                  <w:r>
                    <w:rPr>
                      <w:rFonts w:ascii="Times New Roman" w:hAnsi="Times New Roman" w:eastAsia="Times New Roman" w:cs="Times New Roman"/>
                      <w:color w:val="000000"/>
                      <w:spacing w:val="-2"/>
                      <w:sz w:val="21"/>
                      <w:szCs w:val="21"/>
                      <w:highlight w:val="none"/>
                    </w:rPr>
                    <w:t>w%   ≤</w:t>
                  </w:r>
                </w:p>
              </w:tc>
              <w:tc>
                <w:tcPr>
                  <w:tcW w:w="2891" w:type="dxa"/>
                  <w:noWrap w:val="0"/>
                  <w:vAlign w:val="top"/>
                </w:tcPr>
                <w:p w14:paraId="20517B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r w14:paraId="39A18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148" w:type="dxa"/>
                  <w:noWrap w:val="0"/>
                  <w:vAlign w:val="top"/>
                </w:tcPr>
                <w:p w14:paraId="579FFED2">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氯化物（以</w:t>
                  </w:r>
                  <w:r>
                    <w:rPr>
                      <w:rFonts w:ascii="Times New Roman" w:hAnsi="Times New Roman" w:eastAsia="Times New Roman" w:cs="Times New Roman"/>
                      <w:color w:val="000000"/>
                      <w:spacing w:val="-2"/>
                      <w:sz w:val="21"/>
                      <w:szCs w:val="21"/>
                      <w:highlight w:val="none"/>
                    </w:rPr>
                    <w:t>Cl</w:t>
                  </w:r>
                  <w:r>
                    <w:rPr>
                      <w:color w:val="000000"/>
                      <w:spacing w:val="-2"/>
                      <w:sz w:val="21"/>
                      <w:szCs w:val="21"/>
                      <w:highlight w:val="none"/>
                    </w:rPr>
                    <w:t>计）</w:t>
                  </w:r>
                  <w:r>
                    <w:rPr>
                      <w:color w:val="000000"/>
                      <w:spacing w:val="59"/>
                      <w:sz w:val="21"/>
                      <w:szCs w:val="21"/>
                      <w:highlight w:val="none"/>
                    </w:rPr>
                    <w:t xml:space="preserve"> </w:t>
                  </w:r>
                  <w:r>
                    <w:rPr>
                      <w:rFonts w:ascii="Times New Roman" w:hAnsi="Times New Roman" w:eastAsia="Times New Roman" w:cs="Times New Roman"/>
                      <w:color w:val="000000"/>
                      <w:spacing w:val="-2"/>
                      <w:sz w:val="21"/>
                      <w:szCs w:val="21"/>
                      <w:highlight w:val="none"/>
                    </w:rPr>
                    <w:t>w%</w:t>
                  </w:r>
                  <w:r>
                    <w:rPr>
                      <w:rFonts w:ascii="Times New Roman" w:hAnsi="Times New Roman" w:eastAsia="Times New Roman" w:cs="Times New Roman"/>
                      <w:color w:val="000000"/>
                      <w:spacing w:val="28"/>
                      <w:w w:val="101"/>
                      <w:sz w:val="21"/>
                      <w:szCs w:val="21"/>
                      <w:highlight w:val="none"/>
                    </w:rPr>
                    <w:t xml:space="preserve">  </w:t>
                  </w:r>
                  <w:r>
                    <w:rPr>
                      <w:rFonts w:ascii="Times New Roman" w:hAnsi="Times New Roman" w:eastAsia="Times New Roman" w:cs="Times New Roman"/>
                      <w:color w:val="000000"/>
                      <w:spacing w:val="-2"/>
                      <w:sz w:val="21"/>
                      <w:szCs w:val="21"/>
                      <w:highlight w:val="none"/>
                    </w:rPr>
                    <w:t>≤</w:t>
                  </w:r>
                </w:p>
              </w:tc>
              <w:tc>
                <w:tcPr>
                  <w:tcW w:w="2891" w:type="dxa"/>
                  <w:noWrap w:val="0"/>
                  <w:vAlign w:val="top"/>
                </w:tcPr>
                <w:p w14:paraId="626DA5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r w14:paraId="671F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5DA1D92E">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铁（</w:t>
                  </w:r>
                  <w:r>
                    <w:rPr>
                      <w:rFonts w:ascii="Times New Roman" w:hAnsi="Times New Roman" w:eastAsia="Times New Roman" w:cs="Times New Roman"/>
                      <w:color w:val="000000"/>
                      <w:spacing w:val="-2"/>
                      <w:sz w:val="21"/>
                      <w:szCs w:val="21"/>
                      <w:highlight w:val="none"/>
                    </w:rPr>
                    <w:t>Fe</w:t>
                  </w:r>
                  <w:r>
                    <w:rPr>
                      <w:color w:val="000000"/>
                      <w:spacing w:val="-2"/>
                      <w:sz w:val="21"/>
                      <w:szCs w:val="21"/>
                      <w:highlight w:val="none"/>
                    </w:rPr>
                    <w:t>）</w:t>
                  </w:r>
                  <w:r>
                    <w:rPr>
                      <w:color w:val="000000"/>
                      <w:spacing w:val="58"/>
                      <w:sz w:val="21"/>
                      <w:szCs w:val="21"/>
                      <w:highlight w:val="none"/>
                    </w:rPr>
                    <w:t xml:space="preserve"> </w:t>
                  </w:r>
                  <w:r>
                    <w:rPr>
                      <w:rFonts w:ascii="Times New Roman" w:hAnsi="Times New Roman" w:eastAsia="Times New Roman" w:cs="Times New Roman"/>
                      <w:color w:val="000000"/>
                      <w:spacing w:val="-2"/>
                      <w:sz w:val="21"/>
                      <w:szCs w:val="21"/>
                      <w:highlight w:val="none"/>
                    </w:rPr>
                    <w:t>w%</w:t>
                  </w:r>
                  <w:r>
                    <w:rPr>
                      <w:rFonts w:ascii="Times New Roman" w:hAnsi="Times New Roman" w:eastAsia="Times New Roman" w:cs="Times New Roman"/>
                      <w:color w:val="000000"/>
                      <w:spacing w:val="6"/>
                      <w:sz w:val="21"/>
                      <w:szCs w:val="21"/>
                      <w:highlight w:val="none"/>
                    </w:rPr>
                    <w:t xml:space="preserve">        </w:t>
                  </w:r>
                  <w:r>
                    <w:rPr>
                      <w:rFonts w:ascii="Times New Roman" w:hAnsi="Times New Roman" w:eastAsia="Times New Roman" w:cs="Times New Roman"/>
                      <w:color w:val="000000"/>
                      <w:spacing w:val="-2"/>
                      <w:sz w:val="21"/>
                      <w:szCs w:val="21"/>
                      <w:highlight w:val="none"/>
                    </w:rPr>
                    <w:t>≤</w:t>
                  </w:r>
                </w:p>
              </w:tc>
              <w:tc>
                <w:tcPr>
                  <w:tcW w:w="2891" w:type="dxa"/>
                  <w:noWrap w:val="0"/>
                  <w:vAlign w:val="top"/>
                </w:tcPr>
                <w:p w14:paraId="633D54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r w14:paraId="25327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311E6768">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水分</w:t>
                  </w:r>
                  <w:r>
                    <w:rPr>
                      <w:color w:val="000000"/>
                      <w:spacing w:val="-56"/>
                      <w:sz w:val="21"/>
                      <w:szCs w:val="21"/>
                      <w:highlight w:val="none"/>
                    </w:rPr>
                    <w:t xml:space="preserve"> </w:t>
                  </w:r>
                  <w:r>
                    <w:rPr>
                      <w:rFonts w:ascii="Times New Roman" w:hAnsi="Times New Roman" w:eastAsia="Times New Roman" w:cs="Times New Roman"/>
                      <w:color w:val="000000"/>
                      <w:spacing w:val="-2"/>
                      <w:sz w:val="21"/>
                      <w:szCs w:val="21"/>
                      <w:highlight w:val="none"/>
                    </w:rPr>
                    <w:t>w%        ≤</w:t>
                  </w:r>
                </w:p>
              </w:tc>
              <w:tc>
                <w:tcPr>
                  <w:tcW w:w="2891" w:type="dxa"/>
                  <w:noWrap w:val="0"/>
                  <w:vAlign w:val="top"/>
                </w:tcPr>
                <w:p w14:paraId="1E063A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r w14:paraId="0592C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48" w:type="dxa"/>
                  <w:noWrap w:val="0"/>
                  <w:vAlign w:val="top"/>
                </w:tcPr>
                <w:p w14:paraId="5AC3AA09">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sz w:val="21"/>
                      <w:szCs w:val="21"/>
                      <w:highlight w:val="none"/>
                    </w:rPr>
                  </w:pPr>
                  <w:r>
                    <w:rPr>
                      <w:color w:val="000000"/>
                      <w:spacing w:val="-5"/>
                      <w:sz w:val="21"/>
                      <w:szCs w:val="21"/>
                      <w:highlight w:val="none"/>
                    </w:rPr>
                    <w:t>白度（</w:t>
                  </w:r>
                  <w:r>
                    <w:rPr>
                      <w:rFonts w:ascii="Times New Roman" w:hAnsi="Times New Roman" w:eastAsia="Times New Roman" w:cs="Times New Roman"/>
                      <w:color w:val="000000"/>
                      <w:spacing w:val="-5"/>
                      <w:sz w:val="21"/>
                      <w:szCs w:val="21"/>
                      <w:highlight w:val="none"/>
                    </w:rPr>
                    <w:t>R457</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  ≥</w:t>
                  </w:r>
                </w:p>
              </w:tc>
              <w:tc>
                <w:tcPr>
                  <w:tcW w:w="2891" w:type="dxa"/>
                  <w:noWrap w:val="0"/>
                  <w:vAlign w:val="top"/>
                </w:tcPr>
                <w:p w14:paraId="7183B9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r w14:paraId="10C91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1" w:hRule="atLeast"/>
                <w:jc w:val="center"/>
              </w:trPr>
              <w:tc>
                <w:tcPr>
                  <w:tcW w:w="5148" w:type="dxa"/>
                  <w:noWrap w:val="0"/>
                  <w:vAlign w:val="top"/>
                </w:tcPr>
                <w:p w14:paraId="3C960FD4">
                  <w:pPr>
                    <w:pStyle w:val="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000000"/>
                      <w:sz w:val="21"/>
                      <w:szCs w:val="21"/>
                      <w:highlight w:val="none"/>
                    </w:rPr>
                  </w:pPr>
                  <w:r>
                    <w:rPr>
                      <w:rFonts w:ascii="Times New Roman" w:hAnsi="Times New Roman" w:eastAsia="Times New Roman" w:cs="Times New Roman"/>
                      <w:color w:val="000000"/>
                      <w:spacing w:val="-2"/>
                      <w:sz w:val="21"/>
                      <w:szCs w:val="21"/>
                      <w:highlight w:val="none"/>
                    </w:rPr>
                    <w:t>PH</w:t>
                  </w:r>
                  <w:r>
                    <w:rPr>
                      <w:color w:val="000000"/>
                      <w:spacing w:val="-2"/>
                      <w:sz w:val="21"/>
                      <w:szCs w:val="21"/>
                      <w:highlight w:val="none"/>
                    </w:rPr>
                    <w:t>（</w:t>
                  </w:r>
                  <w:r>
                    <w:rPr>
                      <w:rFonts w:ascii="Times New Roman" w:hAnsi="Times New Roman" w:eastAsia="Times New Roman" w:cs="Times New Roman"/>
                      <w:color w:val="000000"/>
                      <w:spacing w:val="-2"/>
                      <w:sz w:val="21"/>
                      <w:szCs w:val="21"/>
                      <w:highlight w:val="none"/>
                    </w:rPr>
                    <w:t>50g/l</w:t>
                  </w:r>
                  <w:r>
                    <w:rPr>
                      <w:color w:val="000000"/>
                      <w:spacing w:val="-2"/>
                      <w:sz w:val="21"/>
                      <w:szCs w:val="21"/>
                      <w:highlight w:val="none"/>
                    </w:rPr>
                    <w:t>水溶液，</w:t>
                  </w:r>
                  <w:r>
                    <w:rPr>
                      <w:rFonts w:ascii="Times New Roman" w:hAnsi="Times New Roman" w:eastAsia="Times New Roman" w:cs="Times New Roman"/>
                      <w:color w:val="000000"/>
                      <w:spacing w:val="-2"/>
                      <w:sz w:val="21"/>
                      <w:szCs w:val="21"/>
                      <w:highlight w:val="none"/>
                    </w:rPr>
                    <w:t>25℃</w:t>
                  </w:r>
                  <w:r>
                    <w:rPr>
                      <w:color w:val="000000"/>
                      <w:spacing w:val="-2"/>
                      <w:sz w:val="21"/>
                      <w:szCs w:val="21"/>
                      <w:highlight w:val="none"/>
                    </w:rPr>
                    <w:t>)</w:t>
                  </w:r>
                </w:p>
              </w:tc>
              <w:tc>
                <w:tcPr>
                  <w:tcW w:w="2891" w:type="dxa"/>
                  <w:noWrap w:val="0"/>
                  <w:vAlign w:val="top"/>
                </w:tcPr>
                <w:p w14:paraId="2BFD5B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color w:val="000000"/>
                      <w:sz w:val="21"/>
                      <w:szCs w:val="21"/>
                      <w:highlight w:val="none"/>
                    </w:rPr>
                  </w:pPr>
                  <w:r>
                    <w:rPr>
                      <w:rFonts w:hint="eastAsia" w:ascii="Arial" w:hAnsi="Arial" w:eastAsia="宋体" w:cs="Arial"/>
                      <w:color w:val="000000"/>
                      <w:position w:val="-1"/>
                      <w:sz w:val="21"/>
                      <w:szCs w:val="21"/>
                      <w:highlight w:val="none"/>
                      <w:u w:val="single" w:color="auto"/>
                      <w:lang w:val="en-US" w:eastAsia="zh-CN"/>
                    </w:rPr>
                    <w:t>/</w:t>
                  </w:r>
                </w:p>
              </w:tc>
            </w:tr>
          </w:tbl>
          <w:p w14:paraId="48A9AFAB">
            <w:pPr>
              <w:spacing w:line="110" w:lineRule="exact"/>
              <w:jc w:val="center"/>
              <w:rPr>
                <w:rFonts w:hint="eastAsia" w:ascii="宋体" w:hAnsi="宋体" w:eastAsia="宋体" w:cs="宋体"/>
                <w:b/>
                <w:bCs/>
                <w:color w:val="000000"/>
                <w:spacing w:val="-1"/>
                <w:sz w:val="24"/>
                <w:szCs w:val="24"/>
                <w:highlight w:val="none"/>
                <w:lang w:val="en-US" w:eastAsia="zh-CN"/>
              </w:rPr>
            </w:pPr>
          </w:p>
          <w:p w14:paraId="34F5E99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000000"/>
                <w:highlight w:val="none"/>
              </w:rPr>
            </w:pPr>
            <w:r>
              <w:rPr>
                <w:rFonts w:hint="eastAsia" w:ascii="宋体" w:hAnsi="宋体" w:eastAsia="宋体" w:cs="宋体"/>
                <w:b/>
                <w:bCs/>
                <w:color w:val="000000"/>
                <w:spacing w:val="-1"/>
                <w:sz w:val="24"/>
                <w:szCs w:val="24"/>
                <w:highlight w:val="none"/>
                <w:lang w:val="en-US" w:eastAsia="zh-CN"/>
              </w:rPr>
              <w:t xml:space="preserve">表2-10 </w:t>
            </w:r>
            <w:r>
              <w:rPr>
                <w:rFonts w:ascii="宋体" w:hAnsi="宋体" w:eastAsia="宋体" w:cs="宋体"/>
                <w:b/>
                <w:bCs/>
                <w:color w:val="000000"/>
                <w:spacing w:val="-1"/>
                <w:sz w:val="24"/>
                <w:szCs w:val="24"/>
                <w:highlight w:val="none"/>
              </w:rPr>
              <w:t>《工业硫代硫酸钠化工标准》（</w:t>
            </w:r>
            <w:r>
              <w:rPr>
                <w:rFonts w:ascii="Times New Roman" w:hAnsi="Times New Roman" w:eastAsia="Times New Roman" w:cs="Times New Roman"/>
                <w:b/>
                <w:bCs/>
                <w:color w:val="000000"/>
                <w:spacing w:val="-1"/>
                <w:sz w:val="24"/>
                <w:szCs w:val="24"/>
                <w:highlight w:val="none"/>
              </w:rPr>
              <w:t>HG</w:t>
            </w:r>
            <w:r>
              <w:rPr>
                <w:rFonts w:hint="eastAsia" w:ascii="Times New Roman" w:hAnsi="Times New Roman" w:eastAsia="宋体" w:cs="Times New Roman"/>
                <w:b/>
                <w:bCs/>
                <w:color w:val="000000"/>
                <w:spacing w:val="-1"/>
                <w:sz w:val="24"/>
                <w:szCs w:val="24"/>
                <w:highlight w:val="none"/>
                <w:lang w:val="en-US" w:eastAsia="zh-CN"/>
              </w:rPr>
              <w:t>/</w:t>
            </w:r>
            <w:r>
              <w:rPr>
                <w:rFonts w:ascii="Times New Roman" w:hAnsi="Times New Roman" w:eastAsia="Times New Roman" w:cs="Times New Roman"/>
                <w:b/>
                <w:bCs/>
                <w:color w:val="000000"/>
                <w:spacing w:val="-1"/>
                <w:sz w:val="24"/>
                <w:szCs w:val="24"/>
                <w:highlight w:val="none"/>
              </w:rPr>
              <w:t>T</w:t>
            </w:r>
            <w:r>
              <w:rPr>
                <w:rFonts w:hint="eastAsia" w:ascii="Times New Roman" w:hAnsi="Times New Roman" w:eastAsia="宋体" w:cs="Times New Roman"/>
                <w:b/>
                <w:bCs/>
                <w:color w:val="000000"/>
                <w:spacing w:val="-1"/>
                <w:sz w:val="24"/>
                <w:szCs w:val="24"/>
                <w:highlight w:val="none"/>
                <w:lang w:val="en-US" w:eastAsia="zh-CN"/>
              </w:rPr>
              <w:t xml:space="preserve"> </w:t>
            </w:r>
            <w:r>
              <w:rPr>
                <w:rFonts w:ascii="Times New Roman" w:hAnsi="Times New Roman" w:eastAsia="Times New Roman" w:cs="Times New Roman"/>
                <w:b/>
                <w:bCs/>
                <w:color w:val="000000"/>
                <w:spacing w:val="-1"/>
                <w:sz w:val="24"/>
                <w:szCs w:val="24"/>
                <w:highlight w:val="none"/>
              </w:rPr>
              <w:t>2328-2006</w:t>
            </w:r>
            <w:r>
              <w:rPr>
                <w:rFonts w:ascii="宋体" w:hAnsi="宋体" w:eastAsia="宋体" w:cs="宋体"/>
                <w:b/>
                <w:bCs/>
                <w:color w:val="000000"/>
                <w:spacing w:val="-1"/>
                <w:sz w:val="24"/>
                <w:szCs w:val="24"/>
                <w:highlight w:val="none"/>
              </w:rPr>
              <w:t>）</w:t>
            </w:r>
          </w:p>
          <w:tbl>
            <w:tblPr>
              <w:tblStyle w:val="24"/>
              <w:tblW w:w="80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44"/>
              <w:gridCol w:w="2815"/>
            </w:tblGrid>
            <w:tr w14:paraId="5A4FA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vMerge w:val="restart"/>
                  <w:tcBorders>
                    <w:bottom w:val="nil"/>
                  </w:tcBorders>
                  <w:noWrap w:val="0"/>
                  <w:vAlign w:val="center"/>
                </w:tcPr>
                <w:p w14:paraId="3D348A76">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000000"/>
                      <w:sz w:val="21"/>
                      <w:szCs w:val="21"/>
                      <w:highlight w:val="none"/>
                    </w:rPr>
                  </w:pPr>
                  <w:r>
                    <w:rPr>
                      <w:color w:val="000000"/>
                      <w:spacing w:val="-4"/>
                      <w:sz w:val="21"/>
                      <w:szCs w:val="21"/>
                      <w:highlight w:val="none"/>
                    </w:rPr>
                    <w:t>项目</w:t>
                  </w:r>
                </w:p>
              </w:tc>
              <w:tc>
                <w:tcPr>
                  <w:tcW w:w="2815" w:type="dxa"/>
                  <w:noWrap w:val="0"/>
                  <w:vAlign w:val="center"/>
                </w:tcPr>
                <w:p w14:paraId="2974DA42">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000000"/>
                      <w:spacing w:val="-4"/>
                      <w:sz w:val="21"/>
                      <w:szCs w:val="21"/>
                      <w:highlight w:val="none"/>
                    </w:rPr>
                  </w:pPr>
                  <w:r>
                    <w:rPr>
                      <w:color w:val="000000"/>
                      <w:spacing w:val="-4"/>
                      <w:sz w:val="21"/>
                      <w:szCs w:val="21"/>
                      <w:highlight w:val="none"/>
                    </w:rPr>
                    <w:t>指标</w:t>
                  </w:r>
                </w:p>
              </w:tc>
            </w:tr>
            <w:tr w14:paraId="6BD6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vMerge w:val="continue"/>
                  <w:tcBorders>
                    <w:top w:val="nil"/>
                  </w:tcBorders>
                  <w:noWrap w:val="0"/>
                  <w:vAlign w:val="center"/>
                </w:tcPr>
                <w:p w14:paraId="7E5767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000000"/>
                      <w:sz w:val="21"/>
                      <w:szCs w:val="21"/>
                      <w:highlight w:val="none"/>
                    </w:rPr>
                  </w:pPr>
                </w:p>
              </w:tc>
              <w:tc>
                <w:tcPr>
                  <w:tcW w:w="2815" w:type="dxa"/>
                  <w:noWrap w:val="0"/>
                  <w:vAlign w:val="center"/>
                </w:tcPr>
                <w:p w14:paraId="5F5B6E4A">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000000"/>
                      <w:sz w:val="21"/>
                      <w:szCs w:val="21"/>
                      <w:highlight w:val="none"/>
                    </w:rPr>
                  </w:pPr>
                  <w:r>
                    <w:rPr>
                      <w:color w:val="000000"/>
                      <w:spacing w:val="-5"/>
                      <w:sz w:val="21"/>
                      <w:szCs w:val="21"/>
                      <w:highlight w:val="none"/>
                    </w:rPr>
                    <w:t>一等品</w:t>
                  </w:r>
                </w:p>
              </w:tc>
            </w:tr>
            <w:tr w14:paraId="7B550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0FAEF9C3">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color w:val="000000"/>
                      <w:spacing w:val="-3"/>
                      <w:sz w:val="21"/>
                      <w:szCs w:val="21"/>
                      <w:highlight w:val="none"/>
                    </w:rPr>
                    <w:t>硫代硫酸钠（</w:t>
                  </w:r>
                  <w:r>
                    <w:rPr>
                      <w:rFonts w:ascii="Times New Roman" w:hAnsi="Times New Roman" w:eastAsia="Times New Roman" w:cs="Times New Roman"/>
                      <w:color w:val="000000"/>
                      <w:spacing w:val="-3"/>
                      <w:sz w:val="21"/>
                      <w:szCs w:val="21"/>
                      <w:highlight w:val="none"/>
                    </w:rPr>
                    <w:t>Na</w:t>
                  </w:r>
                  <w:r>
                    <w:rPr>
                      <w:rFonts w:ascii="Times New Roman" w:hAnsi="Times New Roman" w:eastAsia="Times New Roman" w:cs="Times New Roman"/>
                      <w:color w:val="000000"/>
                      <w:spacing w:val="-3"/>
                      <w:position w:val="-1"/>
                      <w:sz w:val="21"/>
                      <w:szCs w:val="21"/>
                      <w:highlight w:val="none"/>
                      <w:vertAlign w:val="subscript"/>
                    </w:rPr>
                    <w:t>2</w:t>
                  </w:r>
                  <w:r>
                    <w:rPr>
                      <w:rFonts w:ascii="Times New Roman" w:hAnsi="Times New Roman" w:eastAsia="Times New Roman" w:cs="Times New Roman"/>
                      <w:color w:val="000000"/>
                      <w:spacing w:val="-3"/>
                      <w:sz w:val="21"/>
                      <w:szCs w:val="21"/>
                      <w:highlight w:val="none"/>
                    </w:rPr>
                    <w:t>S</w:t>
                  </w:r>
                  <w:r>
                    <w:rPr>
                      <w:rFonts w:ascii="Times New Roman" w:hAnsi="Times New Roman" w:eastAsia="Times New Roman" w:cs="Times New Roman"/>
                      <w:color w:val="000000"/>
                      <w:spacing w:val="-3"/>
                      <w:position w:val="-1"/>
                      <w:sz w:val="21"/>
                      <w:szCs w:val="21"/>
                      <w:highlight w:val="none"/>
                      <w:vertAlign w:val="subscript"/>
                    </w:rPr>
                    <w:t>2</w:t>
                  </w:r>
                  <w:r>
                    <w:rPr>
                      <w:rFonts w:ascii="Times New Roman" w:hAnsi="Times New Roman" w:eastAsia="Times New Roman" w:cs="Times New Roman"/>
                      <w:color w:val="000000"/>
                      <w:spacing w:val="-3"/>
                      <w:sz w:val="21"/>
                      <w:szCs w:val="21"/>
                      <w:highlight w:val="none"/>
                    </w:rPr>
                    <w:t>O</w:t>
                  </w:r>
                  <w:r>
                    <w:rPr>
                      <w:rFonts w:ascii="Times New Roman" w:hAnsi="Times New Roman" w:eastAsia="Times New Roman" w:cs="Times New Roman"/>
                      <w:color w:val="000000"/>
                      <w:spacing w:val="-3"/>
                      <w:position w:val="-1"/>
                      <w:sz w:val="21"/>
                      <w:szCs w:val="21"/>
                      <w:highlight w:val="none"/>
                      <w:vertAlign w:val="subscript"/>
                    </w:rPr>
                    <w:t>3</w:t>
                  </w:r>
                  <w:r>
                    <w:rPr>
                      <w:rFonts w:hint="eastAsia" w:ascii="Times New Roman" w:hAnsi="Times New Roman" w:eastAsia="宋体" w:cs="Times New Roman"/>
                      <w:color w:val="000000"/>
                      <w:spacing w:val="-3"/>
                      <w:position w:val="-1"/>
                      <w:sz w:val="21"/>
                      <w:szCs w:val="21"/>
                      <w:highlight w:val="none"/>
                      <w:vertAlign w:val="baseline"/>
                      <w:lang w:val="en-US" w:eastAsia="zh-CN"/>
                    </w:rPr>
                    <w:t>·5H</w:t>
                  </w:r>
                  <w:r>
                    <w:rPr>
                      <w:rFonts w:hint="eastAsia" w:ascii="Times New Roman" w:hAnsi="Times New Roman" w:eastAsia="宋体" w:cs="Times New Roman"/>
                      <w:color w:val="000000"/>
                      <w:spacing w:val="-3"/>
                      <w:position w:val="-1"/>
                      <w:sz w:val="21"/>
                      <w:szCs w:val="21"/>
                      <w:highlight w:val="none"/>
                      <w:vertAlign w:val="subscript"/>
                      <w:lang w:val="en-US" w:eastAsia="zh-CN"/>
                    </w:rPr>
                    <w:t>2</w:t>
                  </w:r>
                  <w:r>
                    <w:rPr>
                      <w:rFonts w:hint="eastAsia" w:ascii="Times New Roman" w:hAnsi="Times New Roman" w:eastAsia="宋体" w:cs="Times New Roman"/>
                      <w:color w:val="000000"/>
                      <w:spacing w:val="-3"/>
                      <w:position w:val="-1"/>
                      <w:sz w:val="21"/>
                      <w:szCs w:val="21"/>
                      <w:highlight w:val="none"/>
                      <w:lang w:val="en-US" w:eastAsia="zh-CN"/>
                    </w:rPr>
                    <w:t>O</w:t>
                  </w:r>
                  <w:r>
                    <w:rPr>
                      <w:color w:val="000000"/>
                      <w:spacing w:val="-3"/>
                      <w:sz w:val="21"/>
                      <w:szCs w:val="21"/>
                      <w:highlight w:val="none"/>
                    </w:rPr>
                    <w:t>）</w:t>
                  </w:r>
                  <w:r>
                    <w:rPr>
                      <w:color w:val="000000"/>
                      <w:spacing w:val="-17"/>
                      <w:sz w:val="21"/>
                      <w:szCs w:val="21"/>
                      <w:highlight w:val="none"/>
                    </w:rPr>
                    <w:t>质量分数，</w:t>
                  </w:r>
                  <w:r>
                    <w:rPr>
                      <w:color w:val="000000"/>
                      <w:spacing w:val="-23"/>
                      <w:sz w:val="21"/>
                      <w:szCs w:val="21"/>
                      <w:highlight w:val="none"/>
                    </w:rPr>
                    <w:t xml:space="preserve"> </w:t>
                  </w:r>
                  <w:r>
                    <w:rPr>
                      <w:rFonts w:ascii="Times New Roman" w:hAnsi="Times New Roman" w:eastAsia="Times New Roman" w:cs="Times New Roman"/>
                      <w:color w:val="000000"/>
                      <w:spacing w:val="-17"/>
                      <w:sz w:val="21"/>
                      <w:szCs w:val="21"/>
                      <w:highlight w:val="none"/>
                    </w:rPr>
                    <w:t>%</w:t>
                  </w:r>
                </w:p>
              </w:tc>
              <w:tc>
                <w:tcPr>
                  <w:tcW w:w="2815" w:type="dxa"/>
                  <w:noWrap w:val="0"/>
                  <w:vAlign w:val="center"/>
                </w:tcPr>
                <w:p w14:paraId="2D3B97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3"/>
                      <w:sz w:val="21"/>
                      <w:szCs w:val="21"/>
                      <w:highlight w:val="none"/>
                    </w:rPr>
                    <w:t>98.0</w:t>
                  </w:r>
                </w:p>
              </w:tc>
            </w:tr>
            <w:tr w14:paraId="51976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101BF5A8">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水不溶物（</w:t>
                  </w:r>
                  <w:r>
                    <w:rPr>
                      <w:rFonts w:ascii="Times New Roman" w:hAnsi="Times New Roman" w:eastAsia="Times New Roman" w:cs="Times New Roman"/>
                      <w:color w:val="000000"/>
                      <w:spacing w:val="-2"/>
                      <w:sz w:val="21"/>
                      <w:szCs w:val="21"/>
                      <w:highlight w:val="none"/>
                    </w:rPr>
                    <w:t>%</w:t>
                  </w:r>
                  <w:r>
                    <w:rPr>
                      <w:color w:val="000000"/>
                      <w:spacing w:val="-2"/>
                      <w:sz w:val="21"/>
                      <w:szCs w:val="21"/>
                      <w:highlight w:val="none"/>
                    </w:rPr>
                    <w:t>）</w:t>
                  </w:r>
                  <w:r>
                    <w:rPr>
                      <w:rFonts w:ascii="Times New Roman" w:hAnsi="Times New Roman" w:eastAsia="Times New Roman" w:cs="Times New Roman"/>
                      <w:color w:val="000000"/>
                      <w:spacing w:val="-2"/>
                      <w:sz w:val="21"/>
                      <w:szCs w:val="21"/>
                      <w:highlight w:val="none"/>
                    </w:rPr>
                    <w:t>≤</w:t>
                  </w:r>
                </w:p>
              </w:tc>
              <w:tc>
                <w:tcPr>
                  <w:tcW w:w="2815" w:type="dxa"/>
                  <w:noWrap w:val="0"/>
                  <w:vAlign w:val="center"/>
                </w:tcPr>
                <w:p w14:paraId="2CAC83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3"/>
                      <w:sz w:val="21"/>
                      <w:szCs w:val="21"/>
                      <w:highlight w:val="none"/>
                    </w:rPr>
                    <w:t>0.03</w:t>
                  </w:r>
                </w:p>
              </w:tc>
            </w:tr>
            <w:tr w14:paraId="077AC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50CE1BD2">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color w:val="000000"/>
                      <w:spacing w:val="-2"/>
                      <w:sz w:val="21"/>
                      <w:szCs w:val="21"/>
                      <w:highlight w:val="none"/>
                    </w:rPr>
                    <w:t>硫化物（以</w:t>
                  </w:r>
                  <w:r>
                    <w:rPr>
                      <w:rFonts w:ascii="Times New Roman" w:hAnsi="Times New Roman" w:eastAsia="Times New Roman" w:cs="Times New Roman"/>
                      <w:color w:val="000000"/>
                      <w:spacing w:val="-2"/>
                      <w:sz w:val="21"/>
                      <w:szCs w:val="21"/>
                      <w:highlight w:val="none"/>
                    </w:rPr>
                    <w:t>Na</w:t>
                  </w:r>
                  <w:r>
                    <w:rPr>
                      <w:rFonts w:ascii="Times New Roman" w:hAnsi="Times New Roman" w:eastAsia="Times New Roman" w:cs="Times New Roman"/>
                      <w:color w:val="000000"/>
                      <w:spacing w:val="-2"/>
                      <w:position w:val="-1"/>
                      <w:sz w:val="21"/>
                      <w:szCs w:val="21"/>
                      <w:highlight w:val="none"/>
                    </w:rPr>
                    <w:t>2</w:t>
                  </w:r>
                  <w:r>
                    <w:rPr>
                      <w:rFonts w:ascii="Times New Roman" w:hAnsi="Times New Roman" w:eastAsia="Times New Roman" w:cs="Times New Roman"/>
                      <w:color w:val="000000"/>
                      <w:spacing w:val="-2"/>
                      <w:sz w:val="21"/>
                      <w:szCs w:val="21"/>
                      <w:highlight w:val="none"/>
                    </w:rPr>
                    <w:t>S</w:t>
                  </w:r>
                  <w:r>
                    <w:rPr>
                      <w:color w:val="000000"/>
                      <w:spacing w:val="-2"/>
                      <w:sz w:val="21"/>
                      <w:szCs w:val="21"/>
                      <w:highlight w:val="none"/>
                    </w:rPr>
                    <w:t>计</w:t>
                  </w:r>
                  <w:r>
                    <w:rPr>
                      <w:color w:val="000000"/>
                      <w:spacing w:val="-52"/>
                      <w:sz w:val="21"/>
                      <w:szCs w:val="21"/>
                      <w:highlight w:val="none"/>
                    </w:rPr>
                    <w:t xml:space="preserve"> </w:t>
                  </w:r>
                  <w:r>
                    <w:rPr>
                      <w:rFonts w:ascii="Times New Roman" w:hAnsi="Times New Roman" w:eastAsia="Times New Roman" w:cs="Times New Roman"/>
                      <w:color w:val="000000"/>
                      <w:spacing w:val="-2"/>
                      <w:sz w:val="21"/>
                      <w:szCs w:val="21"/>
                      <w:highlight w:val="none"/>
                    </w:rPr>
                    <w:t>%</w:t>
                  </w:r>
                  <w:r>
                    <w:rPr>
                      <w:color w:val="000000"/>
                      <w:spacing w:val="-2"/>
                      <w:sz w:val="21"/>
                      <w:szCs w:val="21"/>
                      <w:highlight w:val="none"/>
                    </w:rPr>
                    <w:t>）</w:t>
                  </w:r>
                  <w:r>
                    <w:rPr>
                      <w:rFonts w:ascii="Times New Roman" w:hAnsi="Times New Roman" w:eastAsia="Times New Roman" w:cs="Times New Roman"/>
                      <w:color w:val="000000"/>
                      <w:spacing w:val="-2"/>
                      <w:sz w:val="21"/>
                      <w:szCs w:val="21"/>
                      <w:highlight w:val="none"/>
                    </w:rPr>
                    <w:t>≤</w:t>
                  </w:r>
                </w:p>
              </w:tc>
              <w:tc>
                <w:tcPr>
                  <w:tcW w:w="2815" w:type="dxa"/>
                  <w:noWrap w:val="0"/>
                  <w:vAlign w:val="center"/>
                </w:tcPr>
                <w:p w14:paraId="76CC8D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0.003</w:t>
                  </w:r>
                </w:p>
              </w:tc>
            </w:tr>
            <w:tr w14:paraId="52CA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7C628A7D">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color w:val="000000"/>
                      <w:spacing w:val="-5"/>
                      <w:sz w:val="21"/>
                      <w:szCs w:val="21"/>
                      <w:highlight w:val="none"/>
                    </w:rPr>
                    <w:t>铁（</w:t>
                  </w:r>
                  <w:r>
                    <w:rPr>
                      <w:rFonts w:ascii="Times New Roman" w:hAnsi="Times New Roman" w:eastAsia="Times New Roman" w:cs="Times New Roman"/>
                      <w:color w:val="000000"/>
                      <w:spacing w:val="-5"/>
                      <w:sz w:val="21"/>
                      <w:szCs w:val="21"/>
                      <w:highlight w:val="none"/>
                    </w:rPr>
                    <w:t>Fe</w:t>
                  </w:r>
                  <w:r>
                    <w:rPr>
                      <w:rFonts w:ascii="Times New Roman" w:hAnsi="Times New Roman" w:eastAsia="Times New Roman" w:cs="Times New Roman"/>
                      <w:color w:val="000000"/>
                      <w:spacing w:val="-32"/>
                      <w:sz w:val="21"/>
                      <w:szCs w:val="21"/>
                      <w:highlight w:val="none"/>
                    </w:rPr>
                    <w:t xml:space="preserve"> </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r>
                    <w:rPr>
                      <w:color w:val="000000"/>
                      <w:spacing w:val="-5"/>
                      <w:sz w:val="21"/>
                      <w:szCs w:val="21"/>
                      <w:highlight w:val="none"/>
                    </w:rPr>
                    <w:t>）</w:t>
                  </w:r>
                  <w:r>
                    <w:rPr>
                      <w:rFonts w:ascii="Times New Roman" w:hAnsi="Times New Roman" w:eastAsia="Times New Roman" w:cs="Times New Roman"/>
                      <w:color w:val="000000"/>
                      <w:spacing w:val="-5"/>
                      <w:sz w:val="21"/>
                      <w:szCs w:val="21"/>
                      <w:highlight w:val="none"/>
                    </w:rPr>
                    <w:t>≤</w:t>
                  </w:r>
                </w:p>
              </w:tc>
              <w:tc>
                <w:tcPr>
                  <w:tcW w:w="2815" w:type="dxa"/>
                  <w:noWrap w:val="0"/>
                  <w:vAlign w:val="center"/>
                </w:tcPr>
                <w:p w14:paraId="151F14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0.003</w:t>
                  </w:r>
                </w:p>
              </w:tc>
            </w:tr>
            <w:tr w14:paraId="68953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3014CB27">
                  <w:pPr>
                    <w:pStyle w:val="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color w:val="000000"/>
                      <w:spacing w:val="-4"/>
                      <w:sz w:val="21"/>
                      <w:szCs w:val="21"/>
                      <w:highlight w:val="none"/>
                    </w:rPr>
                    <w:t>氯化钠（</w:t>
                  </w:r>
                  <w:r>
                    <w:rPr>
                      <w:rFonts w:ascii="Times New Roman" w:hAnsi="Times New Roman" w:eastAsia="Times New Roman" w:cs="Times New Roman"/>
                      <w:color w:val="000000"/>
                      <w:spacing w:val="-4"/>
                      <w:sz w:val="21"/>
                      <w:szCs w:val="21"/>
                      <w:highlight w:val="none"/>
                    </w:rPr>
                    <w:t>NaCI</w:t>
                  </w:r>
                  <w:r>
                    <w:rPr>
                      <w:rFonts w:ascii="Times New Roman" w:hAnsi="Times New Roman" w:eastAsia="Times New Roman" w:cs="Times New Roman"/>
                      <w:color w:val="000000"/>
                      <w:spacing w:val="-33"/>
                      <w:sz w:val="21"/>
                      <w:szCs w:val="21"/>
                      <w:highlight w:val="none"/>
                    </w:rPr>
                    <w:t xml:space="preserve"> </w:t>
                  </w:r>
                  <w:r>
                    <w:rPr>
                      <w:color w:val="000000"/>
                      <w:spacing w:val="-4"/>
                      <w:sz w:val="21"/>
                      <w:szCs w:val="21"/>
                      <w:highlight w:val="none"/>
                    </w:rPr>
                    <w:t>，</w:t>
                  </w:r>
                  <w:r>
                    <w:rPr>
                      <w:rFonts w:ascii="Times New Roman" w:hAnsi="Times New Roman" w:eastAsia="Times New Roman" w:cs="Times New Roman"/>
                      <w:color w:val="000000"/>
                      <w:spacing w:val="-4"/>
                      <w:sz w:val="21"/>
                      <w:szCs w:val="21"/>
                      <w:highlight w:val="none"/>
                    </w:rPr>
                    <w:t>%</w:t>
                  </w:r>
                  <w:r>
                    <w:rPr>
                      <w:color w:val="000000"/>
                      <w:spacing w:val="-4"/>
                      <w:sz w:val="21"/>
                      <w:szCs w:val="21"/>
                      <w:highlight w:val="none"/>
                    </w:rPr>
                    <w:t>）</w:t>
                  </w:r>
                  <w:r>
                    <w:rPr>
                      <w:rFonts w:ascii="Times New Roman" w:hAnsi="Times New Roman" w:eastAsia="Times New Roman" w:cs="Times New Roman"/>
                      <w:color w:val="000000"/>
                      <w:spacing w:val="-4"/>
                      <w:sz w:val="21"/>
                      <w:szCs w:val="21"/>
                      <w:highlight w:val="none"/>
                    </w:rPr>
                    <w:t>≤</w:t>
                  </w:r>
                </w:p>
              </w:tc>
              <w:tc>
                <w:tcPr>
                  <w:tcW w:w="2815" w:type="dxa"/>
                  <w:noWrap w:val="0"/>
                  <w:vAlign w:val="center"/>
                </w:tcPr>
                <w:p w14:paraId="11E86C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0.2</w:t>
                  </w:r>
                </w:p>
              </w:tc>
            </w:tr>
            <w:tr w14:paraId="69AE9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5244" w:type="dxa"/>
                  <w:noWrap w:val="0"/>
                  <w:vAlign w:val="center"/>
                </w:tcPr>
                <w:p w14:paraId="039F90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PH</w:t>
                  </w:r>
                </w:p>
              </w:tc>
              <w:tc>
                <w:tcPr>
                  <w:tcW w:w="2815" w:type="dxa"/>
                  <w:noWrap w:val="0"/>
                  <w:vAlign w:val="center"/>
                </w:tcPr>
                <w:p w14:paraId="681B2C7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spacing w:val="-2"/>
                      <w:sz w:val="21"/>
                      <w:szCs w:val="21"/>
                      <w:highlight w:val="none"/>
                      <w:lang w:val="en-US" w:eastAsia="zh-CN"/>
                    </w:rPr>
                  </w:pPr>
                  <w:r>
                    <w:rPr>
                      <w:rFonts w:hint="eastAsia" w:ascii="Times New Roman" w:hAnsi="Times New Roman" w:eastAsia="宋体" w:cs="Times New Roman"/>
                      <w:color w:val="000000"/>
                      <w:spacing w:val="-2"/>
                      <w:sz w:val="21"/>
                      <w:szCs w:val="21"/>
                      <w:highlight w:val="none"/>
                      <w:lang w:val="en-US" w:eastAsia="zh-CN"/>
                    </w:rPr>
                    <w:t>6.5~9.5</w:t>
                  </w:r>
                </w:p>
              </w:tc>
            </w:tr>
          </w:tbl>
          <w:p w14:paraId="2D66E875">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20" w:firstLineChars="200"/>
              <w:jc w:val="left"/>
              <w:textAlignment w:val="auto"/>
              <w:rPr>
                <w:rFonts w:hint="default" w:ascii="Times New Roman" w:hAnsi="Times New Roman" w:cs="Times New Roman"/>
                <w:bCs/>
                <w:color w:val="000000"/>
                <w:szCs w:val="21"/>
                <w:highlight w:val="none"/>
              </w:rPr>
            </w:pPr>
          </w:p>
        </w:tc>
      </w:tr>
    </w:tbl>
    <w:p w14:paraId="1EAD7F8C">
      <w:pPr>
        <w:rPr>
          <w:color w:val="000000"/>
          <w:highlight w:val="none"/>
        </w:rPr>
        <w:sectPr>
          <w:pgSz w:w="11906" w:h="16838"/>
          <w:pgMar w:top="1134" w:right="1134" w:bottom="1134" w:left="1531" w:header="851" w:footer="851" w:gutter="0"/>
          <w:pgBorders>
            <w:top w:val="none" w:sz="0" w:space="0"/>
            <w:left w:val="none" w:sz="0" w:space="0"/>
            <w:bottom w:val="none" w:sz="0" w:space="0"/>
            <w:right w:val="none" w:sz="0" w:space="0"/>
          </w:pgBorders>
          <w:cols w:space="720" w:num="1"/>
          <w:docGrid w:linePitch="312" w:charSpace="0"/>
        </w:sectPr>
      </w:pPr>
    </w:p>
    <w:p w14:paraId="49DB5399">
      <w:pPr>
        <w:rPr>
          <w:rFonts w:ascii="Times New Roman" w:hAnsi="Times New Roman" w:cs="Times New Roman"/>
          <w:color w:val="000000"/>
          <w:highlight w:val="none"/>
        </w:rPr>
      </w:pPr>
      <w:r>
        <w:rPr>
          <w:rFonts w:ascii="Times New Roman" w:hAnsi="Times New Roman" w:cs="Times New Roman"/>
          <w:color w:val="000000"/>
          <w:highlight w:val="none"/>
        </w:rPr>
        <w:object>
          <v:shape id="_x0000_i1026" o:spt="75" type="#_x0000_t75" style="height:464.8pt;width:720.7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3DF37BAF">
      <w:pPr>
        <w:jc w:val="center"/>
        <w:rPr>
          <w:color w:val="000000"/>
          <w:highlight w:val="none"/>
        </w:rPr>
      </w:pPr>
      <w:r>
        <w:rPr>
          <w:rFonts w:hint="eastAsia" w:ascii="Times New Roman" w:hAnsi="Times New Roman" w:cs="Times New Roman"/>
          <w:b/>
          <w:bCs/>
          <w:color w:val="000000"/>
          <w:highlight w:val="none"/>
          <w:lang w:val="en-US" w:eastAsia="zh-CN"/>
        </w:rPr>
        <w:t>图2-5</w:t>
      </w:r>
      <w:r>
        <w:rPr>
          <w:rFonts w:hint="eastAsia" w:ascii="Times New Roman" w:hAnsi="Times New Roman" w:cs="Times New Roman"/>
          <w:b/>
          <w:bCs/>
          <w:color w:val="000000"/>
          <w:highlight w:val="none"/>
        </w:rPr>
        <w:t xml:space="preserve">  中水回用及膜分盐工艺流程</w:t>
      </w:r>
      <w:r>
        <w:rPr>
          <w:rFonts w:hint="eastAsia" w:ascii="Times New Roman" w:hAnsi="Times New Roman" w:cs="Times New Roman"/>
          <w:b/>
          <w:bCs/>
          <w:color w:val="000000"/>
          <w:highlight w:val="none"/>
          <w:lang w:val="en-US" w:eastAsia="zh-CN"/>
        </w:rPr>
        <w:t>图</w:t>
      </w:r>
      <w:r>
        <w:rPr>
          <w:color w:val="000000"/>
          <w:sz w:val="21"/>
          <w:highlight w:val="none"/>
        </w:rPr>
        <mc:AlternateContent>
          <mc:Choice Requires="wpg">
            <w:drawing>
              <wp:anchor distT="0" distB="0" distL="114300" distR="114300" simplePos="0" relativeHeight="251674624" behindDoc="0" locked="0" layoutInCell="1" allowOverlap="1">
                <wp:simplePos x="0" y="0"/>
                <wp:positionH relativeFrom="column">
                  <wp:posOffset>880110</wp:posOffset>
                </wp:positionH>
                <wp:positionV relativeFrom="paragraph">
                  <wp:posOffset>899160</wp:posOffset>
                </wp:positionV>
                <wp:extent cx="7619365" cy="3819525"/>
                <wp:effectExtent l="0" t="0" r="635" b="0"/>
                <wp:wrapNone/>
                <wp:docPr id="58" name="组合 58"/>
                <wp:cNvGraphicFramePr/>
                <a:graphic xmlns:a="http://schemas.openxmlformats.org/drawingml/2006/main">
                  <a:graphicData uri="http://schemas.microsoft.com/office/word/2010/wordprocessingGroup">
                    <wpg:wgp>
                      <wpg:cNvGrpSpPr/>
                      <wpg:grpSpPr>
                        <a:xfrm>
                          <a:off x="0" y="0"/>
                          <a:ext cx="7619365" cy="3819525"/>
                          <a:chOff x="2803" y="357366"/>
                          <a:chExt cx="11999" cy="6015"/>
                        </a:xfrm>
                      </wpg:grpSpPr>
                      <wps:wsp>
                        <wps:cNvPr id="46" name="文本框 46"/>
                        <wps:cNvSpPr txBox="1"/>
                        <wps:spPr>
                          <a:xfrm>
                            <a:off x="5937" y="357396"/>
                            <a:ext cx="1096" cy="600"/>
                          </a:xfrm>
                          <a:prstGeom prst="rect">
                            <a:avLst/>
                          </a:prstGeom>
                          <a:solidFill>
                            <a:srgbClr val="FFFFFF"/>
                          </a:solidFill>
                          <a:ln>
                            <a:noFill/>
                          </a:ln>
                        </wps:spPr>
                        <wps:txbx>
                          <w:txbxContent>
                            <w:p w14:paraId="2408ABFD">
                              <w:pPr>
                                <w:rPr>
                                  <w:rFonts w:hint="eastAsia"/>
                                  <w:b/>
                                  <w:bCs/>
                                  <w:sz w:val="15"/>
                                  <w:szCs w:val="15"/>
                                  <w:lang w:val="en-US" w:eastAsia="zh-CN"/>
                                </w:rPr>
                              </w:pPr>
                              <w:r>
                                <w:rPr>
                                  <w:rFonts w:hint="eastAsia"/>
                                  <w:b/>
                                  <w:bCs/>
                                  <w:sz w:val="15"/>
                                  <w:szCs w:val="15"/>
                                  <w:lang w:val="en-US" w:eastAsia="zh-CN"/>
                                </w:rPr>
                                <w:t>冷凝水进</w:t>
                              </w:r>
                            </w:p>
                            <w:p w14:paraId="359B3553">
                              <w:pPr>
                                <w:rPr>
                                  <w:rFonts w:hint="default" w:eastAsia="宋体"/>
                                  <w:lang w:val="en-US" w:eastAsia="zh-CN"/>
                                </w:rPr>
                              </w:pPr>
                              <w:r>
                                <w:rPr>
                                  <w:rFonts w:hint="eastAsia"/>
                                  <w:b/>
                                  <w:bCs/>
                                  <w:sz w:val="15"/>
                                  <w:szCs w:val="15"/>
                                  <w:lang w:val="en-US" w:eastAsia="zh-CN"/>
                                </w:rPr>
                                <w:t>中水回用</w:t>
                              </w:r>
                            </w:p>
                          </w:txbxContent>
                        </wps:txbx>
                        <wps:bodyPr upright="1"/>
                      </wps:wsp>
                      <wps:wsp>
                        <wps:cNvPr id="47" name="文本框 47"/>
                        <wps:cNvSpPr txBox="1"/>
                        <wps:spPr>
                          <a:xfrm>
                            <a:off x="5892" y="358011"/>
                            <a:ext cx="1201" cy="600"/>
                          </a:xfrm>
                          <a:prstGeom prst="rect">
                            <a:avLst/>
                          </a:prstGeom>
                          <a:solidFill>
                            <a:srgbClr val="FFFFFF"/>
                          </a:solidFill>
                          <a:ln>
                            <a:noFill/>
                          </a:ln>
                        </wps:spPr>
                        <wps:txbx>
                          <w:txbxContent>
                            <w:p w14:paraId="67534C1D">
                              <w:pPr>
                                <w:rPr>
                                  <w:rFonts w:hint="eastAsia"/>
                                  <w:b/>
                                  <w:bCs/>
                                  <w:sz w:val="15"/>
                                  <w:szCs w:val="15"/>
                                  <w:lang w:val="en-US" w:eastAsia="zh-CN"/>
                                </w:rPr>
                              </w:pPr>
                              <w:r>
                                <w:rPr>
                                  <w:rFonts w:hint="eastAsia"/>
                                  <w:b/>
                                  <w:bCs/>
                                  <w:sz w:val="15"/>
                                  <w:szCs w:val="15"/>
                                  <w:lang w:val="en-US" w:eastAsia="zh-CN"/>
                                </w:rPr>
                                <w:t>冷凝水进</w:t>
                              </w:r>
                            </w:p>
                            <w:p w14:paraId="3AB554DC">
                              <w:pPr>
                                <w:rPr>
                                  <w:rFonts w:hint="default" w:eastAsia="宋体"/>
                                  <w:lang w:val="en-US" w:eastAsia="zh-CN"/>
                                </w:rPr>
                              </w:pPr>
                              <w:r>
                                <w:rPr>
                                  <w:rFonts w:hint="eastAsia"/>
                                  <w:b/>
                                  <w:bCs/>
                                  <w:sz w:val="15"/>
                                  <w:szCs w:val="15"/>
                                  <w:lang w:val="en-US" w:eastAsia="zh-CN"/>
                                </w:rPr>
                                <w:t>中水回用</w:t>
                              </w:r>
                            </w:p>
                          </w:txbxContent>
                        </wps:txbx>
                        <wps:bodyPr upright="1"/>
                      </wps:wsp>
                      <wps:wsp>
                        <wps:cNvPr id="48" name="文本框 48"/>
                        <wps:cNvSpPr txBox="1"/>
                        <wps:spPr>
                          <a:xfrm>
                            <a:off x="13602" y="357366"/>
                            <a:ext cx="1201" cy="600"/>
                          </a:xfrm>
                          <a:prstGeom prst="rect">
                            <a:avLst/>
                          </a:prstGeom>
                          <a:solidFill>
                            <a:srgbClr val="FFFFFF"/>
                          </a:solidFill>
                          <a:ln>
                            <a:noFill/>
                          </a:ln>
                        </wps:spPr>
                        <wps:txbx>
                          <w:txbxContent>
                            <w:p w14:paraId="1C8450C8">
                              <w:pPr>
                                <w:rPr>
                                  <w:rFonts w:hint="eastAsia"/>
                                  <w:b/>
                                  <w:bCs/>
                                  <w:sz w:val="15"/>
                                  <w:szCs w:val="15"/>
                                  <w:lang w:val="en-US" w:eastAsia="zh-CN"/>
                                </w:rPr>
                              </w:pPr>
                              <w:r>
                                <w:rPr>
                                  <w:rFonts w:hint="eastAsia"/>
                                  <w:b/>
                                  <w:bCs/>
                                  <w:sz w:val="15"/>
                                  <w:szCs w:val="15"/>
                                  <w:lang w:val="en-US" w:eastAsia="zh-CN"/>
                                </w:rPr>
                                <w:t>冷凝水进</w:t>
                              </w:r>
                            </w:p>
                            <w:p w14:paraId="1A777358">
                              <w:pPr>
                                <w:rPr>
                                  <w:rFonts w:hint="default" w:eastAsia="宋体"/>
                                  <w:lang w:val="en-US" w:eastAsia="zh-CN"/>
                                </w:rPr>
                              </w:pPr>
                              <w:r>
                                <w:rPr>
                                  <w:rFonts w:hint="eastAsia"/>
                                  <w:b/>
                                  <w:bCs/>
                                  <w:sz w:val="15"/>
                                  <w:szCs w:val="15"/>
                                  <w:lang w:val="en-US" w:eastAsia="zh-CN"/>
                                </w:rPr>
                                <w:t>中水回用</w:t>
                              </w:r>
                            </w:p>
                          </w:txbxContent>
                        </wps:txbx>
                        <wps:bodyPr upright="1"/>
                      </wps:wsp>
                      <wps:wsp>
                        <wps:cNvPr id="49" name="文本框 49"/>
                        <wps:cNvSpPr txBox="1"/>
                        <wps:spPr>
                          <a:xfrm>
                            <a:off x="13542" y="358056"/>
                            <a:ext cx="1201" cy="600"/>
                          </a:xfrm>
                          <a:prstGeom prst="rect">
                            <a:avLst/>
                          </a:prstGeom>
                          <a:solidFill>
                            <a:srgbClr val="FFFFFF"/>
                          </a:solidFill>
                          <a:ln>
                            <a:noFill/>
                          </a:ln>
                        </wps:spPr>
                        <wps:txbx>
                          <w:txbxContent>
                            <w:p w14:paraId="71872BDC">
                              <w:pPr>
                                <w:rPr>
                                  <w:rFonts w:hint="eastAsia"/>
                                  <w:b/>
                                  <w:bCs/>
                                  <w:sz w:val="15"/>
                                  <w:szCs w:val="15"/>
                                  <w:lang w:val="en-US" w:eastAsia="zh-CN"/>
                                </w:rPr>
                              </w:pPr>
                              <w:r>
                                <w:rPr>
                                  <w:rFonts w:hint="eastAsia"/>
                                  <w:b/>
                                  <w:bCs/>
                                  <w:sz w:val="15"/>
                                  <w:szCs w:val="15"/>
                                  <w:lang w:val="en-US" w:eastAsia="zh-CN"/>
                                </w:rPr>
                                <w:t>冷凝水进</w:t>
                              </w:r>
                            </w:p>
                            <w:p w14:paraId="00F4F703">
                              <w:pPr>
                                <w:rPr>
                                  <w:rFonts w:hint="default" w:eastAsia="宋体"/>
                                  <w:lang w:val="en-US" w:eastAsia="zh-CN"/>
                                </w:rPr>
                              </w:pPr>
                              <w:r>
                                <w:rPr>
                                  <w:rFonts w:hint="eastAsia"/>
                                  <w:b/>
                                  <w:bCs/>
                                  <w:sz w:val="15"/>
                                  <w:szCs w:val="15"/>
                                  <w:lang w:val="en-US" w:eastAsia="zh-CN"/>
                                </w:rPr>
                                <w:t>中水回用</w:t>
                              </w:r>
                            </w:p>
                          </w:txbxContent>
                        </wps:txbx>
                        <wps:bodyPr upright="1"/>
                      </wps:wsp>
                      <wps:wsp>
                        <wps:cNvPr id="50" name="直接连接符 50"/>
                        <wps:cNvCnPr/>
                        <wps:spPr>
                          <a:xfrm>
                            <a:off x="13092" y="362391"/>
                            <a:ext cx="615" cy="1"/>
                          </a:xfrm>
                          <a:prstGeom prst="line">
                            <a:avLst/>
                          </a:prstGeom>
                          <a:ln w="9525" cap="flat" cmpd="sng">
                            <a:solidFill>
                              <a:srgbClr val="000000"/>
                            </a:solidFill>
                            <a:prstDash val="dash"/>
                            <a:headEnd type="none" w="med" len="med"/>
                            <a:tailEnd type="triangle" w="med" len="med"/>
                          </a:ln>
                        </wps:spPr>
                        <wps:bodyPr upright="1"/>
                      </wps:wsp>
                      <wps:wsp>
                        <wps:cNvPr id="51" name="直接连接符 51"/>
                        <wps:cNvCnPr/>
                        <wps:spPr>
                          <a:xfrm flipH="1">
                            <a:off x="3432" y="362406"/>
                            <a:ext cx="615" cy="1"/>
                          </a:xfrm>
                          <a:prstGeom prst="line">
                            <a:avLst/>
                          </a:prstGeom>
                          <a:ln w="9525" cap="flat" cmpd="sng">
                            <a:solidFill>
                              <a:srgbClr val="000000"/>
                            </a:solidFill>
                            <a:prstDash val="dash"/>
                            <a:headEnd type="none" w="med" len="med"/>
                            <a:tailEnd type="triangle" w="med" len="med"/>
                          </a:ln>
                        </wps:spPr>
                        <wps:bodyPr upright="1"/>
                      </wps:wsp>
                      <wps:wsp>
                        <wps:cNvPr id="52" name="文本框 52"/>
                        <wps:cNvSpPr txBox="1"/>
                        <wps:spPr>
                          <a:xfrm>
                            <a:off x="2803" y="362196"/>
                            <a:ext cx="734" cy="405"/>
                          </a:xfrm>
                          <a:prstGeom prst="rect">
                            <a:avLst/>
                          </a:prstGeom>
                          <a:noFill/>
                          <a:ln>
                            <a:noFill/>
                          </a:ln>
                        </wps:spPr>
                        <wps:txbx>
                          <w:txbxContent>
                            <w:p w14:paraId="59BA800C">
                              <w:pPr>
                                <w:rPr>
                                  <w:rFonts w:hint="default" w:eastAsia="宋体"/>
                                  <w:color w:val="FF0000"/>
                                  <w:lang w:val="en-US" w:eastAsia="zh-CN"/>
                                </w:rPr>
                              </w:pPr>
                              <w:r>
                                <w:rPr>
                                  <w:rFonts w:hint="eastAsia"/>
                                  <w:color w:val="FF0000"/>
                                  <w:lang w:val="en-US" w:eastAsia="zh-CN"/>
                                </w:rPr>
                                <w:t>噪声</w:t>
                              </w:r>
                            </w:p>
                          </w:txbxContent>
                        </wps:txbx>
                        <wps:bodyPr upright="1"/>
                      </wps:wsp>
                      <wps:wsp>
                        <wps:cNvPr id="53" name="文本框 53"/>
                        <wps:cNvSpPr txBox="1"/>
                        <wps:spPr>
                          <a:xfrm>
                            <a:off x="13663" y="362211"/>
                            <a:ext cx="734" cy="405"/>
                          </a:xfrm>
                          <a:prstGeom prst="rect">
                            <a:avLst/>
                          </a:prstGeom>
                          <a:noFill/>
                          <a:ln>
                            <a:noFill/>
                          </a:ln>
                        </wps:spPr>
                        <wps:txbx>
                          <w:txbxContent>
                            <w:p w14:paraId="37A60ACE">
                              <w:pPr>
                                <w:rPr>
                                  <w:rFonts w:hint="default" w:eastAsia="宋体"/>
                                  <w:color w:val="FF0000"/>
                                  <w:lang w:val="en-US" w:eastAsia="zh-CN"/>
                                </w:rPr>
                              </w:pPr>
                              <w:r>
                                <w:rPr>
                                  <w:rFonts w:hint="eastAsia"/>
                                  <w:color w:val="FF0000"/>
                                  <w:lang w:val="en-US" w:eastAsia="zh-CN"/>
                                </w:rPr>
                                <w:t>噪声</w:t>
                              </w:r>
                            </w:p>
                          </w:txbxContent>
                        </wps:txbx>
                        <wps:bodyPr upright="1"/>
                      </wps:wsp>
                      <wps:wsp>
                        <wps:cNvPr id="54" name="直接连接符 54"/>
                        <wps:cNvCnPr/>
                        <wps:spPr>
                          <a:xfrm flipH="1">
                            <a:off x="11157" y="363081"/>
                            <a:ext cx="615" cy="1"/>
                          </a:xfrm>
                          <a:prstGeom prst="line">
                            <a:avLst/>
                          </a:prstGeom>
                          <a:ln w="9525" cap="flat" cmpd="sng">
                            <a:solidFill>
                              <a:srgbClr val="000000"/>
                            </a:solidFill>
                            <a:prstDash val="dash"/>
                            <a:headEnd type="none" w="med" len="med"/>
                            <a:tailEnd type="triangle" w="med" len="med"/>
                          </a:ln>
                        </wps:spPr>
                        <wps:bodyPr upright="1"/>
                      </wps:wsp>
                      <wps:wsp>
                        <wps:cNvPr id="55" name="直接连接符 55"/>
                        <wps:cNvCnPr/>
                        <wps:spPr>
                          <a:xfrm>
                            <a:off x="5427" y="363096"/>
                            <a:ext cx="615" cy="1"/>
                          </a:xfrm>
                          <a:prstGeom prst="line">
                            <a:avLst/>
                          </a:prstGeom>
                          <a:ln w="9525" cap="flat" cmpd="sng">
                            <a:solidFill>
                              <a:srgbClr val="000000"/>
                            </a:solidFill>
                            <a:prstDash val="dash"/>
                            <a:headEnd type="none" w="med" len="med"/>
                            <a:tailEnd type="triangle" w="med" len="med"/>
                          </a:ln>
                        </wps:spPr>
                        <wps:bodyPr upright="1"/>
                      </wps:wsp>
                      <wps:wsp>
                        <wps:cNvPr id="56" name="文本框 56"/>
                        <wps:cNvSpPr txBox="1"/>
                        <wps:spPr>
                          <a:xfrm>
                            <a:off x="6013" y="362931"/>
                            <a:ext cx="734" cy="450"/>
                          </a:xfrm>
                          <a:prstGeom prst="rect">
                            <a:avLst/>
                          </a:prstGeom>
                          <a:noFill/>
                          <a:ln>
                            <a:noFill/>
                          </a:ln>
                        </wps:spPr>
                        <wps:txbx>
                          <w:txbxContent>
                            <w:p w14:paraId="57EB459B">
                              <w:pPr>
                                <w:rPr>
                                  <w:rFonts w:hint="default" w:eastAsia="宋体"/>
                                  <w:color w:val="FF0000"/>
                                  <w:lang w:val="en-US" w:eastAsia="zh-CN"/>
                                </w:rPr>
                              </w:pPr>
                              <w:r>
                                <w:rPr>
                                  <w:rFonts w:hint="eastAsia"/>
                                  <w:color w:val="FF0000"/>
                                  <w:lang w:val="en-US" w:eastAsia="zh-CN"/>
                                </w:rPr>
                                <w:t>噪声</w:t>
                              </w:r>
                            </w:p>
                          </w:txbxContent>
                        </wps:txbx>
                        <wps:bodyPr upright="1"/>
                      </wps:wsp>
                      <wps:wsp>
                        <wps:cNvPr id="57" name="文本框 57"/>
                        <wps:cNvSpPr txBox="1"/>
                        <wps:spPr>
                          <a:xfrm>
                            <a:off x="10423" y="362901"/>
                            <a:ext cx="734" cy="405"/>
                          </a:xfrm>
                          <a:prstGeom prst="rect">
                            <a:avLst/>
                          </a:prstGeom>
                          <a:noFill/>
                          <a:ln>
                            <a:noFill/>
                          </a:ln>
                        </wps:spPr>
                        <wps:txbx>
                          <w:txbxContent>
                            <w:p w14:paraId="058AAF9D">
                              <w:pPr>
                                <w:rPr>
                                  <w:rFonts w:hint="default" w:eastAsia="宋体"/>
                                  <w:color w:val="FF0000"/>
                                  <w:lang w:val="en-US" w:eastAsia="zh-CN"/>
                                </w:rPr>
                              </w:pPr>
                              <w:r>
                                <w:rPr>
                                  <w:rFonts w:hint="eastAsia"/>
                                  <w:color w:val="FF0000"/>
                                  <w:lang w:val="en-US" w:eastAsia="zh-CN"/>
                                </w:rPr>
                                <w:t>噪声</w:t>
                              </w:r>
                            </w:p>
                          </w:txbxContent>
                        </wps:txbx>
                        <wps:bodyPr upright="1"/>
                      </wps:wsp>
                    </wpg:wgp>
                  </a:graphicData>
                </a:graphic>
              </wp:anchor>
            </w:drawing>
          </mc:Choice>
          <mc:Fallback>
            <w:pict>
              <v:group id="_x0000_s1026" o:spid="_x0000_s1026" o:spt="203" style="position:absolute;left:0pt;margin-left:69.3pt;margin-top:70.8pt;height:300.75pt;width:599.95pt;z-index:251674624;mso-width-relative:page;mso-height-relative:page;" coordorigin="2803,357366" coordsize="11999,6015" o:gfxdata="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M+hDOjaAAAADAEAAA8AAAAAAAAAAQAgAAAA&#10;IgAAAGRycy9kb3ducmV2LnhtbFBLAQIUABQAAAAIAIdO4kA23o4jQwQAAKoXAAAOAAAAAAAAAAEA&#10;IAAAACkBAABkcnMvZTJvRG9jLnhtbFBLBQYAAAAABgAGAFkBAADeBwAAAAA=&#10;">
                <o:lock v:ext="edit" aspectratio="f"/>
                <v:shape id="_x0000_s1026" o:spid="_x0000_s1026" o:spt="202" type="#_x0000_t202" style="position:absolute;left:5937;top:357396;height:600;width:1096;" fillcolor="#FFFFFF" filled="t" stroked="f" coordsize="21600,21600" o:gfxdata="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Euo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408ABFD">
                        <w:pPr>
                          <w:rPr>
                            <w:rFonts w:hint="eastAsia"/>
                            <w:b/>
                            <w:bCs/>
                            <w:sz w:val="15"/>
                            <w:szCs w:val="15"/>
                            <w:lang w:val="en-US" w:eastAsia="zh-CN"/>
                          </w:rPr>
                        </w:pPr>
                        <w:r>
                          <w:rPr>
                            <w:rFonts w:hint="eastAsia"/>
                            <w:b/>
                            <w:bCs/>
                            <w:sz w:val="15"/>
                            <w:szCs w:val="15"/>
                            <w:lang w:val="en-US" w:eastAsia="zh-CN"/>
                          </w:rPr>
                          <w:t>冷凝水进</w:t>
                        </w:r>
                      </w:p>
                      <w:p w14:paraId="359B3553">
                        <w:pPr>
                          <w:rPr>
                            <w:rFonts w:hint="default" w:eastAsia="宋体"/>
                            <w:lang w:val="en-US" w:eastAsia="zh-CN"/>
                          </w:rPr>
                        </w:pPr>
                        <w:r>
                          <w:rPr>
                            <w:rFonts w:hint="eastAsia"/>
                            <w:b/>
                            <w:bCs/>
                            <w:sz w:val="15"/>
                            <w:szCs w:val="15"/>
                            <w:lang w:val="en-US" w:eastAsia="zh-CN"/>
                          </w:rPr>
                          <w:t>中水回用</w:t>
                        </w:r>
                      </w:p>
                    </w:txbxContent>
                  </v:textbox>
                </v:shape>
                <v:shape id="_x0000_s1026" o:spid="_x0000_s1026" o:spt="202" type="#_x0000_t202" style="position:absolute;left:5892;top:358011;height:600;width:1201;" fillcolor="#FFFFFF" filled="t" stroked="f" coordsize="21600,21600" o:gfxdata="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IHxu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67534C1D">
                        <w:pPr>
                          <w:rPr>
                            <w:rFonts w:hint="eastAsia"/>
                            <w:b/>
                            <w:bCs/>
                            <w:sz w:val="15"/>
                            <w:szCs w:val="15"/>
                            <w:lang w:val="en-US" w:eastAsia="zh-CN"/>
                          </w:rPr>
                        </w:pPr>
                        <w:r>
                          <w:rPr>
                            <w:rFonts w:hint="eastAsia"/>
                            <w:b/>
                            <w:bCs/>
                            <w:sz w:val="15"/>
                            <w:szCs w:val="15"/>
                            <w:lang w:val="en-US" w:eastAsia="zh-CN"/>
                          </w:rPr>
                          <w:t>冷凝水进</w:t>
                        </w:r>
                      </w:p>
                      <w:p w14:paraId="3AB554DC">
                        <w:pPr>
                          <w:rPr>
                            <w:rFonts w:hint="default" w:eastAsia="宋体"/>
                            <w:lang w:val="en-US" w:eastAsia="zh-CN"/>
                          </w:rPr>
                        </w:pPr>
                        <w:r>
                          <w:rPr>
                            <w:rFonts w:hint="eastAsia"/>
                            <w:b/>
                            <w:bCs/>
                            <w:sz w:val="15"/>
                            <w:szCs w:val="15"/>
                            <w:lang w:val="en-US" w:eastAsia="zh-CN"/>
                          </w:rPr>
                          <w:t>中水回用</w:t>
                        </w:r>
                      </w:p>
                    </w:txbxContent>
                  </v:textbox>
                </v:shape>
                <v:shape id="_x0000_s1026" o:spid="_x0000_s1026" o:spt="202" type="#_x0000_t202" style="position:absolute;left:13602;top:357366;height:600;width:1201;" fillcolor="#FFFFFF" filled="t" stroked="f" coordsize="21600,21600" o:gfxdata="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i2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1C8450C8">
                        <w:pPr>
                          <w:rPr>
                            <w:rFonts w:hint="eastAsia"/>
                            <w:b/>
                            <w:bCs/>
                            <w:sz w:val="15"/>
                            <w:szCs w:val="15"/>
                            <w:lang w:val="en-US" w:eastAsia="zh-CN"/>
                          </w:rPr>
                        </w:pPr>
                        <w:r>
                          <w:rPr>
                            <w:rFonts w:hint="eastAsia"/>
                            <w:b/>
                            <w:bCs/>
                            <w:sz w:val="15"/>
                            <w:szCs w:val="15"/>
                            <w:lang w:val="en-US" w:eastAsia="zh-CN"/>
                          </w:rPr>
                          <w:t>冷凝水进</w:t>
                        </w:r>
                      </w:p>
                      <w:p w14:paraId="1A777358">
                        <w:pPr>
                          <w:rPr>
                            <w:rFonts w:hint="default" w:eastAsia="宋体"/>
                            <w:lang w:val="en-US" w:eastAsia="zh-CN"/>
                          </w:rPr>
                        </w:pPr>
                        <w:r>
                          <w:rPr>
                            <w:rFonts w:hint="eastAsia"/>
                            <w:b/>
                            <w:bCs/>
                            <w:sz w:val="15"/>
                            <w:szCs w:val="15"/>
                            <w:lang w:val="en-US" w:eastAsia="zh-CN"/>
                          </w:rPr>
                          <w:t>中水回用</w:t>
                        </w:r>
                      </w:p>
                    </w:txbxContent>
                  </v:textbox>
                </v:shape>
                <v:shape id="_x0000_s1026" o:spid="_x0000_s1026" o:spt="202" type="#_x0000_t202" style="position:absolute;left:13542;top:358056;height:600;width:1201;" fillcolor="#FFFFFF"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1872BDC">
                        <w:pPr>
                          <w:rPr>
                            <w:rFonts w:hint="eastAsia"/>
                            <w:b/>
                            <w:bCs/>
                            <w:sz w:val="15"/>
                            <w:szCs w:val="15"/>
                            <w:lang w:val="en-US" w:eastAsia="zh-CN"/>
                          </w:rPr>
                        </w:pPr>
                        <w:r>
                          <w:rPr>
                            <w:rFonts w:hint="eastAsia"/>
                            <w:b/>
                            <w:bCs/>
                            <w:sz w:val="15"/>
                            <w:szCs w:val="15"/>
                            <w:lang w:val="en-US" w:eastAsia="zh-CN"/>
                          </w:rPr>
                          <w:t>冷凝水进</w:t>
                        </w:r>
                      </w:p>
                      <w:p w14:paraId="00F4F703">
                        <w:pPr>
                          <w:rPr>
                            <w:rFonts w:hint="default" w:eastAsia="宋体"/>
                            <w:lang w:val="en-US" w:eastAsia="zh-CN"/>
                          </w:rPr>
                        </w:pPr>
                        <w:r>
                          <w:rPr>
                            <w:rFonts w:hint="eastAsia"/>
                            <w:b/>
                            <w:bCs/>
                            <w:sz w:val="15"/>
                            <w:szCs w:val="15"/>
                            <w:lang w:val="en-US" w:eastAsia="zh-CN"/>
                          </w:rPr>
                          <w:t>中水回用</w:t>
                        </w:r>
                      </w:p>
                    </w:txbxContent>
                  </v:textbox>
                </v:shape>
                <v:line id="_x0000_s1026" o:spid="_x0000_s1026" o:spt="20" style="position:absolute;left:13092;top:362391;height:1;width:615;" filled="f" stroked="t" coordsize="21600,21600" o:gfxdata="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3Tqx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3432;top:362406;flip:x;height:1;width:615;" filled="f" stroked="t" coordsize="21600,21600" o:gfxdata="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i2XG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2803;top:362196;height:405;width:734;"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9BA800C">
                        <w:pPr>
                          <w:rPr>
                            <w:rFonts w:hint="default" w:eastAsia="宋体"/>
                            <w:color w:val="FF0000"/>
                            <w:lang w:val="en-US" w:eastAsia="zh-CN"/>
                          </w:rPr>
                        </w:pPr>
                        <w:r>
                          <w:rPr>
                            <w:rFonts w:hint="eastAsia"/>
                            <w:color w:val="FF0000"/>
                            <w:lang w:val="en-US" w:eastAsia="zh-CN"/>
                          </w:rPr>
                          <w:t>噪声</w:t>
                        </w:r>
                      </w:p>
                    </w:txbxContent>
                  </v:textbox>
                </v:shape>
                <v:shape id="_x0000_s1026" o:spid="_x0000_s1026" o:spt="202" type="#_x0000_t202" style="position:absolute;left:13663;top:362211;height:405;width:734;"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7A60ACE">
                        <w:pPr>
                          <w:rPr>
                            <w:rFonts w:hint="default" w:eastAsia="宋体"/>
                            <w:color w:val="FF0000"/>
                            <w:lang w:val="en-US" w:eastAsia="zh-CN"/>
                          </w:rPr>
                        </w:pPr>
                        <w:r>
                          <w:rPr>
                            <w:rFonts w:hint="eastAsia"/>
                            <w:color w:val="FF0000"/>
                            <w:lang w:val="en-US" w:eastAsia="zh-CN"/>
                          </w:rPr>
                          <w:t>噪声</w:t>
                        </w:r>
                      </w:p>
                    </w:txbxContent>
                  </v:textbox>
                </v:shape>
                <v:line id="_x0000_s1026" o:spid="_x0000_s1026" o:spt="20" style="position:absolute;left:11157;top:363081;flip:x;height:1;width:615;" filled="f" stroked="t" coordsize="21600,21600" o:gfxdata="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FXrp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_x0000_s1026" o:spid="_x0000_s1026" o:spt="20" style="position:absolute;left:5427;top:363096;height:1;width:615;" filled="f" stroked="t" coordsize="21600,21600" o:gfxdata="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pkp&#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6013;top:362931;height:450;width:734;"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EB459B">
                        <w:pPr>
                          <w:rPr>
                            <w:rFonts w:hint="default" w:eastAsia="宋体"/>
                            <w:color w:val="FF0000"/>
                            <w:lang w:val="en-US" w:eastAsia="zh-CN"/>
                          </w:rPr>
                        </w:pPr>
                        <w:r>
                          <w:rPr>
                            <w:rFonts w:hint="eastAsia"/>
                            <w:color w:val="FF0000"/>
                            <w:lang w:val="en-US" w:eastAsia="zh-CN"/>
                          </w:rPr>
                          <w:t>噪声</w:t>
                        </w:r>
                      </w:p>
                    </w:txbxContent>
                  </v:textbox>
                </v:shape>
                <v:shape id="_x0000_s1026" o:spid="_x0000_s1026" o:spt="202" type="#_x0000_t202" style="position:absolute;left:10423;top:362901;height:405;width:734;"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58AAF9D">
                        <w:pPr>
                          <w:rPr>
                            <w:rFonts w:hint="default" w:eastAsia="宋体"/>
                            <w:color w:val="FF0000"/>
                            <w:lang w:val="en-US" w:eastAsia="zh-CN"/>
                          </w:rPr>
                        </w:pPr>
                        <w:r>
                          <w:rPr>
                            <w:rFonts w:hint="eastAsia"/>
                            <w:color w:val="FF0000"/>
                            <w:lang w:val="en-US" w:eastAsia="zh-CN"/>
                          </w:rPr>
                          <w:t>噪声</w:t>
                        </w:r>
                      </w:p>
                    </w:txbxContent>
                  </v:textbox>
                </v:shape>
              </v:group>
            </w:pict>
          </mc:Fallback>
        </mc:AlternateContent>
      </w:r>
      <w:r>
        <w:rPr>
          <w:color w:val="000000"/>
          <w:highlight w:val="none"/>
        </w:rPr>
        <w:drawing>
          <wp:inline distT="0" distB="0" distL="114300" distR="114300">
            <wp:extent cx="9251315" cy="5142865"/>
            <wp:effectExtent l="0" t="0" r="6985" b="6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8"/>
                    <a:stretch>
                      <a:fillRect/>
                    </a:stretch>
                  </pic:blipFill>
                  <pic:spPr>
                    <a:xfrm>
                      <a:off x="0" y="0"/>
                      <a:ext cx="9251315" cy="5142865"/>
                    </a:xfrm>
                    <a:prstGeom prst="rect">
                      <a:avLst/>
                    </a:prstGeom>
                    <a:noFill/>
                    <a:ln>
                      <a:noFill/>
                    </a:ln>
                  </pic:spPr>
                </pic:pic>
              </a:graphicData>
            </a:graphic>
          </wp:inline>
        </w:drawing>
      </w:r>
    </w:p>
    <w:p w14:paraId="09AA73DA">
      <w:pPr>
        <w:jc w:val="center"/>
        <w:rPr>
          <w:color w:val="000000"/>
          <w:highlight w:val="none"/>
        </w:rPr>
      </w:pPr>
    </w:p>
    <w:p w14:paraId="1DFF90C7">
      <w:pPr>
        <w:jc w:val="center"/>
        <w:rPr>
          <w:color w:val="000000"/>
          <w:highlight w:val="none"/>
        </w:rPr>
      </w:pPr>
    </w:p>
    <w:p w14:paraId="7EBC5045">
      <w:pPr>
        <w:jc w:val="center"/>
        <w:rPr>
          <w:rFonts w:hint="eastAsia" w:eastAsia="宋体"/>
          <w:color w:val="000000"/>
          <w:highlight w:val="none"/>
          <w:lang w:val="en-US" w:eastAsia="zh-CN"/>
        </w:rPr>
        <w:sectPr>
          <w:pgSz w:w="16838" w:h="11906" w:orient="landscape"/>
          <w:pgMar w:top="850" w:right="1134" w:bottom="850" w:left="1134" w:header="851" w:footer="851" w:gutter="0"/>
          <w:pgBorders>
            <w:top w:val="none" w:sz="0" w:space="0"/>
            <w:left w:val="none" w:sz="0" w:space="0"/>
            <w:bottom w:val="none" w:sz="0" w:space="0"/>
            <w:right w:val="none" w:sz="0" w:space="0"/>
          </w:pgBorders>
          <w:cols w:space="720" w:num="1"/>
          <w:docGrid w:linePitch="312" w:charSpace="0"/>
        </w:sectPr>
      </w:pPr>
      <w:r>
        <w:rPr>
          <w:rFonts w:hint="eastAsia"/>
          <w:b/>
          <w:bCs/>
          <w:color w:val="000000"/>
          <w:highlight w:val="none"/>
          <w:lang w:val="en-US" w:eastAsia="zh-CN"/>
        </w:rPr>
        <w:t xml:space="preserve">图2-6 </w:t>
      </w:r>
      <w:r>
        <w:rPr>
          <w:rFonts w:hint="eastAsia" w:ascii="Times New Roman" w:hAnsi="Times New Roman" w:cs="Times New Roman"/>
          <w:b/>
          <w:bCs/>
          <w:color w:val="000000"/>
          <w:highlight w:val="none"/>
        </w:rPr>
        <w:t>蒸发结晶工艺流程</w:t>
      </w:r>
      <w:r>
        <w:rPr>
          <w:rFonts w:hint="eastAsia" w:ascii="Times New Roman" w:hAnsi="Times New Roman" w:cs="Times New Roman"/>
          <w:b/>
          <w:bCs/>
          <w:color w:val="000000"/>
          <w:highlight w:val="none"/>
          <w:lang w:val="en-US" w:eastAsia="zh-CN"/>
        </w:rPr>
        <w:t>图</w:t>
      </w:r>
    </w:p>
    <w:p w14:paraId="79A0F9DC">
      <w:pPr>
        <w:rPr>
          <w:color w:val="000000"/>
          <w:highlight w:val="none"/>
        </w:rPr>
      </w:pPr>
    </w:p>
    <w:tbl>
      <w:tblPr>
        <w:tblStyle w:val="13"/>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499"/>
      </w:tblGrid>
      <w:tr w14:paraId="1A292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857" w:type="dxa"/>
            <w:noWrap w:val="0"/>
            <w:vAlign w:val="center"/>
          </w:tcPr>
          <w:p w14:paraId="1C0BC10A">
            <w:pPr>
              <w:adjustRightInd w:val="0"/>
              <w:snapToGrid w:val="0"/>
              <w:jc w:val="center"/>
              <w:rPr>
                <w:rFonts w:hint="default" w:ascii="Times New Roman" w:hAnsi="Times New Roman" w:cs="Times New Roman"/>
                <w:b/>
                <w:bCs/>
                <w:color w:val="000000"/>
                <w:highlight w:val="none"/>
              </w:rPr>
            </w:pPr>
          </w:p>
        </w:tc>
        <w:tc>
          <w:tcPr>
            <w:tcW w:w="8499" w:type="dxa"/>
            <w:noWrap w:val="0"/>
            <w:vAlign w:val="center"/>
          </w:tcPr>
          <w:p w14:paraId="58F41A44">
            <w:pPr>
              <w:numPr>
                <w:ilvl w:val="0"/>
                <w:numId w:val="2"/>
              </w:numPr>
              <w:spacing w:line="360" w:lineRule="auto"/>
              <w:ind w:left="240" w:leftChars="0" w:firstLine="0" w:firstLineChars="0"/>
              <w:jc w:val="left"/>
              <w:rPr>
                <w:rFonts w:hint="default" w:ascii="Times New Roman" w:hAnsi="Times New Roman" w:cs="Times New Roman"/>
                <w:b/>
                <w:bCs/>
                <w:color w:val="000000"/>
                <w:sz w:val="24"/>
                <w:highlight w:val="none"/>
                <w:lang w:val="en-US" w:eastAsia="zh-CN"/>
              </w:rPr>
            </w:pPr>
            <w:r>
              <w:rPr>
                <w:rFonts w:hint="eastAsia" w:ascii="Times New Roman" w:hAnsi="Times New Roman" w:cs="Times New Roman"/>
                <w:b/>
                <w:bCs/>
                <w:color w:val="000000"/>
                <w:sz w:val="24"/>
                <w:highlight w:val="none"/>
                <w:lang w:val="en-US" w:eastAsia="zh-CN"/>
              </w:rPr>
              <w:t>中水回用及零排放工程工艺流程</w:t>
            </w:r>
          </w:p>
          <w:p w14:paraId="467CDC23">
            <w:pPr>
              <w:spacing w:line="360" w:lineRule="auto"/>
              <w:ind w:firstLine="480" w:firstLineChars="20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rPr>
              <w:t>中水回用及零排放工程工艺</w:t>
            </w:r>
            <w:r>
              <w:rPr>
                <w:rFonts w:hint="default" w:ascii="Times New Roman" w:hAnsi="Times New Roman" w:cs="Times New Roman"/>
                <w:color w:val="000000"/>
                <w:sz w:val="24"/>
                <w:highlight w:val="none"/>
                <w:lang w:eastAsia="zh-CN"/>
              </w:rPr>
              <w:t>流程图示</w:t>
            </w:r>
            <w:r>
              <w:rPr>
                <w:rFonts w:hint="default" w:ascii="Times New Roman" w:hAnsi="Times New Roman" w:cs="Times New Roman"/>
                <w:color w:val="000000"/>
                <w:sz w:val="24"/>
                <w:highlight w:val="none"/>
              </w:rPr>
              <w:t>如</w:t>
            </w:r>
            <w:r>
              <w:rPr>
                <w:rFonts w:hint="eastAsia" w:ascii="Times New Roman" w:hAnsi="Times New Roman" w:cs="Times New Roman"/>
                <w:color w:val="000000"/>
                <w:sz w:val="24"/>
                <w:highlight w:val="none"/>
                <w:lang w:val="en-US" w:eastAsia="zh-CN"/>
              </w:rPr>
              <w:t>图2-5、2-6。</w:t>
            </w:r>
          </w:p>
          <w:p w14:paraId="2E915A6D">
            <w:pPr>
              <w:spacing w:line="360" w:lineRule="auto"/>
              <w:ind w:firstLine="482" w:firstLineChars="200"/>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lang w:val="en-US" w:eastAsia="zh-CN"/>
              </w:rPr>
              <w:t>工艺流程简述</w:t>
            </w:r>
          </w:p>
          <w:p w14:paraId="4263499A">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来水进入2#缓冲池进行水质均和后进入1#软化高密池，来水总硬度数值较高，为保证后续膜脱盐处理单元的稳定运行，需要进行初步的除硬。通过pH调节，投加NaOH、Na</w:t>
            </w:r>
            <w:r>
              <w:rPr>
                <w:rFonts w:hint="default" w:ascii="Times New Roman" w:hAnsi="Times New Roman" w:cs="Times New Roman"/>
                <w:color w:val="000000"/>
                <w:sz w:val="24"/>
                <w:highlight w:val="none"/>
                <w:vertAlign w:val="subscript"/>
              </w:rPr>
              <w:t>2</w:t>
            </w:r>
            <w:r>
              <w:rPr>
                <w:rFonts w:hint="default" w:ascii="Times New Roman" w:hAnsi="Times New Roman" w:cs="Times New Roman"/>
                <w:color w:val="000000"/>
                <w:sz w:val="24"/>
                <w:highlight w:val="none"/>
              </w:rPr>
              <w:t>CO</w:t>
            </w:r>
            <w:r>
              <w:rPr>
                <w:rFonts w:hint="default" w:ascii="Times New Roman" w:hAnsi="Times New Roman" w:cs="Times New Roman"/>
                <w:color w:val="000000"/>
                <w:sz w:val="24"/>
                <w:highlight w:val="none"/>
                <w:vertAlign w:val="subscript"/>
              </w:rPr>
              <w:t>3</w:t>
            </w:r>
            <w:r>
              <w:rPr>
                <w:rFonts w:hint="default" w:ascii="Times New Roman" w:hAnsi="Times New Roman" w:cs="Times New Roman"/>
                <w:color w:val="000000"/>
                <w:sz w:val="24"/>
                <w:highlight w:val="none"/>
              </w:rPr>
              <w:t>和</w:t>
            </w:r>
            <w:r>
              <w:rPr>
                <w:rFonts w:hint="eastAsia" w:ascii="Times New Roman" w:hAnsi="Times New Roman" w:cs="Times New Roman"/>
                <w:color w:val="000000"/>
                <w:sz w:val="24"/>
                <w:highlight w:val="none"/>
                <w:lang w:eastAsia="zh-CN"/>
              </w:rPr>
              <w:t>氯化镁</w:t>
            </w:r>
            <w:r>
              <w:rPr>
                <w:rFonts w:hint="default" w:ascii="Times New Roman" w:hAnsi="Times New Roman" w:cs="Times New Roman"/>
                <w:color w:val="000000"/>
                <w:sz w:val="24"/>
                <w:highlight w:val="none"/>
              </w:rPr>
              <w:t>等化学药剂与废水中的钙、镁和硅等离子反应生产沉淀，降低水中的钙、镁和硅等无机离子，降低水中的硬度。软化高密池污泥排入污泥储池，污泥储池污泥经板框压滤机压泥处理后，脱水污泥通过厂内掺煤炼焦进行无害化处理。1#软化高密池出水进入2#多介质过滤器，通过不同粒径滤料的物理过滤作用，去除水中的大部分悬浮物，对后续超滤装置达到保安作用。2#多介质过滤器出水进入1#超滤系统以超滤膜两侧的压力差为驱动力，超滤膜为过滤介质，对水中的悬浮物进一步去除。1#超滤产水进入1#反渗透系统，经反渗透膜去除水中绝大部分离子，产水进入回用水池回用，浓水进入1#反渗透浓水池。1#反渗透浓水经泵输送进入2#软化高密池，2#软化高密池降低1#反渗透浓水中的钙、镁和硅等无机离子，2#软化高密池出水依次进入3#多介质过滤器、离子交换树脂和2#超滤系统进一步去除水中SS和钙镁硬度，保护后端反渗透膜不易被污堵。</w:t>
            </w:r>
          </w:p>
          <w:p w14:paraId="1580525D">
            <w:pPr>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highlight w:val="none"/>
              </w:rPr>
              <w:t>2#超滤出水进入2#反渗透系统去除水中绝大部分离子，产水进入回用水池回用，浓水进入2#反渗透浓水池。2#反渗透浓水进入臭氧催化氧化池。在催化剂和臭氧等的协同作用下，浓水中部分有机物被降解为小分子或直接氧化分解。出水经3#超滤去除水中悬浮</w:t>
            </w:r>
            <w:r>
              <w:rPr>
                <w:rFonts w:hint="default" w:ascii="Times New Roman" w:hAnsi="Times New Roman" w:cs="Times New Roman"/>
                <w:color w:val="000000"/>
                <w:sz w:val="24"/>
                <w:szCs w:val="24"/>
                <w:highlight w:val="none"/>
              </w:rPr>
              <w:t>物进入1#纳滤系统，通过纳滤膜装置对浓水进行分盐处理，将废水的一价盐和二价盐分开。</w:t>
            </w:r>
          </w:p>
          <w:p w14:paraId="56582398">
            <w:pPr>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1#纳滤产水经2#纳滤进一步分离一二价盐后，2#纳滤浓水回至1#纳滤进水，2#纳滤产水经3#反渗透进一步浓缩后，产水进3#反渗透浓水池；1#纳滤浓水进1#纳滤浓水池。</w:t>
            </w:r>
          </w:p>
          <w:p w14:paraId="4BFFC1ED">
            <w:pPr>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1#纳滤浓水进入硫酸钠系统和干燥系统生成硫酸钠成品，杂盐经杂盐处理系统产生杂盐。3#反渗透浓水进入氯化钠结晶系统和干燥系统生成氯化钠成品。</w:t>
            </w:r>
          </w:p>
          <w:p w14:paraId="19BE2C45">
            <w:pPr>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硫酸钠、氯化钠</w:t>
            </w:r>
            <w:r>
              <w:rPr>
                <w:rFonts w:hint="eastAsia" w:ascii="Times New Roman" w:hAnsi="Times New Roman" w:cs="Times New Roman"/>
                <w:color w:val="000000"/>
                <w:sz w:val="24"/>
                <w:szCs w:val="24"/>
                <w:highlight w:val="none"/>
                <w:lang w:val="en-US" w:eastAsia="zh-CN"/>
              </w:rPr>
              <w:t>若鉴定为危险废物，则作为危废管理，暂存于危废库，定期委托资质单位处理；若鉴定为一般固废，且达到相应的副产品质量标准，则按照副产品外售；若鉴定为一般固废，但不满足相应的副产品质量标准，则按照一般固废处理；杂盐若鉴定为危废，则按照危废管理，否则按照一般固废管理</w:t>
            </w:r>
            <w:r>
              <w:rPr>
                <w:rFonts w:hint="default" w:ascii="Times New Roman" w:hAnsi="Times New Roman" w:cs="Times New Roman"/>
                <w:color w:val="000000"/>
                <w:sz w:val="24"/>
                <w:szCs w:val="24"/>
                <w:highlight w:val="none"/>
              </w:rPr>
              <w:t>。</w:t>
            </w:r>
          </w:p>
          <w:p w14:paraId="101D67EE">
            <w:pPr>
              <w:spacing w:line="360" w:lineRule="auto"/>
              <w:ind w:firstLine="480" w:firstLineChars="200"/>
              <w:jc w:val="both"/>
              <w:rPr>
                <w:rFonts w:hint="eastAsia"/>
                <w:color w:val="000000"/>
                <w:sz w:val="24"/>
                <w:highlight w:val="none"/>
                <w:lang w:val="en-US" w:eastAsia="zh-CN"/>
              </w:rPr>
            </w:pPr>
            <w:r>
              <w:rPr>
                <w:rFonts w:hint="eastAsia"/>
                <w:color w:val="000000"/>
                <w:sz w:val="24"/>
                <w:szCs w:val="24"/>
                <w:highlight w:val="none"/>
                <w:lang w:val="en-US" w:eastAsia="zh-CN"/>
              </w:rPr>
              <w:t>中水回用及零排放系统的水</w:t>
            </w:r>
            <w:r>
              <w:rPr>
                <w:rFonts w:hint="eastAsia"/>
                <w:color w:val="000000"/>
                <w:sz w:val="24"/>
                <w:highlight w:val="none"/>
                <w:lang w:val="en-US" w:eastAsia="zh-CN"/>
              </w:rPr>
              <w:t>量设计处理规模为120m</w:t>
            </w:r>
            <w:r>
              <w:rPr>
                <w:rFonts w:hint="eastAsia"/>
                <w:color w:val="000000"/>
                <w:sz w:val="24"/>
                <w:highlight w:val="none"/>
                <w:vertAlign w:val="superscript"/>
                <w:lang w:val="en-US" w:eastAsia="zh-CN"/>
              </w:rPr>
              <w:t>3</w:t>
            </w:r>
            <w:r>
              <w:rPr>
                <w:rFonts w:hint="eastAsia"/>
                <w:color w:val="000000"/>
                <w:sz w:val="24"/>
                <w:highlight w:val="none"/>
                <w:lang w:val="en-US" w:eastAsia="zh-CN"/>
              </w:rPr>
              <w:t>/h，</w:t>
            </w:r>
            <w:r>
              <w:rPr>
                <w:rFonts w:hint="eastAsia" w:ascii="Times New Roman" w:hAnsi="Times New Roman" w:eastAsia="宋体" w:cs="Times New Roman"/>
                <w:b w:val="0"/>
                <w:bCs/>
                <w:color w:val="000000"/>
                <w:sz w:val="24"/>
                <w:highlight w:val="none"/>
                <w:lang w:val="en-US" w:eastAsia="zh-CN"/>
              </w:rPr>
              <w:t>实际处理规模为58.76</w:t>
            </w:r>
            <w:r>
              <w:rPr>
                <w:rFonts w:hint="default" w:ascii="Times New Roman" w:hAnsi="Times New Roman" w:eastAsia="宋体" w:cs="Times New Roman"/>
                <w:b w:val="0"/>
                <w:bCs/>
                <w:color w:val="000000"/>
                <w:sz w:val="24"/>
                <w:highlight w:val="none"/>
                <w:lang w:eastAsia="zh-CN"/>
              </w:rPr>
              <w:t>m³/h（包含生化出水41.55m³/h、除盐水站排污水11.1m³/h、循环冷却水排水3.36m³/h、软水站排污水1.25m³/h、炼焦余热锅炉排污水1.5m³/h</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。废水经过多级废水处理工艺后，整体实现95%以上产水率，回收淡水，水质要求达到《工业循环冷却水处理设计规范》</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GB50050-2017</w:t>
            </w:r>
            <w:r>
              <w:rPr>
                <w:rFonts w:hint="eastAsia" w:ascii="Times New Roman" w:hAnsi="Times New Roman" w:eastAsia="宋体" w:cs="Times New Roman"/>
                <w:b w:val="0"/>
                <w:bCs/>
                <w:color w:val="000000"/>
                <w:sz w:val="24"/>
                <w:highlight w:val="none"/>
                <w:lang w:eastAsia="zh-CN"/>
              </w:rPr>
              <w:t>）</w:t>
            </w:r>
            <w:r>
              <w:rPr>
                <w:rFonts w:hint="default" w:ascii="Times New Roman" w:hAnsi="Times New Roman" w:eastAsia="宋体" w:cs="Times New Roman"/>
                <w:b w:val="0"/>
                <w:bCs/>
                <w:color w:val="000000"/>
                <w:sz w:val="24"/>
                <w:highlight w:val="none"/>
                <w:lang w:eastAsia="zh-CN"/>
              </w:rPr>
              <w:t>再生水用于间冷开式循环冷却水系统补充水水质标准的要求</w:t>
            </w:r>
            <w:r>
              <w:rPr>
                <w:rFonts w:hint="eastAsia"/>
                <w:color w:val="000000"/>
                <w:sz w:val="24"/>
                <w:highlight w:val="none"/>
                <w:lang w:val="en-US" w:eastAsia="zh-CN"/>
              </w:rPr>
              <w:t>。</w:t>
            </w:r>
          </w:p>
          <w:p w14:paraId="6ABE8FFA">
            <w:pPr>
              <w:snapToGrid w:val="0"/>
              <w:spacing w:line="360" w:lineRule="auto"/>
              <w:ind w:firstLine="472" w:firstLineChars="200"/>
              <w:rPr>
                <w:rFonts w:hint="eastAsia" w:hAnsi="宋体"/>
                <w:color w:val="000000"/>
                <w:spacing w:val="-2"/>
                <w:sz w:val="24"/>
                <w:highlight w:val="none"/>
              </w:rPr>
            </w:pPr>
            <w:r>
              <w:rPr>
                <w:rFonts w:hint="eastAsia" w:hAnsi="宋体"/>
                <w:color w:val="000000"/>
                <w:spacing w:val="-2"/>
                <w:sz w:val="24"/>
                <w:highlight w:val="none"/>
              </w:rPr>
              <w:t>根据企业提供的资料及取样监测分析结果，本项目</w:t>
            </w:r>
            <w:r>
              <w:rPr>
                <w:rFonts w:hint="eastAsia" w:hAnsi="宋体"/>
                <w:color w:val="000000"/>
                <w:spacing w:val="-2"/>
                <w:sz w:val="24"/>
                <w:highlight w:val="none"/>
                <w:lang w:val="en-US" w:eastAsia="zh-CN"/>
              </w:rPr>
              <w:t>中水回用系统</w:t>
            </w:r>
            <w:r>
              <w:rPr>
                <w:rFonts w:hint="eastAsia" w:hAnsi="宋体"/>
                <w:color w:val="000000"/>
                <w:spacing w:val="-2"/>
                <w:sz w:val="24"/>
                <w:highlight w:val="none"/>
              </w:rPr>
              <w:t>进水水质指标详见表</w:t>
            </w:r>
            <w:r>
              <w:rPr>
                <w:rFonts w:hint="eastAsia" w:hAnsi="宋体"/>
                <w:color w:val="000000"/>
                <w:spacing w:val="-2"/>
                <w:sz w:val="24"/>
                <w:highlight w:val="none"/>
                <w:lang w:val="en-US" w:eastAsia="zh-CN"/>
              </w:rPr>
              <w:t>2-11</w:t>
            </w:r>
            <w:r>
              <w:rPr>
                <w:rFonts w:hint="eastAsia" w:hAnsi="宋体"/>
                <w:color w:val="000000"/>
                <w:spacing w:val="-2"/>
                <w:sz w:val="24"/>
                <w:highlight w:val="none"/>
              </w:rPr>
              <w:t>。</w:t>
            </w:r>
          </w:p>
          <w:p w14:paraId="70ECDF76">
            <w:pPr>
              <w:ind w:firstLine="474" w:firstLineChars="200"/>
              <w:jc w:val="center"/>
              <w:rPr>
                <w:b/>
                <w:color w:val="000000"/>
                <w:spacing w:val="-2"/>
                <w:sz w:val="24"/>
                <w:highlight w:val="none"/>
              </w:rPr>
            </w:pPr>
            <w:r>
              <w:rPr>
                <w:b/>
                <w:color w:val="000000"/>
                <w:spacing w:val="-2"/>
                <w:sz w:val="24"/>
                <w:highlight w:val="none"/>
              </w:rPr>
              <w:t>表</w:t>
            </w:r>
            <w:r>
              <w:rPr>
                <w:rFonts w:hint="eastAsia"/>
                <w:b/>
                <w:color w:val="000000"/>
                <w:spacing w:val="-2"/>
                <w:sz w:val="24"/>
                <w:highlight w:val="none"/>
                <w:lang w:val="en-US" w:eastAsia="zh-CN"/>
              </w:rPr>
              <w:t>2-11</w:t>
            </w:r>
            <w:r>
              <w:rPr>
                <w:b/>
                <w:color w:val="000000"/>
                <w:spacing w:val="-2"/>
                <w:sz w:val="24"/>
                <w:highlight w:val="none"/>
              </w:rPr>
              <w:t xml:space="preserve"> </w:t>
            </w:r>
            <w:r>
              <w:rPr>
                <w:rFonts w:hint="eastAsia"/>
                <w:b/>
                <w:color w:val="000000"/>
                <w:spacing w:val="-2"/>
                <w:sz w:val="24"/>
                <w:highlight w:val="none"/>
                <w:lang w:val="en-US" w:eastAsia="zh-CN"/>
              </w:rPr>
              <w:t>中水回用</w:t>
            </w:r>
            <w:r>
              <w:rPr>
                <w:b/>
                <w:color w:val="000000"/>
                <w:spacing w:val="-2"/>
                <w:sz w:val="24"/>
                <w:highlight w:val="none"/>
              </w:rPr>
              <w:t>系统进水水质指标</w:t>
            </w:r>
            <w:r>
              <w:rPr>
                <w:rFonts w:hint="eastAsia"/>
                <w:b/>
                <w:color w:val="000000"/>
                <w:spacing w:val="-2"/>
                <w:sz w:val="24"/>
                <w:highlight w:val="none"/>
                <w:lang w:val="en-US" w:eastAsia="zh-CN"/>
              </w:rPr>
              <w:t>及进水标准</w:t>
            </w:r>
            <w:r>
              <w:rPr>
                <w:b/>
                <w:color w:val="000000"/>
                <w:spacing w:val="-2"/>
                <w:sz w:val="24"/>
                <w:highlight w:val="none"/>
              </w:rPr>
              <w:t>一览表</w:t>
            </w:r>
          </w:p>
          <w:tbl>
            <w:tblPr>
              <w:tblStyle w:val="24"/>
              <w:tblW w:w="825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3"/>
              <w:gridCol w:w="947"/>
              <w:gridCol w:w="1046"/>
              <w:gridCol w:w="887"/>
              <w:gridCol w:w="915"/>
              <w:gridCol w:w="930"/>
              <w:gridCol w:w="990"/>
              <w:gridCol w:w="958"/>
            </w:tblGrid>
            <w:tr w14:paraId="29740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83" w:type="dxa"/>
                  <w:tcBorders>
                    <w:top w:val="single" w:color="000000" w:sz="10" w:space="0"/>
                    <w:left w:val="single" w:color="000000" w:sz="10" w:space="0"/>
                  </w:tcBorders>
                  <w:noWrap w:val="0"/>
                  <w:vAlign w:val="center"/>
                </w:tcPr>
                <w:p w14:paraId="185204A9">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pacing w:val="-3"/>
                      <w:sz w:val="21"/>
                      <w:szCs w:val="21"/>
                      <w:highlight w:val="none"/>
                    </w:rPr>
                    <w:t>指标</w:t>
                  </w:r>
                </w:p>
              </w:tc>
              <w:tc>
                <w:tcPr>
                  <w:tcW w:w="947" w:type="dxa"/>
                  <w:tcBorders>
                    <w:top w:val="single" w:color="000000" w:sz="10" w:space="0"/>
                  </w:tcBorders>
                  <w:noWrap w:val="0"/>
                  <w:vAlign w:val="center"/>
                </w:tcPr>
                <w:p w14:paraId="7F6BC8D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循环冷却水排水</w:t>
                  </w:r>
                </w:p>
              </w:tc>
              <w:tc>
                <w:tcPr>
                  <w:tcW w:w="1046" w:type="dxa"/>
                  <w:tcBorders>
                    <w:top w:val="single" w:color="000000" w:sz="10" w:space="0"/>
                  </w:tcBorders>
                  <w:noWrap w:val="0"/>
                  <w:vAlign w:val="center"/>
                </w:tcPr>
                <w:p w14:paraId="7D3CBC4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软水站</w:t>
                  </w:r>
                </w:p>
                <w:p w14:paraId="61821FAB">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排污水</w:t>
                  </w:r>
                </w:p>
              </w:tc>
              <w:tc>
                <w:tcPr>
                  <w:tcW w:w="887" w:type="dxa"/>
                  <w:tcBorders>
                    <w:top w:val="single" w:color="000000" w:sz="10" w:space="0"/>
                  </w:tcBorders>
                  <w:noWrap w:val="0"/>
                  <w:vAlign w:val="center"/>
                </w:tcPr>
                <w:p w14:paraId="61AC9D1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pacing w:val="-2"/>
                      <w:sz w:val="21"/>
                      <w:szCs w:val="21"/>
                      <w:highlight w:val="none"/>
                    </w:rPr>
                  </w:pPr>
                  <w:r>
                    <w:rPr>
                      <w:rFonts w:hint="default" w:ascii="Times New Roman" w:hAnsi="Times New Roman" w:cs="Times New Roman"/>
                      <w:b/>
                      <w:bCs/>
                      <w:color w:val="000000"/>
                      <w:spacing w:val="-2"/>
                      <w:sz w:val="21"/>
                      <w:szCs w:val="21"/>
                      <w:highlight w:val="none"/>
                    </w:rPr>
                    <w:t>除盐水站</w:t>
                  </w:r>
                </w:p>
                <w:p w14:paraId="3AA520AF">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pacing w:val="-2"/>
                      <w:sz w:val="21"/>
                      <w:szCs w:val="21"/>
                      <w:highlight w:val="none"/>
                    </w:rPr>
                    <w:t>排污水</w:t>
                  </w:r>
                </w:p>
              </w:tc>
              <w:tc>
                <w:tcPr>
                  <w:tcW w:w="915" w:type="dxa"/>
                  <w:tcBorders>
                    <w:top w:val="single" w:color="000000" w:sz="10" w:space="0"/>
                  </w:tcBorders>
                  <w:noWrap w:val="0"/>
                  <w:vAlign w:val="center"/>
                </w:tcPr>
                <w:p w14:paraId="2801E2AF">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pacing w:val="-2"/>
                      <w:sz w:val="21"/>
                      <w:szCs w:val="21"/>
                      <w:highlight w:val="none"/>
                    </w:rPr>
                  </w:pPr>
                  <w:r>
                    <w:rPr>
                      <w:rFonts w:hint="default" w:ascii="Times New Roman" w:hAnsi="Times New Roman" w:cs="Times New Roman"/>
                      <w:b/>
                      <w:bCs/>
                      <w:color w:val="000000"/>
                      <w:spacing w:val="-2"/>
                      <w:sz w:val="21"/>
                      <w:szCs w:val="21"/>
                      <w:highlight w:val="none"/>
                    </w:rPr>
                    <w:t>炼焦余热</w:t>
                  </w:r>
                </w:p>
                <w:p w14:paraId="7247B4D8">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pacing w:val="-2"/>
                      <w:sz w:val="21"/>
                      <w:szCs w:val="21"/>
                      <w:highlight w:val="none"/>
                    </w:rPr>
                    <w:t>排污水</w:t>
                  </w:r>
                </w:p>
              </w:tc>
              <w:tc>
                <w:tcPr>
                  <w:tcW w:w="930" w:type="dxa"/>
                  <w:tcBorders>
                    <w:top w:val="single" w:color="000000" w:sz="10" w:space="0"/>
                  </w:tcBorders>
                  <w:noWrap w:val="0"/>
                  <w:vAlign w:val="center"/>
                </w:tcPr>
                <w:p w14:paraId="0DCD0658">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pacing w:val="-2"/>
                      <w:sz w:val="21"/>
                      <w:szCs w:val="21"/>
                      <w:highlight w:val="none"/>
                    </w:rPr>
                  </w:pPr>
                  <w:r>
                    <w:rPr>
                      <w:rFonts w:hint="default" w:ascii="Times New Roman" w:hAnsi="Times New Roman" w:cs="Times New Roman"/>
                      <w:b/>
                      <w:bCs/>
                      <w:color w:val="000000"/>
                      <w:spacing w:val="-2"/>
                      <w:sz w:val="21"/>
                      <w:szCs w:val="21"/>
                      <w:highlight w:val="none"/>
                    </w:rPr>
                    <w:t>生化系统</w:t>
                  </w:r>
                </w:p>
                <w:p w14:paraId="3E1BA3A6">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pacing w:val="-7"/>
                      <w:sz w:val="21"/>
                      <w:szCs w:val="21"/>
                      <w:highlight w:val="none"/>
                    </w:rPr>
                    <w:t>出水</w:t>
                  </w:r>
                </w:p>
              </w:tc>
              <w:tc>
                <w:tcPr>
                  <w:tcW w:w="990" w:type="dxa"/>
                  <w:tcBorders>
                    <w:top w:val="single" w:color="000000" w:sz="10" w:space="0"/>
                  </w:tcBorders>
                  <w:noWrap w:val="0"/>
                  <w:vAlign w:val="center"/>
                </w:tcPr>
                <w:p w14:paraId="24440BD4">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b/>
                      <w:bCs/>
                      <w:color w:val="000000"/>
                      <w:spacing w:val="-7"/>
                      <w:sz w:val="21"/>
                      <w:szCs w:val="21"/>
                      <w:highlight w:val="none"/>
                      <w:lang w:val="en-US" w:eastAsia="zh-CN"/>
                    </w:rPr>
                  </w:pPr>
                  <w:r>
                    <w:rPr>
                      <w:rFonts w:hint="eastAsia" w:ascii="Times New Roman" w:hAnsi="Times New Roman" w:eastAsia="宋体" w:cs="Times New Roman"/>
                      <w:b/>
                      <w:bCs/>
                      <w:color w:val="000000"/>
                      <w:spacing w:val="-7"/>
                      <w:sz w:val="21"/>
                      <w:szCs w:val="21"/>
                      <w:highlight w:val="none"/>
                      <w:lang w:val="en-US" w:eastAsia="zh-CN"/>
                    </w:rPr>
                    <w:t>混合水质</w:t>
                  </w:r>
                </w:p>
              </w:tc>
              <w:tc>
                <w:tcPr>
                  <w:tcW w:w="958" w:type="dxa"/>
                  <w:tcBorders>
                    <w:top w:val="single" w:color="000000" w:sz="10" w:space="0"/>
                  </w:tcBorders>
                  <w:noWrap w:val="0"/>
                  <w:vAlign w:val="center"/>
                </w:tcPr>
                <w:p w14:paraId="0F0F097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b/>
                      <w:bCs/>
                      <w:color w:val="000000"/>
                      <w:spacing w:val="-7"/>
                      <w:sz w:val="21"/>
                      <w:szCs w:val="21"/>
                      <w:highlight w:val="none"/>
                      <w:lang w:val="en-US" w:eastAsia="zh-CN"/>
                    </w:rPr>
                  </w:pPr>
                  <w:r>
                    <w:rPr>
                      <w:rFonts w:hint="eastAsia" w:ascii="Times New Roman" w:hAnsi="Times New Roman" w:eastAsia="宋体" w:cs="Times New Roman"/>
                      <w:b/>
                      <w:bCs/>
                      <w:color w:val="000000"/>
                      <w:spacing w:val="-7"/>
                      <w:sz w:val="21"/>
                      <w:szCs w:val="21"/>
                      <w:highlight w:val="none"/>
                      <w:lang w:val="en-US" w:eastAsia="zh-CN"/>
                    </w:rPr>
                    <w:t>进水标准</w:t>
                  </w:r>
                </w:p>
              </w:tc>
            </w:tr>
            <w:tr w14:paraId="2D71C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83" w:type="dxa"/>
                  <w:tcBorders>
                    <w:top w:val="single" w:color="000000" w:sz="10" w:space="0"/>
                    <w:left w:val="single" w:color="000000" w:sz="10" w:space="0"/>
                  </w:tcBorders>
                  <w:noWrap w:val="0"/>
                  <w:vAlign w:val="center"/>
                </w:tcPr>
                <w:p w14:paraId="1310BF1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eastAsia" w:ascii="Times New Roman" w:hAnsi="Times New Roman" w:eastAsia="宋体" w:cs="Times New Roman"/>
                      <w:b/>
                      <w:bCs/>
                      <w:color w:val="000000"/>
                      <w:spacing w:val="-3"/>
                      <w:sz w:val="21"/>
                      <w:szCs w:val="21"/>
                      <w:highlight w:val="none"/>
                      <w:lang w:val="en-US" w:eastAsia="zh-CN"/>
                    </w:rPr>
                  </w:pPr>
                  <w:r>
                    <w:rPr>
                      <w:rFonts w:hint="eastAsia" w:ascii="Times New Roman" w:hAnsi="Times New Roman" w:eastAsia="宋体" w:cs="Times New Roman"/>
                      <w:b w:val="0"/>
                      <w:bCs w:val="0"/>
                      <w:color w:val="000000"/>
                      <w:spacing w:val="-3"/>
                      <w:sz w:val="21"/>
                      <w:szCs w:val="21"/>
                      <w:highlight w:val="none"/>
                      <w:lang w:val="en-US" w:eastAsia="zh-CN"/>
                    </w:rPr>
                    <w:t>水量</w:t>
                  </w:r>
                </w:p>
              </w:tc>
              <w:tc>
                <w:tcPr>
                  <w:tcW w:w="947" w:type="dxa"/>
                  <w:tcBorders>
                    <w:top w:val="single" w:color="000000" w:sz="10" w:space="0"/>
                  </w:tcBorders>
                  <w:noWrap w:val="0"/>
                  <w:vAlign w:val="center"/>
                </w:tcPr>
                <w:p w14:paraId="7824D2C8">
                  <w:pPr>
                    <w:keepNext w:val="0"/>
                    <w:keepLines w:val="0"/>
                    <w:widowControl/>
                    <w:suppressLineNumbers w:val="0"/>
                    <w:jc w:val="center"/>
                    <w:textAlignment w:val="center"/>
                    <w:rPr>
                      <w:rFonts w:hint="default" w:ascii="Times New Roman" w:hAnsi="Times New Roman" w:cs="Times New Roman"/>
                      <w:b w:val="0"/>
                      <w:bCs w:val="0"/>
                      <w:color w:val="000000"/>
                      <w:sz w:val="21"/>
                      <w:szCs w:val="21"/>
                      <w:highlight w:val="none"/>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3.36</w:t>
                  </w:r>
                </w:p>
              </w:tc>
              <w:tc>
                <w:tcPr>
                  <w:tcW w:w="1046" w:type="dxa"/>
                  <w:tcBorders>
                    <w:top w:val="single" w:color="000000" w:sz="10" w:space="0"/>
                  </w:tcBorders>
                  <w:noWrap w:val="0"/>
                  <w:vAlign w:val="center"/>
                </w:tcPr>
                <w:p w14:paraId="5F0948A0">
                  <w:pPr>
                    <w:keepNext w:val="0"/>
                    <w:keepLines w:val="0"/>
                    <w:widowControl/>
                    <w:suppressLineNumbers w:val="0"/>
                    <w:jc w:val="center"/>
                    <w:textAlignment w:val="center"/>
                    <w:rPr>
                      <w:rFonts w:hint="default" w:ascii="Times New Roman" w:hAnsi="Times New Roman" w:cs="Times New Roman"/>
                      <w:b w:val="0"/>
                      <w:bCs w:val="0"/>
                      <w:color w:val="000000"/>
                      <w:sz w:val="21"/>
                      <w:szCs w:val="21"/>
                      <w:highlight w:val="none"/>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1.25</w:t>
                  </w:r>
                </w:p>
              </w:tc>
              <w:tc>
                <w:tcPr>
                  <w:tcW w:w="887" w:type="dxa"/>
                  <w:tcBorders>
                    <w:top w:val="single" w:color="000000" w:sz="10" w:space="0"/>
                  </w:tcBorders>
                  <w:noWrap w:val="0"/>
                  <w:vAlign w:val="center"/>
                </w:tcPr>
                <w:p w14:paraId="2F5D1470">
                  <w:pPr>
                    <w:keepNext w:val="0"/>
                    <w:keepLines w:val="0"/>
                    <w:widowControl/>
                    <w:suppressLineNumbers w:val="0"/>
                    <w:jc w:val="center"/>
                    <w:textAlignment w:val="center"/>
                    <w:rPr>
                      <w:rFonts w:hint="default" w:ascii="Times New Roman" w:hAnsi="Times New Roman" w:cs="Times New Roman"/>
                      <w:b w:val="0"/>
                      <w:bCs w:val="0"/>
                      <w:color w:val="000000"/>
                      <w:spacing w:val="-2"/>
                      <w:sz w:val="21"/>
                      <w:szCs w:val="21"/>
                      <w:highlight w:val="none"/>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11.1</w:t>
                  </w:r>
                </w:p>
              </w:tc>
              <w:tc>
                <w:tcPr>
                  <w:tcW w:w="915" w:type="dxa"/>
                  <w:tcBorders>
                    <w:top w:val="single" w:color="000000" w:sz="10" w:space="0"/>
                  </w:tcBorders>
                  <w:noWrap w:val="0"/>
                  <w:vAlign w:val="center"/>
                </w:tcPr>
                <w:p w14:paraId="6BAAA969">
                  <w:pPr>
                    <w:keepNext w:val="0"/>
                    <w:keepLines w:val="0"/>
                    <w:widowControl/>
                    <w:suppressLineNumbers w:val="0"/>
                    <w:jc w:val="center"/>
                    <w:textAlignment w:val="center"/>
                    <w:rPr>
                      <w:rFonts w:hint="default" w:ascii="Times New Roman" w:hAnsi="Times New Roman" w:cs="Times New Roman"/>
                      <w:b w:val="0"/>
                      <w:bCs w:val="0"/>
                      <w:color w:val="000000"/>
                      <w:spacing w:val="-2"/>
                      <w:sz w:val="21"/>
                      <w:szCs w:val="21"/>
                      <w:highlight w:val="none"/>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1.5</w:t>
                  </w:r>
                </w:p>
              </w:tc>
              <w:tc>
                <w:tcPr>
                  <w:tcW w:w="930" w:type="dxa"/>
                  <w:tcBorders>
                    <w:top w:val="single" w:color="000000" w:sz="10" w:space="0"/>
                  </w:tcBorders>
                  <w:noWrap w:val="0"/>
                  <w:vAlign w:val="center"/>
                </w:tcPr>
                <w:p w14:paraId="67A1E77C">
                  <w:pPr>
                    <w:keepNext w:val="0"/>
                    <w:keepLines w:val="0"/>
                    <w:widowControl/>
                    <w:suppressLineNumbers w:val="0"/>
                    <w:jc w:val="center"/>
                    <w:textAlignment w:val="center"/>
                    <w:rPr>
                      <w:rFonts w:hint="default" w:ascii="Times New Roman" w:hAnsi="Times New Roman" w:cs="Times New Roman"/>
                      <w:b w:val="0"/>
                      <w:bCs w:val="0"/>
                      <w:color w:val="000000"/>
                      <w:spacing w:val="-7"/>
                      <w:sz w:val="21"/>
                      <w:szCs w:val="21"/>
                      <w:highlight w:val="none"/>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41.55</w:t>
                  </w:r>
                </w:p>
              </w:tc>
              <w:tc>
                <w:tcPr>
                  <w:tcW w:w="990" w:type="dxa"/>
                  <w:tcBorders>
                    <w:top w:val="single" w:color="000000" w:sz="10" w:space="0"/>
                  </w:tcBorders>
                  <w:noWrap w:val="0"/>
                  <w:vAlign w:val="center"/>
                </w:tcPr>
                <w:p w14:paraId="0AEF1F2C">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b w:val="0"/>
                      <w:bCs w:val="0"/>
                      <w:color w:val="000000"/>
                      <w:spacing w:val="-7"/>
                      <w:sz w:val="21"/>
                      <w:szCs w:val="21"/>
                      <w:highlight w:val="none"/>
                      <w:lang w:val="en-US" w:eastAsia="zh-CN"/>
                    </w:rPr>
                  </w:pPr>
                  <w:r>
                    <w:rPr>
                      <w:rFonts w:hint="default" w:ascii="Times New Roman" w:hAnsi="Times New Roman" w:eastAsia="宋体" w:cs="Times New Roman"/>
                      <w:b w:val="0"/>
                      <w:bCs w:val="0"/>
                      <w:color w:val="000000"/>
                      <w:spacing w:val="-7"/>
                      <w:sz w:val="21"/>
                      <w:szCs w:val="21"/>
                      <w:highlight w:val="none"/>
                      <w:lang w:val="en-US" w:eastAsia="zh-CN"/>
                    </w:rPr>
                    <w:t>58.76</w:t>
                  </w:r>
                </w:p>
              </w:tc>
              <w:tc>
                <w:tcPr>
                  <w:tcW w:w="958" w:type="dxa"/>
                  <w:tcBorders>
                    <w:top w:val="single" w:color="000000" w:sz="10" w:space="0"/>
                  </w:tcBorders>
                  <w:noWrap w:val="0"/>
                  <w:vAlign w:val="center"/>
                </w:tcPr>
                <w:p w14:paraId="02406572">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jc w:val="center"/>
                    <w:textAlignment w:val="auto"/>
                    <w:rPr>
                      <w:rFonts w:hint="default" w:ascii="Times New Roman" w:hAnsi="Times New Roman" w:eastAsia="宋体" w:cs="Times New Roman"/>
                      <w:b/>
                      <w:bCs/>
                      <w:color w:val="000000"/>
                      <w:spacing w:val="-7"/>
                      <w:sz w:val="21"/>
                      <w:szCs w:val="21"/>
                      <w:highlight w:val="none"/>
                      <w:lang w:val="en-US" w:eastAsia="zh-CN"/>
                    </w:rPr>
                  </w:pPr>
                  <w:r>
                    <w:rPr>
                      <w:rFonts w:hint="eastAsia" w:ascii="Times New Roman" w:hAnsi="Times New Roman" w:eastAsia="宋体" w:cs="Times New Roman"/>
                      <w:b/>
                      <w:bCs/>
                      <w:color w:val="000000"/>
                      <w:spacing w:val="-7"/>
                      <w:sz w:val="21"/>
                      <w:szCs w:val="21"/>
                      <w:highlight w:val="none"/>
                      <w:lang w:val="en-US" w:eastAsia="zh-CN"/>
                    </w:rPr>
                    <w:t>120</w:t>
                  </w:r>
                </w:p>
              </w:tc>
            </w:tr>
            <w:tr w14:paraId="03941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583" w:type="dxa"/>
                  <w:tcBorders>
                    <w:left w:val="single" w:color="000000" w:sz="10" w:space="0"/>
                  </w:tcBorders>
                  <w:noWrap w:val="0"/>
                  <w:vAlign w:val="center"/>
                </w:tcPr>
                <w:p w14:paraId="4E55424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pH</w:t>
                  </w:r>
                </w:p>
              </w:tc>
              <w:tc>
                <w:tcPr>
                  <w:tcW w:w="947" w:type="dxa"/>
                  <w:noWrap w:val="0"/>
                  <w:vAlign w:val="center"/>
                </w:tcPr>
                <w:p w14:paraId="7E1FA01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8.67</w:t>
                  </w:r>
                </w:p>
              </w:tc>
              <w:tc>
                <w:tcPr>
                  <w:tcW w:w="1046" w:type="dxa"/>
                  <w:noWrap w:val="0"/>
                  <w:vAlign w:val="center"/>
                </w:tcPr>
                <w:p w14:paraId="4F0EF6E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7.50</w:t>
                  </w:r>
                </w:p>
              </w:tc>
              <w:tc>
                <w:tcPr>
                  <w:tcW w:w="887" w:type="dxa"/>
                  <w:noWrap w:val="0"/>
                  <w:vAlign w:val="center"/>
                </w:tcPr>
                <w:p w14:paraId="7344E47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9.97</w:t>
                  </w:r>
                </w:p>
              </w:tc>
              <w:tc>
                <w:tcPr>
                  <w:tcW w:w="915" w:type="dxa"/>
                  <w:noWrap w:val="0"/>
                  <w:vAlign w:val="center"/>
                </w:tcPr>
                <w:p w14:paraId="29BF894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11.7</w:t>
                  </w:r>
                </w:p>
              </w:tc>
              <w:tc>
                <w:tcPr>
                  <w:tcW w:w="930" w:type="dxa"/>
                  <w:noWrap w:val="0"/>
                  <w:vAlign w:val="center"/>
                </w:tcPr>
                <w:p w14:paraId="2D283481">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7.61</w:t>
                  </w:r>
                </w:p>
              </w:tc>
              <w:tc>
                <w:tcPr>
                  <w:tcW w:w="990" w:type="dxa"/>
                  <w:noWrap w:val="0"/>
                  <w:vAlign w:val="center"/>
                </w:tcPr>
                <w:p w14:paraId="159D3FDA">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8.22</w:t>
                  </w:r>
                </w:p>
              </w:tc>
              <w:tc>
                <w:tcPr>
                  <w:tcW w:w="958" w:type="dxa"/>
                  <w:noWrap w:val="0"/>
                  <w:vAlign w:val="center"/>
                </w:tcPr>
                <w:p w14:paraId="12EAED7A">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eastAsia" w:ascii="Times New Roman" w:hAnsi="Times New Roman" w:eastAsia="宋体" w:cs="Times New Roman"/>
                      <w:i w:val="0"/>
                      <w:iCs w:val="0"/>
                      <w:color w:val="000000"/>
                      <w:kern w:val="0"/>
                      <w:sz w:val="22"/>
                      <w:szCs w:val="22"/>
                      <w:highlight w:val="none"/>
                      <w:u w:val="none"/>
                      <w:lang w:val="en-US" w:eastAsia="zh-CN" w:bidi="ar"/>
                    </w:rPr>
                    <w:t>6</w:t>
                  </w:r>
                  <w:r>
                    <w:rPr>
                      <w:rFonts w:hint="default" w:ascii="Times New Roman" w:hAnsi="Times New Roman" w:eastAsia="宋体" w:cs="Times New Roman"/>
                      <w:i w:val="0"/>
                      <w:iCs w:val="0"/>
                      <w:color w:val="000000"/>
                      <w:kern w:val="0"/>
                      <w:sz w:val="22"/>
                      <w:szCs w:val="22"/>
                      <w:highlight w:val="none"/>
                      <w:u w:val="none"/>
                      <w:lang w:val="en-US" w:eastAsia="zh-CN" w:bidi="ar"/>
                    </w:rPr>
                    <w:t>~9</w:t>
                  </w:r>
                </w:p>
              </w:tc>
            </w:tr>
            <w:tr w14:paraId="099C4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83" w:type="dxa"/>
                  <w:tcBorders>
                    <w:left w:val="single" w:color="000000" w:sz="10" w:space="0"/>
                  </w:tcBorders>
                  <w:noWrap w:val="0"/>
                  <w:vAlign w:val="center"/>
                </w:tcPr>
                <w:p w14:paraId="368952BE">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pacing w:val="10"/>
                      <w:sz w:val="21"/>
                      <w:szCs w:val="21"/>
                      <w:highlight w:val="none"/>
                    </w:rPr>
                  </w:pPr>
                  <w:r>
                    <w:rPr>
                      <w:rFonts w:hint="default" w:ascii="Times New Roman" w:hAnsi="Times New Roman" w:cs="Times New Roman"/>
                      <w:color w:val="000000"/>
                      <w:spacing w:val="10"/>
                      <w:sz w:val="21"/>
                      <w:szCs w:val="21"/>
                      <w:highlight w:val="none"/>
                    </w:rPr>
                    <w:t>电导率</w:t>
                  </w:r>
                </w:p>
                <w:p w14:paraId="1BADB8AE">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10"/>
                      <w:sz w:val="21"/>
                      <w:szCs w:val="21"/>
                      <w:highlight w:val="none"/>
                    </w:rPr>
                    <w:t>(</w:t>
                  </w:r>
                  <w:r>
                    <w:rPr>
                      <w:rFonts w:hint="default" w:ascii="Times New Roman" w:hAnsi="Times New Roman" w:eastAsia="Times New Roman" w:cs="Times New Roman"/>
                      <w:color w:val="000000"/>
                      <w:sz w:val="21"/>
                      <w:szCs w:val="21"/>
                      <w:highlight w:val="none"/>
                    </w:rPr>
                    <w:t>uS</w:t>
                  </w:r>
                  <w:r>
                    <w:rPr>
                      <w:rFonts w:hint="default" w:ascii="Times New Roman" w:hAnsi="Times New Roman" w:eastAsia="Times New Roman" w:cs="Times New Roman"/>
                      <w:color w:val="000000"/>
                      <w:spacing w:val="1"/>
                      <w:sz w:val="21"/>
                      <w:szCs w:val="21"/>
                      <w:highlight w:val="none"/>
                    </w:rPr>
                    <w:t>/</w:t>
                  </w:r>
                  <w:r>
                    <w:rPr>
                      <w:rFonts w:hint="default" w:ascii="Times New Roman" w:hAnsi="Times New Roman" w:eastAsia="Times New Roman" w:cs="Times New Roman"/>
                      <w:color w:val="000000"/>
                      <w:sz w:val="21"/>
                      <w:szCs w:val="21"/>
                      <w:highlight w:val="none"/>
                    </w:rPr>
                    <w:t>cm</w:t>
                  </w:r>
                  <w:r>
                    <w:rPr>
                      <w:rFonts w:hint="default" w:ascii="Times New Roman" w:hAnsi="Times New Roman" w:cs="Times New Roman"/>
                      <w:color w:val="000000"/>
                      <w:spacing w:val="1"/>
                      <w:sz w:val="21"/>
                      <w:szCs w:val="21"/>
                      <w:highlight w:val="none"/>
                    </w:rPr>
                    <w:t>）</w:t>
                  </w:r>
                </w:p>
              </w:tc>
              <w:tc>
                <w:tcPr>
                  <w:tcW w:w="947" w:type="dxa"/>
                  <w:noWrap w:val="0"/>
                  <w:vAlign w:val="center"/>
                </w:tcPr>
                <w:p w14:paraId="7635C36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4990</w:t>
                  </w:r>
                </w:p>
              </w:tc>
              <w:tc>
                <w:tcPr>
                  <w:tcW w:w="1046" w:type="dxa"/>
                  <w:noWrap w:val="0"/>
                  <w:vAlign w:val="center"/>
                </w:tcPr>
                <w:p w14:paraId="560C600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9800</w:t>
                  </w:r>
                </w:p>
              </w:tc>
              <w:tc>
                <w:tcPr>
                  <w:tcW w:w="887" w:type="dxa"/>
                  <w:noWrap w:val="0"/>
                  <w:vAlign w:val="center"/>
                </w:tcPr>
                <w:p w14:paraId="08C5466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4910</w:t>
                  </w:r>
                </w:p>
              </w:tc>
              <w:tc>
                <w:tcPr>
                  <w:tcW w:w="915" w:type="dxa"/>
                  <w:noWrap w:val="0"/>
                  <w:vAlign w:val="center"/>
                </w:tcPr>
                <w:p w14:paraId="0E6CD03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5720</w:t>
                  </w:r>
                </w:p>
              </w:tc>
              <w:tc>
                <w:tcPr>
                  <w:tcW w:w="930" w:type="dxa"/>
                  <w:noWrap w:val="0"/>
                  <w:vAlign w:val="center"/>
                </w:tcPr>
                <w:p w14:paraId="3E68CDA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7640</w:t>
                  </w:r>
                </w:p>
              </w:tc>
              <w:tc>
                <w:tcPr>
                  <w:tcW w:w="990" w:type="dxa"/>
                  <w:noWrap w:val="0"/>
                  <w:vAlign w:val="center"/>
                </w:tcPr>
                <w:p w14:paraId="209DE3C1">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6969.70</w:t>
                  </w:r>
                </w:p>
              </w:tc>
              <w:tc>
                <w:tcPr>
                  <w:tcW w:w="958" w:type="dxa"/>
                  <w:noWrap w:val="0"/>
                  <w:vAlign w:val="center"/>
                </w:tcPr>
                <w:p w14:paraId="04157196">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8000</w:t>
                  </w:r>
                </w:p>
              </w:tc>
            </w:tr>
            <w:tr w14:paraId="1446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83" w:type="dxa"/>
                  <w:tcBorders>
                    <w:left w:val="single" w:color="000000" w:sz="10" w:space="0"/>
                  </w:tcBorders>
                  <w:noWrap w:val="0"/>
                  <w:vAlign w:val="center"/>
                </w:tcPr>
                <w:p w14:paraId="4FFE9028">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TDS</w:t>
                  </w:r>
                  <w:r>
                    <w:rPr>
                      <w:rFonts w:hint="default" w:ascii="Times New Roman" w:hAnsi="Times New Roman" w:cs="Times New Roman"/>
                      <w:color w:val="000000"/>
                      <w:spacing w:val="-1"/>
                      <w:sz w:val="21"/>
                      <w:szCs w:val="21"/>
                      <w:highlight w:val="none"/>
                    </w:rPr>
                    <w:t>（</w:t>
                  </w:r>
                  <w:r>
                    <w:rPr>
                      <w:rFonts w:hint="default" w:ascii="Times New Roman" w:hAnsi="Times New Roman" w:eastAsia="Times New Roman" w:cs="Times New Roman"/>
                      <w:color w:val="000000"/>
                      <w:spacing w:val="-1"/>
                      <w:sz w:val="21"/>
                      <w:szCs w:val="21"/>
                      <w:highlight w:val="none"/>
                    </w:rPr>
                    <w:t>g/L</w:t>
                  </w:r>
                  <w:r>
                    <w:rPr>
                      <w:rFonts w:hint="default" w:ascii="Times New Roman" w:hAnsi="Times New Roman" w:cs="Times New Roman"/>
                      <w:color w:val="000000"/>
                      <w:spacing w:val="-1"/>
                      <w:sz w:val="21"/>
                      <w:szCs w:val="21"/>
                      <w:highlight w:val="none"/>
                    </w:rPr>
                    <w:t>）</w:t>
                  </w:r>
                </w:p>
              </w:tc>
              <w:tc>
                <w:tcPr>
                  <w:tcW w:w="947" w:type="dxa"/>
                  <w:noWrap w:val="0"/>
                  <w:vAlign w:val="center"/>
                </w:tcPr>
                <w:p w14:paraId="526B052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4258</w:t>
                  </w:r>
                </w:p>
              </w:tc>
              <w:tc>
                <w:tcPr>
                  <w:tcW w:w="1046" w:type="dxa"/>
                  <w:noWrap w:val="0"/>
                  <w:vAlign w:val="center"/>
                </w:tcPr>
                <w:p w14:paraId="6A9FB1D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7656</w:t>
                  </w:r>
                </w:p>
              </w:tc>
              <w:tc>
                <w:tcPr>
                  <w:tcW w:w="887" w:type="dxa"/>
                  <w:noWrap w:val="0"/>
                  <w:vAlign w:val="center"/>
                </w:tcPr>
                <w:p w14:paraId="758E464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3808</w:t>
                  </w:r>
                </w:p>
              </w:tc>
              <w:tc>
                <w:tcPr>
                  <w:tcW w:w="915" w:type="dxa"/>
                  <w:noWrap w:val="0"/>
                  <w:vAlign w:val="center"/>
                </w:tcPr>
                <w:p w14:paraId="05AD73E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1203</w:t>
                  </w:r>
                </w:p>
              </w:tc>
              <w:tc>
                <w:tcPr>
                  <w:tcW w:w="930" w:type="dxa"/>
                  <w:noWrap w:val="0"/>
                  <w:vAlign w:val="center"/>
                </w:tcPr>
                <w:p w14:paraId="3ECC530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5276</w:t>
                  </w:r>
                </w:p>
              </w:tc>
              <w:tc>
                <w:tcPr>
                  <w:tcW w:w="990" w:type="dxa"/>
                  <w:noWrap w:val="0"/>
                  <w:vAlign w:val="center"/>
                </w:tcPr>
                <w:p w14:paraId="0374F07D">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4887.13</w:t>
                  </w:r>
                </w:p>
              </w:tc>
              <w:tc>
                <w:tcPr>
                  <w:tcW w:w="958" w:type="dxa"/>
                  <w:noWrap w:val="0"/>
                  <w:vAlign w:val="center"/>
                </w:tcPr>
                <w:p w14:paraId="1FC4A27D">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6000</w:t>
                  </w:r>
                </w:p>
              </w:tc>
            </w:tr>
            <w:tr w14:paraId="3D650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83" w:type="dxa"/>
                  <w:tcBorders>
                    <w:left w:val="single" w:color="000000" w:sz="10" w:space="0"/>
                  </w:tcBorders>
                  <w:noWrap w:val="0"/>
                  <w:vAlign w:val="center"/>
                </w:tcPr>
                <w:p w14:paraId="3D4827D4">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COD</w:t>
                  </w:r>
                  <w:r>
                    <w:rPr>
                      <w:rFonts w:hint="default" w:ascii="Times New Roman" w:hAnsi="Times New Roman" w:cs="Times New Roman"/>
                      <w:color w:val="000000"/>
                      <w:spacing w:val="-1"/>
                      <w:sz w:val="21"/>
                      <w:szCs w:val="21"/>
                      <w:highlight w:val="none"/>
                    </w:rPr>
                    <w:t>（</w:t>
                  </w:r>
                  <w:r>
                    <w:rPr>
                      <w:rFonts w:hint="default" w:ascii="Times New Roman" w:hAnsi="Times New Roman" w:eastAsia="Times New Roman" w:cs="Times New Roman"/>
                      <w:color w:val="000000"/>
                      <w:spacing w:val="-1"/>
                      <w:sz w:val="21"/>
                      <w:szCs w:val="21"/>
                      <w:highlight w:val="none"/>
                    </w:rPr>
                    <w:t>mg/L</w:t>
                  </w:r>
                  <w:r>
                    <w:rPr>
                      <w:rFonts w:hint="default" w:ascii="Times New Roman" w:hAnsi="Times New Roman" w:cs="Times New Roman"/>
                      <w:color w:val="000000"/>
                      <w:spacing w:val="-1"/>
                      <w:sz w:val="21"/>
                      <w:szCs w:val="21"/>
                      <w:highlight w:val="none"/>
                    </w:rPr>
                    <w:t>）</w:t>
                  </w:r>
                </w:p>
              </w:tc>
              <w:tc>
                <w:tcPr>
                  <w:tcW w:w="947" w:type="dxa"/>
                  <w:noWrap w:val="0"/>
                  <w:vAlign w:val="center"/>
                </w:tcPr>
                <w:p w14:paraId="2C1BA76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3"/>
                      <w:sz w:val="21"/>
                      <w:szCs w:val="21"/>
                      <w:highlight w:val="none"/>
                    </w:rPr>
                    <w:t>53</w:t>
                  </w:r>
                </w:p>
              </w:tc>
              <w:tc>
                <w:tcPr>
                  <w:tcW w:w="1046" w:type="dxa"/>
                  <w:noWrap w:val="0"/>
                  <w:vAlign w:val="center"/>
                </w:tcPr>
                <w:p w14:paraId="62E8C02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55.00</w:t>
                  </w:r>
                </w:p>
              </w:tc>
              <w:tc>
                <w:tcPr>
                  <w:tcW w:w="887" w:type="dxa"/>
                  <w:noWrap w:val="0"/>
                  <w:vAlign w:val="center"/>
                </w:tcPr>
                <w:p w14:paraId="5BE3830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47</w:t>
                  </w:r>
                </w:p>
              </w:tc>
              <w:tc>
                <w:tcPr>
                  <w:tcW w:w="915" w:type="dxa"/>
                  <w:noWrap w:val="0"/>
                  <w:vAlign w:val="center"/>
                </w:tcPr>
                <w:p w14:paraId="57E072B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75</w:t>
                  </w:r>
                </w:p>
              </w:tc>
              <w:tc>
                <w:tcPr>
                  <w:tcW w:w="930" w:type="dxa"/>
                  <w:noWrap w:val="0"/>
                  <w:vAlign w:val="center"/>
                </w:tcPr>
                <w:p w14:paraId="6E9CDAA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6"/>
                      <w:sz w:val="21"/>
                      <w:szCs w:val="21"/>
                      <w:highlight w:val="none"/>
                    </w:rPr>
                    <w:t>120</w:t>
                  </w:r>
                </w:p>
              </w:tc>
              <w:tc>
                <w:tcPr>
                  <w:tcW w:w="990" w:type="dxa"/>
                  <w:noWrap w:val="0"/>
                  <w:vAlign w:val="center"/>
                </w:tcPr>
                <w:p w14:paraId="30732346">
                  <w:pPr>
                    <w:keepNext w:val="0"/>
                    <w:keepLines w:val="0"/>
                    <w:widowControl/>
                    <w:suppressLineNumbers w:val="0"/>
                    <w:jc w:val="center"/>
                    <w:textAlignment w:val="center"/>
                    <w:rPr>
                      <w:rFonts w:hint="default" w:ascii="Times New Roman" w:hAnsi="Times New Roman" w:eastAsia="Times New Roman" w:cs="Times New Roman"/>
                      <w:color w:val="000000"/>
                      <w:spacing w:val="-6"/>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99.85</w:t>
                  </w:r>
                </w:p>
              </w:tc>
              <w:tc>
                <w:tcPr>
                  <w:tcW w:w="958" w:type="dxa"/>
                  <w:noWrap w:val="0"/>
                  <w:vAlign w:val="center"/>
                </w:tcPr>
                <w:p w14:paraId="7D4770DF">
                  <w:pPr>
                    <w:keepNext w:val="0"/>
                    <w:keepLines w:val="0"/>
                    <w:widowControl/>
                    <w:suppressLineNumbers w:val="0"/>
                    <w:jc w:val="center"/>
                    <w:textAlignment w:val="center"/>
                    <w:rPr>
                      <w:rFonts w:hint="default" w:ascii="Times New Roman" w:hAnsi="Times New Roman" w:eastAsia="Times New Roman" w:cs="Times New Roman"/>
                      <w:color w:val="000000"/>
                      <w:spacing w:val="-6"/>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100</w:t>
                  </w:r>
                </w:p>
              </w:tc>
            </w:tr>
            <w:tr w14:paraId="54CA1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583" w:type="dxa"/>
                  <w:tcBorders>
                    <w:left w:val="single" w:color="000000" w:sz="10" w:space="0"/>
                  </w:tcBorders>
                  <w:noWrap w:val="0"/>
                  <w:vAlign w:val="center"/>
                </w:tcPr>
                <w:p w14:paraId="7DCDF981">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1"/>
                      <w:sz w:val="21"/>
                      <w:szCs w:val="21"/>
                      <w:highlight w:val="none"/>
                    </w:rPr>
                    <w:t>氨氮（</w:t>
                  </w:r>
                  <w:r>
                    <w:rPr>
                      <w:rFonts w:hint="default" w:ascii="Times New Roman" w:hAnsi="Times New Roman" w:eastAsia="Times New Roman" w:cs="Times New Roman"/>
                      <w:color w:val="000000"/>
                      <w:spacing w:val="-1"/>
                      <w:sz w:val="21"/>
                      <w:szCs w:val="21"/>
                      <w:highlight w:val="none"/>
                    </w:rPr>
                    <w:t>mg/L</w:t>
                  </w:r>
                  <w:r>
                    <w:rPr>
                      <w:rFonts w:hint="default" w:ascii="Times New Roman" w:hAnsi="Times New Roman" w:cs="Times New Roman"/>
                      <w:color w:val="000000"/>
                      <w:spacing w:val="-1"/>
                      <w:sz w:val="21"/>
                      <w:szCs w:val="21"/>
                      <w:highlight w:val="none"/>
                    </w:rPr>
                    <w:t>）</w:t>
                  </w:r>
                </w:p>
              </w:tc>
              <w:tc>
                <w:tcPr>
                  <w:tcW w:w="947" w:type="dxa"/>
                  <w:noWrap w:val="0"/>
                  <w:vAlign w:val="center"/>
                </w:tcPr>
                <w:p w14:paraId="26319B0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1.9</w:t>
                  </w:r>
                </w:p>
              </w:tc>
              <w:tc>
                <w:tcPr>
                  <w:tcW w:w="1046" w:type="dxa"/>
                  <w:noWrap w:val="0"/>
                  <w:vAlign w:val="center"/>
                </w:tcPr>
                <w:p w14:paraId="6760071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noWrap w:val="0"/>
                  <w:vAlign w:val="center"/>
                </w:tcPr>
                <w:p w14:paraId="528CDDA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1.8</w:t>
                  </w:r>
                </w:p>
              </w:tc>
              <w:tc>
                <w:tcPr>
                  <w:tcW w:w="915" w:type="dxa"/>
                  <w:noWrap w:val="0"/>
                  <w:vAlign w:val="center"/>
                </w:tcPr>
                <w:p w14:paraId="1F6454B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0.48</w:t>
                  </w:r>
                </w:p>
              </w:tc>
              <w:tc>
                <w:tcPr>
                  <w:tcW w:w="930" w:type="dxa"/>
                  <w:noWrap w:val="0"/>
                  <w:vAlign w:val="center"/>
                </w:tcPr>
                <w:p w14:paraId="5F74F81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1.7</w:t>
                  </w:r>
                </w:p>
              </w:tc>
              <w:tc>
                <w:tcPr>
                  <w:tcW w:w="990" w:type="dxa"/>
                  <w:noWrap w:val="0"/>
                  <w:vAlign w:val="center"/>
                </w:tcPr>
                <w:p w14:paraId="550988A7">
                  <w:pPr>
                    <w:keepNext w:val="0"/>
                    <w:keepLines w:val="0"/>
                    <w:widowControl/>
                    <w:suppressLineNumbers w:val="0"/>
                    <w:jc w:val="center"/>
                    <w:textAlignment w:val="center"/>
                    <w:rPr>
                      <w:rFonts w:hint="default" w:ascii="Times New Roman" w:hAnsi="Times New Roman" w:eastAsia="Times New Roman" w:cs="Times New Roman"/>
                      <w:color w:val="000000"/>
                      <w:spacing w:val="-5"/>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1.66</w:t>
                  </w:r>
                </w:p>
              </w:tc>
              <w:tc>
                <w:tcPr>
                  <w:tcW w:w="958" w:type="dxa"/>
                  <w:noWrap w:val="0"/>
                  <w:vAlign w:val="center"/>
                </w:tcPr>
                <w:p w14:paraId="2DDE43F7">
                  <w:pPr>
                    <w:keepNext w:val="0"/>
                    <w:keepLines w:val="0"/>
                    <w:widowControl/>
                    <w:suppressLineNumbers w:val="0"/>
                    <w:jc w:val="center"/>
                    <w:textAlignment w:val="center"/>
                    <w:rPr>
                      <w:rFonts w:hint="default" w:ascii="Times New Roman" w:hAnsi="Times New Roman" w:eastAsia="Times New Roman" w:cs="Times New Roman"/>
                      <w:color w:val="000000"/>
                      <w:spacing w:val="-5"/>
                      <w:sz w:val="21"/>
                      <w:szCs w:val="21"/>
                      <w:highlight w:val="none"/>
                      <w:lang w:val="en-US"/>
                    </w:rPr>
                  </w:pPr>
                  <w:r>
                    <w:rPr>
                      <w:rFonts w:hint="default" w:ascii="Times New Roman" w:hAnsi="Times New Roman" w:eastAsia="宋体" w:cs="Times New Roman"/>
                      <w:i w:val="0"/>
                      <w:iCs w:val="0"/>
                      <w:color w:val="000000"/>
                      <w:kern w:val="0"/>
                      <w:sz w:val="22"/>
                      <w:szCs w:val="22"/>
                      <w:highlight w:val="none"/>
                      <w:u w:val="none"/>
                      <w:lang w:val="en-US" w:eastAsia="zh-CN" w:bidi="ar"/>
                    </w:rPr>
                    <w:t>2</w:t>
                  </w:r>
                  <w:r>
                    <w:rPr>
                      <w:rFonts w:hint="eastAsia" w:ascii="Times New Roman" w:hAnsi="Times New Roman" w:eastAsia="宋体" w:cs="Times New Roman"/>
                      <w:i w:val="0"/>
                      <w:iCs w:val="0"/>
                      <w:color w:val="000000"/>
                      <w:kern w:val="0"/>
                      <w:sz w:val="22"/>
                      <w:szCs w:val="22"/>
                      <w:highlight w:val="none"/>
                      <w:u w:val="none"/>
                      <w:lang w:val="en-US" w:eastAsia="zh-CN" w:bidi="ar"/>
                    </w:rPr>
                    <w:t>.5</w:t>
                  </w:r>
                </w:p>
              </w:tc>
            </w:tr>
            <w:tr w14:paraId="10C8E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83" w:type="dxa"/>
                  <w:tcBorders>
                    <w:left w:val="single" w:color="000000" w:sz="10" w:space="0"/>
                  </w:tcBorders>
                  <w:noWrap w:val="0"/>
                  <w:vAlign w:val="center"/>
                </w:tcPr>
                <w:p w14:paraId="15F1E6C8">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2"/>
                      <w:sz w:val="21"/>
                      <w:szCs w:val="21"/>
                      <w:highlight w:val="none"/>
                    </w:rPr>
                    <w:t>氯离</w:t>
                  </w:r>
                  <w:r>
                    <w:rPr>
                      <w:rFonts w:hint="default" w:ascii="Times New Roman" w:hAnsi="Times New Roman" w:eastAsia="宋体" w:cs="Times New Roman"/>
                      <w:color w:val="000000"/>
                      <w:spacing w:val="-2"/>
                      <w:sz w:val="21"/>
                      <w:szCs w:val="21"/>
                      <w:highlight w:val="none"/>
                      <w:lang w:val="en-US" w:eastAsia="zh-CN"/>
                    </w:rPr>
                    <w:t>子</w:t>
                  </w:r>
                  <w:r>
                    <w:rPr>
                      <w:rFonts w:hint="default" w:ascii="Times New Roman" w:hAnsi="Times New Roman" w:cs="Times New Roman"/>
                      <w:color w:val="000000"/>
                      <w:spacing w:val="-2"/>
                      <w:sz w:val="21"/>
                      <w:szCs w:val="21"/>
                      <w:highlight w:val="none"/>
                    </w:rPr>
                    <w:t>（</w:t>
                  </w:r>
                  <w:r>
                    <w:rPr>
                      <w:rFonts w:hint="default" w:ascii="Times New Roman" w:hAnsi="Times New Roman" w:eastAsia="Times New Roman" w:cs="Times New Roman"/>
                      <w:color w:val="000000"/>
                      <w:spacing w:val="-2"/>
                      <w:sz w:val="21"/>
                      <w:szCs w:val="21"/>
                      <w:highlight w:val="none"/>
                    </w:rPr>
                    <w:t>mg/L</w:t>
                  </w:r>
                  <w:r>
                    <w:rPr>
                      <w:rFonts w:hint="default" w:ascii="Times New Roman" w:hAnsi="Times New Roman" w:cs="Times New Roman"/>
                      <w:color w:val="000000"/>
                      <w:spacing w:val="-2"/>
                      <w:sz w:val="21"/>
                      <w:szCs w:val="21"/>
                      <w:highlight w:val="none"/>
                    </w:rPr>
                    <w:t>）</w:t>
                  </w:r>
                </w:p>
              </w:tc>
              <w:tc>
                <w:tcPr>
                  <w:tcW w:w="947" w:type="dxa"/>
                  <w:noWrap w:val="0"/>
                  <w:vAlign w:val="center"/>
                </w:tcPr>
                <w:p w14:paraId="3769B05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557</w:t>
                  </w:r>
                </w:p>
              </w:tc>
              <w:tc>
                <w:tcPr>
                  <w:tcW w:w="1046" w:type="dxa"/>
                  <w:noWrap w:val="0"/>
                  <w:vAlign w:val="center"/>
                </w:tcPr>
                <w:p w14:paraId="6DF461A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3235</w:t>
                  </w:r>
                </w:p>
              </w:tc>
              <w:tc>
                <w:tcPr>
                  <w:tcW w:w="887" w:type="dxa"/>
                  <w:noWrap w:val="0"/>
                  <w:vAlign w:val="center"/>
                </w:tcPr>
                <w:p w14:paraId="3105F95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1459</w:t>
                  </w:r>
                </w:p>
              </w:tc>
              <w:tc>
                <w:tcPr>
                  <w:tcW w:w="915" w:type="dxa"/>
                  <w:noWrap w:val="0"/>
                  <w:vAlign w:val="center"/>
                </w:tcPr>
                <w:p w14:paraId="772F8FE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510</w:t>
                  </w:r>
                </w:p>
              </w:tc>
              <w:tc>
                <w:tcPr>
                  <w:tcW w:w="930" w:type="dxa"/>
                  <w:noWrap w:val="0"/>
                  <w:vAlign w:val="center"/>
                </w:tcPr>
                <w:p w14:paraId="0B6B897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2960</w:t>
                  </w:r>
                </w:p>
              </w:tc>
              <w:tc>
                <w:tcPr>
                  <w:tcW w:w="990" w:type="dxa"/>
                  <w:noWrap w:val="0"/>
                  <w:vAlign w:val="center"/>
                </w:tcPr>
                <w:p w14:paraId="26809414">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2482.35</w:t>
                  </w:r>
                </w:p>
              </w:tc>
              <w:tc>
                <w:tcPr>
                  <w:tcW w:w="958" w:type="dxa"/>
                  <w:noWrap w:val="0"/>
                  <w:vAlign w:val="center"/>
                </w:tcPr>
                <w:p w14:paraId="45A7820A">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eastAsia" w:ascii="Times New Roman" w:hAnsi="Times New Roman" w:eastAsia="宋体" w:cs="Times New Roman"/>
                      <w:i w:val="0"/>
                      <w:iCs w:val="0"/>
                      <w:color w:val="000000"/>
                      <w:kern w:val="0"/>
                      <w:sz w:val="22"/>
                      <w:szCs w:val="22"/>
                      <w:highlight w:val="none"/>
                      <w:u w:val="none"/>
                      <w:lang w:val="en-US" w:eastAsia="zh-CN" w:bidi="ar"/>
                    </w:rPr>
                    <w:t>25</w:t>
                  </w:r>
                  <w:r>
                    <w:rPr>
                      <w:rFonts w:hint="default" w:ascii="Times New Roman" w:hAnsi="Times New Roman" w:eastAsia="宋体" w:cs="Times New Roman"/>
                      <w:i w:val="0"/>
                      <w:iCs w:val="0"/>
                      <w:color w:val="000000"/>
                      <w:kern w:val="0"/>
                      <w:sz w:val="22"/>
                      <w:szCs w:val="22"/>
                      <w:highlight w:val="none"/>
                      <w:u w:val="none"/>
                      <w:lang w:val="en-US" w:eastAsia="zh-CN" w:bidi="ar"/>
                    </w:rPr>
                    <w:t>00</w:t>
                  </w:r>
                </w:p>
              </w:tc>
            </w:tr>
            <w:tr w14:paraId="7D00C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83" w:type="dxa"/>
                  <w:tcBorders>
                    <w:left w:val="single" w:color="000000" w:sz="10" w:space="0"/>
                  </w:tcBorders>
                  <w:noWrap w:val="0"/>
                  <w:vAlign w:val="center"/>
                </w:tcPr>
                <w:p w14:paraId="044F1B93">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3"/>
                      <w:sz w:val="21"/>
                      <w:szCs w:val="21"/>
                      <w:highlight w:val="none"/>
                    </w:rPr>
                    <w:t>总硬度（</w:t>
                  </w:r>
                  <w:r>
                    <w:rPr>
                      <w:rFonts w:hint="default" w:ascii="Times New Roman" w:hAnsi="Times New Roman" w:eastAsia="Times New Roman" w:cs="Times New Roman"/>
                      <w:color w:val="000000"/>
                      <w:spacing w:val="-3"/>
                      <w:sz w:val="21"/>
                      <w:szCs w:val="21"/>
                      <w:highlight w:val="none"/>
                    </w:rPr>
                    <w:t>mg/L</w:t>
                  </w:r>
                  <w:r>
                    <w:rPr>
                      <w:rFonts w:hint="default" w:ascii="Times New Roman" w:hAnsi="Times New Roman" w:cs="Times New Roman"/>
                      <w:color w:val="000000"/>
                      <w:spacing w:val="-3"/>
                      <w:sz w:val="21"/>
                      <w:szCs w:val="21"/>
                      <w:highlight w:val="none"/>
                    </w:rPr>
                    <w:t>）</w:t>
                  </w:r>
                </w:p>
              </w:tc>
              <w:tc>
                <w:tcPr>
                  <w:tcW w:w="947" w:type="dxa"/>
                  <w:noWrap w:val="0"/>
                  <w:vAlign w:val="center"/>
                </w:tcPr>
                <w:p w14:paraId="04F426D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3263</w:t>
                  </w:r>
                </w:p>
              </w:tc>
              <w:tc>
                <w:tcPr>
                  <w:tcW w:w="1046" w:type="dxa"/>
                  <w:noWrap w:val="0"/>
                  <w:vAlign w:val="center"/>
                </w:tcPr>
                <w:p w14:paraId="6D0C53C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noWrap w:val="0"/>
                  <w:vAlign w:val="center"/>
                </w:tcPr>
                <w:p w14:paraId="7431A6F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58.05</w:t>
                  </w:r>
                </w:p>
              </w:tc>
              <w:tc>
                <w:tcPr>
                  <w:tcW w:w="915" w:type="dxa"/>
                  <w:noWrap w:val="0"/>
                  <w:vAlign w:val="center"/>
                </w:tcPr>
                <w:p w14:paraId="736A53B9">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w:t>
                  </w:r>
                </w:p>
              </w:tc>
              <w:tc>
                <w:tcPr>
                  <w:tcW w:w="930" w:type="dxa"/>
                  <w:noWrap w:val="0"/>
                  <w:vAlign w:val="center"/>
                </w:tcPr>
                <w:p w14:paraId="7657E2E4">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宋体" w:cs="Times New Roman"/>
                      <w:color w:val="000000"/>
                      <w:sz w:val="21"/>
                      <w:highlight w:val="none"/>
                      <w:lang w:val="en-US" w:eastAsia="zh-CN"/>
                    </w:rPr>
                  </w:pPr>
                  <w:r>
                    <w:rPr>
                      <w:rFonts w:hint="default" w:ascii="Times New Roman" w:hAnsi="Times New Roman" w:cs="Times New Roman"/>
                      <w:color w:val="000000"/>
                      <w:sz w:val="21"/>
                      <w:highlight w:val="none"/>
                      <w:lang w:val="en-US" w:eastAsia="zh-CN"/>
                    </w:rPr>
                    <w:t>/</w:t>
                  </w:r>
                </w:p>
              </w:tc>
              <w:tc>
                <w:tcPr>
                  <w:tcW w:w="990" w:type="dxa"/>
                  <w:noWrap w:val="0"/>
                  <w:vAlign w:val="center"/>
                </w:tcPr>
                <w:p w14:paraId="479CDA77">
                  <w:pPr>
                    <w:keepNext w:val="0"/>
                    <w:keepLines w:val="0"/>
                    <w:widowControl/>
                    <w:suppressLineNumbers w:val="0"/>
                    <w:jc w:val="center"/>
                    <w:textAlignment w:val="center"/>
                    <w:rPr>
                      <w:rFonts w:hint="default" w:ascii="Times New Roman" w:hAnsi="Times New Roman" w:cs="Times New Roman"/>
                      <w:color w:val="000000"/>
                      <w:sz w:val="21"/>
                      <w:highlight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bidi="ar"/>
                    </w:rPr>
                    <w:t>197.55</w:t>
                  </w:r>
                </w:p>
              </w:tc>
              <w:tc>
                <w:tcPr>
                  <w:tcW w:w="958" w:type="dxa"/>
                  <w:noWrap w:val="0"/>
                  <w:vAlign w:val="center"/>
                </w:tcPr>
                <w:p w14:paraId="7AC03BB4">
                  <w:pPr>
                    <w:keepNext w:val="0"/>
                    <w:keepLines w:val="0"/>
                    <w:widowControl/>
                    <w:suppressLineNumbers w:val="0"/>
                    <w:jc w:val="center"/>
                    <w:textAlignment w:val="center"/>
                    <w:rPr>
                      <w:rFonts w:hint="default" w:ascii="Times New Roman" w:hAnsi="Times New Roman" w:cs="Times New Roman"/>
                      <w:color w:val="000000"/>
                      <w:sz w:val="21"/>
                      <w:highlight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bidi="ar"/>
                    </w:rPr>
                    <w:t>1500</w:t>
                  </w:r>
                </w:p>
              </w:tc>
            </w:tr>
            <w:tr w14:paraId="035DD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583" w:type="dxa"/>
                  <w:tcBorders>
                    <w:left w:val="single" w:color="000000" w:sz="10" w:space="0"/>
                    <w:bottom w:val="single" w:color="000000" w:sz="10" w:space="0"/>
                  </w:tcBorders>
                  <w:noWrap w:val="0"/>
                  <w:vAlign w:val="center"/>
                </w:tcPr>
                <w:p w14:paraId="48B615B6">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3"/>
                      <w:sz w:val="21"/>
                      <w:szCs w:val="21"/>
                      <w:highlight w:val="none"/>
                    </w:rPr>
                    <w:t>总碱度（</w:t>
                  </w:r>
                  <w:r>
                    <w:rPr>
                      <w:rFonts w:hint="default" w:ascii="Times New Roman" w:hAnsi="Times New Roman" w:eastAsia="Times New Roman" w:cs="Times New Roman"/>
                      <w:color w:val="000000"/>
                      <w:spacing w:val="-3"/>
                      <w:sz w:val="21"/>
                      <w:szCs w:val="21"/>
                      <w:highlight w:val="none"/>
                    </w:rPr>
                    <w:t>mg/L</w:t>
                  </w:r>
                  <w:r>
                    <w:rPr>
                      <w:rFonts w:hint="default" w:ascii="Times New Roman" w:hAnsi="Times New Roman" w:cs="Times New Roman"/>
                      <w:color w:val="000000"/>
                      <w:spacing w:val="-3"/>
                      <w:sz w:val="21"/>
                      <w:szCs w:val="21"/>
                      <w:highlight w:val="none"/>
                    </w:rPr>
                    <w:t>）</w:t>
                  </w:r>
                </w:p>
              </w:tc>
              <w:tc>
                <w:tcPr>
                  <w:tcW w:w="947" w:type="dxa"/>
                  <w:tcBorders>
                    <w:bottom w:val="single" w:color="000000" w:sz="10" w:space="0"/>
                  </w:tcBorders>
                  <w:noWrap w:val="0"/>
                  <w:vAlign w:val="center"/>
                </w:tcPr>
                <w:p w14:paraId="0883D39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346.85</w:t>
                  </w:r>
                </w:p>
              </w:tc>
              <w:tc>
                <w:tcPr>
                  <w:tcW w:w="1046" w:type="dxa"/>
                  <w:tcBorders>
                    <w:bottom w:val="single" w:color="000000" w:sz="10" w:space="0"/>
                  </w:tcBorders>
                  <w:noWrap w:val="0"/>
                  <w:vAlign w:val="center"/>
                </w:tcPr>
                <w:p w14:paraId="48E8F80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tcBorders>
                    <w:bottom w:val="single" w:color="000000" w:sz="10" w:space="0"/>
                  </w:tcBorders>
                  <w:noWrap w:val="0"/>
                  <w:vAlign w:val="center"/>
                </w:tcPr>
                <w:p w14:paraId="7AEC0C9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445.95</w:t>
                  </w:r>
                </w:p>
              </w:tc>
              <w:tc>
                <w:tcPr>
                  <w:tcW w:w="915" w:type="dxa"/>
                  <w:tcBorders>
                    <w:bottom w:val="single" w:color="000000" w:sz="10" w:space="0"/>
                  </w:tcBorders>
                  <w:noWrap w:val="0"/>
                  <w:vAlign w:val="center"/>
                </w:tcPr>
                <w:p w14:paraId="5D5C653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3"/>
                      <w:sz w:val="21"/>
                      <w:szCs w:val="21"/>
                      <w:highlight w:val="none"/>
                    </w:rPr>
                    <w:t>1090.1</w:t>
                  </w:r>
                </w:p>
              </w:tc>
              <w:tc>
                <w:tcPr>
                  <w:tcW w:w="930" w:type="dxa"/>
                  <w:tcBorders>
                    <w:bottom w:val="single" w:color="000000" w:sz="10" w:space="0"/>
                  </w:tcBorders>
                  <w:noWrap w:val="0"/>
                  <w:vAlign w:val="center"/>
                </w:tcPr>
                <w:p w14:paraId="41DBC450">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6"/>
                      <w:sz w:val="21"/>
                      <w:szCs w:val="21"/>
                      <w:highlight w:val="none"/>
                    </w:rPr>
                    <w:t>189</w:t>
                  </w:r>
                </w:p>
              </w:tc>
              <w:tc>
                <w:tcPr>
                  <w:tcW w:w="990" w:type="dxa"/>
                  <w:tcBorders>
                    <w:bottom w:val="single" w:color="000000" w:sz="10" w:space="0"/>
                  </w:tcBorders>
                  <w:noWrap w:val="0"/>
                  <w:vAlign w:val="center"/>
                </w:tcPr>
                <w:p w14:paraId="3787DBCD">
                  <w:pPr>
                    <w:keepNext w:val="0"/>
                    <w:keepLines w:val="0"/>
                    <w:widowControl/>
                    <w:suppressLineNumbers w:val="0"/>
                    <w:jc w:val="center"/>
                    <w:textAlignment w:val="center"/>
                    <w:rPr>
                      <w:rFonts w:hint="default" w:ascii="Times New Roman" w:hAnsi="Times New Roman" w:eastAsia="Times New Roman" w:cs="Times New Roman"/>
                      <w:color w:val="000000"/>
                      <w:spacing w:val="-6"/>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194.97</w:t>
                  </w:r>
                </w:p>
              </w:tc>
              <w:tc>
                <w:tcPr>
                  <w:tcW w:w="958" w:type="dxa"/>
                  <w:tcBorders>
                    <w:bottom w:val="single" w:color="000000" w:sz="10" w:space="0"/>
                  </w:tcBorders>
                  <w:noWrap w:val="0"/>
                  <w:vAlign w:val="center"/>
                </w:tcPr>
                <w:p w14:paraId="3862A233">
                  <w:pPr>
                    <w:keepNext w:val="0"/>
                    <w:keepLines w:val="0"/>
                    <w:widowControl/>
                    <w:suppressLineNumbers w:val="0"/>
                    <w:jc w:val="center"/>
                    <w:textAlignment w:val="center"/>
                    <w:rPr>
                      <w:rFonts w:hint="default" w:ascii="Times New Roman" w:hAnsi="Times New Roman" w:eastAsia="Times New Roman" w:cs="Times New Roman"/>
                      <w:color w:val="000000"/>
                      <w:spacing w:val="-6"/>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300</w:t>
                  </w:r>
                </w:p>
              </w:tc>
            </w:tr>
            <w:tr w14:paraId="61BBE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583" w:type="dxa"/>
                  <w:tcBorders>
                    <w:left w:val="single" w:color="000000" w:sz="10" w:space="0"/>
                  </w:tcBorders>
                  <w:noWrap w:val="0"/>
                  <w:vAlign w:val="center"/>
                </w:tcPr>
                <w:p w14:paraId="1547BABA">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2"/>
                      <w:sz w:val="21"/>
                      <w:szCs w:val="21"/>
                      <w:highlight w:val="none"/>
                    </w:rPr>
                    <w:t>总氮（</w:t>
                  </w:r>
                  <w:r>
                    <w:rPr>
                      <w:rFonts w:hint="default" w:ascii="Times New Roman" w:hAnsi="Times New Roman" w:eastAsia="Times New Roman" w:cs="Times New Roman"/>
                      <w:color w:val="000000"/>
                      <w:spacing w:val="-2"/>
                      <w:sz w:val="21"/>
                      <w:szCs w:val="21"/>
                      <w:highlight w:val="none"/>
                    </w:rPr>
                    <w:t>mg/L</w:t>
                  </w:r>
                  <w:r>
                    <w:rPr>
                      <w:rFonts w:hint="default" w:ascii="Times New Roman" w:hAnsi="Times New Roman" w:cs="Times New Roman"/>
                      <w:color w:val="000000"/>
                      <w:spacing w:val="-2"/>
                      <w:sz w:val="21"/>
                      <w:szCs w:val="21"/>
                      <w:highlight w:val="none"/>
                    </w:rPr>
                    <w:t>）</w:t>
                  </w:r>
                </w:p>
              </w:tc>
              <w:tc>
                <w:tcPr>
                  <w:tcW w:w="947" w:type="dxa"/>
                  <w:noWrap w:val="0"/>
                  <w:vAlign w:val="center"/>
                </w:tcPr>
                <w:p w14:paraId="4480294F">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16.8</w:t>
                  </w:r>
                </w:p>
              </w:tc>
              <w:tc>
                <w:tcPr>
                  <w:tcW w:w="1046" w:type="dxa"/>
                  <w:noWrap w:val="0"/>
                  <w:vAlign w:val="center"/>
                </w:tcPr>
                <w:p w14:paraId="696920C8">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noWrap w:val="0"/>
                  <w:vAlign w:val="center"/>
                </w:tcPr>
                <w:p w14:paraId="4E4D4813">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10.5</w:t>
                  </w:r>
                </w:p>
              </w:tc>
              <w:tc>
                <w:tcPr>
                  <w:tcW w:w="915" w:type="dxa"/>
                  <w:noWrap w:val="0"/>
                  <w:vAlign w:val="center"/>
                </w:tcPr>
                <w:p w14:paraId="2143B14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9.5</w:t>
                  </w:r>
                </w:p>
              </w:tc>
              <w:tc>
                <w:tcPr>
                  <w:tcW w:w="930" w:type="dxa"/>
                  <w:noWrap w:val="0"/>
                  <w:vAlign w:val="center"/>
                </w:tcPr>
                <w:p w14:paraId="7BB3638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29.5</w:t>
                  </w:r>
                </w:p>
              </w:tc>
              <w:tc>
                <w:tcPr>
                  <w:tcW w:w="990" w:type="dxa"/>
                  <w:noWrap w:val="0"/>
                  <w:vAlign w:val="center"/>
                </w:tcPr>
                <w:p w14:paraId="20E21060">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24.05</w:t>
                  </w:r>
                </w:p>
              </w:tc>
              <w:tc>
                <w:tcPr>
                  <w:tcW w:w="958" w:type="dxa"/>
                  <w:noWrap w:val="0"/>
                  <w:vAlign w:val="center"/>
                </w:tcPr>
                <w:p w14:paraId="2D06EEC1">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w:t>
                  </w:r>
                </w:p>
              </w:tc>
            </w:tr>
            <w:tr w14:paraId="15EAB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583" w:type="dxa"/>
                  <w:tcBorders>
                    <w:left w:val="single" w:color="000000" w:sz="10" w:space="0"/>
                  </w:tcBorders>
                  <w:noWrap w:val="0"/>
                  <w:vAlign w:val="center"/>
                </w:tcPr>
                <w:p w14:paraId="1DB8CCCD">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2"/>
                      <w:sz w:val="21"/>
                      <w:szCs w:val="21"/>
                      <w:highlight w:val="none"/>
                    </w:rPr>
                    <w:t>总磷（</w:t>
                  </w:r>
                  <w:r>
                    <w:rPr>
                      <w:rFonts w:hint="default" w:ascii="Times New Roman" w:hAnsi="Times New Roman" w:eastAsia="Times New Roman" w:cs="Times New Roman"/>
                      <w:color w:val="000000"/>
                      <w:spacing w:val="-2"/>
                      <w:sz w:val="21"/>
                      <w:szCs w:val="21"/>
                      <w:highlight w:val="none"/>
                    </w:rPr>
                    <w:t>mg/L</w:t>
                  </w:r>
                  <w:r>
                    <w:rPr>
                      <w:rFonts w:hint="default" w:ascii="Times New Roman" w:hAnsi="Times New Roman" w:cs="Times New Roman"/>
                      <w:color w:val="000000"/>
                      <w:spacing w:val="-2"/>
                      <w:sz w:val="21"/>
                      <w:szCs w:val="21"/>
                      <w:highlight w:val="none"/>
                    </w:rPr>
                    <w:t>）</w:t>
                  </w:r>
                </w:p>
              </w:tc>
              <w:tc>
                <w:tcPr>
                  <w:tcW w:w="947" w:type="dxa"/>
                  <w:noWrap w:val="0"/>
                  <w:vAlign w:val="center"/>
                </w:tcPr>
                <w:p w14:paraId="7B58BA0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7.4</w:t>
                  </w:r>
                </w:p>
              </w:tc>
              <w:tc>
                <w:tcPr>
                  <w:tcW w:w="1046" w:type="dxa"/>
                  <w:noWrap w:val="0"/>
                  <w:vAlign w:val="center"/>
                </w:tcPr>
                <w:p w14:paraId="6E31D54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noWrap w:val="0"/>
                  <w:vAlign w:val="center"/>
                </w:tcPr>
                <w:p w14:paraId="599B9CD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915" w:type="dxa"/>
                  <w:noWrap w:val="0"/>
                  <w:vAlign w:val="center"/>
                </w:tcPr>
                <w:p w14:paraId="4FAF9795">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0.98</w:t>
                  </w:r>
                </w:p>
              </w:tc>
              <w:tc>
                <w:tcPr>
                  <w:tcW w:w="930" w:type="dxa"/>
                  <w:noWrap w:val="0"/>
                  <w:vAlign w:val="center"/>
                </w:tcPr>
                <w:p w14:paraId="5D9DF59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0.96</w:t>
                  </w:r>
                </w:p>
              </w:tc>
              <w:tc>
                <w:tcPr>
                  <w:tcW w:w="990" w:type="dxa"/>
                  <w:noWrap w:val="0"/>
                  <w:vAlign w:val="center"/>
                </w:tcPr>
                <w:p w14:paraId="01DB7CBC">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1.13</w:t>
                  </w:r>
                </w:p>
              </w:tc>
              <w:tc>
                <w:tcPr>
                  <w:tcW w:w="958" w:type="dxa"/>
                  <w:noWrap w:val="0"/>
                  <w:vAlign w:val="center"/>
                </w:tcPr>
                <w:p w14:paraId="6BCB56F2">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3</w:t>
                  </w:r>
                </w:p>
              </w:tc>
            </w:tr>
            <w:tr w14:paraId="046C0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583" w:type="dxa"/>
                  <w:tcBorders>
                    <w:left w:val="single" w:color="000000" w:sz="10" w:space="0"/>
                  </w:tcBorders>
                  <w:noWrap w:val="0"/>
                  <w:vAlign w:val="center"/>
                </w:tcPr>
                <w:p w14:paraId="17FEB6F3">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2"/>
                      <w:sz w:val="21"/>
                      <w:szCs w:val="21"/>
                      <w:highlight w:val="none"/>
                    </w:rPr>
                    <w:t>油（</w:t>
                  </w:r>
                  <w:r>
                    <w:rPr>
                      <w:rFonts w:hint="default" w:ascii="Times New Roman" w:hAnsi="Times New Roman" w:eastAsia="Times New Roman" w:cs="Times New Roman"/>
                      <w:color w:val="000000"/>
                      <w:spacing w:val="-2"/>
                      <w:sz w:val="21"/>
                      <w:szCs w:val="21"/>
                      <w:highlight w:val="none"/>
                    </w:rPr>
                    <w:t>mg/L</w:t>
                  </w:r>
                  <w:r>
                    <w:rPr>
                      <w:rFonts w:hint="default" w:ascii="Times New Roman" w:hAnsi="Times New Roman" w:cs="Times New Roman"/>
                      <w:color w:val="000000"/>
                      <w:spacing w:val="-2"/>
                      <w:sz w:val="21"/>
                      <w:szCs w:val="21"/>
                      <w:highlight w:val="none"/>
                    </w:rPr>
                    <w:t>）</w:t>
                  </w:r>
                </w:p>
              </w:tc>
              <w:tc>
                <w:tcPr>
                  <w:tcW w:w="947" w:type="dxa"/>
                  <w:noWrap w:val="0"/>
                  <w:vAlign w:val="center"/>
                </w:tcPr>
                <w:p w14:paraId="6A6F543B">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0.06</w:t>
                  </w:r>
                </w:p>
              </w:tc>
              <w:tc>
                <w:tcPr>
                  <w:tcW w:w="1046" w:type="dxa"/>
                  <w:noWrap w:val="0"/>
                  <w:vAlign w:val="center"/>
                </w:tcPr>
                <w:p w14:paraId="421A4AB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t>
                  </w:r>
                </w:p>
              </w:tc>
              <w:tc>
                <w:tcPr>
                  <w:tcW w:w="887" w:type="dxa"/>
                  <w:noWrap w:val="0"/>
                  <w:vAlign w:val="center"/>
                </w:tcPr>
                <w:p w14:paraId="34A6750E">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0.49</w:t>
                  </w:r>
                </w:p>
              </w:tc>
              <w:tc>
                <w:tcPr>
                  <w:tcW w:w="915" w:type="dxa"/>
                  <w:noWrap w:val="0"/>
                  <w:vAlign w:val="center"/>
                </w:tcPr>
                <w:p w14:paraId="6E5FDA0C">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0.78</w:t>
                  </w:r>
                </w:p>
              </w:tc>
              <w:tc>
                <w:tcPr>
                  <w:tcW w:w="930" w:type="dxa"/>
                  <w:noWrap w:val="0"/>
                  <w:vAlign w:val="center"/>
                </w:tcPr>
                <w:p w14:paraId="3C9DD3AA">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0.09</w:t>
                  </w:r>
                </w:p>
              </w:tc>
              <w:tc>
                <w:tcPr>
                  <w:tcW w:w="990" w:type="dxa"/>
                  <w:noWrap w:val="0"/>
                  <w:vAlign w:val="center"/>
                </w:tcPr>
                <w:p w14:paraId="5C54CB0A">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0.18</w:t>
                  </w:r>
                </w:p>
              </w:tc>
              <w:tc>
                <w:tcPr>
                  <w:tcW w:w="958" w:type="dxa"/>
                  <w:noWrap w:val="0"/>
                  <w:vAlign w:val="center"/>
                </w:tcPr>
                <w:p w14:paraId="0029CB34">
                  <w:pPr>
                    <w:keepNext w:val="0"/>
                    <w:keepLines w:val="0"/>
                    <w:widowControl/>
                    <w:suppressLineNumbers w:val="0"/>
                    <w:jc w:val="center"/>
                    <w:textAlignment w:val="center"/>
                    <w:rPr>
                      <w:rFonts w:hint="default" w:ascii="Times New Roman" w:hAnsi="Times New Roman" w:eastAsia="Times New Roman" w:cs="Times New Roman"/>
                      <w:color w:val="000000"/>
                      <w:spacing w:val="-1"/>
                      <w:sz w:val="21"/>
                      <w:szCs w:val="21"/>
                      <w:highlight w:val="none"/>
                      <w:lang w:val="en-US"/>
                    </w:rPr>
                  </w:pPr>
                  <w:r>
                    <w:rPr>
                      <w:rFonts w:hint="eastAsia" w:ascii="Times New Roman" w:hAnsi="Times New Roman" w:eastAsia="宋体" w:cs="Times New Roman"/>
                      <w:i w:val="0"/>
                      <w:iCs w:val="0"/>
                      <w:color w:val="000000"/>
                      <w:kern w:val="0"/>
                      <w:sz w:val="22"/>
                      <w:szCs w:val="22"/>
                      <w:highlight w:val="none"/>
                      <w:u w:val="none"/>
                      <w:lang w:val="en-US" w:eastAsia="zh-CN" w:bidi="ar"/>
                    </w:rPr>
                    <w:t>0.1</w:t>
                  </w:r>
                </w:p>
              </w:tc>
            </w:tr>
            <w:tr w14:paraId="0C6A1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83" w:type="dxa"/>
                  <w:tcBorders>
                    <w:left w:val="single" w:color="000000" w:sz="10" w:space="0"/>
                    <w:bottom w:val="single" w:color="000000" w:sz="10" w:space="0"/>
                  </w:tcBorders>
                  <w:noWrap w:val="0"/>
                  <w:vAlign w:val="center"/>
                </w:tcPr>
                <w:p w14:paraId="79207055">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SS</w:t>
                  </w:r>
                  <w:r>
                    <w:rPr>
                      <w:rFonts w:hint="default" w:ascii="Times New Roman" w:hAnsi="Times New Roman" w:cs="Times New Roman"/>
                      <w:color w:val="000000"/>
                      <w:spacing w:val="-2"/>
                      <w:sz w:val="21"/>
                      <w:szCs w:val="21"/>
                      <w:highlight w:val="none"/>
                    </w:rPr>
                    <w:t>（</w:t>
                  </w:r>
                  <w:r>
                    <w:rPr>
                      <w:rFonts w:hint="default" w:ascii="Times New Roman" w:hAnsi="Times New Roman" w:eastAsia="Times New Roman" w:cs="Times New Roman"/>
                      <w:color w:val="000000"/>
                      <w:spacing w:val="-2"/>
                      <w:sz w:val="21"/>
                      <w:szCs w:val="21"/>
                      <w:highlight w:val="none"/>
                    </w:rPr>
                    <w:t>mg/L</w:t>
                  </w:r>
                  <w:r>
                    <w:rPr>
                      <w:rFonts w:hint="default" w:ascii="Times New Roman" w:hAnsi="Times New Roman" w:cs="Times New Roman"/>
                      <w:color w:val="000000"/>
                      <w:spacing w:val="-2"/>
                      <w:sz w:val="21"/>
                      <w:szCs w:val="21"/>
                      <w:highlight w:val="none"/>
                    </w:rPr>
                    <w:t>）</w:t>
                  </w:r>
                </w:p>
              </w:tc>
              <w:tc>
                <w:tcPr>
                  <w:tcW w:w="947" w:type="dxa"/>
                  <w:tcBorders>
                    <w:bottom w:val="single" w:color="000000" w:sz="10" w:space="0"/>
                  </w:tcBorders>
                  <w:noWrap w:val="0"/>
                  <w:vAlign w:val="center"/>
                </w:tcPr>
                <w:p w14:paraId="0E33F3C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520</w:t>
                  </w:r>
                </w:p>
              </w:tc>
              <w:tc>
                <w:tcPr>
                  <w:tcW w:w="1046" w:type="dxa"/>
                  <w:tcBorders>
                    <w:bottom w:val="single" w:color="000000" w:sz="10" w:space="0"/>
                  </w:tcBorders>
                  <w:noWrap w:val="0"/>
                  <w:vAlign w:val="center"/>
                </w:tcPr>
                <w:p w14:paraId="2B458352">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6"/>
                      <w:sz w:val="21"/>
                      <w:szCs w:val="21"/>
                      <w:highlight w:val="none"/>
                    </w:rPr>
                    <w:t>10</w:t>
                  </w:r>
                </w:p>
              </w:tc>
              <w:tc>
                <w:tcPr>
                  <w:tcW w:w="887" w:type="dxa"/>
                  <w:tcBorders>
                    <w:bottom w:val="single" w:color="000000" w:sz="10" w:space="0"/>
                  </w:tcBorders>
                  <w:noWrap w:val="0"/>
                  <w:vAlign w:val="center"/>
                </w:tcPr>
                <w:p w14:paraId="78C0889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6"/>
                      <w:sz w:val="21"/>
                      <w:szCs w:val="21"/>
                      <w:highlight w:val="none"/>
                    </w:rPr>
                    <w:t>107</w:t>
                  </w:r>
                </w:p>
              </w:tc>
              <w:tc>
                <w:tcPr>
                  <w:tcW w:w="915" w:type="dxa"/>
                  <w:tcBorders>
                    <w:bottom w:val="single" w:color="000000" w:sz="10" w:space="0"/>
                  </w:tcBorders>
                  <w:noWrap w:val="0"/>
                  <w:vAlign w:val="center"/>
                </w:tcPr>
                <w:p w14:paraId="6C9F9E5D">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3"/>
                      <w:sz w:val="21"/>
                      <w:szCs w:val="21"/>
                      <w:highlight w:val="none"/>
                    </w:rPr>
                    <w:t>55</w:t>
                  </w:r>
                </w:p>
              </w:tc>
              <w:tc>
                <w:tcPr>
                  <w:tcW w:w="930" w:type="dxa"/>
                  <w:tcBorders>
                    <w:bottom w:val="single" w:color="000000" w:sz="10" w:space="0"/>
                  </w:tcBorders>
                  <w:noWrap w:val="0"/>
                  <w:vAlign w:val="center"/>
                </w:tcPr>
                <w:p w14:paraId="6710BC16">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70</w:t>
                  </w:r>
                </w:p>
              </w:tc>
              <w:tc>
                <w:tcPr>
                  <w:tcW w:w="990" w:type="dxa"/>
                  <w:tcBorders>
                    <w:bottom w:val="single" w:color="000000" w:sz="10" w:space="0"/>
                  </w:tcBorders>
                  <w:noWrap w:val="0"/>
                  <w:vAlign w:val="center"/>
                </w:tcPr>
                <w:p w14:paraId="21158D3A">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101.06</w:t>
                  </w:r>
                </w:p>
              </w:tc>
              <w:tc>
                <w:tcPr>
                  <w:tcW w:w="958" w:type="dxa"/>
                  <w:tcBorders>
                    <w:bottom w:val="single" w:color="000000" w:sz="10" w:space="0"/>
                  </w:tcBorders>
                  <w:noWrap w:val="0"/>
                  <w:vAlign w:val="center"/>
                </w:tcPr>
                <w:p w14:paraId="6D824B5C">
                  <w:pPr>
                    <w:keepNext w:val="0"/>
                    <w:keepLines w:val="0"/>
                    <w:widowControl/>
                    <w:suppressLineNumbers w:val="0"/>
                    <w:jc w:val="center"/>
                    <w:textAlignment w:val="center"/>
                    <w:rPr>
                      <w:rFonts w:hint="default" w:ascii="Times New Roman" w:hAnsi="Times New Roman" w:eastAsia="Times New Roman" w:cs="Times New Roman"/>
                      <w:color w:val="000000"/>
                      <w:spacing w:val="-2"/>
                      <w:sz w:val="21"/>
                      <w:szCs w:val="21"/>
                      <w:highlight w:val="none"/>
                    </w:rPr>
                  </w:pPr>
                  <w:r>
                    <w:rPr>
                      <w:rFonts w:hint="default" w:ascii="Times New Roman" w:hAnsi="Times New Roman" w:eastAsia="宋体" w:cs="Times New Roman"/>
                      <w:i w:val="0"/>
                      <w:iCs w:val="0"/>
                      <w:color w:val="000000"/>
                      <w:kern w:val="0"/>
                      <w:sz w:val="22"/>
                      <w:szCs w:val="22"/>
                      <w:highlight w:val="none"/>
                      <w:u w:val="none"/>
                      <w:lang w:val="en-US" w:eastAsia="zh-CN" w:bidi="ar"/>
                    </w:rPr>
                    <w:t>200</w:t>
                  </w:r>
                </w:p>
              </w:tc>
            </w:tr>
          </w:tbl>
          <w:p w14:paraId="18392A95">
            <w:pPr>
              <w:spacing w:before="199" w:line="214" w:lineRule="auto"/>
              <w:ind w:firstLine="472" w:firstLineChars="200"/>
              <w:rPr>
                <w:rFonts w:hint="default" w:ascii="宋体" w:hAnsi="宋体" w:eastAsia="宋体" w:cs="宋体"/>
                <w:color w:val="000000"/>
                <w:sz w:val="24"/>
                <w:szCs w:val="24"/>
                <w:highlight w:val="none"/>
                <w:lang w:val="en-US" w:eastAsia="zh-CN"/>
              </w:rPr>
            </w:pPr>
            <w:r>
              <w:rPr>
                <w:rFonts w:hint="eastAsia" w:hAnsi="宋体"/>
                <w:color w:val="000000"/>
                <w:spacing w:val="-2"/>
                <w:sz w:val="24"/>
                <w:highlight w:val="none"/>
              </w:rPr>
              <w:t>本项目</w:t>
            </w:r>
            <w:r>
              <w:rPr>
                <w:rFonts w:hint="eastAsia" w:hAnsi="宋体"/>
                <w:color w:val="000000"/>
                <w:spacing w:val="-2"/>
                <w:sz w:val="24"/>
                <w:highlight w:val="none"/>
                <w:lang w:val="en-US" w:eastAsia="zh-CN"/>
              </w:rPr>
              <w:t>中水回用系统设计出水水质</w:t>
            </w:r>
            <w:r>
              <w:rPr>
                <w:rFonts w:hint="eastAsia" w:hAnsi="宋体"/>
                <w:color w:val="000000"/>
                <w:spacing w:val="-2"/>
                <w:sz w:val="24"/>
                <w:highlight w:val="none"/>
              </w:rPr>
              <w:t>指标详见表</w:t>
            </w:r>
            <w:r>
              <w:rPr>
                <w:rFonts w:hint="eastAsia" w:hAnsi="宋体"/>
                <w:color w:val="000000"/>
                <w:spacing w:val="-2"/>
                <w:sz w:val="24"/>
                <w:highlight w:val="none"/>
                <w:lang w:val="en-US" w:eastAsia="zh-CN"/>
              </w:rPr>
              <w:t>2-12</w:t>
            </w:r>
            <w:r>
              <w:rPr>
                <w:rFonts w:hint="eastAsia" w:hAnsi="宋体"/>
                <w:color w:val="000000"/>
                <w:spacing w:val="-2"/>
                <w:sz w:val="24"/>
                <w:highlight w:val="none"/>
              </w:rPr>
              <w:t>。</w:t>
            </w:r>
          </w:p>
          <w:p w14:paraId="74D6739E">
            <w:pPr>
              <w:spacing w:before="199" w:line="214" w:lineRule="auto"/>
              <w:ind w:left="2242"/>
              <w:rPr>
                <w:rFonts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val="en-US" w:eastAsia="zh-CN"/>
              </w:rPr>
              <w:t>表2-12 中水回用系统出水</w:t>
            </w:r>
            <w:r>
              <w:rPr>
                <w:rFonts w:ascii="宋体" w:hAnsi="宋体" w:eastAsia="宋体" w:cs="宋体"/>
                <w:b/>
                <w:bCs/>
                <w:color w:val="000000"/>
                <w:sz w:val="21"/>
                <w:szCs w:val="21"/>
                <w:highlight w:val="none"/>
              </w:rPr>
              <w:t>水质指标</w:t>
            </w:r>
          </w:p>
          <w:tbl>
            <w:tblPr>
              <w:tblStyle w:val="24"/>
              <w:tblW w:w="831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9"/>
              <w:gridCol w:w="3325"/>
              <w:gridCol w:w="1113"/>
              <w:gridCol w:w="2991"/>
            </w:tblGrid>
            <w:tr w14:paraId="628DB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89" w:type="dxa"/>
                  <w:tcBorders>
                    <w:top w:val="single" w:color="000000" w:sz="10" w:space="0"/>
                    <w:left w:val="single" w:color="000000" w:sz="10" w:space="0"/>
                  </w:tcBorders>
                  <w:noWrap w:val="0"/>
                  <w:vAlign w:val="top"/>
                </w:tcPr>
                <w:p w14:paraId="340776E1">
                  <w:pPr>
                    <w:pStyle w:val="25"/>
                    <w:spacing w:before="98" w:line="222" w:lineRule="auto"/>
                    <w:ind w:left="198"/>
                    <w:rPr>
                      <w:color w:val="000000"/>
                      <w:sz w:val="21"/>
                      <w:szCs w:val="21"/>
                      <w:highlight w:val="none"/>
                    </w:rPr>
                  </w:pPr>
                  <w:r>
                    <w:rPr>
                      <w:color w:val="000000"/>
                      <w:spacing w:val="-2"/>
                      <w:sz w:val="21"/>
                      <w:szCs w:val="21"/>
                      <w:highlight w:val="none"/>
                    </w:rPr>
                    <w:t>序号</w:t>
                  </w:r>
                </w:p>
              </w:tc>
              <w:tc>
                <w:tcPr>
                  <w:tcW w:w="3325" w:type="dxa"/>
                  <w:tcBorders>
                    <w:top w:val="single" w:color="000000" w:sz="10" w:space="0"/>
                  </w:tcBorders>
                  <w:noWrap w:val="0"/>
                  <w:vAlign w:val="top"/>
                </w:tcPr>
                <w:p w14:paraId="00C605BC">
                  <w:pPr>
                    <w:pStyle w:val="25"/>
                    <w:spacing w:before="98" w:line="223" w:lineRule="auto"/>
                    <w:ind w:left="1357"/>
                    <w:rPr>
                      <w:color w:val="000000"/>
                      <w:sz w:val="21"/>
                      <w:szCs w:val="21"/>
                      <w:highlight w:val="none"/>
                    </w:rPr>
                  </w:pPr>
                  <w:r>
                    <w:rPr>
                      <w:color w:val="000000"/>
                      <w:spacing w:val="-3"/>
                      <w:sz w:val="21"/>
                      <w:szCs w:val="21"/>
                      <w:highlight w:val="none"/>
                    </w:rPr>
                    <w:t>名称</w:t>
                  </w:r>
                </w:p>
              </w:tc>
              <w:tc>
                <w:tcPr>
                  <w:tcW w:w="1113" w:type="dxa"/>
                  <w:tcBorders>
                    <w:top w:val="single" w:color="000000" w:sz="10" w:space="0"/>
                  </w:tcBorders>
                  <w:noWrap w:val="0"/>
                  <w:vAlign w:val="top"/>
                </w:tcPr>
                <w:p w14:paraId="7C988130">
                  <w:pPr>
                    <w:pStyle w:val="25"/>
                    <w:spacing w:before="98" w:line="221" w:lineRule="auto"/>
                    <w:ind w:left="318"/>
                    <w:rPr>
                      <w:color w:val="000000"/>
                      <w:sz w:val="21"/>
                      <w:szCs w:val="21"/>
                      <w:highlight w:val="none"/>
                    </w:rPr>
                  </w:pPr>
                  <w:r>
                    <w:rPr>
                      <w:color w:val="000000"/>
                      <w:spacing w:val="-2"/>
                      <w:sz w:val="21"/>
                      <w:szCs w:val="21"/>
                      <w:highlight w:val="none"/>
                    </w:rPr>
                    <w:t>单位</w:t>
                  </w:r>
                </w:p>
              </w:tc>
              <w:tc>
                <w:tcPr>
                  <w:tcW w:w="2991" w:type="dxa"/>
                  <w:tcBorders>
                    <w:top w:val="single" w:color="000000" w:sz="10" w:space="0"/>
                  </w:tcBorders>
                  <w:noWrap w:val="0"/>
                  <w:vAlign w:val="top"/>
                </w:tcPr>
                <w:p w14:paraId="220D69CF">
                  <w:pPr>
                    <w:pStyle w:val="25"/>
                    <w:spacing w:before="97" w:line="221" w:lineRule="auto"/>
                    <w:ind w:left="790"/>
                    <w:rPr>
                      <w:color w:val="000000"/>
                      <w:sz w:val="21"/>
                      <w:szCs w:val="21"/>
                      <w:highlight w:val="none"/>
                    </w:rPr>
                  </w:pPr>
                  <w:r>
                    <w:rPr>
                      <w:color w:val="000000"/>
                      <w:spacing w:val="-1"/>
                      <w:sz w:val="21"/>
                      <w:szCs w:val="21"/>
                      <w:highlight w:val="none"/>
                    </w:rPr>
                    <w:t>水质控制指标</w:t>
                  </w:r>
                </w:p>
              </w:tc>
            </w:tr>
            <w:tr w14:paraId="494A8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9" w:type="dxa"/>
                  <w:tcBorders>
                    <w:left w:val="single" w:color="000000" w:sz="10" w:space="0"/>
                  </w:tcBorders>
                  <w:noWrap w:val="0"/>
                  <w:vAlign w:val="top"/>
                </w:tcPr>
                <w:p w14:paraId="349700BD">
                  <w:pPr>
                    <w:spacing w:before="132" w:line="187" w:lineRule="auto"/>
                    <w:ind w:left="374"/>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1</w:t>
                  </w:r>
                </w:p>
              </w:tc>
              <w:tc>
                <w:tcPr>
                  <w:tcW w:w="3325" w:type="dxa"/>
                  <w:noWrap w:val="0"/>
                  <w:vAlign w:val="top"/>
                </w:tcPr>
                <w:p w14:paraId="471088CB">
                  <w:pPr>
                    <w:pStyle w:val="25"/>
                    <w:spacing w:before="96" w:line="207" w:lineRule="auto"/>
                    <w:ind w:left="870"/>
                    <w:rPr>
                      <w:color w:val="000000"/>
                      <w:sz w:val="21"/>
                      <w:szCs w:val="21"/>
                      <w:highlight w:val="none"/>
                    </w:rPr>
                  </w:pPr>
                  <w:r>
                    <w:rPr>
                      <w:rFonts w:ascii="Times New Roman" w:hAnsi="Times New Roman" w:eastAsia="Times New Roman" w:cs="Times New Roman"/>
                      <w:color w:val="000000"/>
                      <w:sz w:val="21"/>
                      <w:szCs w:val="21"/>
                      <w:highlight w:val="none"/>
                    </w:rPr>
                    <w:t xml:space="preserve">pH </w:t>
                  </w:r>
                  <w:r>
                    <w:rPr>
                      <w:color w:val="000000"/>
                      <w:sz w:val="21"/>
                      <w:szCs w:val="21"/>
                      <w:highlight w:val="none"/>
                    </w:rPr>
                    <w:t>值（</w:t>
                  </w:r>
                  <w:r>
                    <w:rPr>
                      <w:rFonts w:ascii="Times New Roman" w:hAnsi="Times New Roman" w:eastAsia="Times New Roman" w:cs="Times New Roman"/>
                      <w:color w:val="000000"/>
                      <w:sz w:val="21"/>
                      <w:szCs w:val="21"/>
                      <w:highlight w:val="none"/>
                    </w:rPr>
                    <w:t>25°C</w:t>
                  </w:r>
                  <w:r>
                    <w:rPr>
                      <w:color w:val="000000"/>
                      <w:sz w:val="21"/>
                      <w:szCs w:val="21"/>
                      <w:highlight w:val="none"/>
                    </w:rPr>
                    <w:t>）</w:t>
                  </w:r>
                </w:p>
              </w:tc>
              <w:tc>
                <w:tcPr>
                  <w:tcW w:w="1113" w:type="dxa"/>
                  <w:noWrap w:val="0"/>
                  <w:vAlign w:val="top"/>
                </w:tcPr>
                <w:p w14:paraId="188303E0">
                  <w:pPr>
                    <w:spacing w:before="220" w:line="100" w:lineRule="exact"/>
                    <w:ind w:left="412"/>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4"/>
                      <w:position w:val="-2"/>
                      <w:sz w:val="21"/>
                      <w:szCs w:val="21"/>
                      <w:highlight w:val="none"/>
                    </w:rPr>
                    <w:t>—</w:t>
                  </w:r>
                </w:p>
              </w:tc>
              <w:tc>
                <w:tcPr>
                  <w:tcW w:w="2991" w:type="dxa"/>
                  <w:noWrap w:val="0"/>
                  <w:vAlign w:val="top"/>
                </w:tcPr>
                <w:p w14:paraId="6D85D182">
                  <w:pPr>
                    <w:spacing w:before="132" w:line="187" w:lineRule="auto"/>
                    <w:ind w:left="1122"/>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6.0-9.0</w:t>
                  </w:r>
                </w:p>
              </w:tc>
            </w:tr>
            <w:tr w14:paraId="7A937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254F5193">
                  <w:pPr>
                    <w:spacing w:before="134" w:line="187" w:lineRule="auto"/>
                    <w:ind w:left="35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2</w:t>
                  </w:r>
                </w:p>
              </w:tc>
              <w:tc>
                <w:tcPr>
                  <w:tcW w:w="3325" w:type="dxa"/>
                  <w:noWrap w:val="0"/>
                  <w:vAlign w:val="top"/>
                </w:tcPr>
                <w:p w14:paraId="344E743F">
                  <w:pPr>
                    <w:pStyle w:val="25"/>
                    <w:spacing w:before="97" w:line="222" w:lineRule="auto"/>
                    <w:ind w:left="1253"/>
                    <w:rPr>
                      <w:color w:val="000000"/>
                      <w:sz w:val="21"/>
                      <w:szCs w:val="21"/>
                      <w:highlight w:val="none"/>
                    </w:rPr>
                  </w:pPr>
                  <w:r>
                    <w:rPr>
                      <w:color w:val="000000"/>
                      <w:spacing w:val="-2"/>
                      <w:sz w:val="21"/>
                      <w:szCs w:val="21"/>
                      <w:highlight w:val="none"/>
                    </w:rPr>
                    <w:t>悬浮物</w:t>
                  </w:r>
                </w:p>
              </w:tc>
              <w:tc>
                <w:tcPr>
                  <w:tcW w:w="1113" w:type="dxa"/>
                  <w:noWrap w:val="0"/>
                  <w:vAlign w:val="top"/>
                </w:tcPr>
                <w:p w14:paraId="1E5B4EE8">
                  <w:pPr>
                    <w:spacing w:before="130"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735050A1">
                  <w:pPr>
                    <w:spacing w:before="130" w:line="219" w:lineRule="auto"/>
                    <w:ind w:left="1146"/>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4"/>
                      <w:sz w:val="21"/>
                      <w:szCs w:val="21"/>
                      <w:highlight w:val="none"/>
                    </w:rPr>
                    <w:t>≤</w:t>
                  </w:r>
                  <w:r>
                    <w:rPr>
                      <w:rFonts w:ascii="Times New Roman" w:hAnsi="Times New Roman" w:eastAsia="Times New Roman" w:cs="Times New Roman"/>
                      <w:color w:val="000000"/>
                      <w:spacing w:val="25"/>
                      <w:sz w:val="21"/>
                      <w:szCs w:val="21"/>
                      <w:highlight w:val="none"/>
                    </w:rPr>
                    <w:t xml:space="preserve"> </w:t>
                  </w:r>
                  <w:r>
                    <w:rPr>
                      <w:rFonts w:ascii="Times New Roman" w:hAnsi="Times New Roman" w:eastAsia="Times New Roman" w:cs="Times New Roman"/>
                      <w:color w:val="000000"/>
                      <w:spacing w:val="-4"/>
                      <w:sz w:val="21"/>
                      <w:szCs w:val="21"/>
                      <w:highlight w:val="none"/>
                    </w:rPr>
                    <w:t>10.0</w:t>
                  </w:r>
                </w:p>
              </w:tc>
            </w:tr>
            <w:tr w14:paraId="252A1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9" w:type="dxa"/>
                  <w:tcBorders>
                    <w:left w:val="single" w:color="000000" w:sz="10" w:space="0"/>
                  </w:tcBorders>
                  <w:noWrap w:val="0"/>
                  <w:vAlign w:val="top"/>
                </w:tcPr>
                <w:p w14:paraId="2041685E">
                  <w:pPr>
                    <w:spacing w:before="136" w:line="187" w:lineRule="auto"/>
                    <w:ind w:left="358"/>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3</w:t>
                  </w:r>
                </w:p>
              </w:tc>
              <w:tc>
                <w:tcPr>
                  <w:tcW w:w="3325" w:type="dxa"/>
                  <w:noWrap w:val="0"/>
                  <w:vAlign w:val="top"/>
                </w:tcPr>
                <w:p w14:paraId="7843C467">
                  <w:pPr>
                    <w:pStyle w:val="25"/>
                    <w:spacing w:before="100" w:line="221" w:lineRule="auto"/>
                    <w:ind w:left="1359"/>
                    <w:rPr>
                      <w:color w:val="000000"/>
                      <w:sz w:val="21"/>
                      <w:szCs w:val="21"/>
                      <w:highlight w:val="none"/>
                    </w:rPr>
                  </w:pPr>
                  <w:r>
                    <w:rPr>
                      <w:color w:val="000000"/>
                      <w:spacing w:val="-3"/>
                      <w:sz w:val="21"/>
                      <w:szCs w:val="21"/>
                      <w:highlight w:val="none"/>
                    </w:rPr>
                    <w:t>浊度</w:t>
                  </w:r>
                </w:p>
              </w:tc>
              <w:tc>
                <w:tcPr>
                  <w:tcW w:w="1113" w:type="dxa"/>
                  <w:noWrap w:val="0"/>
                  <w:vAlign w:val="top"/>
                </w:tcPr>
                <w:p w14:paraId="41A8E25D">
                  <w:pPr>
                    <w:spacing w:before="139" w:line="184" w:lineRule="auto"/>
                    <w:ind w:left="301"/>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NTU</w:t>
                  </w:r>
                </w:p>
              </w:tc>
              <w:tc>
                <w:tcPr>
                  <w:tcW w:w="2991" w:type="dxa"/>
                  <w:noWrap w:val="0"/>
                  <w:vAlign w:val="top"/>
                </w:tcPr>
                <w:p w14:paraId="1686693D">
                  <w:pPr>
                    <w:spacing w:before="132" w:line="219" w:lineRule="auto"/>
                    <w:ind w:left="1199"/>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w:t>
                  </w:r>
                  <w:r>
                    <w:rPr>
                      <w:rFonts w:ascii="Times New Roman" w:hAnsi="Times New Roman" w:eastAsia="Times New Roman" w:cs="Times New Roman"/>
                      <w:color w:val="000000"/>
                      <w:spacing w:val="9"/>
                      <w:sz w:val="21"/>
                      <w:szCs w:val="21"/>
                      <w:highlight w:val="none"/>
                    </w:rPr>
                    <w:t xml:space="preserve"> </w:t>
                  </w:r>
                  <w:r>
                    <w:rPr>
                      <w:rFonts w:ascii="Times New Roman" w:hAnsi="Times New Roman" w:eastAsia="Times New Roman" w:cs="Times New Roman"/>
                      <w:color w:val="000000"/>
                      <w:spacing w:val="-2"/>
                      <w:sz w:val="21"/>
                      <w:szCs w:val="21"/>
                      <w:highlight w:val="none"/>
                    </w:rPr>
                    <w:t>5.0</w:t>
                  </w:r>
                </w:p>
              </w:tc>
            </w:tr>
            <w:tr w14:paraId="1D534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1DA1C4D3">
                  <w:pPr>
                    <w:spacing w:before="140" w:line="187" w:lineRule="auto"/>
                    <w:ind w:left="352"/>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4</w:t>
                  </w:r>
                </w:p>
              </w:tc>
              <w:tc>
                <w:tcPr>
                  <w:tcW w:w="3325" w:type="dxa"/>
                  <w:noWrap w:val="0"/>
                  <w:vAlign w:val="top"/>
                </w:tcPr>
                <w:p w14:paraId="32665743">
                  <w:pPr>
                    <w:spacing w:before="140" w:line="196" w:lineRule="auto"/>
                    <w:ind w:left="1304"/>
                    <w:rPr>
                      <w:rFonts w:ascii="Times New Roman" w:hAnsi="Times New Roman" w:eastAsia="Times New Roman" w:cs="Times New Roman"/>
                      <w:color w:val="000000"/>
                      <w:sz w:val="13"/>
                      <w:szCs w:val="13"/>
                      <w:highlight w:val="none"/>
                    </w:rPr>
                  </w:pPr>
                  <w:r>
                    <w:rPr>
                      <w:rFonts w:ascii="Times New Roman" w:hAnsi="Times New Roman" w:eastAsia="Times New Roman" w:cs="Times New Roman"/>
                      <w:color w:val="000000"/>
                      <w:sz w:val="21"/>
                      <w:szCs w:val="21"/>
                      <w:highlight w:val="none"/>
                    </w:rPr>
                    <w:t>BOD</w:t>
                  </w:r>
                  <w:r>
                    <w:rPr>
                      <w:rFonts w:ascii="Times New Roman" w:hAnsi="Times New Roman" w:eastAsia="Times New Roman" w:cs="Times New Roman"/>
                      <w:color w:val="000000"/>
                      <w:spacing w:val="4"/>
                      <w:position w:val="-1"/>
                      <w:sz w:val="13"/>
                      <w:szCs w:val="13"/>
                      <w:highlight w:val="none"/>
                    </w:rPr>
                    <w:t>5</w:t>
                  </w:r>
                </w:p>
              </w:tc>
              <w:tc>
                <w:tcPr>
                  <w:tcW w:w="1113" w:type="dxa"/>
                  <w:noWrap w:val="0"/>
                  <w:vAlign w:val="top"/>
                </w:tcPr>
                <w:p w14:paraId="3F2C283D">
                  <w:pPr>
                    <w:spacing w:before="136"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7B3E39E2">
                  <w:pPr>
                    <w:spacing w:before="136" w:line="219" w:lineRule="auto"/>
                    <w:ind w:left="1146"/>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4"/>
                      <w:sz w:val="21"/>
                      <w:szCs w:val="21"/>
                      <w:highlight w:val="none"/>
                    </w:rPr>
                    <w:t>≤</w:t>
                  </w:r>
                  <w:r>
                    <w:rPr>
                      <w:rFonts w:ascii="Times New Roman" w:hAnsi="Times New Roman" w:eastAsia="Times New Roman" w:cs="Times New Roman"/>
                      <w:color w:val="000000"/>
                      <w:spacing w:val="25"/>
                      <w:sz w:val="21"/>
                      <w:szCs w:val="21"/>
                      <w:highlight w:val="none"/>
                    </w:rPr>
                    <w:t xml:space="preserve"> </w:t>
                  </w:r>
                  <w:r>
                    <w:rPr>
                      <w:rFonts w:ascii="Times New Roman" w:hAnsi="Times New Roman" w:eastAsia="Times New Roman" w:cs="Times New Roman"/>
                      <w:color w:val="000000"/>
                      <w:spacing w:val="-4"/>
                      <w:sz w:val="21"/>
                      <w:szCs w:val="21"/>
                      <w:highlight w:val="none"/>
                    </w:rPr>
                    <w:t>10.0</w:t>
                  </w:r>
                </w:p>
              </w:tc>
            </w:tr>
            <w:tr w14:paraId="52E01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67C56373">
                  <w:pPr>
                    <w:spacing w:before="143" w:line="184" w:lineRule="auto"/>
                    <w:ind w:left="359"/>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5</w:t>
                  </w:r>
                </w:p>
              </w:tc>
              <w:tc>
                <w:tcPr>
                  <w:tcW w:w="3325" w:type="dxa"/>
                  <w:noWrap w:val="0"/>
                  <w:vAlign w:val="top"/>
                </w:tcPr>
                <w:p w14:paraId="46882952">
                  <w:pPr>
                    <w:spacing w:before="140" w:line="187" w:lineRule="auto"/>
                    <w:ind w:left="1262"/>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CODcr</w:t>
                  </w:r>
                </w:p>
              </w:tc>
              <w:tc>
                <w:tcPr>
                  <w:tcW w:w="1113" w:type="dxa"/>
                  <w:noWrap w:val="0"/>
                  <w:vAlign w:val="top"/>
                </w:tcPr>
                <w:p w14:paraId="0781B88D">
                  <w:pPr>
                    <w:spacing w:before="136"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631E4F07">
                  <w:pPr>
                    <w:spacing w:before="137" w:line="219" w:lineRule="auto"/>
                    <w:ind w:left="1146"/>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w:t>
                  </w:r>
                  <w:r>
                    <w:rPr>
                      <w:rFonts w:ascii="Times New Roman" w:hAnsi="Times New Roman" w:eastAsia="Times New Roman" w:cs="Times New Roman"/>
                      <w:color w:val="000000"/>
                      <w:spacing w:val="10"/>
                      <w:sz w:val="21"/>
                      <w:szCs w:val="21"/>
                      <w:highlight w:val="none"/>
                    </w:rPr>
                    <w:t xml:space="preserve"> </w:t>
                  </w:r>
                  <w:r>
                    <w:rPr>
                      <w:rFonts w:ascii="Times New Roman" w:hAnsi="Times New Roman" w:eastAsia="Times New Roman" w:cs="Times New Roman"/>
                      <w:color w:val="000000"/>
                      <w:spacing w:val="-2"/>
                      <w:sz w:val="21"/>
                      <w:szCs w:val="21"/>
                      <w:highlight w:val="none"/>
                    </w:rPr>
                    <w:t>60.0</w:t>
                  </w:r>
                </w:p>
              </w:tc>
            </w:tr>
            <w:tr w14:paraId="49DFE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9" w:type="dxa"/>
                  <w:tcBorders>
                    <w:left w:val="single" w:color="000000" w:sz="10" w:space="0"/>
                  </w:tcBorders>
                  <w:noWrap w:val="0"/>
                  <w:vAlign w:val="top"/>
                </w:tcPr>
                <w:p w14:paraId="734803A6">
                  <w:pPr>
                    <w:spacing w:before="142" w:line="187" w:lineRule="auto"/>
                    <w:ind w:left="358"/>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6</w:t>
                  </w:r>
                </w:p>
              </w:tc>
              <w:tc>
                <w:tcPr>
                  <w:tcW w:w="3325" w:type="dxa"/>
                  <w:noWrap w:val="0"/>
                  <w:vAlign w:val="top"/>
                </w:tcPr>
                <w:p w14:paraId="07DC1E48">
                  <w:pPr>
                    <w:pStyle w:val="25"/>
                    <w:spacing w:before="106" w:line="222" w:lineRule="auto"/>
                    <w:ind w:left="1459"/>
                    <w:rPr>
                      <w:color w:val="000000"/>
                      <w:sz w:val="21"/>
                      <w:szCs w:val="21"/>
                      <w:highlight w:val="none"/>
                    </w:rPr>
                  </w:pPr>
                  <w:r>
                    <w:rPr>
                      <w:color w:val="000000"/>
                      <w:sz w:val="21"/>
                      <w:szCs w:val="21"/>
                      <w:highlight w:val="none"/>
                    </w:rPr>
                    <w:t>铁</w:t>
                  </w:r>
                </w:p>
              </w:tc>
              <w:tc>
                <w:tcPr>
                  <w:tcW w:w="1113" w:type="dxa"/>
                  <w:noWrap w:val="0"/>
                  <w:vAlign w:val="top"/>
                </w:tcPr>
                <w:p w14:paraId="6CD2DE0F">
                  <w:pPr>
                    <w:spacing w:before="138"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0B671463">
                  <w:pPr>
                    <w:spacing w:before="139" w:line="219" w:lineRule="auto"/>
                    <w:ind w:left="1199"/>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w:t>
                  </w:r>
                  <w:r>
                    <w:rPr>
                      <w:rFonts w:ascii="Times New Roman" w:hAnsi="Times New Roman" w:eastAsia="Times New Roman" w:cs="Times New Roman"/>
                      <w:color w:val="000000"/>
                      <w:spacing w:val="8"/>
                      <w:sz w:val="21"/>
                      <w:szCs w:val="21"/>
                      <w:highlight w:val="none"/>
                    </w:rPr>
                    <w:t xml:space="preserve"> </w:t>
                  </w:r>
                  <w:r>
                    <w:rPr>
                      <w:rFonts w:ascii="Times New Roman" w:hAnsi="Times New Roman" w:eastAsia="Times New Roman" w:cs="Times New Roman"/>
                      <w:color w:val="000000"/>
                      <w:spacing w:val="-2"/>
                      <w:sz w:val="21"/>
                      <w:szCs w:val="21"/>
                      <w:highlight w:val="none"/>
                    </w:rPr>
                    <w:t>0.5</w:t>
                  </w:r>
                </w:p>
              </w:tc>
            </w:tr>
            <w:tr w14:paraId="2558E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6DFB309E">
                  <w:pPr>
                    <w:spacing w:before="146" w:line="184" w:lineRule="auto"/>
                    <w:ind w:left="357"/>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7</w:t>
                  </w:r>
                </w:p>
              </w:tc>
              <w:tc>
                <w:tcPr>
                  <w:tcW w:w="3325" w:type="dxa"/>
                  <w:noWrap w:val="0"/>
                  <w:vAlign w:val="top"/>
                </w:tcPr>
                <w:p w14:paraId="3469D248">
                  <w:pPr>
                    <w:pStyle w:val="25"/>
                    <w:spacing w:before="107" w:line="227" w:lineRule="auto"/>
                    <w:ind w:left="1460"/>
                    <w:rPr>
                      <w:color w:val="000000"/>
                      <w:sz w:val="21"/>
                      <w:szCs w:val="21"/>
                      <w:highlight w:val="none"/>
                    </w:rPr>
                  </w:pPr>
                  <w:r>
                    <w:rPr>
                      <w:color w:val="000000"/>
                      <w:sz w:val="21"/>
                      <w:szCs w:val="21"/>
                      <w:highlight w:val="none"/>
                    </w:rPr>
                    <w:t>锰</w:t>
                  </w:r>
                </w:p>
              </w:tc>
              <w:tc>
                <w:tcPr>
                  <w:tcW w:w="1113" w:type="dxa"/>
                  <w:noWrap w:val="0"/>
                  <w:vAlign w:val="top"/>
                </w:tcPr>
                <w:p w14:paraId="0DE9410F">
                  <w:pPr>
                    <w:spacing w:before="140"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02A172F3">
                  <w:pPr>
                    <w:spacing w:before="140" w:line="219" w:lineRule="auto"/>
                    <w:ind w:left="1199"/>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w:t>
                  </w:r>
                  <w:r>
                    <w:rPr>
                      <w:rFonts w:ascii="Times New Roman" w:hAnsi="Times New Roman" w:eastAsia="Times New Roman" w:cs="Times New Roman"/>
                      <w:color w:val="000000"/>
                      <w:spacing w:val="8"/>
                      <w:sz w:val="21"/>
                      <w:szCs w:val="21"/>
                      <w:highlight w:val="none"/>
                    </w:rPr>
                    <w:t xml:space="preserve"> </w:t>
                  </w:r>
                  <w:r>
                    <w:rPr>
                      <w:rFonts w:ascii="Times New Roman" w:hAnsi="Times New Roman" w:eastAsia="Times New Roman" w:cs="Times New Roman"/>
                      <w:color w:val="000000"/>
                      <w:spacing w:val="-2"/>
                      <w:sz w:val="21"/>
                      <w:szCs w:val="21"/>
                      <w:highlight w:val="none"/>
                    </w:rPr>
                    <w:t>0.2</w:t>
                  </w:r>
                </w:p>
              </w:tc>
            </w:tr>
            <w:tr w14:paraId="1D016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89" w:type="dxa"/>
                  <w:tcBorders>
                    <w:left w:val="single" w:color="000000" w:sz="10" w:space="0"/>
                  </w:tcBorders>
                  <w:noWrap w:val="0"/>
                  <w:vAlign w:val="top"/>
                </w:tcPr>
                <w:p w14:paraId="28E3CD97">
                  <w:pPr>
                    <w:spacing w:before="145" w:line="187" w:lineRule="auto"/>
                    <w:ind w:left="362"/>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8</w:t>
                  </w:r>
                </w:p>
              </w:tc>
              <w:tc>
                <w:tcPr>
                  <w:tcW w:w="3325" w:type="dxa"/>
                  <w:noWrap w:val="0"/>
                  <w:vAlign w:val="top"/>
                </w:tcPr>
                <w:p w14:paraId="2E6B5F25">
                  <w:pPr>
                    <w:pStyle w:val="25"/>
                    <w:spacing w:before="110" w:line="221" w:lineRule="auto"/>
                    <w:ind w:left="1254"/>
                    <w:rPr>
                      <w:color w:val="000000"/>
                      <w:sz w:val="21"/>
                      <w:szCs w:val="21"/>
                      <w:highlight w:val="none"/>
                    </w:rPr>
                  </w:pPr>
                  <w:r>
                    <w:rPr>
                      <w:color w:val="000000"/>
                      <w:spacing w:val="-2"/>
                      <w:sz w:val="21"/>
                      <w:szCs w:val="21"/>
                      <w:highlight w:val="none"/>
                    </w:rPr>
                    <w:t>氯离子</w:t>
                  </w:r>
                </w:p>
              </w:tc>
              <w:tc>
                <w:tcPr>
                  <w:tcW w:w="1113" w:type="dxa"/>
                  <w:noWrap w:val="0"/>
                  <w:vAlign w:val="top"/>
                </w:tcPr>
                <w:p w14:paraId="2AD5725A">
                  <w:pPr>
                    <w:spacing w:before="142"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65E5A2B7">
                  <w:pPr>
                    <w:spacing w:before="142" w:line="219" w:lineRule="auto"/>
                    <w:ind w:left="1199"/>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≤100</w:t>
                  </w:r>
                </w:p>
              </w:tc>
            </w:tr>
            <w:tr w14:paraId="3932A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00DD9163">
                  <w:pPr>
                    <w:spacing w:before="150" w:line="187" w:lineRule="auto"/>
                    <w:ind w:left="357"/>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9</w:t>
                  </w:r>
                </w:p>
              </w:tc>
              <w:tc>
                <w:tcPr>
                  <w:tcW w:w="3325" w:type="dxa"/>
                  <w:noWrap w:val="0"/>
                  <w:vAlign w:val="top"/>
                </w:tcPr>
                <w:p w14:paraId="18ED450B">
                  <w:pPr>
                    <w:pStyle w:val="25"/>
                    <w:spacing w:before="112" w:line="221" w:lineRule="auto"/>
                    <w:ind w:left="505"/>
                    <w:rPr>
                      <w:color w:val="000000"/>
                      <w:sz w:val="21"/>
                      <w:szCs w:val="21"/>
                      <w:highlight w:val="none"/>
                    </w:rPr>
                  </w:pPr>
                  <w:r>
                    <w:rPr>
                      <w:color w:val="000000"/>
                      <w:spacing w:val="-3"/>
                      <w:sz w:val="21"/>
                      <w:szCs w:val="21"/>
                      <w:highlight w:val="none"/>
                    </w:rPr>
                    <w:t>钙硬度（以</w:t>
                  </w:r>
                  <w:r>
                    <w:rPr>
                      <w:color w:val="000000"/>
                      <w:spacing w:val="-25"/>
                      <w:sz w:val="21"/>
                      <w:szCs w:val="21"/>
                      <w:highlight w:val="none"/>
                    </w:rPr>
                    <w:t xml:space="preserve"> </w:t>
                  </w:r>
                  <w:r>
                    <w:rPr>
                      <w:rFonts w:ascii="Times New Roman" w:hAnsi="Times New Roman" w:eastAsia="Times New Roman" w:cs="Times New Roman"/>
                      <w:color w:val="000000"/>
                      <w:spacing w:val="-3"/>
                      <w:sz w:val="21"/>
                      <w:szCs w:val="21"/>
                      <w:highlight w:val="none"/>
                    </w:rPr>
                    <w:t>CaCO</w:t>
                  </w:r>
                  <w:r>
                    <w:rPr>
                      <w:rFonts w:ascii="Times New Roman" w:hAnsi="Times New Roman" w:eastAsia="Times New Roman" w:cs="Times New Roman"/>
                      <w:color w:val="000000"/>
                      <w:spacing w:val="-3"/>
                      <w:position w:val="-1"/>
                      <w:sz w:val="13"/>
                      <w:szCs w:val="13"/>
                      <w:highlight w:val="none"/>
                    </w:rPr>
                    <w:t>3</w:t>
                  </w:r>
                  <w:r>
                    <w:rPr>
                      <w:color w:val="000000"/>
                      <w:spacing w:val="-3"/>
                      <w:sz w:val="21"/>
                      <w:szCs w:val="21"/>
                      <w:highlight w:val="none"/>
                    </w:rPr>
                    <w:t>计）</w:t>
                  </w:r>
                </w:p>
              </w:tc>
              <w:tc>
                <w:tcPr>
                  <w:tcW w:w="1113" w:type="dxa"/>
                  <w:noWrap w:val="0"/>
                  <w:vAlign w:val="top"/>
                </w:tcPr>
                <w:p w14:paraId="7B210996">
                  <w:pPr>
                    <w:spacing w:before="147"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2947FBB6">
                  <w:pPr>
                    <w:spacing w:before="147" w:line="219" w:lineRule="auto"/>
                    <w:ind w:left="117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 250</w:t>
                  </w:r>
                </w:p>
              </w:tc>
            </w:tr>
            <w:tr w14:paraId="33B2E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9" w:type="dxa"/>
                  <w:tcBorders>
                    <w:left w:val="single" w:color="000000" w:sz="10" w:space="0"/>
                  </w:tcBorders>
                  <w:noWrap w:val="0"/>
                  <w:vAlign w:val="top"/>
                </w:tcPr>
                <w:p w14:paraId="76FB4D74">
                  <w:pPr>
                    <w:spacing w:before="150" w:line="187" w:lineRule="auto"/>
                    <w:ind w:left="321"/>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6"/>
                      <w:sz w:val="21"/>
                      <w:szCs w:val="21"/>
                      <w:highlight w:val="none"/>
                    </w:rPr>
                    <w:t>10</w:t>
                  </w:r>
                </w:p>
              </w:tc>
              <w:tc>
                <w:tcPr>
                  <w:tcW w:w="3325" w:type="dxa"/>
                  <w:noWrap w:val="0"/>
                  <w:vAlign w:val="top"/>
                </w:tcPr>
                <w:p w14:paraId="39A2B274">
                  <w:pPr>
                    <w:pStyle w:val="25"/>
                    <w:spacing w:before="114" w:line="221" w:lineRule="auto"/>
                    <w:ind w:left="506"/>
                    <w:rPr>
                      <w:color w:val="000000"/>
                      <w:sz w:val="21"/>
                      <w:szCs w:val="21"/>
                      <w:highlight w:val="none"/>
                    </w:rPr>
                  </w:pPr>
                  <w:r>
                    <w:rPr>
                      <w:color w:val="000000"/>
                      <w:spacing w:val="-3"/>
                      <w:sz w:val="21"/>
                      <w:szCs w:val="21"/>
                      <w:highlight w:val="none"/>
                    </w:rPr>
                    <w:t>全碱度（以</w:t>
                  </w:r>
                  <w:r>
                    <w:rPr>
                      <w:color w:val="000000"/>
                      <w:spacing w:val="-26"/>
                      <w:sz w:val="21"/>
                      <w:szCs w:val="21"/>
                      <w:highlight w:val="none"/>
                    </w:rPr>
                    <w:t xml:space="preserve"> </w:t>
                  </w:r>
                  <w:r>
                    <w:rPr>
                      <w:rFonts w:ascii="Times New Roman" w:hAnsi="Times New Roman" w:eastAsia="Times New Roman" w:cs="Times New Roman"/>
                      <w:color w:val="000000"/>
                      <w:spacing w:val="-3"/>
                      <w:sz w:val="21"/>
                      <w:szCs w:val="21"/>
                      <w:highlight w:val="none"/>
                    </w:rPr>
                    <w:t>CaCO</w:t>
                  </w:r>
                  <w:r>
                    <w:rPr>
                      <w:rFonts w:ascii="Times New Roman" w:hAnsi="Times New Roman" w:eastAsia="Times New Roman" w:cs="Times New Roman"/>
                      <w:color w:val="000000"/>
                      <w:spacing w:val="-3"/>
                      <w:position w:val="-1"/>
                      <w:sz w:val="13"/>
                      <w:szCs w:val="13"/>
                      <w:highlight w:val="none"/>
                    </w:rPr>
                    <w:t>3</w:t>
                  </w:r>
                  <w:r>
                    <w:rPr>
                      <w:color w:val="000000"/>
                      <w:spacing w:val="-3"/>
                      <w:sz w:val="21"/>
                      <w:szCs w:val="21"/>
                      <w:highlight w:val="none"/>
                    </w:rPr>
                    <w:t>计）</w:t>
                  </w:r>
                </w:p>
              </w:tc>
              <w:tc>
                <w:tcPr>
                  <w:tcW w:w="1113" w:type="dxa"/>
                  <w:noWrap w:val="0"/>
                  <w:vAlign w:val="top"/>
                </w:tcPr>
                <w:p w14:paraId="5306282C">
                  <w:pPr>
                    <w:spacing w:before="146"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457C8A0A">
                  <w:pPr>
                    <w:spacing w:before="147" w:line="219" w:lineRule="auto"/>
                    <w:ind w:left="117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 200</w:t>
                  </w:r>
                </w:p>
              </w:tc>
            </w:tr>
            <w:tr w14:paraId="6DBAC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9" w:type="dxa"/>
                  <w:tcBorders>
                    <w:left w:val="single" w:color="000000" w:sz="10" w:space="0"/>
                  </w:tcBorders>
                  <w:noWrap w:val="0"/>
                  <w:vAlign w:val="top"/>
                </w:tcPr>
                <w:p w14:paraId="26B1077F">
                  <w:pPr>
                    <w:spacing w:before="152" w:line="187" w:lineRule="auto"/>
                    <w:ind w:left="321"/>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6"/>
                      <w:sz w:val="21"/>
                      <w:szCs w:val="21"/>
                      <w:highlight w:val="none"/>
                    </w:rPr>
                    <w:t>11</w:t>
                  </w:r>
                </w:p>
              </w:tc>
              <w:tc>
                <w:tcPr>
                  <w:tcW w:w="3325" w:type="dxa"/>
                  <w:noWrap w:val="0"/>
                  <w:vAlign w:val="top"/>
                </w:tcPr>
                <w:p w14:paraId="239603B2">
                  <w:pPr>
                    <w:spacing w:before="155" w:line="193" w:lineRule="auto"/>
                    <w:ind w:left="1257"/>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z w:val="21"/>
                      <w:szCs w:val="21"/>
                      <w:highlight w:val="none"/>
                    </w:rPr>
                    <w:t>NH</w:t>
                  </w:r>
                  <w:r>
                    <w:rPr>
                      <w:rFonts w:ascii="Times New Roman" w:hAnsi="Times New Roman" w:eastAsia="Times New Roman" w:cs="Times New Roman"/>
                      <w:color w:val="000000"/>
                      <w:spacing w:val="3"/>
                      <w:position w:val="-1"/>
                      <w:sz w:val="13"/>
                      <w:szCs w:val="13"/>
                      <w:highlight w:val="none"/>
                    </w:rPr>
                    <w:t>3</w:t>
                  </w:r>
                  <w:r>
                    <w:rPr>
                      <w:rFonts w:ascii="Times New Roman" w:hAnsi="Times New Roman" w:eastAsia="Times New Roman" w:cs="Times New Roman"/>
                      <w:color w:val="000000"/>
                      <w:spacing w:val="3"/>
                      <w:sz w:val="21"/>
                      <w:szCs w:val="21"/>
                      <w:highlight w:val="none"/>
                    </w:rPr>
                    <w:t>-N</w:t>
                  </w:r>
                </w:p>
              </w:tc>
              <w:tc>
                <w:tcPr>
                  <w:tcW w:w="1113" w:type="dxa"/>
                  <w:noWrap w:val="0"/>
                  <w:vAlign w:val="top"/>
                </w:tcPr>
                <w:p w14:paraId="3369C6EF">
                  <w:pPr>
                    <w:spacing w:before="148"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noWrap w:val="0"/>
                  <w:vAlign w:val="top"/>
                </w:tcPr>
                <w:p w14:paraId="0F379887">
                  <w:pPr>
                    <w:spacing w:before="149" w:line="219" w:lineRule="auto"/>
                    <w:ind w:left="1197"/>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w:t>
                  </w:r>
                  <w:r>
                    <w:rPr>
                      <w:rFonts w:ascii="Times New Roman" w:hAnsi="Times New Roman" w:eastAsia="Times New Roman" w:cs="Times New Roman"/>
                      <w:color w:val="000000"/>
                      <w:spacing w:val="9"/>
                      <w:sz w:val="21"/>
                      <w:szCs w:val="21"/>
                      <w:highlight w:val="none"/>
                    </w:rPr>
                    <w:t xml:space="preserve"> </w:t>
                  </w:r>
                  <w:r>
                    <w:rPr>
                      <w:rFonts w:ascii="Times New Roman" w:hAnsi="Times New Roman" w:eastAsia="Times New Roman" w:cs="Times New Roman"/>
                      <w:color w:val="000000"/>
                      <w:spacing w:val="-2"/>
                      <w:sz w:val="21"/>
                      <w:szCs w:val="21"/>
                      <w:highlight w:val="none"/>
                    </w:rPr>
                    <w:t>5.0</w:t>
                  </w:r>
                </w:p>
              </w:tc>
            </w:tr>
            <w:tr w14:paraId="11DA3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89" w:type="dxa"/>
                  <w:tcBorders>
                    <w:left w:val="single" w:color="000000" w:sz="10" w:space="0"/>
                    <w:bottom w:val="single" w:color="000000" w:sz="10" w:space="0"/>
                  </w:tcBorders>
                  <w:noWrap w:val="0"/>
                  <w:vAlign w:val="top"/>
                </w:tcPr>
                <w:p w14:paraId="51660330">
                  <w:pPr>
                    <w:spacing w:before="154" w:line="187" w:lineRule="auto"/>
                    <w:ind w:left="321"/>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6"/>
                      <w:sz w:val="21"/>
                      <w:szCs w:val="21"/>
                      <w:highlight w:val="none"/>
                    </w:rPr>
                    <w:t>12</w:t>
                  </w:r>
                </w:p>
              </w:tc>
              <w:tc>
                <w:tcPr>
                  <w:tcW w:w="3325" w:type="dxa"/>
                  <w:tcBorders>
                    <w:bottom w:val="single" w:color="000000" w:sz="10" w:space="0"/>
                  </w:tcBorders>
                  <w:noWrap w:val="0"/>
                  <w:vAlign w:val="top"/>
                </w:tcPr>
                <w:p w14:paraId="6934AC5E">
                  <w:pPr>
                    <w:pStyle w:val="25"/>
                    <w:spacing w:before="117" w:line="221" w:lineRule="auto"/>
                    <w:ind w:left="831"/>
                    <w:rPr>
                      <w:color w:val="000000"/>
                      <w:sz w:val="21"/>
                      <w:szCs w:val="21"/>
                      <w:highlight w:val="none"/>
                    </w:rPr>
                  </w:pPr>
                  <w:r>
                    <w:rPr>
                      <w:color w:val="000000"/>
                      <w:spacing w:val="-3"/>
                      <w:sz w:val="21"/>
                      <w:szCs w:val="21"/>
                      <w:highlight w:val="none"/>
                    </w:rPr>
                    <w:t>总磷（以</w:t>
                  </w:r>
                  <w:r>
                    <w:rPr>
                      <w:color w:val="000000"/>
                      <w:spacing w:val="-45"/>
                      <w:sz w:val="21"/>
                      <w:szCs w:val="21"/>
                      <w:highlight w:val="none"/>
                    </w:rPr>
                    <w:t xml:space="preserve"> </w:t>
                  </w:r>
                  <w:r>
                    <w:rPr>
                      <w:rFonts w:ascii="Times New Roman" w:hAnsi="Times New Roman" w:eastAsia="Times New Roman" w:cs="Times New Roman"/>
                      <w:color w:val="000000"/>
                      <w:spacing w:val="-3"/>
                      <w:sz w:val="21"/>
                      <w:szCs w:val="21"/>
                      <w:highlight w:val="none"/>
                    </w:rPr>
                    <w:t xml:space="preserve">P </w:t>
                  </w:r>
                  <w:r>
                    <w:rPr>
                      <w:color w:val="000000"/>
                      <w:spacing w:val="-3"/>
                      <w:sz w:val="21"/>
                      <w:szCs w:val="21"/>
                      <w:highlight w:val="none"/>
                    </w:rPr>
                    <w:t>计）</w:t>
                  </w:r>
                </w:p>
              </w:tc>
              <w:tc>
                <w:tcPr>
                  <w:tcW w:w="1113" w:type="dxa"/>
                  <w:tcBorders>
                    <w:bottom w:val="single" w:color="000000" w:sz="10" w:space="0"/>
                  </w:tcBorders>
                  <w:noWrap w:val="0"/>
                  <w:vAlign w:val="top"/>
                </w:tcPr>
                <w:p w14:paraId="4E206B3A">
                  <w:pPr>
                    <w:spacing w:before="150" w:line="191" w:lineRule="auto"/>
                    <w:ind w:left="293"/>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mg/L</w:t>
                  </w:r>
                </w:p>
              </w:tc>
              <w:tc>
                <w:tcPr>
                  <w:tcW w:w="2991" w:type="dxa"/>
                  <w:tcBorders>
                    <w:bottom w:val="single" w:color="000000" w:sz="10" w:space="0"/>
                  </w:tcBorders>
                  <w:noWrap w:val="0"/>
                  <w:vAlign w:val="top"/>
                </w:tcPr>
                <w:p w14:paraId="1905049D">
                  <w:pPr>
                    <w:spacing w:before="150" w:line="219" w:lineRule="auto"/>
                    <w:ind w:left="1225"/>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≤1.0</w:t>
                  </w:r>
                </w:p>
              </w:tc>
            </w:tr>
          </w:tbl>
          <w:p w14:paraId="57369DD2">
            <w:pPr>
              <w:spacing w:line="360" w:lineRule="auto"/>
              <w:ind w:firstLine="480" w:firstLineChars="200"/>
              <w:rPr>
                <w:rFonts w:hint="default" w:ascii="Times New Roman" w:hAnsi="Times New Roman" w:eastAsia="宋体" w:cs="Times New Roman"/>
                <w:bCs/>
                <w:color w:val="000000"/>
                <w:sz w:val="24"/>
                <w:highlight w:val="none"/>
                <w:lang w:val="en-US" w:eastAsia="zh-CN"/>
              </w:rPr>
            </w:pPr>
            <w:r>
              <w:rPr>
                <w:rFonts w:hint="eastAsia" w:ascii="Times New Roman" w:hAnsi="Times New Roman" w:cs="Times New Roman"/>
                <w:bCs/>
                <w:color w:val="000000"/>
                <w:sz w:val="24"/>
                <w:highlight w:val="none"/>
                <w:lang w:val="en-US" w:eastAsia="zh-CN"/>
              </w:rPr>
              <w:t>项目混合废水进出水处理情况如下表。</w:t>
            </w:r>
          </w:p>
          <w:p w14:paraId="3AD0657C">
            <w:pPr>
              <w:spacing w:line="360" w:lineRule="auto"/>
              <w:ind w:firstLine="482" w:firstLineChars="200"/>
              <w:jc w:val="center"/>
              <w:rPr>
                <w:rFonts w:hint="default" w:ascii="Times New Roman" w:hAnsi="Times New Roman" w:eastAsia="宋体" w:cs="Times New Roman"/>
                <w:bCs/>
                <w:color w:val="000000"/>
                <w:sz w:val="24"/>
                <w:highlight w:val="none"/>
                <w:lang w:val="en-US" w:eastAsia="zh-CN"/>
              </w:rPr>
            </w:pPr>
            <w:r>
              <w:rPr>
                <w:rFonts w:hint="eastAsia" w:ascii="Times New Roman" w:hAnsi="Times New Roman" w:cs="Times New Roman"/>
                <w:b/>
                <w:bCs w:val="0"/>
                <w:color w:val="000000"/>
                <w:sz w:val="24"/>
                <w:highlight w:val="none"/>
                <w:lang w:val="en-US" w:eastAsia="zh-CN"/>
              </w:rPr>
              <w:t>表2-13 混合废水处理及达标情况一览表</w:t>
            </w:r>
          </w:p>
          <w:tbl>
            <w:tblPr>
              <w:tblStyle w:val="13"/>
              <w:tblW w:w="8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6"/>
              <w:gridCol w:w="516"/>
              <w:gridCol w:w="516"/>
              <w:gridCol w:w="667"/>
              <w:gridCol w:w="667"/>
              <w:gridCol w:w="714"/>
              <w:gridCol w:w="667"/>
              <w:gridCol w:w="714"/>
              <w:gridCol w:w="714"/>
              <w:gridCol w:w="516"/>
              <w:gridCol w:w="667"/>
              <w:gridCol w:w="714"/>
              <w:gridCol w:w="667"/>
            </w:tblGrid>
            <w:tr w14:paraId="44D5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2F64EC7">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指标</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38500B6F">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pH</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4B8C157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电导率(uS/cm）</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2669CF7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TDS（mg/L）</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A053A4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COD（mg/L）</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A1D9F2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氨氮（mg/L）</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5DE04B4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氯离子（mg/L）</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B921AC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总硬度（mg/L）</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23A3E0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总碱度（mg/L）</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1B330F3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总氮（mg/L）</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19A1157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总磷（mg/L）</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2049D75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油（mg/L）</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2864261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SS（mg/L）</w:t>
                  </w:r>
                </w:p>
              </w:tc>
            </w:tr>
            <w:tr w14:paraId="1855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326B0A86">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进水要求</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494B64E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6~9</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3BEA997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8000</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4DA614B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6000</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5B8B921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5FD5CD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1B7A6A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2500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29ABD6A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1500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972B5C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39F0077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3BC0AC9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4B0865C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0.1</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59BCB69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230</w:t>
                  </w:r>
                </w:p>
              </w:tc>
            </w:tr>
            <w:tr w14:paraId="4AFFE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427D79F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混合进水水质</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6BDE1CF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8.22</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157D6B4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6969.7</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E5ADF0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4887.13</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351FEEF7">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99.85</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1CD871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1.66</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4E0867F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2482.35</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21B8E5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197.55</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57F41E8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194.97</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0FD180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24.05</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72FD32C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1.13</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0A868D4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0.18</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6A8F0D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101.06</w:t>
                  </w:r>
                </w:p>
              </w:tc>
            </w:tr>
            <w:tr w14:paraId="7E8A1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16" w:type="dxa"/>
                  <w:tcBorders>
                    <w:top w:val="single" w:color="000000" w:sz="4" w:space="0"/>
                    <w:left w:val="single" w:color="000000" w:sz="4" w:space="0"/>
                    <w:bottom w:val="single" w:color="000000" w:sz="4" w:space="0"/>
                    <w:right w:val="single" w:color="000000" w:sz="4" w:space="0"/>
                  </w:tcBorders>
                  <w:noWrap w:val="0"/>
                  <w:vAlign w:val="center"/>
                </w:tcPr>
                <w:p w14:paraId="74D0FFF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出水水质</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CBA44B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6~9</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66C7D03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1430</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5C52E3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1000</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7FE0793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7C3685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02673A2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7911518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250</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1F453BD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200</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454A4D7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78F550C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14:paraId="59F9215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w:t>
                  </w:r>
                </w:p>
              </w:tc>
              <w:tc>
                <w:tcPr>
                  <w:tcW w:w="667" w:type="dxa"/>
                  <w:tcBorders>
                    <w:top w:val="single" w:color="000000" w:sz="4" w:space="0"/>
                    <w:left w:val="single" w:color="000000" w:sz="4" w:space="0"/>
                    <w:bottom w:val="single" w:color="000000" w:sz="4" w:space="0"/>
                    <w:right w:val="single" w:color="000000" w:sz="4" w:space="0"/>
                  </w:tcBorders>
                  <w:noWrap w:val="0"/>
                  <w:vAlign w:val="center"/>
                </w:tcPr>
                <w:p w14:paraId="4902626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10</w:t>
                  </w:r>
                </w:p>
              </w:tc>
            </w:tr>
            <w:tr w14:paraId="0C34B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16" w:type="dxa"/>
                  <w:tcBorders>
                    <w:top w:val="single" w:color="000000" w:sz="4" w:space="0"/>
                    <w:left w:val="single" w:color="000000" w:sz="4" w:space="0"/>
                    <w:bottom w:val="single" w:color="000000" w:sz="4" w:space="0"/>
                    <w:right w:val="single" w:color="000000" w:sz="4" w:space="0"/>
                  </w:tcBorders>
                  <w:noWrap/>
                  <w:vAlign w:val="center"/>
                </w:tcPr>
                <w:p w14:paraId="072537F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处理效率</w:t>
                  </w:r>
                </w:p>
              </w:tc>
              <w:tc>
                <w:tcPr>
                  <w:tcW w:w="516" w:type="dxa"/>
                  <w:tcBorders>
                    <w:top w:val="single" w:color="000000" w:sz="4" w:space="0"/>
                    <w:left w:val="single" w:color="000000" w:sz="4" w:space="0"/>
                    <w:bottom w:val="single" w:color="000000" w:sz="4" w:space="0"/>
                    <w:right w:val="single" w:color="000000" w:sz="4" w:space="0"/>
                  </w:tcBorders>
                  <w:noWrap/>
                  <w:vAlign w:val="center"/>
                </w:tcPr>
                <w:p w14:paraId="318A9F6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516" w:type="dxa"/>
                  <w:tcBorders>
                    <w:top w:val="single" w:color="000000" w:sz="4" w:space="0"/>
                    <w:left w:val="single" w:color="000000" w:sz="4" w:space="0"/>
                    <w:bottom w:val="single" w:color="000000" w:sz="4" w:space="0"/>
                    <w:right w:val="single" w:color="000000" w:sz="4" w:space="0"/>
                  </w:tcBorders>
                  <w:noWrap/>
                  <w:vAlign w:val="center"/>
                </w:tcPr>
                <w:p w14:paraId="624CBD1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79.5%</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3060A82F">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79.5%</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44C6BAD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39.9%</w:t>
                  </w:r>
                </w:p>
              </w:tc>
              <w:tc>
                <w:tcPr>
                  <w:tcW w:w="714" w:type="dxa"/>
                  <w:tcBorders>
                    <w:top w:val="single" w:color="000000" w:sz="4" w:space="0"/>
                    <w:left w:val="single" w:color="000000" w:sz="4" w:space="0"/>
                    <w:bottom w:val="single" w:color="000000" w:sz="4" w:space="0"/>
                    <w:right w:val="single" w:color="000000" w:sz="4" w:space="0"/>
                  </w:tcBorders>
                  <w:noWrap/>
                  <w:vAlign w:val="center"/>
                </w:tcPr>
                <w:p w14:paraId="063F19B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2645497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96.0%</w:t>
                  </w:r>
                </w:p>
              </w:tc>
              <w:tc>
                <w:tcPr>
                  <w:tcW w:w="714" w:type="dxa"/>
                  <w:tcBorders>
                    <w:top w:val="single" w:color="000000" w:sz="4" w:space="0"/>
                    <w:left w:val="single" w:color="000000" w:sz="4" w:space="0"/>
                    <w:bottom w:val="single" w:color="000000" w:sz="4" w:space="0"/>
                    <w:right w:val="single" w:color="000000" w:sz="4" w:space="0"/>
                  </w:tcBorders>
                  <w:noWrap/>
                  <w:vAlign w:val="center"/>
                </w:tcPr>
                <w:p w14:paraId="6BAB1D7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714" w:type="dxa"/>
                  <w:tcBorders>
                    <w:top w:val="single" w:color="000000" w:sz="4" w:space="0"/>
                    <w:left w:val="single" w:color="000000" w:sz="4" w:space="0"/>
                    <w:bottom w:val="single" w:color="000000" w:sz="4" w:space="0"/>
                    <w:right w:val="single" w:color="000000" w:sz="4" w:space="0"/>
                  </w:tcBorders>
                  <w:noWrap/>
                  <w:vAlign w:val="center"/>
                </w:tcPr>
                <w:p w14:paraId="6555CC5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516" w:type="dxa"/>
                  <w:tcBorders>
                    <w:top w:val="single" w:color="000000" w:sz="4" w:space="0"/>
                    <w:left w:val="single" w:color="000000" w:sz="4" w:space="0"/>
                    <w:bottom w:val="single" w:color="000000" w:sz="4" w:space="0"/>
                    <w:right w:val="single" w:color="000000" w:sz="4" w:space="0"/>
                  </w:tcBorders>
                  <w:noWrap/>
                  <w:vAlign w:val="center"/>
                </w:tcPr>
                <w:p w14:paraId="10B1FD38">
                  <w:pPr>
                    <w:keepNext w:val="0"/>
                    <w:keepLines w:val="0"/>
                    <w:pageBreakBefore w:val="0"/>
                    <w:widowControl/>
                    <w:kinsoku/>
                    <w:wordWrap/>
                    <w:overflowPunct/>
                    <w:topLinePunct w:val="0"/>
                    <w:autoSpaceDE/>
                    <w:autoSpaceDN/>
                    <w:bidi w:val="0"/>
                    <w:adjustRightInd w:val="0"/>
                    <w:snapToGrid w:val="0"/>
                    <w:ind w:left="-105" w:leftChars="-50" w:right="-105" w:rightChars="-50"/>
                    <w:jc w:val="center"/>
                    <w:rPr>
                      <w:rFonts w:hint="default" w:ascii="Times New Roman" w:hAnsi="Times New Roman" w:eastAsia="宋体" w:cs="Times New Roman"/>
                      <w:i w:val="0"/>
                      <w:iCs w:val="0"/>
                      <w:color w:val="000000"/>
                      <w:sz w:val="22"/>
                      <w:szCs w:val="22"/>
                      <w:highlight w:val="none"/>
                      <w:u w:val="none"/>
                    </w:rPr>
                  </w:pP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0E2A14A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11.5%</w:t>
                  </w:r>
                </w:p>
              </w:tc>
              <w:tc>
                <w:tcPr>
                  <w:tcW w:w="714" w:type="dxa"/>
                  <w:tcBorders>
                    <w:top w:val="single" w:color="000000" w:sz="4" w:space="0"/>
                    <w:left w:val="single" w:color="000000" w:sz="4" w:space="0"/>
                    <w:bottom w:val="single" w:color="000000" w:sz="4" w:space="0"/>
                    <w:right w:val="single" w:color="000000" w:sz="4" w:space="0"/>
                  </w:tcBorders>
                  <w:noWrap/>
                  <w:vAlign w:val="center"/>
                </w:tcPr>
                <w:p w14:paraId="6A06ED1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5174A49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90.1%</w:t>
                  </w:r>
                </w:p>
              </w:tc>
            </w:tr>
          </w:tbl>
          <w:p w14:paraId="2A07BF10">
            <w:pPr>
              <w:spacing w:line="360" w:lineRule="auto"/>
              <w:ind w:firstLine="480" w:firstLineChars="200"/>
              <w:rPr>
                <w:rFonts w:hint="eastAsia" w:ascii="Times New Roman" w:hAnsi="Times New Roman" w:eastAsia="宋体" w:cs="Times New Roman"/>
                <w:b w:val="0"/>
                <w:bCs/>
                <w:color w:val="000000"/>
                <w:sz w:val="24"/>
                <w:highlight w:val="none"/>
                <w:lang w:eastAsia="zh-CN"/>
              </w:rPr>
            </w:pPr>
            <w:r>
              <w:rPr>
                <w:rFonts w:hint="default" w:ascii="Times New Roman" w:hAnsi="Times New Roman" w:cs="Times New Roman"/>
                <w:bCs/>
                <w:color w:val="000000"/>
                <w:sz w:val="24"/>
                <w:highlight w:val="none"/>
              </w:rPr>
              <w:t>中水回用系统</w:t>
            </w:r>
            <w:r>
              <w:rPr>
                <w:rFonts w:hint="eastAsia" w:ascii="Times New Roman" w:hAnsi="Times New Roman" w:cs="Times New Roman"/>
                <w:bCs/>
                <w:color w:val="000000"/>
                <w:sz w:val="24"/>
                <w:highlight w:val="none"/>
                <w:lang w:val="en-US" w:eastAsia="zh-CN"/>
              </w:rPr>
              <w:t>出水</w:t>
            </w:r>
            <w:r>
              <w:rPr>
                <w:rFonts w:hint="default" w:ascii="Times New Roman" w:hAnsi="Times New Roman" w:cs="Times New Roman"/>
                <w:bCs/>
                <w:color w:val="000000"/>
                <w:sz w:val="24"/>
                <w:highlight w:val="none"/>
              </w:rPr>
              <w:t>水质要求达到国家《工业循环冷却水处理设计规范》(GB50050-2017）再生水用于间冷开式循环冷却水系统补充水水质标准要求</w:t>
            </w:r>
            <w:r>
              <w:rPr>
                <w:rFonts w:hint="eastAsia" w:ascii="Times New Roman" w:hAnsi="Times New Roman" w:cs="Times New Roman"/>
                <w:bCs/>
                <w:color w:val="000000"/>
                <w:sz w:val="24"/>
                <w:highlight w:val="none"/>
                <w:lang w:val="en-US" w:eastAsia="zh-CN"/>
              </w:rPr>
              <w:t>后</w:t>
            </w:r>
            <w:r>
              <w:rPr>
                <w:rFonts w:hint="default"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回用于生产系统，不外排</w:t>
            </w:r>
            <w:r>
              <w:rPr>
                <w:rFonts w:hint="eastAsia" w:ascii="Times New Roman" w:hAnsi="Times New Roman" w:cs="Times New Roman"/>
                <w:color w:val="000000"/>
                <w:sz w:val="24"/>
                <w:highlight w:val="none"/>
                <w:lang w:eastAsia="zh-CN"/>
              </w:rPr>
              <w:t>。</w:t>
            </w:r>
          </w:p>
          <w:p w14:paraId="60B5DDAD">
            <w:pPr>
              <w:spacing w:line="360" w:lineRule="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主要污染工序</w:t>
            </w:r>
          </w:p>
          <w:p w14:paraId="75E46A51">
            <w:pPr>
              <w:spacing w:line="360" w:lineRule="auto"/>
              <w:ind w:firstLine="482" w:firstLineChars="200"/>
              <w:jc w:val="left"/>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施工期主要污染序：</w:t>
            </w:r>
          </w:p>
          <w:p w14:paraId="18C9E2E3">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 xml:space="preserve">⑴废气：施工过程中在场地平整和施工材料装卸运输过程中产生扬尘。 </w:t>
            </w:r>
          </w:p>
          <w:p w14:paraId="47E8091F">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⑵废水：施工期间废水包括施工废水及施工人员生活污水，主要污染物为SS、COD。</w:t>
            </w:r>
          </w:p>
          <w:p w14:paraId="2B5DB93B">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⑶噪声：施工期的噪声主要来源于施工作业机械及运输车辆在使用中产生的机械噪声。</w:t>
            </w:r>
          </w:p>
          <w:p w14:paraId="3AEA461A">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 xml:space="preserve">⑷固体废物：施工期产生建筑垃圾、地基挖掘土石方和施工人员的生活垃圾。 </w:t>
            </w:r>
            <w:r>
              <w:rPr>
                <w:rFonts w:hint="default" w:ascii="Times New Roman" w:hAnsi="Times New Roman" w:cs="Times New Roman"/>
                <w:b/>
                <w:color w:val="000000"/>
                <w:sz w:val="24"/>
                <w:highlight w:val="none"/>
              </w:rPr>
              <w:t xml:space="preserve">    运营期主要污染工序：</w:t>
            </w:r>
          </w:p>
          <w:p w14:paraId="272A13DE">
            <w:pPr>
              <w:spacing w:line="360" w:lineRule="auto"/>
              <w:ind w:firstLine="480" w:firstLineChars="200"/>
              <w:jc w:val="left"/>
              <w:rPr>
                <w:rFonts w:hint="default" w:ascii="Times New Roman" w:hAnsi="Times New Roman" w:eastAsia="宋体" w:cs="Times New Roman"/>
                <w:color w:val="000000"/>
                <w:sz w:val="24"/>
                <w:highlight w:val="none"/>
                <w:lang w:eastAsia="zh-CN"/>
              </w:rPr>
            </w:pPr>
            <w:r>
              <w:rPr>
                <w:rFonts w:hint="default" w:ascii="Times New Roman" w:hAnsi="Times New Roman" w:cs="Times New Roman"/>
                <w:color w:val="000000"/>
                <w:sz w:val="24"/>
                <w:highlight w:val="none"/>
              </w:rPr>
              <w:t>⑴废气：</w:t>
            </w:r>
            <w:r>
              <w:rPr>
                <w:rFonts w:hint="default" w:ascii="Times New Roman" w:hAnsi="Times New Roman" w:cs="Times New Roman"/>
                <w:color w:val="000000"/>
                <w:sz w:val="24"/>
                <w:highlight w:val="none"/>
                <w:lang w:val="en-US" w:eastAsia="zh-CN"/>
              </w:rPr>
              <w:t>生化污水处理站运行过程中产生的恶臭气体（本次评价选用氨、硫化氢作为特征污染物）</w:t>
            </w:r>
            <w:r>
              <w:rPr>
                <w:rFonts w:hint="default" w:ascii="Times New Roman" w:hAnsi="Times New Roman" w:cs="Times New Roman"/>
                <w:color w:val="000000"/>
                <w:sz w:val="24"/>
                <w:highlight w:val="none"/>
                <w:lang w:eastAsia="zh-CN"/>
              </w:rPr>
              <w:t>。</w:t>
            </w:r>
          </w:p>
          <w:p w14:paraId="51853F87">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⑵废水：项目</w:t>
            </w:r>
            <w:r>
              <w:rPr>
                <w:rFonts w:hint="eastAsia" w:ascii="Times New Roman" w:hAnsi="Times New Roman" w:cs="Times New Roman"/>
                <w:color w:val="000000"/>
                <w:sz w:val="24"/>
                <w:highlight w:val="none"/>
                <w:lang w:eastAsia="zh-CN"/>
              </w:rPr>
              <w:t>中水回用系统反洗排水、零排放系统预热器产生的污冷凝水</w:t>
            </w:r>
            <w:r>
              <w:rPr>
                <w:rFonts w:hint="default" w:ascii="Times New Roman" w:hAnsi="Times New Roman" w:cs="Times New Roman"/>
                <w:color w:val="000000"/>
                <w:sz w:val="24"/>
                <w:highlight w:val="none"/>
              </w:rPr>
              <w:t>返回中水回用系统处理后回用于生产，脱硫废水罐排水返回浓缩釜蒸发产生的蒸汽凝结水全部回用于脱硫系统</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无工艺废水排放，</w:t>
            </w:r>
            <w:r>
              <w:rPr>
                <w:rFonts w:hint="default" w:ascii="Times New Roman" w:hAnsi="Times New Roman" w:cs="Times New Roman"/>
                <w:color w:val="000000"/>
                <w:sz w:val="24"/>
                <w:highlight w:val="none"/>
                <w:lang w:val="en-US" w:eastAsia="zh-CN"/>
              </w:rPr>
              <w:t>无新增</w:t>
            </w:r>
            <w:r>
              <w:rPr>
                <w:rFonts w:hint="default" w:ascii="Times New Roman" w:hAnsi="Times New Roman" w:cs="Times New Roman"/>
                <w:color w:val="000000"/>
                <w:sz w:val="24"/>
                <w:highlight w:val="none"/>
              </w:rPr>
              <w:t>生活污水。</w:t>
            </w:r>
          </w:p>
          <w:p w14:paraId="0B988394">
            <w:pPr>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⑶噪声：</w:t>
            </w:r>
            <w:r>
              <w:rPr>
                <w:rFonts w:hint="default" w:ascii="Times New Roman" w:hAnsi="Times New Roman" w:cs="Times New Roman"/>
                <w:color w:val="000000"/>
                <w:sz w:val="24"/>
                <w:highlight w:val="none"/>
                <w:lang w:val="en-US" w:eastAsia="zh-CN"/>
              </w:rPr>
              <w:t>污水处理</w:t>
            </w:r>
            <w:r>
              <w:rPr>
                <w:rFonts w:hint="default" w:ascii="Times New Roman" w:hAnsi="Times New Roman" w:cs="Times New Roman"/>
                <w:color w:val="000000"/>
                <w:sz w:val="24"/>
                <w:highlight w:val="none"/>
              </w:rPr>
              <w:t>设备运行时产生的噪声，声压级为70～</w:t>
            </w:r>
            <w:r>
              <w:rPr>
                <w:rFonts w:hint="default" w:ascii="Times New Roman" w:hAnsi="Times New Roman" w:cs="Times New Roman"/>
                <w:color w:val="000000"/>
                <w:sz w:val="24"/>
                <w:highlight w:val="none"/>
                <w:lang w:val="en-US" w:eastAsia="zh-CN"/>
              </w:rPr>
              <w:t>9</w:t>
            </w:r>
            <w:r>
              <w:rPr>
                <w:rFonts w:hint="default" w:ascii="Times New Roman" w:hAnsi="Times New Roman" w:cs="Times New Roman"/>
                <w:color w:val="000000"/>
                <w:sz w:val="24"/>
                <w:highlight w:val="none"/>
              </w:rPr>
              <w:t xml:space="preserve">0dB(A)。 </w:t>
            </w:r>
          </w:p>
          <w:p w14:paraId="2BB82FA8">
            <w:pPr>
              <w:adjustRightInd w:val="0"/>
              <w:snapToGrid w:val="0"/>
              <w:spacing w:line="360" w:lineRule="auto"/>
              <w:ind w:firstLine="480" w:firstLineChars="200"/>
              <w:jc w:val="left"/>
              <w:rPr>
                <w:rFonts w:hint="default" w:ascii="Times New Roman" w:hAnsi="Times New Roman" w:cs="Times New Roman"/>
                <w:snapToGrid w:val="0"/>
                <w:color w:val="000000"/>
                <w:kern w:val="21"/>
                <w:sz w:val="24"/>
                <w:szCs w:val="20"/>
                <w:highlight w:val="none"/>
              </w:rPr>
            </w:pPr>
            <w:r>
              <w:rPr>
                <w:rFonts w:hint="default" w:ascii="Times New Roman" w:hAnsi="Times New Roman" w:cs="Times New Roman"/>
                <w:color w:val="000000"/>
                <w:sz w:val="24"/>
                <w:highlight w:val="none"/>
              </w:rPr>
              <w:t>⑷固废：本项目运营期间产生的固废主要有</w:t>
            </w:r>
            <w:r>
              <w:rPr>
                <w:rFonts w:hint="eastAsia" w:ascii="Times New Roman" w:hAnsi="Times New Roman" w:cs="Times New Roman"/>
                <w:color w:val="000000"/>
                <w:sz w:val="24"/>
                <w:highlight w:val="none"/>
                <w:lang w:val="en-US" w:eastAsia="zh-CN"/>
              </w:rPr>
              <w:t>废反渗透膜、</w:t>
            </w:r>
            <w:r>
              <w:rPr>
                <w:rFonts w:hint="default" w:ascii="Times New Roman" w:hAnsi="Times New Roman" w:cs="Times New Roman"/>
                <w:color w:val="000000"/>
                <w:sz w:val="24"/>
                <w:highlight w:val="none"/>
              </w:rPr>
              <w:t>污泥、</w:t>
            </w:r>
            <w:r>
              <w:rPr>
                <w:rFonts w:hint="eastAsia" w:ascii="Times New Roman" w:hAnsi="Times New Roman" w:cs="Times New Roman"/>
                <w:color w:val="000000"/>
                <w:sz w:val="24"/>
                <w:highlight w:val="none"/>
                <w:lang w:val="en-US" w:eastAsia="zh-CN"/>
              </w:rPr>
              <w:t>蒸发结晶盐</w:t>
            </w:r>
            <w:r>
              <w:rPr>
                <w:rFonts w:hint="default" w:ascii="Times New Roman" w:hAnsi="Times New Roman" w:cs="Times New Roman"/>
                <w:color w:val="000000"/>
                <w:sz w:val="24"/>
                <w:highlight w:val="none"/>
              </w:rPr>
              <w:t>、废活性炭等。</w:t>
            </w:r>
          </w:p>
        </w:tc>
      </w:tr>
      <w:tr w14:paraId="3DC8B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857" w:type="dxa"/>
            <w:noWrap w:val="0"/>
            <w:vAlign w:val="center"/>
          </w:tcPr>
          <w:p w14:paraId="6BD99D9A">
            <w:pPr>
              <w:adjustRightInd w:val="0"/>
              <w:snapToGrid w:val="0"/>
              <w:jc w:val="center"/>
              <w:rPr>
                <w:rFonts w:hint="default" w:ascii="Times New Roman" w:hAnsi="Times New Roman" w:cs="Times New Roman"/>
                <w:b/>
                <w:color w:val="000000"/>
                <w:highlight w:val="none"/>
              </w:rPr>
            </w:pPr>
            <w:r>
              <w:rPr>
                <w:rFonts w:hint="default" w:ascii="Times New Roman" w:hAnsi="Times New Roman" w:cs="Times New Roman"/>
                <w:b/>
                <w:bCs/>
                <w:color w:val="000000"/>
                <w:highlight w:val="none"/>
              </w:rPr>
              <w:t>与项目有关的原有环境污染问题</w:t>
            </w:r>
          </w:p>
        </w:tc>
        <w:tc>
          <w:tcPr>
            <w:tcW w:w="8499" w:type="dxa"/>
            <w:noWrap w:val="0"/>
            <w:vAlign w:val="center"/>
          </w:tcPr>
          <w:p w14:paraId="12E41DD3">
            <w:pPr>
              <w:pStyle w:val="22"/>
              <w:ind w:firstLine="480"/>
              <w:rPr>
                <w:rFonts w:hint="default" w:ascii="Times New Roman" w:hAnsi="Times New Roman" w:eastAsia="宋体" w:cs="Times New Roman"/>
                <w:color w:val="000000"/>
                <w:highlight w:val="none"/>
                <w:lang w:val="en-US" w:eastAsia="zh-CN"/>
              </w:rPr>
            </w:pPr>
            <w:r>
              <w:rPr>
                <w:rFonts w:hint="default" w:ascii="Times New Roman" w:hAnsi="Times New Roman" w:cs="Times New Roman"/>
                <w:b/>
                <w:bCs/>
                <w:color w:val="000000"/>
                <w:highlight w:val="none"/>
                <w:lang w:val="en-US" w:eastAsia="zh-CN"/>
              </w:rPr>
              <w:t>1、现有工程概况</w:t>
            </w:r>
          </w:p>
          <w:p w14:paraId="75E9F128">
            <w:pPr>
              <w:pStyle w:val="22"/>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eastAsia="zh-CN"/>
              </w:rPr>
              <w:t>内蒙古星光煤炭集团鄂托克旗华誉煤焦化有限公司年产100万吨焦化熄焦技改干熄焦项目</w:t>
            </w:r>
            <w:r>
              <w:rPr>
                <w:rFonts w:hint="eastAsia" w:ascii="Times New Roman" w:hAnsi="Times New Roman" w:cs="Times New Roman"/>
                <w:color w:val="000000"/>
                <w:highlight w:val="none"/>
                <w:lang w:val="en-US" w:eastAsia="zh-CN"/>
              </w:rPr>
              <w:t>正在建设中。</w:t>
            </w:r>
          </w:p>
          <w:p w14:paraId="0834A651">
            <w:pPr>
              <w:pStyle w:val="22"/>
              <w:ind w:firstLine="480"/>
              <w:rPr>
                <w:rFonts w:hint="default" w:ascii="Times New Roman" w:hAnsi="Times New Roman" w:cs="Times New Roman"/>
                <w:color w:val="000000"/>
                <w:highlight w:val="none"/>
              </w:rPr>
            </w:pPr>
            <w:r>
              <w:rPr>
                <w:rFonts w:hint="default" w:ascii="Times New Roman" w:hAnsi="Times New Roman" w:eastAsia="宋体" w:cs="Times New Roman"/>
                <w:b w:val="0"/>
                <w:bCs/>
                <w:color w:val="000000"/>
                <w:sz w:val="24"/>
                <w:highlight w:val="none"/>
                <w:lang w:val="en-US" w:eastAsia="zh-CN"/>
              </w:rPr>
              <w:t>2019年4月8日，内蒙古星光煤炭集团鄂托克旗华誉煤焦化有限公司年产100万吨捣固焦废水处理提标改造工程取得了鄂尔多斯市生态环境局关于内蒙古星光煤炭集团鄂托克旗华誉煤焦化有限公司年产100万吨捣固焦废水处理提标改造工程环境影响报告表的批复（鄂环评字〔2019〕66号），具体为：将原来的“A</w:t>
            </w:r>
            <w:r>
              <w:rPr>
                <w:rFonts w:hint="default" w:ascii="Times New Roman" w:hAnsi="Times New Roman" w:eastAsia="宋体" w:cs="Times New Roman"/>
                <w:b w:val="0"/>
                <w:bCs/>
                <w:color w:val="000000"/>
                <w:sz w:val="24"/>
                <w:highlight w:val="none"/>
                <w:vertAlign w:val="subscript"/>
                <w:lang w:val="en-US" w:eastAsia="zh-CN"/>
              </w:rPr>
              <w:t>2</w:t>
            </w:r>
            <w:r>
              <w:rPr>
                <w:rFonts w:hint="default" w:ascii="Times New Roman" w:hAnsi="Times New Roman" w:eastAsia="宋体" w:cs="Times New Roman"/>
                <w:b w:val="0"/>
                <w:bCs/>
                <w:color w:val="000000"/>
                <w:sz w:val="24"/>
                <w:highlight w:val="none"/>
                <w:lang w:val="en-US" w:eastAsia="zh-CN"/>
              </w:rPr>
              <w:t>/O</w:t>
            </w:r>
            <w:r>
              <w:rPr>
                <w:rFonts w:hint="default" w:ascii="Times New Roman" w:hAnsi="Times New Roman" w:eastAsia="宋体" w:cs="Times New Roman"/>
                <w:b w:val="0"/>
                <w:bCs/>
                <w:color w:val="000000"/>
                <w:sz w:val="24"/>
                <w:highlight w:val="none"/>
                <w:vertAlign w:val="subscript"/>
                <w:lang w:val="en-US" w:eastAsia="zh-CN"/>
              </w:rPr>
              <w:t>2</w:t>
            </w:r>
            <w:r>
              <w:rPr>
                <w:rFonts w:hint="default" w:ascii="Times New Roman" w:hAnsi="Times New Roman" w:eastAsia="宋体" w:cs="Times New Roman"/>
                <w:b w:val="0"/>
                <w:bCs/>
                <w:color w:val="000000"/>
                <w:sz w:val="24"/>
                <w:highlight w:val="none"/>
                <w:lang w:val="en-US" w:eastAsia="zh-CN"/>
              </w:rPr>
              <w:t>+生物曝气滤池+离子脱氮”处理工艺改造为“微絮凝破氰反应/隔油池+混凝气浮机+生化调节池+HUB厌氧水解+缺氧生化池+好氧曝气池+沉淀池+高密度絮沉反应器+全自动过滤器+纳米臭氧催化氧化+接触氧化池+MAK生物塔+石英砂过滤+排放调节池”，处理规模由100m³/h变更为80m³/h。并于2021年9月3日通过自主验收</w:t>
            </w:r>
            <w:r>
              <w:rPr>
                <w:rFonts w:hint="default" w:ascii="Times New Roman" w:hAnsi="Times New Roman" w:cs="Times New Roman"/>
                <w:color w:val="000000"/>
                <w:highlight w:val="none"/>
              </w:rPr>
              <w:t>。</w:t>
            </w:r>
          </w:p>
          <w:p w14:paraId="5BA57B93">
            <w:pPr>
              <w:pStyle w:val="30"/>
              <w:spacing w:before="0" w:beforeLines="0"/>
              <w:ind w:firstLine="482" w:firstLineChars="200"/>
              <w:outlineLvl w:val="1"/>
              <w:rPr>
                <w:rFonts w:hint="default" w:ascii="Times New Roman" w:hAnsi="Times New Roman" w:eastAsia="宋体" w:cs="Times New Roman"/>
                <w:b/>
                <w:color w:val="000000"/>
                <w:highlight w:val="none"/>
              </w:rPr>
            </w:pPr>
            <w:bookmarkStart w:id="3" w:name="_Toc39524562"/>
            <w:r>
              <w:rPr>
                <w:rFonts w:hint="default" w:ascii="Times New Roman" w:hAnsi="Times New Roman" w:eastAsia="宋体" w:cs="Times New Roman"/>
                <w:b/>
                <w:color w:val="000000"/>
                <w:sz w:val="24"/>
                <w:szCs w:val="24"/>
                <w:highlight w:val="none"/>
              </w:rPr>
              <w:t>2</w:t>
            </w:r>
            <w:r>
              <w:rPr>
                <w:rFonts w:hint="default" w:ascii="Times New Roman" w:hAnsi="Times New Roman" w:eastAsia="宋体" w:cs="Times New Roman"/>
                <w:b/>
                <w:color w:val="000000"/>
                <w:sz w:val="24"/>
                <w:szCs w:val="24"/>
                <w:highlight w:val="none"/>
                <w:lang w:eastAsia="zh-CN"/>
              </w:rPr>
              <w:t>、</w:t>
            </w:r>
            <w:r>
              <w:rPr>
                <w:rFonts w:hint="default" w:ascii="Times New Roman" w:hAnsi="Times New Roman" w:eastAsia="宋体" w:cs="Times New Roman"/>
                <w:b/>
                <w:color w:val="000000"/>
                <w:sz w:val="24"/>
                <w:szCs w:val="24"/>
                <w:highlight w:val="none"/>
                <w:lang w:val="en-US" w:eastAsia="zh-CN"/>
              </w:rPr>
              <w:t>现有</w:t>
            </w:r>
            <w:r>
              <w:rPr>
                <w:rFonts w:hint="eastAsia" w:ascii="Times New Roman" w:hAnsi="Times New Roman" w:eastAsia="宋体" w:cs="Times New Roman"/>
                <w:b/>
                <w:color w:val="000000"/>
                <w:sz w:val="24"/>
                <w:szCs w:val="24"/>
                <w:highlight w:val="none"/>
                <w:lang w:val="en-US" w:eastAsia="zh-CN"/>
              </w:rPr>
              <w:t>污水处理站</w:t>
            </w:r>
            <w:r>
              <w:rPr>
                <w:rFonts w:hint="default" w:ascii="Times New Roman" w:hAnsi="Times New Roman" w:eastAsia="宋体" w:cs="Times New Roman"/>
                <w:b/>
                <w:color w:val="000000"/>
                <w:sz w:val="24"/>
                <w:szCs w:val="24"/>
                <w:highlight w:val="none"/>
              </w:rPr>
              <w:t>组成情况</w:t>
            </w:r>
            <w:bookmarkEnd w:id="3"/>
          </w:p>
          <w:p w14:paraId="0ED4E8B7">
            <w:pPr>
              <w:widowControl/>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现有污水处理站项目组成情况详见表</w:t>
            </w:r>
            <w:r>
              <w:rPr>
                <w:rFonts w:hint="default" w:ascii="Times New Roman" w:hAnsi="Times New Roman" w:cs="Times New Roman"/>
                <w:color w:val="000000"/>
                <w:sz w:val="24"/>
                <w:highlight w:val="none"/>
                <w:lang w:val="en-US" w:eastAsia="zh-CN"/>
              </w:rPr>
              <w:t>2-1</w:t>
            </w:r>
            <w:r>
              <w:rPr>
                <w:rFonts w:hint="eastAsia" w:ascii="Times New Roman" w:hAnsi="Times New Roman" w:cs="Times New Roman"/>
                <w:color w:val="000000"/>
                <w:sz w:val="24"/>
                <w:highlight w:val="none"/>
                <w:lang w:val="en-US" w:eastAsia="zh-CN"/>
              </w:rPr>
              <w:t>4</w:t>
            </w:r>
            <w:r>
              <w:rPr>
                <w:rFonts w:hint="default" w:ascii="Times New Roman" w:hAnsi="Times New Roman" w:cs="Times New Roman"/>
                <w:color w:val="000000"/>
                <w:sz w:val="24"/>
                <w:highlight w:val="none"/>
              </w:rPr>
              <w:t>。</w:t>
            </w:r>
          </w:p>
          <w:p w14:paraId="5EFC6DB7">
            <w:pPr>
              <w:pStyle w:val="31"/>
              <w:spacing w:line="240" w:lineRule="auto"/>
              <w:ind w:firstLine="482"/>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rPr>
              <w:t>表</w:t>
            </w:r>
            <w:r>
              <w:rPr>
                <w:rFonts w:hint="default" w:ascii="Times New Roman" w:hAnsi="Times New Roman" w:cs="Times New Roman"/>
                <w:b/>
                <w:color w:val="000000"/>
                <w:sz w:val="24"/>
                <w:szCs w:val="24"/>
                <w:highlight w:val="none"/>
                <w:lang w:val="en-US" w:eastAsia="zh-CN"/>
              </w:rPr>
              <w:t>2-1</w:t>
            </w:r>
            <w:r>
              <w:rPr>
                <w:rFonts w:hint="eastAsia" w:ascii="Times New Roman" w:hAnsi="Times New Roman" w:cs="Times New Roman"/>
                <w:b/>
                <w:color w:val="000000"/>
                <w:sz w:val="24"/>
                <w:szCs w:val="24"/>
                <w:highlight w:val="none"/>
                <w:lang w:val="en-US" w:eastAsia="zh-CN"/>
              </w:rPr>
              <w:t>4</w:t>
            </w:r>
            <w:r>
              <w:rPr>
                <w:rFonts w:hint="default" w:ascii="Times New Roman" w:hAnsi="Times New Roman" w:cs="Times New Roman"/>
                <w:b/>
                <w:color w:val="000000"/>
                <w:sz w:val="24"/>
                <w:szCs w:val="24"/>
                <w:highlight w:val="none"/>
              </w:rPr>
              <w:t xml:space="preserve"> 现有污水处理站主要建设内容一览表</w:t>
            </w:r>
          </w:p>
          <w:tbl>
            <w:tblPr>
              <w:tblStyle w:val="24"/>
              <w:tblW w:w="8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764"/>
              <w:gridCol w:w="1468"/>
              <w:gridCol w:w="5365"/>
            </w:tblGrid>
            <w:tr w14:paraId="55E75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61" w:type="dxa"/>
                  <w:noWrap w:val="0"/>
                  <w:vAlign w:val="center"/>
                </w:tcPr>
                <w:p w14:paraId="66DBAA5D">
                  <w:pPr>
                    <w:pStyle w:val="32"/>
                    <w:bidi w:val="0"/>
                    <w:spacing w:line="240" w:lineRule="auto"/>
                    <w:jc w:val="center"/>
                    <w:rPr>
                      <w:b/>
                      <w:bCs/>
                      <w:color w:val="000000"/>
                      <w:highlight w:val="none"/>
                    </w:rPr>
                  </w:pPr>
                  <w:r>
                    <w:rPr>
                      <w:b/>
                      <w:bCs/>
                      <w:color w:val="000000"/>
                      <w:highlight w:val="none"/>
                    </w:rPr>
                    <w:t>工程</w:t>
                  </w:r>
                </w:p>
                <w:p w14:paraId="1BA35FD4">
                  <w:pPr>
                    <w:pStyle w:val="32"/>
                    <w:bidi w:val="0"/>
                    <w:spacing w:line="240" w:lineRule="auto"/>
                    <w:jc w:val="center"/>
                    <w:rPr>
                      <w:b/>
                      <w:bCs/>
                      <w:color w:val="000000"/>
                      <w:highlight w:val="none"/>
                    </w:rPr>
                  </w:pPr>
                  <w:r>
                    <w:rPr>
                      <w:b/>
                      <w:bCs/>
                      <w:color w:val="000000"/>
                      <w:highlight w:val="none"/>
                    </w:rPr>
                    <w:t>类别</w:t>
                  </w:r>
                </w:p>
              </w:tc>
              <w:tc>
                <w:tcPr>
                  <w:tcW w:w="2232" w:type="dxa"/>
                  <w:gridSpan w:val="2"/>
                  <w:noWrap w:val="0"/>
                  <w:vAlign w:val="center"/>
                </w:tcPr>
                <w:p w14:paraId="34E2F32D">
                  <w:pPr>
                    <w:pStyle w:val="32"/>
                    <w:bidi w:val="0"/>
                    <w:spacing w:line="240" w:lineRule="auto"/>
                    <w:jc w:val="center"/>
                    <w:rPr>
                      <w:b/>
                      <w:bCs/>
                      <w:color w:val="000000"/>
                      <w:highlight w:val="none"/>
                    </w:rPr>
                  </w:pPr>
                  <w:r>
                    <w:rPr>
                      <w:b/>
                      <w:bCs/>
                      <w:color w:val="000000"/>
                      <w:highlight w:val="none"/>
                    </w:rPr>
                    <w:t>项目名称</w:t>
                  </w:r>
                </w:p>
              </w:tc>
              <w:tc>
                <w:tcPr>
                  <w:tcW w:w="5365" w:type="dxa"/>
                  <w:noWrap w:val="0"/>
                  <w:vAlign w:val="center"/>
                </w:tcPr>
                <w:p w14:paraId="02C6A6FC">
                  <w:pPr>
                    <w:pStyle w:val="32"/>
                    <w:bidi w:val="0"/>
                    <w:spacing w:line="240" w:lineRule="auto"/>
                    <w:jc w:val="center"/>
                    <w:rPr>
                      <w:b/>
                      <w:bCs/>
                      <w:color w:val="000000"/>
                      <w:highlight w:val="none"/>
                    </w:rPr>
                  </w:pPr>
                  <w:r>
                    <w:rPr>
                      <w:b/>
                      <w:bCs/>
                      <w:color w:val="000000"/>
                      <w:highlight w:val="none"/>
                    </w:rPr>
                    <w:t>建设内容</w:t>
                  </w:r>
                </w:p>
              </w:tc>
            </w:tr>
            <w:tr w14:paraId="299EB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1" w:type="dxa"/>
                  <w:vMerge w:val="restart"/>
                  <w:tcBorders>
                    <w:bottom w:val="nil"/>
                  </w:tcBorders>
                  <w:noWrap w:val="0"/>
                  <w:vAlign w:val="center"/>
                </w:tcPr>
                <w:p w14:paraId="51F71FC0">
                  <w:pPr>
                    <w:pStyle w:val="32"/>
                    <w:bidi w:val="0"/>
                    <w:spacing w:line="240" w:lineRule="auto"/>
                    <w:jc w:val="center"/>
                    <w:rPr>
                      <w:b/>
                      <w:bCs/>
                      <w:color w:val="000000"/>
                      <w:highlight w:val="none"/>
                    </w:rPr>
                  </w:pPr>
                  <w:r>
                    <w:rPr>
                      <w:rFonts w:hint="eastAsia"/>
                      <w:b/>
                      <w:bCs/>
                      <w:color w:val="000000"/>
                      <w:highlight w:val="none"/>
                      <w:lang w:val="en-US" w:eastAsia="zh-CN"/>
                    </w:rPr>
                    <w:t>主</w:t>
                  </w:r>
                  <w:r>
                    <w:rPr>
                      <w:b/>
                      <w:bCs/>
                      <w:color w:val="000000"/>
                      <w:highlight w:val="none"/>
                    </w:rPr>
                    <w:t>体工程</w:t>
                  </w:r>
                </w:p>
              </w:tc>
              <w:tc>
                <w:tcPr>
                  <w:tcW w:w="764" w:type="dxa"/>
                  <w:vMerge w:val="restart"/>
                  <w:tcBorders>
                    <w:bottom w:val="nil"/>
                  </w:tcBorders>
                  <w:noWrap w:val="0"/>
                  <w:vAlign w:val="center"/>
                </w:tcPr>
                <w:p w14:paraId="0B02FBCD">
                  <w:pPr>
                    <w:pStyle w:val="32"/>
                    <w:bidi w:val="0"/>
                    <w:spacing w:line="240" w:lineRule="auto"/>
                    <w:jc w:val="center"/>
                    <w:rPr>
                      <w:color w:val="000000"/>
                      <w:highlight w:val="none"/>
                    </w:rPr>
                  </w:pPr>
                  <w:r>
                    <w:rPr>
                      <w:color w:val="000000"/>
                      <w:highlight w:val="none"/>
                    </w:rPr>
                    <w:t>预处理单元</w:t>
                  </w:r>
                </w:p>
              </w:tc>
              <w:tc>
                <w:tcPr>
                  <w:tcW w:w="1468" w:type="dxa"/>
                  <w:noWrap w:val="0"/>
                  <w:vAlign w:val="center"/>
                </w:tcPr>
                <w:p w14:paraId="210798E6">
                  <w:pPr>
                    <w:pStyle w:val="32"/>
                    <w:bidi w:val="0"/>
                    <w:spacing w:line="240" w:lineRule="auto"/>
                    <w:jc w:val="center"/>
                    <w:rPr>
                      <w:color w:val="000000"/>
                      <w:highlight w:val="none"/>
                    </w:rPr>
                  </w:pPr>
                  <w:r>
                    <w:rPr>
                      <w:color w:val="000000"/>
                      <w:highlight w:val="none"/>
                    </w:rPr>
                    <w:t>重力隔油池</w:t>
                  </w:r>
                </w:p>
              </w:tc>
              <w:tc>
                <w:tcPr>
                  <w:tcW w:w="5365" w:type="dxa"/>
                  <w:noWrap w:val="0"/>
                  <w:vAlign w:val="center"/>
                </w:tcPr>
                <w:p w14:paraId="3C2937EB">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更换原有重力隔油池，更换隔油池内部填料，以强化系统对石油类，悬浮物等物质的去除</w:t>
                  </w:r>
                </w:p>
              </w:tc>
            </w:tr>
            <w:tr w14:paraId="75EB7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1" w:type="dxa"/>
                  <w:vMerge w:val="continue"/>
                  <w:tcBorders>
                    <w:top w:val="nil"/>
                    <w:bottom w:val="nil"/>
                  </w:tcBorders>
                  <w:noWrap w:val="0"/>
                  <w:vAlign w:val="center"/>
                </w:tcPr>
                <w:p w14:paraId="34B9F2EA">
                  <w:pPr>
                    <w:pStyle w:val="32"/>
                    <w:bidi w:val="0"/>
                    <w:spacing w:line="240" w:lineRule="auto"/>
                    <w:jc w:val="center"/>
                    <w:rPr>
                      <w:b/>
                      <w:bCs/>
                      <w:color w:val="000000"/>
                      <w:highlight w:val="none"/>
                    </w:rPr>
                  </w:pPr>
                </w:p>
              </w:tc>
              <w:tc>
                <w:tcPr>
                  <w:tcW w:w="764" w:type="dxa"/>
                  <w:vMerge w:val="continue"/>
                  <w:tcBorders>
                    <w:top w:val="nil"/>
                  </w:tcBorders>
                  <w:noWrap w:val="0"/>
                  <w:vAlign w:val="center"/>
                </w:tcPr>
                <w:p w14:paraId="1FA71F5A">
                  <w:pPr>
                    <w:pStyle w:val="32"/>
                    <w:bidi w:val="0"/>
                    <w:spacing w:line="240" w:lineRule="auto"/>
                    <w:jc w:val="center"/>
                    <w:rPr>
                      <w:color w:val="000000"/>
                      <w:highlight w:val="none"/>
                    </w:rPr>
                  </w:pPr>
                </w:p>
              </w:tc>
              <w:tc>
                <w:tcPr>
                  <w:tcW w:w="1468" w:type="dxa"/>
                  <w:noWrap w:val="0"/>
                  <w:vAlign w:val="center"/>
                </w:tcPr>
                <w:p w14:paraId="4764CDEF">
                  <w:pPr>
                    <w:pStyle w:val="32"/>
                    <w:bidi w:val="0"/>
                    <w:spacing w:line="240" w:lineRule="auto"/>
                    <w:jc w:val="center"/>
                    <w:rPr>
                      <w:color w:val="000000"/>
                      <w:highlight w:val="none"/>
                    </w:rPr>
                  </w:pPr>
                  <w:r>
                    <w:rPr>
                      <w:color w:val="000000"/>
                      <w:highlight w:val="none"/>
                    </w:rPr>
                    <w:t>气浮除油池</w:t>
                  </w:r>
                </w:p>
              </w:tc>
              <w:tc>
                <w:tcPr>
                  <w:tcW w:w="5365" w:type="dxa"/>
                  <w:noWrap w:val="0"/>
                  <w:vAlign w:val="center"/>
                </w:tcPr>
                <w:p w14:paraId="70588C9D">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更换新气浮系统，</w:t>
                  </w:r>
                  <w:r>
                    <w:rPr>
                      <w:rFonts w:hint="eastAsia"/>
                      <w:color w:val="000000"/>
                      <w:highlight w:val="none"/>
                      <w:lang w:val="en-US" w:eastAsia="zh-CN"/>
                    </w:rPr>
                    <w:t>设</w:t>
                  </w:r>
                  <w:r>
                    <w:rPr>
                      <w:color w:val="000000"/>
                      <w:highlight w:val="none"/>
                    </w:rPr>
                    <w:t>混凝气浮机</w:t>
                  </w:r>
                  <w:r>
                    <w:rPr>
                      <w:rFonts w:hint="eastAsia"/>
                      <w:color w:val="000000"/>
                      <w:highlight w:val="none"/>
                      <w:lang w:eastAsia="zh-CN"/>
                    </w:rPr>
                    <w:t>、</w:t>
                  </w:r>
                  <w:r>
                    <w:rPr>
                      <w:color w:val="000000"/>
                      <w:highlight w:val="none"/>
                    </w:rPr>
                    <w:t>加药系统1套</w:t>
                  </w:r>
                </w:p>
              </w:tc>
            </w:tr>
            <w:tr w14:paraId="15471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1" w:type="dxa"/>
                  <w:vMerge w:val="continue"/>
                  <w:tcBorders>
                    <w:top w:val="nil"/>
                    <w:bottom w:val="nil"/>
                  </w:tcBorders>
                  <w:noWrap w:val="0"/>
                  <w:vAlign w:val="center"/>
                </w:tcPr>
                <w:p w14:paraId="5E3F0B2A">
                  <w:pPr>
                    <w:pStyle w:val="32"/>
                    <w:bidi w:val="0"/>
                    <w:spacing w:line="240" w:lineRule="auto"/>
                    <w:jc w:val="center"/>
                    <w:rPr>
                      <w:b/>
                      <w:bCs/>
                      <w:color w:val="000000"/>
                      <w:highlight w:val="none"/>
                    </w:rPr>
                  </w:pPr>
                </w:p>
              </w:tc>
              <w:tc>
                <w:tcPr>
                  <w:tcW w:w="764" w:type="dxa"/>
                  <w:vMerge w:val="restart"/>
                  <w:tcBorders>
                    <w:bottom w:val="nil"/>
                  </w:tcBorders>
                  <w:noWrap w:val="0"/>
                  <w:vAlign w:val="center"/>
                </w:tcPr>
                <w:p w14:paraId="6024364E">
                  <w:pPr>
                    <w:pStyle w:val="32"/>
                    <w:bidi w:val="0"/>
                    <w:spacing w:line="240" w:lineRule="auto"/>
                    <w:jc w:val="center"/>
                    <w:rPr>
                      <w:color w:val="000000"/>
                      <w:highlight w:val="none"/>
                    </w:rPr>
                  </w:pPr>
                  <w:r>
                    <w:rPr>
                      <w:color w:val="000000"/>
                      <w:highlight w:val="none"/>
                    </w:rPr>
                    <w:t>生化</w:t>
                  </w:r>
                </w:p>
                <w:p w14:paraId="43953AE9">
                  <w:pPr>
                    <w:pStyle w:val="32"/>
                    <w:bidi w:val="0"/>
                    <w:spacing w:line="240" w:lineRule="auto"/>
                    <w:jc w:val="center"/>
                    <w:rPr>
                      <w:color w:val="000000"/>
                      <w:highlight w:val="none"/>
                    </w:rPr>
                  </w:pPr>
                  <w:r>
                    <w:rPr>
                      <w:color w:val="000000"/>
                      <w:highlight w:val="none"/>
                    </w:rPr>
                    <w:t>处理单元</w:t>
                  </w:r>
                </w:p>
              </w:tc>
              <w:tc>
                <w:tcPr>
                  <w:tcW w:w="1468" w:type="dxa"/>
                  <w:noWrap w:val="0"/>
                  <w:vAlign w:val="center"/>
                </w:tcPr>
                <w:p w14:paraId="197303E9">
                  <w:pPr>
                    <w:pStyle w:val="32"/>
                    <w:bidi w:val="0"/>
                    <w:spacing w:line="240" w:lineRule="auto"/>
                    <w:jc w:val="center"/>
                    <w:rPr>
                      <w:color w:val="000000"/>
                      <w:highlight w:val="none"/>
                    </w:rPr>
                  </w:pPr>
                  <w:r>
                    <w:rPr>
                      <w:color w:val="000000"/>
                      <w:highlight w:val="none"/>
                    </w:rPr>
                    <w:t>调节池</w:t>
                  </w:r>
                </w:p>
              </w:tc>
              <w:tc>
                <w:tcPr>
                  <w:tcW w:w="5365" w:type="dxa"/>
                  <w:noWrap w:val="0"/>
                  <w:vAlign w:val="center"/>
                </w:tcPr>
                <w:p w14:paraId="35162CB8">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调节池内循环系统改造</w:t>
                  </w:r>
                </w:p>
              </w:tc>
            </w:tr>
            <w:tr w14:paraId="73E2F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61" w:type="dxa"/>
                  <w:vMerge w:val="continue"/>
                  <w:tcBorders>
                    <w:top w:val="nil"/>
                    <w:bottom w:val="nil"/>
                  </w:tcBorders>
                  <w:noWrap w:val="0"/>
                  <w:vAlign w:val="center"/>
                </w:tcPr>
                <w:p w14:paraId="17B96B98">
                  <w:pPr>
                    <w:pStyle w:val="32"/>
                    <w:bidi w:val="0"/>
                    <w:spacing w:line="240" w:lineRule="auto"/>
                    <w:jc w:val="center"/>
                    <w:rPr>
                      <w:b/>
                      <w:bCs/>
                      <w:color w:val="000000"/>
                      <w:highlight w:val="none"/>
                    </w:rPr>
                  </w:pPr>
                </w:p>
              </w:tc>
              <w:tc>
                <w:tcPr>
                  <w:tcW w:w="764" w:type="dxa"/>
                  <w:vMerge w:val="continue"/>
                  <w:tcBorders>
                    <w:top w:val="nil"/>
                    <w:bottom w:val="nil"/>
                  </w:tcBorders>
                  <w:noWrap w:val="0"/>
                  <w:vAlign w:val="center"/>
                </w:tcPr>
                <w:p w14:paraId="5A6FFD1F">
                  <w:pPr>
                    <w:pStyle w:val="32"/>
                    <w:bidi w:val="0"/>
                    <w:spacing w:line="240" w:lineRule="auto"/>
                    <w:jc w:val="center"/>
                    <w:rPr>
                      <w:color w:val="000000"/>
                      <w:highlight w:val="none"/>
                    </w:rPr>
                  </w:pPr>
                </w:p>
              </w:tc>
              <w:tc>
                <w:tcPr>
                  <w:tcW w:w="1468" w:type="dxa"/>
                  <w:noWrap w:val="0"/>
                  <w:vAlign w:val="center"/>
                </w:tcPr>
                <w:p w14:paraId="064AF68F">
                  <w:pPr>
                    <w:pStyle w:val="32"/>
                    <w:bidi w:val="0"/>
                    <w:spacing w:line="240" w:lineRule="auto"/>
                    <w:jc w:val="center"/>
                    <w:rPr>
                      <w:color w:val="000000"/>
                      <w:highlight w:val="none"/>
                    </w:rPr>
                  </w:pPr>
                  <w:r>
                    <w:rPr>
                      <w:color w:val="000000"/>
                      <w:highlight w:val="none"/>
                    </w:rPr>
                    <w:t>厌氧水解池</w:t>
                  </w:r>
                </w:p>
              </w:tc>
              <w:tc>
                <w:tcPr>
                  <w:tcW w:w="5365" w:type="dxa"/>
                  <w:noWrap w:val="0"/>
                  <w:vAlign w:val="center"/>
                </w:tcPr>
                <w:p w14:paraId="25CF84A8">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潜水搅拌机实现泥水充分的接触，通过厌氧菌、兼氧菌的作用，降解污水中的有机污染物，并将难降解有机污染物分解为小分子的易降解污染物</w:t>
                  </w:r>
                </w:p>
              </w:tc>
            </w:tr>
            <w:tr w14:paraId="55D6B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61" w:type="dxa"/>
                  <w:vMerge w:val="continue"/>
                  <w:tcBorders>
                    <w:top w:val="nil"/>
                    <w:bottom w:val="nil"/>
                  </w:tcBorders>
                  <w:noWrap w:val="0"/>
                  <w:vAlign w:val="center"/>
                </w:tcPr>
                <w:p w14:paraId="0C09CC7A">
                  <w:pPr>
                    <w:pStyle w:val="32"/>
                    <w:bidi w:val="0"/>
                    <w:spacing w:line="240" w:lineRule="auto"/>
                    <w:jc w:val="center"/>
                    <w:rPr>
                      <w:b/>
                      <w:bCs/>
                      <w:color w:val="000000"/>
                      <w:highlight w:val="none"/>
                    </w:rPr>
                  </w:pPr>
                </w:p>
              </w:tc>
              <w:tc>
                <w:tcPr>
                  <w:tcW w:w="764" w:type="dxa"/>
                  <w:vMerge w:val="continue"/>
                  <w:tcBorders>
                    <w:top w:val="nil"/>
                  </w:tcBorders>
                  <w:noWrap w:val="0"/>
                  <w:vAlign w:val="center"/>
                </w:tcPr>
                <w:p w14:paraId="43CD1AFE">
                  <w:pPr>
                    <w:pStyle w:val="32"/>
                    <w:bidi w:val="0"/>
                    <w:spacing w:line="240" w:lineRule="auto"/>
                    <w:jc w:val="center"/>
                    <w:rPr>
                      <w:color w:val="000000"/>
                      <w:highlight w:val="none"/>
                    </w:rPr>
                  </w:pPr>
                </w:p>
              </w:tc>
              <w:tc>
                <w:tcPr>
                  <w:tcW w:w="1468" w:type="dxa"/>
                  <w:noWrap w:val="0"/>
                  <w:vAlign w:val="center"/>
                </w:tcPr>
                <w:p w14:paraId="623DD029">
                  <w:pPr>
                    <w:pStyle w:val="32"/>
                    <w:bidi w:val="0"/>
                    <w:spacing w:line="240" w:lineRule="auto"/>
                    <w:jc w:val="center"/>
                    <w:rPr>
                      <w:color w:val="000000"/>
                      <w:highlight w:val="none"/>
                    </w:rPr>
                  </w:pPr>
                  <w:r>
                    <w:rPr>
                      <w:color w:val="000000"/>
                      <w:highlight w:val="none"/>
                    </w:rPr>
                    <w:t>A/O生化池</w:t>
                  </w:r>
                </w:p>
              </w:tc>
              <w:tc>
                <w:tcPr>
                  <w:tcW w:w="5365" w:type="dxa"/>
                  <w:noWrap w:val="0"/>
                  <w:vAlign w:val="center"/>
                </w:tcPr>
                <w:p w14:paraId="2CB34FAB">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通过硝化反硝化反应作用，实现废水COD和氨氮的进一步降解。同时沉淀出水回流至缺氧池增加硝化液回流系统</w:t>
                  </w:r>
                </w:p>
              </w:tc>
            </w:tr>
            <w:tr w14:paraId="663F4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61" w:type="dxa"/>
                  <w:vMerge w:val="continue"/>
                  <w:tcBorders>
                    <w:top w:val="nil"/>
                    <w:bottom w:val="nil"/>
                  </w:tcBorders>
                  <w:noWrap w:val="0"/>
                  <w:vAlign w:val="center"/>
                </w:tcPr>
                <w:p w14:paraId="71FCAB1C">
                  <w:pPr>
                    <w:pStyle w:val="32"/>
                    <w:bidi w:val="0"/>
                    <w:spacing w:line="240" w:lineRule="auto"/>
                    <w:jc w:val="center"/>
                    <w:rPr>
                      <w:b/>
                      <w:bCs/>
                      <w:color w:val="000000"/>
                      <w:highlight w:val="none"/>
                    </w:rPr>
                  </w:pPr>
                </w:p>
              </w:tc>
              <w:tc>
                <w:tcPr>
                  <w:tcW w:w="764" w:type="dxa"/>
                  <w:vMerge w:val="restart"/>
                  <w:tcBorders>
                    <w:bottom w:val="nil"/>
                  </w:tcBorders>
                  <w:noWrap w:val="0"/>
                  <w:vAlign w:val="center"/>
                </w:tcPr>
                <w:p w14:paraId="029A756D">
                  <w:pPr>
                    <w:pStyle w:val="32"/>
                    <w:bidi w:val="0"/>
                    <w:spacing w:line="240" w:lineRule="auto"/>
                    <w:jc w:val="center"/>
                    <w:rPr>
                      <w:color w:val="000000"/>
                      <w:highlight w:val="none"/>
                    </w:rPr>
                  </w:pPr>
                  <w:r>
                    <w:rPr>
                      <w:color w:val="000000"/>
                      <w:highlight w:val="none"/>
                    </w:rPr>
                    <w:t>深度处理单元</w:t>
                  </w:r>
                </w:p>
              </w:tc>
              <w:tc>
                <w:tcPr>
                  <w:tcW w:w="1468" w:type="dxa"/>
                  <w:noWrap w:val="0"/>
                  <w:vAlign w:val="center"/>
                </w:tcPr>
                <w:p w14:paraId="46C88897">
                  <w:pPr>
                    <w:pStyle w:val="32"/>
                    <w:bidi w:val="0"/>
                    <w:spacing w:line="240" w:lineRule="auto"/>
                    <w:jc w:val="center"/>
                    <w:rPr>
                      <w:color w:val="000000"/>
                      <w:highlight w:val="none"/>
                    </w:rPr>
                  </w:pPr>
                  <w:r>
                    <w:rPr>
                      <w:color w:val="000000"/>
                      <w:highlight w:val="none"/>
                    </w:rPr>
                    <w:t>高密度絮沉反应池</w:t>
                  </w:r>
                </w:p>
              </w:tc>
              <w:tc>
                <w:tcPr>
                  <w:tcW w:w="5365" w:type="dxa"/>
                  <w:noWrap w:val="0"/>
                  <w:vAlign w:val="center"/>
                </w:tcPr>
                <w:p w14:paraId="27EE7758">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缺氧池出水自流入接触氧化池内，接触氧化池是一种生物膜法为主，兼有活性污泥的生物处理装置，通过提供氧源，污水中的有机物被微生物所吸附、降解，使水质得到净化</w:t>
                  </w:r>
                </w:p>
              </w:tc>
            </w:tr>
            <w:tr w14:paraId="72CC4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61" w:type="dxa"/>
                  <w:vMerge w:val="continue"/>
                  <w:tcBorders>
                    <w:top w:val="nil"/>
                    <w:bottom w:val="nil"/>
                  </w:tcBorders>
                  <w:noWrap w:val="0"/>
                  <w:vAlign w:val="center"/>
                </w:tcPr>
                <w:p w14:paraId="623468D6">
                  <w:pPr>
                    <w:pStyle w:val="32"/>
                    <w:bidi w:val="0"/>
                    <w:spacing w:line="240" w:lineRule="auto"/>
                    <w:jc w:val="center"/>
                    <w:rPr>
                      <w:b/>
                      <w:bCs/>
                      <w:color w:val="000000"/>
                      <w:highlight w:val="none"/>
                    </w:rPr>
                  </w:pPr>
                </w:p>
              </w:tc>
              <w:tc>
                <w:tcPr>
                  <w:tcW w:w="764" w:type="dxa"/>
                  <w:vMerge w:val="continue"/>
                  <w:tcBorders>
                    <w:top w:val="nil"/>
                    <w:bottom w:val="nil"/>
                  </w:tcBorders>
                  <w:noWrap w:val="0"/>
                  <w:vAlign w:val="center"/>
                </w:tcPr>
                <w:p w14:paraId="12D4C422">
                  <w:pPr>
                    <w:pStyle w:val="32"/>
                    <w:bidi w:val="0"/>
                    <w:spacing w:line="240" w:lineRule="auto"/>
                    <w:jc w:val="center"/>
                    <w:rPr>
                      <w:color w:val="000000"/>
                      <w:highlight w:val="none"/>
                    </w:rPr>
                  </w:pPr>
                </w:p>
              </w:tc>
              <w:tc>
                <w:tcPr>
                  <w:tcW w:w="1468" w:type="dxa"/>
                  <w:noWrap w:val="0"/>
                  <w:vAlign w:val="center"/>
                </w:tcPr>
                <w:p w14:paraId="3ECF9EA4">
                  <w:pPr>
                    <w:pStyle w:val="32"/>
                    <w:bidi w:val="0"/>
                    <w:spacing w:line="240" w:lineRule="auto"/>
                    <w:jc w:val="center"/>
                    <w:rPr>
                      <w:color w:val="000000"/>
                      <w:highlight w:val="none"/>
                    </w:rPr>
                  </w:pPr>
                  <w:r>
                    <w:rPr>
                      <w:color w:val="000000"/>
                      <w:highlight w:val="none"/>
                    </w:rPr>
                    <w:t>全自动过滤器</w:t>
                  </w:r>
                </w:p>
              </w:tc>
              <w:tc>
                <w:tcPr>
                  <w:tcW w:w="5365" w:type="dxa"/>
                  <w:noWrap w:val="0"/>
                  <w:vAlign w:val="center"/>
                </w:tcPr>
                <w:p w14:paraId="7D4A3D1D">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rFonts w:hint="eastAsia"/>
                      <w:color w:val="000000"/>
                      <w:highlight w:val="none"/>
                      <w:lang w:val="en-US" w:eastAsia="zh-CN"/>
                    </w:rPr>
                    <w:t>设</w:t>
                  </w:r>
                  <w:r>
                    <w:rPr>
                      <w:color w:val="000000"/>
                      <w:highlight w:val="none"/>
                    </w:rPr>
                    <w:t>全自动过滤器1台，原有过滤器2台进行更换维修</w:t>
                  </w:r>
                </w:p>
              </w:tc>
            </w:tr>
            <w:tr w14:paraId="484E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61" w:type="dxa"/>
                  <w:vMerge w:val="continue"/>
                  <w:tcBorders>
                    <w:top w:val="nil"/>
                    <w:bottom w:val="nil"/>
                  </w:tcBorders>
                  <w:noWrap w:val="0"/>
                  <w:vAlign w:val="center"/>
                </w:tcPr>
                <w:p w14:paraId="40AC2A01">
                  <w:pPr>
                    <w:pStyle w:val="32"/>
                    <w:bidi w:val="0"/>
                    <w:spacing w:line="240" w:lineRule="auto"/>
                    <w:jc w:val="center"/>
                    <w:rPr>
                      <w:b/>
                      <w:bCs/>
                      <w:color w:val="000000"/>
                      <w:highlight w:val="none"/>
                    </w:rPr>
                  </w:pPr>
                </w:p>
              </w:tc>
              <w:tc>
                <w:tcPr>
                  <w:tcW w:w="764" w:type="dxa"/>
                  <w:vMerge w:val="continue"/>
                  <w:tcBorders>
                    <w:top w:val="nil"/>
                    <w:bottom w:val="nil"/>
                  </w:tcBorders>
                  <w:noWrap w:val="0"/>
                  <w:vAlign w:val="center"/>
                </w:tcPr>
                <w:p w14:paraId="3155F30C">
                  <w:pPr>
                    <w:pStyle w:val="32"/>
                    <w:bidi w:val="0"/>
                    <w:spacing w:line="240" w:lineRule="auto"/>
                    <w:jc w:val="center"/>
                    <w:rPr>
                      <w:color w:val="000000"/>
                      <w:highlight w:val="none"/>
                    </w:rPr>
                  </w:pPr>
                </w:p>
              </w:tc>
              <w:tc>
                <w:tcPr>
                  <w:tcW w:w="1468" w:type="dxa"/>
                  <w:noWrap w:val="0"/>
                  <w:vAlign w:val="center"/>
                </w:tcPr>
                <w:p w14:paraId="56F4B0A0">
                  <w:pPr>
                    <w:pStyle w:val="32"/>
                    <w:bidi w:val="0"/>
                    <w:spacing w:line="240" w:lineRule="auto"/>
                    <w:jc w:val="center"/>
                    <w:rPr>
                      <w:color w:val="000000"/>
                      <w:highlight w:val="none"/>
                    </w:rPr>
                  </w:pPr>
                  <w:r>
                    <w:rPr>
                      <w:color w:val="000000"/>
                      <w:highlight w:val="none"/>
                    </w:rPr>
                    <w:t>纳米臭氧催化氧化塔</w:t>
                  </w:r>
                </w:p>
              </w:tc>
              <w:tc>
                <w:tcPr>
                  <w:tcW w:w="5365" w:type="dxa"/>
                  <w:noWrap w:val="0"/>
                  <w:vAlign w:val="center"/>
                </w:tcPr>
                <w:p w14:paraId="5CCDA6C4">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臭氧发生系统2套，配套建设臭氧催化氧化塔3套</w:t>
                  </w:r>
                </w:p>
              </w:tc>
            </w:tr>
            <w:tr w14:paraId="2CE3F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1" w:type="dxa"/>
                  <w:vMerge w:val="continue"/>
                  <w:tcBorders>
                    <w:top w:val="nil"/>
                    <w:bottom w:val="nil"/>
                  </w:tcBorders>
                  <w:noWrap w:val="0"/>
                  <w:vAlign w:val="center"/>
                </w:tcPr>
                <w:p w14:paraId="48DB0201">
                  <w:pPr>
                    <w:pStyle w:val="32"/>
                    <w:bidi w:val="0"/>
                    <w:spacing w:line="240" w:lineRule="auto"/>
                    <w:jc w:val="center"/>
                    <w:rPr>
                      <w:b/>
                      <w:bCs/>
                      <w:color w:val="000000"/>
                      <w:highlight w:val="none"/>
                    </w:rPr>
                  </w:pPr>
                </w:p>
              </w:tc>
              <w:tc>
                <w:tcPr>
                  <w:tcW w:w="764" w:type="dxa"/>
                  <w:vMerge w:val="continue"/>
                  <w:tcBorders>
                    <w:top w:val="nil"/>
                    <w:bottom w:val="nil"/>
                  </w:tcBorders>
                  <w:noWrap w:val="0"/>
                  <w:vAlign w:val="center"/>
                </w:tcPr>
                <w:p w14:paraId="6AA2468A">
                  <w:pPr>
                    <w:pStyle w:val="32"/>
                    <w:bidi w:val="0"/>
                    <w:spacing w:line="240" w:lineRule="auto"/>
                    <w:jc w:val="center"/>
                    <w:rPr>
                      <w:color w:val="000000"/>
                      <w:highlight w:val="none"/>
                    </w:rPr>
                  </w:pPr>
                </w:p>
              </w:tc>
              <w:tc>
                <w:tcPr>
                  <w:tcW w:w="1468" w:type="dxa"/>
                  <w:noWrap w:val="0"/>
                  <w:vAlign w:val="center"/>
                </w:tcPr>
                <w:p w14:paraId="7CC671E3">
                  <w:pPr>
                    <w:pStyle w:val="32"/>
                    <w:bidi w:val="0"/>
                    <w:spacing w:line="240" w:lineRule="auto"/>
                    <w:jc w:val="center"/>
                    <w:rPr>
                      <w:color w:val="000000"/>
                      <w:highlight w:val="none"/>
                    </w:rPr>
                  </w:pPr>
                  <w:r>
                    <w:rPr>
                      <w:color w:val="000000"/>
                      <w:highlight w:val="none"/>
                    </w:rPr>
                    <w:t>MSK生化塔</w:t>
                  </w:r>
                </w:p>
              </w:tc>
              <w:tc>
                <w:tcPr>
                  <w:tcW w:w="5365" w:type="dxa"/>
                  <w:noWrap w:val="0"/>
                  <w:vAlign w:val="center"/>
                </w:tcPr>
                <w:p w14:paraId="2522086C">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MSK生化塔系统2套</w:t>
                  </w:r>
                </w:p>
              </w:tc>
            </w:tr>
            <w:tr w14:paraId="58CC9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61" w:type="dxa"/>
                  <w:vMerge w:val="continue"/>
                  <w:tcBorders>
                    <w:top w:val="nil"/>
                    <w:bottom w:val="nil"/>
                  </w:tcBorders>
                  <w:noWrap w:val="0"/>
                  <w:vAlign w:val="center"/>
                </w:tcPr>
                <w:p w14:paraId="1D1EC028">
                  <w:pPr>
                    <w:pStyle w:val="32"/>
                    <w:bidi w:val="0"/>
                    <w:spacing w:line="240" w:lineRule="auto"/>
                    <w:jc w:val="center"/>
                    <w:rPr>
                      <w:b/>
                      <w:bCs/>
                      <w:color w:val="000000"/>
                      <w:highlight w:val="none"/>
                    </w:rPr>
                  </w:pPr>
                </w:p>
              </w:tc>
              <w:tc>
                <w:tcPr>
                  <w:tcW w:w="764" w:type="dxa"/>
                  <w:vMerge w:val="continue"/>
                  <w:tcBorders>
                    <w:top w:val="nil"/>
                  </w:tcBorders>
                  <w:noWrap w:val="0"/>
                  <w:vAlign w:val="center"/>
                </w:tcPr>
                <w:p w14:paraId="080BDBE2">
                  <w:pPr>
                    <w:pStyle w:val="32"/>
                    <w:bidi w:val="0"/>
                    <w:spacing w:line="240" w:lineRule="auto"/>
                    <w:jc w:val="center"/>
                    <w:rPr>
                      <w:color w:val="000000"/>
                      <w:highlight w:val="none"/>
                    </w:rPr>
                  </w:pPr>
                </w:p>
              </w:tc>
              <w:tc>
                <w:tcPr>
                  <w:tcW w:w="1468" w:type="dxa"/>
                  <w:noWrap w:val="0"/>
                  <w:vAlign w:val="center"/>
                </w:tcPr>
                <w:p w14:paraId="30303170">
                  <w:pPr>
                    <w:pStyle w:val="32"/>
                    <w:bidi w:val="0"/>
                    <w:spacing w:line="240" w:lineRule="auto"/>
                    <w:jc w:val="center"/>
                    <w:rPr>
                      <w:color w:val="000000"/>
                      <w:highlight w:val="none"/>
                    </w:rPr>
                  </w:pPr>
                  <w:r>
                    <w:rPr>
                      <w:color w:val="000000"/>
                      <w:highlight w:val="none"/>
                    </w:rPr>
                    <w:t>石英石过滤器</w:t>
                  </w:r>
                </w:p>
              </w:tc>
              <w:tc>
                <w:tcPr>
                  <w:tcW w:w="5365" w:type="dxa"/>
                  <w:noWrap w:val="0"/>
                  <w:vAlign w:val="center"/>
                </w:tcPr>
                <w:p w14:paraId="359153A1">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石英石过滤器2台及配套水泵管网等附属设施</w:t>
                  </w:r>
                </w:p>
              </w:tc>
            </w:tr>
            <w:tr w14:paraId="4BCF0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61" w:type="dxa"/>
                  <w:vMerge w:val="continue"/>
                  <w:tcBorders>
                    <w:top w:val="nil"/>
                  </w:tcBorders>
                  <w:noWrap w:val="0"/>
                  <w:vAlign w:val="center"/>
                </w:tcPr>
                <w:p w14:paraId="2720C2E9">
                  <w:pPr>
                    <w:pStyle w:val="32"/>
                    <w:bidi w:val="0"/>
                    <w:spacing w:line="240" w:lineRule="auto"/>
                    <w:jc w:val="center"/>
                    <w:rPr>
                      <w:b/>
                      <w:bCs/>
                      <w:color w:val="000000"/>
                      <w:highlight w:val="none"/>
                    </w:rPr>
                  </w:pPr>
                </w:p>
              </w:tc>
              <w:tc>
                <w:tcPr>
                  <w:tcW w:w="764" w:type="dxa"/>
                  <w:noWrap w:val="0"/>
                  <w:vAlign w:val="center"/>
                </w:tcPr>
                <w:p w14:paraId="151B598D">
                  <w:pPr>
                    <w:pStyle w:val="32"/>
                    <w:bidi w:val="0"/>
                    <w:spacing w:line="240" w:lineRule="auto"/>
                    <w:jc w:val="center"/>
                    <w:rPr>
                      <w:color w:val="000000"/>
                      <w:highlight w:val="none"/>
                    </w:rPr>
                  </w:pPr>
                  <w:r>
                    <w:rPr>
                      <w:color w:val="000000"/>
                      <w:highlight w:val="none"/>
                    </w:rPr>
                    <w:t>污泥</w:t>
                  </w:r>
                </w:p>
              </w:tc>
              <w:tc>
                <w:tcPr>
                  <w:tcW w:w="1468" w:type="dxa"/>
                  <w:noWrap w:val="0"/>
                  <w:vAlign w:val="center"/>
                </w:tcPr>
                <w:p w14:paraId="4DEE92E4">
                  <w:pPr>
                    <w:pStyle w:val="32"/>
                    <w:bidi w:val="0"/>
                    <w:spacing w:line="240" w:lineRule="auto"/>
                    <w:jc w:val="center"/>
                    <w:rPr>
                      <w:color w:val="000000"/>
                      <w:highlight w:val="none"/>
                    </w:rPr>
                  </w:pPr>
                  <w:r>
                    <w:rPr>
                      <w:color w:val="000000"/>
                      <w:highlight w:val="none"/>
                    </w:rPr>
                    <w:t>污泥浓缩装置</w:t>
                  </w:r>
                </w:p>
              </w:tc>
              <w:tc>
                <w:tcPr>
                  <w:tcW w:w="5365" w:type="dxa"/>
                  <w:noWrap w:val="0"/>
                  <w:vAlign w:val="center"/>
                </w:tcPr>
                <w:p w14:paraId="6C240A20">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污泥浓缩装置1套，系统产生的剩余污泥通过浓缩罐浓缩后，通过污泥脱水机脱水后外运处置</w:t>
                  </w:r>
                </w:p>
              </w:tc>
            </w:tr>
            <w:tr w14:paraId="738E9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61" w:type="dxa"/>
                  <w:vMerge w:val="restart"/>
                  <w:tcBorders>
                    <w:bottom w:val="nil"/>
                  </w:tcBorders>
                  <w:noWrap w:val="0"/>
                  <w:vAlign w:val="center"/>
                </w:tcPr>
                <w:p w14:paraId="2795FB54">
                  <w:pPr>
                    <w:pStyle w:val="32"/>
                    <w:bidi w:val="0"/>
                    <w:spacing w:line="240" w:lineRule="auto"/>
                    <w:jc w:val="center"/>
                    <w:rPr>
                      <w:b/>
                      <w:bCs/>
                      <w:color w:val="000000"/>
                      <w:highlight w:val="none"/>
                    </w:rPr>
                  </w:pPr>
                  <w:r>
                    <w:rPr>
                      <w:b/>
                      <w:bCs/>
                      <w:color w:val="000000"/>
                      <w:highlight w:val="none"/>
                    </w:rPr>
                    <w:t>辅助工程</w:t>
                  </w:r>
                </w:p>
              </w:tc>
              <w:tc>
                <w:tcPr>
                  <w:tcW w:w="2232" w:type="dxa"/>
                  <w:gridSpan w:val="2"/>
                  <w:noWrap w:val="0"/>
                  <w:vAlign w:val="center"/>
                </w:tcPr>
                <w:p w14:paraId="623A4F04">
                  <w:pPr>
                    <w:pStyle w:val="32"/>
                    <w:bidi w:val="0"/>
                    <w:spacing w:line="240" w:lineRule="auto"/>
                    <w:jc w:val="center"/>
                    <w:rPr>
                      <w:color w:val="000000"/>
                      <w:highlight w:val="none"/>
                    </w:rPr>
                  </w:pPr>
                  <w:r>
                    <w:rPr>
                      <w:color w:val="000000"/>
                      <w:highlight w:val="none"/>
                    </w:rPr>
                    <w:t>地埋管线施工</w:t>
                  </w:r>
                </w:p>
              </w:tc>
              <w:tc>
                <w:tcPr>
                  <w:tcW w:w="5365" w:type="dxa"/>
                  <w:noWrap w:val="0"/>
                  <w:vAlign w:val="center"/>
                </w:tcPr>
                <w:p w14:paraId="51F69184">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部分地埋管线改线施工，部分输水管线改线施工</w:t>
                  </w:r>
                </w:p>
              </w:tc>
            </w:tr>
            <w:tr w14:paraId="0CD6F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1" w:type="dxa"/>
                  <w:vMerge w:val="continue"/>
                  <w:tcBorders>
                    <w:top w:val="nil"/>
                  </w:tcBorders>
                  <w:noWrap w:val="0"/>
                  <w:vAlign w:val="center"/>
                </w:tcPr>
                <w:p w14:paraId="2895A1B4">
                  <w:pPr>
                    <w:pStyle w:val="32"/>
                    <w:bidi w:val="0"/>
                    <w:spacing w:line="240" w:lineRule="auto"/>
                    <w:jc w:val="center"/>
                    <w:rPr>
                      <w:b/>
                      <w:bCs/>
                      <w:color w:val="000000"/>
                      <w:highlight w:val="none"/>
                    </w:rPr>
                  </w:pPr>
                </w:p>
              </w:tc>
              <w:tc>
                <w:tcPr>
                  <w:tcW w:w="2232" w:type="dxa"/>
                  <w:gridSpan w:val="2"/>
                  <w:noWrap w:val="0"/>
                  <w:vAlign w:val="center"/>
                </w:tcPr>
                <w:p w14:paraId="03B4DD07">
                  <w:pPr>
                    <w:pStyle w:val="32"/>
                    <w:bidi w:val="0"/>
                    <w:spacing w:line="240" w:lineRule="auto"/>
                    <w:jc w:val="center"/>
                    <w:rPr>
                      <w:color w:val="000000"/>
                      <w:highlight w:val="none"/>
                    </w:rPr>
                  </w:pPr>
                  <w:r>
                    <w:rPr>
                      <w:color w:val="000000"/>
                      <w:highlight w:val="none"/>
                    </w:rPr>
                    <w:t>设备维修</w:t>
                  </w:r>
                </w:p>
              </w:tc>
              <w:tc>
                <w:tcPr>
                  <w:tcW w:w="5365" w:type="dxa"/>
                  <w:noWrap w:val="0"/>
                  <w:vAlign w:val="center"/>
                </w:tcPr>
                <w:p w14:paraId="6F02CD27">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现有部分设备老化维修</w:t>
                  </w:r>
                </w:p>
              </w:tc>
            </w:tr>
            <w:tr w14:paraId="18C2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1" w:type="dxa"/>
                  <w:vMerge w:val="restart"/>
                  <w:tcBorders>
                    <w:bottom w:val="nil"/>
                  </w:tcBorders>
                  <w:noWrap w:val="0"/>
                  <w:vAlign w:val="center"/>
                </w:tcPr>
                <w:p w14:paraId="4DEAD759">
                  <w:pPr>
                    <w:pStyle w:val="32"/>
                    <w:bidi w:val="0"/>
                    <w:spacing w:line="240" w:lineRule="auto"/>
                    <w:jc w:val="center"/>
                    <w:rPr>
                      <w:b/>
                      <w:bCs/>
                      <w:color w:val="000000"/>
                      <w:highlight w:val="none"/>
                    </w:rPr>
                  </w:pPr>
                  <w:r>
                    <w:rPr>
                      <w:b/>
                      <w:bCs/>
                      <w:color w:val="000000"/>
                      <w:highlight w:val="none"/>
                    </w:rPr>
                    <w:t>公用工程</w:t>
                  </w:r>
                </w:p>
              </w:tc>
              <w:tc>
                <w:tcPr>
                  <w:tcW w:w="2232" w:type="dxa"/>
                  <w:gridSpan w:val="2"/>
                  <w:noWrap w:val="0"/>
                  <w:vAlign w:val="center"/>
                </w:tcPr>
                <w:p w14:paraId="3D5ED9C6">
                  <w:pPr>
                    <w:pStyle w:val="32"/>
                    <w:bidi w:val="0"/>
                    <w:spacing w:line="240" w:lineRule="auto"/>
                    <w:jc w:val="center"/>
                    <w:rPr>
                      <w:color w:val="000000"/>
                      <w:highlight w:val="none"/>
                    </w:rPr>
                  </w:pPr>
                  <w:r>
                    <w:rPr>
                      <w:color w:val="000000"/>
                      <w:highlight w:val="none"/>
                    </w:rPr>
                    <w:t>供暖</w:t>
                  </w:r>
                </w:p>
              </w:tc>
              <w:tc>
                <w:tcPr>
                  <w:tcW w:w="5365" w:type="dxa"/>
                  <w:noWrap w:val="0"/>
                  <w:vAlign w:val="center"/>
                </w:tcPr>
                <w:p w14:paraId="4121CC93">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本项目供暖由厂区供暖系统提供</w:t>
                  </w:r>
                </w:p>
              </w:tc>
            </w:tr>
            <w:tr w14:paraId="44D9F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61" w:type="dxa"/>
                  <w:vMerge w:val="continue"/>
                  <w:tcBorders>
                    <w:top w:val="nil"/>
                    <w:bottom w:val="nil"/>
                  </w:tcBorders>
                  <w:noWrap w:val="0"/>
                  <w:vAlign w:val="center"/>
                </w:tcPr>
                <w:p w14:paraId="30E4FE9E">
                  <w:pPr>
                    <w:pStyle w:val="32"/>
                    <w:bidi w:val="0"/>
                    <w:spacing w:line="240" w:lineRule="auto"/>
                    <w:jc w:val="center"/>
                    <w:rPr>
                      <w:b/>
                      <w:bCs/>
                      <w:color w:val="000000"/>
                      <w:highlight w:val="none"/>
                    </w:rPr>
                  </w:pPr>
                </w:p>
              </w:tc>
              <w:tc>
                <w:tcPr>
                  <w:tcW w:w="2232" w:type="dxa"/>
                  <w:gridSpan w:val="2"/>
                  <w:noWrap w:val="0"/>
                  <w:vAlign w:val="center"/>
                </w:tcPr>
                <w:p w14:paraId="4B2294C7">
                  <w:pPr>
                    <w:pStyle w:val="32"/>
                    <w:bidi w:val="0"/>
                    <w:spacing w:line="240" w:lineRule="auto"/>
                    <w:jc w:val="center"/>
                    <w:rPr>
                      <w:color w:val="000000"/>
                      <w:highlight w:val="none"/>
                    </w:rPr>
                  </w:pPr>
                  <w:r>
                    <w:rPr>
                      <w:color w:val="000000"/>
                      <w:highlight w:val="none"/>
                    </w:rPr>
                    <w:t>供电</w:t>
                  </w:r>
                </w:p>
              </w:tc>
              <w:tc>
                <w:tcPr>
                  <w:tcW w:w="5365" w:type="dxa"/>
                  <w:noWrap w:val="0"/>
                  <w:vAlign w:val="center"/>
                </w:tcPr>
                <w:p w14:paraId="2FA2E6EB">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本项目供电由厂区供电系统提供</w:t>
                  </w:r>
                </w:p>
              </w:tc>
            </w:tr>
            <w:tr w14:paraId="6D16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761" w:type="dxa"/>
                  <w:vMerge w:val="continue"/>
                  <w:tcBorders>
                    <w:top w:val="nil"/>
                  </w:tcBorders>
                  <w:noWrap w:val="0"/>
                  <w:vAlign w:val="center"/>
                </w:tcPr>
                <w:p w14:paraId="49D7404F">
                  <w:pPr>
                    <w:pStyle w:val="32"/>
                    <w:bidi w:val="0"/>
                    <w:spacing w:line="240" w:lineRule="auto"/>
                    <w:jc w:val="center"/>
                    <w:rPr>
                      <w:b/>
                      <w:bCs/>
                      <w:color w:val="000000"/>
                      <w:highlight w:val="none"/>
                    </w:rPr>
                  </w:pPr>
                </w:p>
              </w:tc>
              <w:tc>
                <w:tcPr>
                  <w:tcW w:w="2232" w:type="dxa"/>
                  <w:gridSpan w:val="2"/>
                  <w:noWrap w:val="0"/>
                  <w:vAlign w:val="center"/>
                </w:tcPr>
                <w:p w14:paraId="34691A57">
                  <w:pPr>
                    <w:pStyle w:val="32"/>
                    <w:bidi w:val="0"/>
                    <w:spacing w:line="240" w:lineRule="auto"/>
                    <w:jc w:val="center"/>
                    <w:rPr>
                      <w:color w:val="000000"/>
                      <w:highlight w:val="none"/>
                    </w:rPr>
                  </w:pPr>
                  <w:r>
                    <w:rPr>
                      <w:color w:val="000000"/>
                      <w:highlight w:val="none"/>
                    </w:rPr>
                    <w:t>供水</w:t>
                  </w:r>
                </w:p>
              </w:tc>
              <w:tc>
                <w:tcPr>
                  <w:tcW w:w="5365" w:type="dxa"/>
                  <w:noWrap w:val="0"/>
                  <w:vAlign w:val="center"/>
                </w:tcPr>
                <w:p w14:paraId="38043D2E">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本项目进水包括生产废水和生活污水，生产废水由厂区焦化系统产生的废水接入“微絮凝破氰反应/隔油池+混凝气浮机”，生活污水由生活区管网接入本项目调节池</w:t>
                  </w:r>
                </w:p>
              </w:tc>
            </w:tr>
            <w:tr w14:paraId="25154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Merge w:val="restart"/>
                  <w:tcBorders>
                    <w:bottom w:val="nil"/>
                  </w:tcBorders>
                  <w:noWrap w:val="0"/>
                  <w:vAlign w:val="center"/>
                </w:tcPr>
                <w:p w14:paraId="4DCF8B43">
                  <w:pPr>
                    <w:pStyle w:val="32"/>
                    <w:bidi w:val="0"/>
                    <w:spacing w:line="240" w:lineRule="auto"/>
                    <w:jc w:val="center"/>
                    <w:rPr>
                      <w:b/>
                      <w:bCs/>
                      <w:color w:val="000000"/>
                      <w:highlight w:val="none"/>
                    </w:rPr>
                  </w:pPr>
                  <w:r>
                    <w:rPr>
                      <w:b/>
                      <w:bCs/>
                      <w:color w:val="000000"/>
                      <w:highlight w:val="none"/>
                    </w:rPr>
                    <w:t>环保工程</w:t>
                  </w:r>
                </w:p>
              </w:tc>
              <w:tc>
                <w:tcPr>
                  <w:tcW w:w="2232" w:type="dxa"/>
                  <w:gridSpan w:val="2"/>
                  <w:noWrap w:val="0"/>
                  <w:vAlign w:val="center"/>
                </w:tcPr>
                <w:p w14:paraId="7D49BC1F">
                  <w:pPr>
                    <w:pStyle w:val="32"/>
                    <w:bidi w:val="0"/>
                    <w:spacing w:line="240" w:lineRule="auto"/>
                    <w:jc w:val="center"/>
                    <w:rPr>
                      <w:color w:val="000000"/>
                      <w:highlight w:val="none"/>
                    </w:rPr>
                  </w:pPr>
                  <w:r>
                    <w:rPr>
                      <w:color w:val="000000"/>
                      <w:highlight w:val="none"/>
                    </w:rPr>
                    <w:t>废水</w:t>
                  </w:r>
                </w:p>
              </w:tc>
              <w:tc>
                <w:tcPr>
                  <w:tcW w:w="5365" w:type="dxa"/>
                  <w:noWrap w:val="0"/>
                  <w:vAlign w:val="center"/>
                </w:tcPr>
                <w:p w14:paraId="13FAB92E">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厂区生活污水及生产废水，排入本项目污水处理厂处理后回用</w:t>
                  </w:r>
                </w:p>
              </w:tc>
            </w:tr>
            <w:tr w14:paraId="33F66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Merge w:val="continue"/>
                  <w:tcBorders>
                    <w:top w:val="nil"/>
                    <w:bottom w:val="nil"/>
                  </w:tcBorders>
                  <w:noWrap w:val="0"/>
                  <w:vAlign w:val="center"/>
                </w:tcPr>
                <w:p w14:paraId="4D49F529">
                  <w:pPr>
                    <w:pStyle w:val="32"/>
                    <w:bidi w:val="0"/>
                    <w:spacing w:line="240" w:lineRule="auto"/>
                    <w:jc w:val="center"/>
                    <w:rPr>
                      <w:color w:val="000000"/>
                      <w:highlight w:val="none"/>
                    </w:rPr>
                  </w:pPr>
                </w:p>
              </w:tc>
              <w:tc>
                <w:tcPr>
                  <w:tcW w:w="2232" w:type="dxa"/>
                  <w:gridSpan w:val="2"/>
                  <w:noWrap w:val="0"/>
                  <w:vAlign w:val="center"/>
                </w:tcPr>
                <w:p w14:paraId="547DBCDF">
                  <w:pPr>
                    <w:pStyle w:val="32"/>
                    <w:bidi w:val="0"/>
                    <w:spacing w:line="240" w:lineRule="auto"/>
                    <w:jc w:val="center"/>
                    <w:rPr>
                      <w:color w:val="000000"/>
                      <w:highlight w:val="none"/>
                    </w:rPr>
                  </w:pPr>
                  <w:r>
                    <w:rPr>
                      <w:color w:val="000000"/>
                      <w:highlight w:val="none"/>
                    </w:rPr>
                    <w:t>废气</w:t>
                  </w:r>
                </w:p>
              </w:tc>
              <w:tc>
                <w:tcPr>
                  <w:tcW w:w="5365" w:type="dxa"/>
                  <w:noWrap w:val="0"/>
                  <w:vAlign w:val="center"/>
                </w:tcPr>
                <w:p w14:paraId="45D663C0">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厂区合理布置，厂界四周设置10m宽的绿化树木隔离带，在厂区其它空地种植草坪、花卉等</w:t>
                  </w:r>
                </w:p>
              </w:tc>
            </w:tr>
            <w:tr w14:paraId="232EA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Merge w:val="continue"/>
                  <w:tcBorders>
                    <w:top w:val="nil"/>
                    <w:bottom w:val="nil"/>
                  </w:tcBorders>
                  <w:noWrap w:val="0"/>
                  <w:vAlign w:val="center"/>
                </w:tcPr>
                <w:p w14:paraId="0774348F">
                  <w:pPr>
                    <w:pStyle w:val="32"/>
                    <w:bidi w:val="0"/>
                    <w:spacing w:line="240" w:lineRule="auto"/>
                    <w:jc w:val="center"/>
                    <w:rPr>
                      <w:color w:val="000000"/>
                      <w:highlight w:val="none"/>
                    </w:rPr>
                  </w:pPr>
                </w:p>
              </w:tc>
              <w:tc>
                <w:tcPr>
                  <w:tcW w:w="2232" w:type="dxa"/>
                  <w:gridSpan w:val="2"/>
                  <w:noWrap w:val="0"/>
                  <w:vAlign w:val="center"/>
                </w:tcPr>
                <w:p w14:paraId="454E34FA">
                  <w:pPr>
                    <w:pStyle w:val="32"/>
                    <w:bidi w:val="0"/>
                    <w:spacing w:line="240" w:lineRule="auto"/>
                    <w:jc w:val="center"/>
                    <w:rPr>
                      <w:color w:val="000000"/>
                      <w:highlight w:val="none"/>
                    </w:rPr>
                  </w:pPr>
                  <w:r>
                    <w:rPr>
                      <w:color w:val="000000"/>
                      <w:highlight w:val="none"/>
                    </w:rPr>
                    <w:t>噪声</w:t>
                  </w:r>
                </w:p>
              </w:tc>
              <w:tc>
                <w:tcPr>
                  <w:tcW w:w="5365" w:type="dxa"/>
                  <w:noWrap w:val="0"/>
                  <w:vAlign w:val="center"/>
                </w:tcPr>
                <w:p w14:paraId="7E3B5E80">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color w:val="000000"/>
                      <w:highlight w:val="none"/>
                    </w:rPr>
                  </w:pPr>
                  <w:r>
                    <w:rPr>
                      <w:color w:val="000000"/>
                      <w:highlight w:val="none"/>
                    </w:rPr>
                    <w:t>厂区四周设置围墙、设备进行基础减振，风机加装消声器，安装隔声窗、绿化带隔声等</w:t>
                  </w:r>
                </w:p>
              </w:tc>
            </w:tr>
            <w:tr w14:paraId="1A641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61" w:type="dxa"/>
                  <w:vMerge w:val="continue"/>
                  <w:tcBorders>
                    <w:top w:val="nil"/>
                  </w:tcBorders>
                  <w:noWrap w:val="0"/>
                  <w:vAlign w:val="center"/>
                </w:tcPr>
                <w:p w14:paraId="3D38B74C">
                  <w:pPr>
                    <w:pStyle w:val="32"/>
                    <w:bidi w:val="0"/>
                    <w:spacing w:line="240" w:lineRule="auto"/>
                    <w:jc w:val="center"/>
                    <w:rPr>
                      <w:color w:val="000000"/>
                      <w:highlight w:val="none"/>
                    </w:rPr>
                  </w:pPr>
                </w:p>
              </w:tc>
              <w:tc>
                <w:tcPr>
                  <w:tcW w:w="2232" w:type="dxa"/>
                  <w:gridSpan w:val="2"/>
                  <w:noWrap w:val="0"/>
                  <w:vAlign w:val="center"/>
                </w:tcPr>
                <w:p w14:paraId="6725D83D">
                  <w:pPr>
                    <w:pStyle w:val="32"/>
                    <w:bidi w:val="0"/>
                    <w:spacing w:line="240" w:lineRule="auto"/>
                    <w:jc w:val="center"/>
                    <w:rPr>
                      <w:color w:val="000000"/>
                      <w:highlight w:val="none"/>
                    </w:rPr>
                  </w:pPr>
                  <w:r>
                    <w:rPr>
                      <w:color w:val="000000"/>
                      <w:highlight w:val="none"/>
                    </w:rPr>
                    <w:t>固废</w:t>
                  </w:r>
                </w:p>
              </w:tc>
              <w:tc>
                <w:tcPr>
                  <w:tcW w:w="5365" w:type="dxa"/>
                  <w:noWrap w:val="0"/>
                  <w:vAlign w:val="center"/>
                </w:tcPr>
                <w:p w14:paraId="0242D6D0">
                  <w:pPr>
                    <w:pStyle w:val="32"/>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both"/>
                    <w:textAlignment w:val="auto"/>
                    <w:rPr>
                      <w:rFonts w:hint="eastAsia" w:eastAsia="宋体"/>
                      <w:color w:val="000000"/>
                      <w:highlight w:val="none"/>
                      <w:lang w:eastAsia="zh-CN"/>
                    </w:rPr>
                  </w:pPr>
                  <w:r>
                    <w:rPr>
                      <w:color w:val="000000"/>
                      <w:highlight w:val="none"/>
                    </w:rPr>
                    <w:t>脱水后的污泥送备煤车间掺入炼焦原料煤中炼焦</w:t>
                  </w:r>
                  <w:r>
                    <w:rPr>
                      <w:rFonts w:hint="eastAsia"/>
                      <w:color w:val="000000"/>
                      <w:highlight w:val="none"/>
                      <w:lang w:eastAsia="zh-CN"/>
                    </w:rPr>
                    <w:t>。</w:t>
                  </w:r>
                </w:p>
              </w:tc>
            </w:tr>
          </w:tbl>
          <w:p w14:paraId="224C2720">
            <w:pPr>
              <w:spacing w:line="360" w:lineRule="auto"/>
              <w:ind w:firstLine="482" w:firstLineChars="200"/>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4"/>
                <w:szCs w:val="24"/>
                <w:highlight w:val="none"/>
                <w:lang w:val="en-US" w:eastAsia="zh-CN"/>
              </w:rPr>
              <w:t>3、现有</w:t>
            </w:r>
            <w:r>
              <w:rPr>
                <w:rFonts w:hint="eastAsia" w:ascii="Times New Roman" w:hAnsi="Times New Roman" w:cs="Times New Roman"/>
                <w:b/>
                <w:color w:val="000000"/>
                <w:sz w:val="24"/>
                <w:szCs w:val="24"/>
                <w:highlight w:val="none"/>
                <w:lang w:val="en-US" w:eastAsia="zh-CN"/>
              </w:rPr>
              <w:t>污水处理站</w:t>
            </w:r>
            <w:r>
              <w:rPr>
                <w:rFonts w:hint="default" w:ascii="Times New Roman" w:hAnsi="Times New Roman" w:cs="Times New Roman"/>
                <w:b/>
                <w:color w:val="000000"/>
                <w:sz w:val="24"/>
                <w:szCs w:val="24"/>
                <w:highlight w:val="none"/>
              </w:rPr>
              <w:t>设备</w:t>
            </w:r>
          </w:p>
          <w:p w14:paraId="09943FD4">
            <w:pPr>
              <w:pStyle w:val="22"/>
              <w:ind w:firstLine="480"/>
              <w:rPr>
                <w:rFonts w:hint="default" w:ascii="Times New Roman" w:hAnsi="Times New Roman" w:cs="Times New Roman"/>
                <w:color w:val="000000"/>
                <w:szCs w:val="24"/>
                <w:highlight w:val="none"/>
              </w:rPr>
            </w:pPr>
            <w:r>
              <w:rPr>
                <w:rFonts w:hint="default" w:ascii="Times New Roman" w:hAnsi="Times New Roman" w:cs="Times New Roman"/>
                <w:color w:val="000000"/>
                <w:szCs w:val="24"/>
                <w:highlight w:val="none"/>
              </w:rPr>
              <w:t>现有</w:t>
            </w:r>
            <w:r>
              <w:rPr>
                <w:rFonts w:hint="eastAsia" w:ascii="Times New Roman" w:hAnsi="Times New Roman" w:cs="Times New Roman"/>
                <w:color w:val="000000"/>
                <w:szCs w:val="24"/>
                <w:highlight w:val="none"/>
                <w:lang w:val="en-US" w:eastAsia="zh-CN"/>
              </w:rPr>
              <w:t>污水处理站</w:t>
            </w:r>
            <w:r>
              <w:rPr>
                <w:rFonts w:hint="default" w:ascii="Times New Roman" w:hAnsi="Times New Roman" w:cs="Times New Roman"/>
                <w:color w:val="000000"/>
                <w:szCs w:val="24"/>
                <w:highlight w:val="none"/>
              </w:rPr>
              <w:t>设备情况详见表</w:t>
            </w:r>
            <w:r>
              <w:rPr>
                <w:rFonts w:hint="default" w:ascii="Times New Roman" w:hAnsi="Times New Roman" w:cs="Times New Roman"/>
                <w:color w:val="000000"/>
                <w:szCs w:val="24"/>
                <w:highlight w:val="none"/>
                <w:lang w:val="en-US" w:eastAsia="zh-CN"/>
              </w:rPr>
              <w:t>2-1</w:t>
            </w:r>
            <w:r>
              <w:rPr>
                <w:rFonts w:hint="eastAsia" w:ascii="Times New Roman" w:hAnsi="Times New Roman" w:cs="Times New Roman"/>
                <w:color w:val="000000"/>
                <w:szCs w:val="24"/>
                <w:highlight w:val="none"/>
                <w:lang w:val="en-US" w:eastAsia="zh-CN"/>
              </w:rPr>
              <w:t>5</w:t>
            </w:r>
            <w:r>
              <w:rPr>
                <w:rFonts w:hint="default" w:ascii="Times New Roman" w:hAnsi="Times New Roman" w:cs="Times New Roman"/>
                <w:color w:val="000000"/>
                <w:szCs w:val="24"/>
                <w:highlight w:val="none"/>
              </w:rPr>
              <w:t>。</w:t>
            </w:r>
          </w:p>
          <w:p w14:paraId="604F21C5">
            <w:pPr>
              <w:pStyle w:val="22"/>
              <w:spacing w:line="240" w:lineRule="auto"/>
              <w:ind w:firstLine="482"/>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表</w:t>
            </w:r>
            <w:r>
              <w:rPr>
                <w:rFonts w:hint="default" w:ascii="Times New Roman" w:hAnsi="Times New Roman" w:cs="Times New Roman"/>
                <w:b/>
                <w:color w:val="000000"/>
                <w:highlight w:val="none"/>
                <w:lang w:val="en-US" w:eastAsia="zh-CN"/>
              </w:rPr>
              <w:t>2-1</w:t>
            </w:r>
            <w:r>
              <w:rPr>
                <w:rFonts w:hint="eastAsia" w:ascii="Times New Roman" w:hAnsi="Times New Roman" w:cs="Times New Roman"/>
                <w:b/>
                <w:color w:val="000000"/>
                <w:highlight w:val="none"/>
                <w:lang w:val="en-US" w:eastAsia="zh-CN"/>
              </w:rPr>
              <w:t>5</w:t>
            </w:r>
            <w:r>
              <w:rPr>
                <w:rFonts w:hint="default" w:ascii="Times New Roman" w:hAnsi="Times New Roman" w:cs="Times New Roman"/>
                <w:b/>
                <w:color w:val="000000"/>
                <w:highlight w:val="none"/>
              </w:rPr>
              <w:t xml:space="preserve"> 现有污水处理站主要设备一览表</w:t>
            </w:r>
          </w:p>
          <w:tbl>
            <w:tblPr>
              <w:tblStyle w:val="24"/>
              <w:tblW w:w="83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
              <w:gridCol w:w="2115"/>
              <w:gridCol w:w="3953"/>
              <w:gridCol w:w="744"/>
              <w:gridCol w:w="935"/>
            </w:tblGrid>
            <w:tr w14:paraId="45ED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569" w:type="dxa"/>
                  <w:noWrap w:val="0"/>
                  <w:vAlign w:val="top"/>
                </w:tcPr>
                <w:p w14:paraId="7C7C6857">
                  <w:pPr>
                    <w:pStyle w:val="25"/>
                    <w:spacing w:before="71" w:line="230" w:lineRule="auto"/>
                    <w:ind w:left="74" w:leftChars="0"/>
                    <w:jc w:val="center"/>
                    <w:rPr>
                      <w:rFonts w:hint="default" w:ascii="Times New Roman" w:hAnsi="Times New Roman" w:eastAsia="Times New Roman" w:cs="Times New Roman"/>
                      <w:b/>
                      <w:bCs/>
                      <w:color w:val="000000"/>
                      <w:sz w:val="21"/>
                      <w:szCs w:val="21"/>
                      <w:highlight w:val="none"/>
                    </w:rPr>
                  </w:pPr>
                  <w:bookmarkStart w:id="4" w:name="_Toc39524563"/>
                  <w:r>
                    <w:rPr>
                      <w:rFonts w:hint="default" w:ascii="Times New Roman" w:hAnsi="Times New Roman" w:cs="Times New Roman"/>
                      <w:b/>
                      <w:bCs/>
                      <w:color w:val="000000"/>
                      <w:spacing w:val="6"/>
                      <w:sz w:val="21"/>
                      <w:szCs w:val="21"/>
                      <w:highlight w:val="none"/>
                    </w:rPr>
                    <w:t>序号</w:t>
                  </w:r>
                </w:p>
              </w:tc>
              <w:tc>
                <w:tcPr>
                  <w:tcW w:w="2115" w:type="dxa"/>
                  <w:noWrap w:val="0"/>
                  <w:vAlign w:val="top"/>
                </w:tcPr>
                <w:p w14:paraId="5EFC5BBE">
                  <w:pPr>
                    <w:pStyle w:val="25"/>
                    <w:spacing w:before="71" w:line="230" w:lineRule="auto"/>
                    <w:ind w:left="651" w:leftChars="0"/>
                    <w:jc w:val="center"/>
                    <w:rPr>
                      <w:rFonts w:hint="default" w:ascii="Times New Roman" w:hAnsi="Times New Roman" w:cs="Times New Roman"/>
                      <w:b/>
                      <w:bCs/>
                      <w:color w:val="000000"/>
                      <w:spacing w:val="8"/>
                      <w:sz w:val="21"/>
                      <w:szCs w:val="21"/>
                      <w:highlight w:val="none"/>
                    </w:rPr>
                  </w:pPr>
                  <w:r>
                    <w:rPr>
                      <w:rFonts w:hint="default" w:ascii="Times New Roman" w:hAnsi="Times New Roman" w:cs="Times New Roman"/>
                      <w:b/>
                      <w:bCs/>
                      <w:color w:val="000000"/>
                      <w:spacing w:val="7"/>
                      <w:sz w:val="21"/>
                      <w:szCs w:val="21"/>
                      <w:highlight w:val="none"/>
                    </w:rPr>
                    <w:t>设备名称</w:t>
                  </w:r>
                </w:p>
              </w:tc>
              <w:tc>
                <w:tcPr>
                  <w:tcW w:w="3953" w:type="dxa"/>
                  <w:noWrap w:val="0"/>
                  <w:vAlign w:val="top"/>
                </w:tcPr>
                <w:p w14:paraId="6CF5B7C7">
                  <w:pPr>
                    <w:pStyle w:val="25"/>
                    <w:spacing w:before="71" w:line="228" w:lineRule="auto"/>
                    <w:ind w:left="1575" w:leftChars="0"/>
                    <w:jc w:val="center"/>
                    <w:rPr>
                      <w:rFonts w:hint="default" w:ascii="Times New Roman" w:hAnsi="Times New Roman" w:eastAsia="Times New Roman" w:cs="Times New Roman"/>
                      <w:b/>
                      <w:bCs/>
                      <w:color w:val="000000"/>
                      <w:spacing w:val="1"/>
                      <w:position w:val="-2"/>
                      <w:sz w:val="21"/>
                      <w:szCs w:val="21"/>
                      <w:highlight w:val="none"/>
                    </w:rPr>
                  </w:pPr>
                  <w:r>
                    <w:rPr>
                      <w:rFonts w:hint="default" w:ascii="Times New Roman" w:hAnsi="Times New Roman" w:cs="Times New Roman"/>
                      <w:b/>
                      <w:bCs/>
                      <w:color w:val="000000"/>
                      <w:spacing w:val="8"/>
                      <w:sz w:val="21"/>
                      <w:szCs w:val="21"/>
                      <w:highlight w:val="none"/>
                    </w:rPr>
                    <w:t>规格型号</w:t>
                  </w:r>
                </w:p>
              </w:tc>
              <w:tc>
                <w:tcPr>
                  <w:tcW w:w="744" w:type="dxa"/>
                  <w:noWrap w:val="0"/>
                  <w:vAlign w:val="top"/>
                </w:tcPr>
                <w:p w14:paraId="0EFCB70A">
                  <w:pPr>
                    <w:pStyle w:val="25"/>
                    <w:spacing w:before="71" w:line="229" w:lineRule="auto"/>
                    <w:ind w:left="173" w:left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pacing w:val="5"/>
                      <w:sz w:val="21"/>
                      <w:szCs w:val="21"/>
                      <w:highlight w:val="none"/>
                    </w:rPr>
                    <w:t>单位</w:t>
                  </w:r>
                </w:p>
              </w:tc>
              <w:tc>
                <w:tcPr>
                  <w:tcW w:w="935" w:type="dxa"/>
                  <w:noWrap w:val="0"/>
                  <w:vAlign w:val="top"/>
                </w:tcPr>
                <w:p w14:paraId="05ADC594">
                  <w:pPr>
                    <w:pStyle w:val="25"/>
                    <w:spacing w:before="71" w:line="228" w:lineRule="auto"/>
                    <w:ind w:left="70" w:leftChars="0"/>
                    <w:jc w:val="center"/>
                    <w:rPr>
                      <w:rFonts w:hint="default" w:ascii="Times New Roman" w:hAnsi="Times New Roman" w:eastAsia="Times New Roman" w:cs="Times New Roman"/>
                      <w:b/>
                      <w:bCs/>
                      <w:color w:val="000000"/>
                      <w:sz w:val="21"/>
                      <w:szCs w:val="21"/>
                      <w:highlight w:val="none"/>
                    </w:rPr>
                  </w:pPr>
                  <w:r>
                    <w:rPr>
                      <w:rFonts w:hint="default" w:ascii="Times New Roman" w:hAnsi="Times New Roman" w:cs="Times New Roman"/>
                      <w:b/>
                      <w:bCs/>
                      <w:color w:val="000000"/>
                      <w:spacing w:val="7"/>
                      <w:sz w:val="21"/>
                      <w:szCs w:val="21"/>
                      <w:highlight w:val="none"/>
                    </w:rPr>
                    <w:t>数量</w:t>
                  </w:r>
                </w:p>
              </w:tc>
            </w:tr>
            <w:tr w14:paraId="58E7D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569" w:type="dxa"/>
                  <w:noWrap w:val="0"/>
                  <w:vAlign w:val="top"/>
                </w:tcPr>
                <w:p w14:paraId="4998EE57">
                  <w:pPr>
                    <w:spacing w:before="117" w:line="195" w:lineRule="auto"/>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c>
                <w:tcPr>
                  <w:tcW w:w="2115" w:type="dxa"/>
                  <w:noWrap w:val="0"/>
                  <w:vAlign w:val="top"/>
                </w:tcPr>
                <w:p w14:paraId="3264369B">
                  <w:pPr>
                    <w:pStyle w:val="25"/>
                    <w:spacing w:before="80" w:line="228" w:lineRule="auto"/>
                    <w:ind w:left="230"/>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组合式气浮一体机</w:t>
                  </w:r>
                </w:p>
              </w:tc>
              <w:tc>
                <w:tcPr>
                  <w:tcW w:w="3953" w:type="dxa"/>
                  <w:noWrap w:val="0"/>
                  <w:vAlign w:val="top"/>
                </w:tcPr>
                <w:p w14:paraId="470FC02C">
                  <w:pPr>
                    <w:spacing w:before="205" w:line="97" w:lineRule="exact"/>
                    <w:ind w:left="189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w:t>
                  </w:r>
                </w:p>
              </w:tc>
              <w:tc>
                <w:tcPr>
                  <w:tcW w:w="744" w:type="dxa"/>
                  <w:noWrap w:val="0"/>
                  <w:vAlign w:val="top"/>
                </w:tcPr>
                <w:p w14:paraId="3CDE8F47">
                  <w:pPr>
                    <w:pStyle w:val="25"/>
                    <w:spacing w:before="81"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53C38FB1">
                  <w:pPr>
                    <w:spacing w:before="117"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1E892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569" w:type="dxa"/>
                  <w:noWrap w:val="0"/>
                  <w:vAlign w:val="top"/>
                </w:tcPr>
                <w:p w14:paraId="74B3C4F2">
                  <w:pPr>
                    <w:spacing w:before="103" w:line="195" w:lineRule="auto"/>
                    <w:ind w:left="22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c>
                <w:tcPr>
                  <w:tcW w:w="2115" w:type="dxa"/>
                  <w:noWrap w:val="0"/>
                  <w:vAlign w:val="top"/>
                </w:tcPr>
                <w:p w14:paraId="2F0F3651">
                  <w:pPr>
                    <w:pStyle w:val="25"/>
                    <w:spacing w:before="68" w:line="229" w:lineRule="auto"/>
                    <w:ind w:left="648"/>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加药系统</w:t>
                  </w:r>
                </w:p>
              </w:tc>
              <w:tc>
                <w:tcPr>
                  <w:tcW w:w="3953" w:type="dxa"/>
                  <w:noWrap w:val="0"/>
                  <w:vAlign w:val="top"/>
                </w:tcPr>
                <w:p w14:paraId="57765243">
                  <w:pPr>
                    <w:spacing w:before="192" w:line="96" w:lineRule="exact"/>
                    <w:ind w:left="189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w:t>
                  </w:r>
                </w:p>
              </w:tc>
              <w:tc>
                <w:tcPr>
                  <w:tcW w:w="744" w:type="dxa"/>
                  <w:noWrap w:val="0"/>
                  <w:vAlign w:val="top"/>
                </w:tcPr>
                <w:p w14:paraId="13B93371">
                  <w:pPr>
                    <w:pStyle w:val="25"/>
                    <w:spacing w:before="67"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5A4A7A5B">
                  <w:pPr>
                    <w:spacing w:before="103" w:line="195" w:lineRule="auto"/>
                    <w:ind w:left="42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w:t>
                  </w:r>
                </w:p>
              </w:tc>
            </w:tr>
            <w:tr w14:paraId="608DF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03F90500">
                  <w:pPr>
                    <w:rPr>
                      <w:rFonts w:hint="default" w:ascii="Times New Roman" w:hAnsi="Times New Roman" w:cs="Times New Roman"/>
                      <w:color w:val="000000"/>
                      <w:sz w:val="21"/>
                      <w:szCs w:val="21"/>
                      <w:highlight w:val="none"/>
                    </w:rPr>
                  </w:pPr>
                </w:p>
              </w:tc>
              <w:tc>
                <w:tcPr>
                  <w:tcW w:w="2115" w:type="dxa"/>
                  <w:noWrap w:val="0"/>
                  <w:vAlign w:val="top"/>
                </w:tcPr>
                <w:p w14:paraId="6B919A10">
                  <w:pPr>
                    <w:pStyle w:val="25"/>
                    <w:spacing w:before="145" w:line="228" w:lineRule="auto"/>
                    <w:ind w:left="439"/>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加药剂量系统</w:t>
                  </w:r>
                </w:p>
              </w:tc>
              <w:tc>
                <w:tcPr>
                  <w:tcW w:w="3953" w:type="dxa"/>
                  <w:noWrap w:val="0"/>
                  <w:vAlign w:val="top"/>
                </w:tcPr>
                <w:p w14:paraId="43B44B34">
                  <w:pPr>
                    <w:spacing w:before="114" w:line="274" w:lineRule="exact"/>
                    <w:ind w:left="1556"/>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3"/>
                      <w:sz w:val="21"/>
                      <w:szCs w:val="21"/>
                      <w:highlight w:val="none"/>
                    </w:rPr>
                    <w:t>Q=150L/h</w:t>
                  </w:r>
                </w:p>
              </w:tc>
              <w:tc>
                <w:tcPr>
                  <w:tcW w:w="744" w:type="dxa"/>
                  <w:noWrap w:val="0"/>
                  <w:vAlign w:val="top"/>
                </w:tcPr>
                <w:p w14:paraId="0D86CFCA">
                  <w:pPr>
                    <w:pStyle w:val="25"/>
                    <w:spacing w:before="145"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7BE1DB02">
                  <w:pPr>
                    <w:spacing w:before="181" w:line="195" w:lineRule="auto"/>
                    <w:ind w:left="42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w:t>
                  </w:r>
                </w:p>
              </w:tc>
            </w:tr>
            <w:tr w14:paraId="729DE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73FEEFD3">
                  <w:pPr>
                    <w:spacing w:before="182" w:line="195" w:lineRule="auto"/>
                    <w:ind w:left="23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3</w:t>
                  </w:r>
                </w:p>
              </w:tc>
              <w:tc>
                <w:tcPr>
                  <w:tcW w:w="2115" w:type="dxa"/>
                  <w:noWrap w:val="0"/>
                  <w:vAlign w:val="top"/>
                </w:tcPr>
                <w:p w14:paraId="37B4C614">
                  <w:pPr>
                    <w:pStyle w:val="25"/>
                    <w:spacing w:before="146" w:line="228" w:lineRule="auto"/>
                    <w:ind w:left="396"/>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HUB</w:t>
                  </w:r>
                  <w:r>
                    <w:rPr>
                      <w:rFonts w:hint="default" w:ascii="Times New Roman" w:hAnsi="Times New Roman" w:eastAsia="Times New Roman" w:cs="Times New Roman"/>
                      <w:color w:val="000000"/>
                      <w:spacing w:val="17"/>
                      <w:w w:val="101"/>
                      <w:sz w:val="21"/>
                      <w:szCs w:val="21"/>
                      <w:highlight w:val="none"/>
                    </w:rPr>
                    <w:t xml:space="preserve"> </w:t>
                  </w:r>
                  <w:r>
                    <w:rPr>
                      <w:rFonts w:hint="default" w:ascii="Times New Roman" w:hAnsi="Times New Roman" w:cs="Times New Roman"/>
                      <w:color w:val="000000"/>
                      <w:spacing w:val="10"/>
                      <w:sz w:val="21"/>
                      <w:szCs w:val="21"/>
                      <w:highlight w:val="none"/>
                    </w:rPr>
                    <w:t>水解改造</w:t>
                  </w:r>
                </w:p>
              </w:tc>
              <w:tc>
                <w:tcPr>
                  <w:tcW w:w="3953" w:type="dxa"/>
                  <w:noWrap w:val="0"/>
                  <w:vAlign w:val="top"/>
                </w:tcPr>
                <w:p w14:paraId="28E18711">
                  <w:pPr>
                    <w:spacing w:before="270" w:line="97" w:lineRule="exact"/>
                    <w:ind w:left="189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w:t>
                  </w:r>
                </w:p>
              </w:tc>
              <w:tc>
                <w:tcPr>
                  <w:tcW w:w="744" w:type="dxa"/>
                  <w:noWrap w:val="0"/>
                  <w:vAlign w:val="top"/>
                </w:tcPr>
                <w:p w14:paraId="1AD9BB4C">
                  <w:pPr>
                    <w:pStyle w:val="25"/>
                    <w:spacing w:before="145"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476BFEFF">
                  <w:pPr>
                    <w:spacing w:before="182"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54B17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569" w:type="dxa"/>
                  <w:noWrap w:val="0"/>
                  <w:vAlign w:val="top"/>
                </w:tcPr>
                <w:p w14:paraId="02EDFD0C">
                  <w:pPr>
                    <w:spacing w:before="103" w:line="195" w:lineRule="auto"/>
                    <w:ind w:left="226"/>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w:t>
                  </w:r>
                </w:p>
              </w:tc>
              <w:tc>
                <w:tcPr>
                  <w:tcW w:w="2115" w:type="dxa"/>
                  <w:noWrap w:val="0"/>
                  <w:vAlign w:val="top"/>
                </w:tcPr>
                <w:p w14:paraId="56DDB6A6">
                  <w:pPr>
                    <w:pStyle w:val="25"/>
                    <w:spacing w:before="67" w:line="228" w:lineRule="auto"/>
                    <w:ind w:left="544"/>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潜水搅拌机</w:t>
                  </w:r>
                </w:p>
              </w:tc>
              <w:tc>
                <w:tcPr>
                  <w:tcW w:w="3953" w:type="dxa"/>
                  <w:noWrap w:val="0"/>
                  <w:vAlign w:val="top"/>
                </w:tcPr>
                <w:p w14:paraId="4A49E4EB">
                  <w:pPr>
                    <w:pStyle w:val="25"/>
                    <w:spacing w:before="68" w:line="229" w:lineRule="auto"/>
                    <w:ind w:left="1602"/>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pacing w:val="3"/>
                      <w:sz w:val="21"/>
                      <w:szCs w:val="21"/>
                      <w:highlight w:val="none"/>
                    </w:rPr>
                    <w:t>液下</w:t>
                  </w:r>
                  <w:r>
                    <w:rPr>
                      <w:rFonts w:hint="default" w:ascii="Times New Roman" w:hAnsi="Times New Roman" w:cs="Times New Roman"/>
                      <w:color w:val="000000"/>
                      <w:spacing w:val="-37"/>
                      <w:sz w:val="21"/>
                      <w:szCs w:val="21"/>
                      <w:highlight w:val="none"/>
                    </w:rPr>
                    <w:t xml:space="preserve"> </w:t>
                  </w:r>
                  <w:r>
                    <w:rPr>
                      <w:rFonts w:hint="default" w:ascii="Times New Roman" w:hAnsi="Times New Roman" w:eastAsia="Times New Roman" w:cs="Times New Roman"/>
                      <w:color w:val="000000"/>
                      <w:spacing w:val="3"/>
                      <w:sz w:val="21"/>
                      <w:szCs w:val="21"/>
                      <w:highlight w:val="none"/>
                    </w:rPr>
                    <w:t>304</w:t>
                  </w:r>
                </w:p>
              </w:tc>
              <w:tc>
                <w:tcPr>
                  <w:tcW w:w="744" w:type="dxa"/>
                  <w:noWrap w:val="0"/>
                  <w:vAlign w:val="top"/>
                </w:tcPr>
                <w:p w14:paraId="64D01690">
                  <w:pPr>
                    <w:pStyle w:val="25"/>
                    <w:spacing w:before="68"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78E84DA5">
                  <w:pPr>
                    <w:spacing w:before="103" w:line="195" w:lineRule="auto"/>
                    <w:ind w:left="43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8</w:t>
                  </w:r>
                </w:p>
              </w:tc>
            </w:tr>
            <w:tr w14:paraId="2BD79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0E12618A">
                  <w:pPr>
                    <w:spacing w:before="184" w:line="192" w:lineRule="auto"/>
                    <w:ind w:left="232"/>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5</w:t>
                  </w:r>
                </w:p>
              </w:tc>
              <w:tc>
                <w:tcPr>
                  <w:tcW w:w="2115" w:type="dxa"/>
                  <w:noWrap w:val="0"/>
                  <w:vAlign w:val="top"/>
                </w:tcPr>
                <w:p w14:paraId="7A25F1BD">
                  <w:pPr>
                    <w:pStyle w:val="25"/>
                    <w:spacing w:before="145" w:line="228" w:lineRule="auto"/>
                    <w:ind w:left="441"/>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硝化液回流槽</w:t>
                  </w:r>
                </w:p>
              </w:tc>
              <w:tc>
                <w:tcPr>
                  <w:tcW w:w="3953" w:type="dxa"/>
                  <w:noWrap w:val="0"/>
                  <w:vAlign w:val="top"/>
                </w:tcPr>
                <w:p w14:paraId="792B1D79">
                  <w:pPr>
                    <w:spacing w:before="114" w:line="278" w:lineRule="exact"/>
                    <w:ind w:left="139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3.0</w:t>
                  </w:r>
                  <w:r>
                    <w:rPr>
                      <w:rFonts w:hint="default" w:ascii="Times New Roman" w:hAnsi="Times New Roman" w:eastAsia="Times New Roman" w:cs="Times New Roman"/>
                      <w:color w:val="000000"/>
                      <w:spacing w:val="-30"/>
                      <w:position w:val="2"/>
                      <w:sz w:val="21"/>
                      <w:szCs w:val="21"/>
                      <w:highlight w:val="none"/>
                    </w:rPr>
                    <w:t xml:space="preserve"> </w:t>
                  </w:r>
                  <w:r>
                    <w:rPr>
                      <w:rFonts w:hint="default" w:ascii="Times New Roman" w:hAnsi="Times New Roman" w:eastAsia="Arial" w:cs="Times New Roman"/>
                      <w:color w:val="000000"/>
                      <w:spacing w:val="1"/>
                      <w:position w:val="2"/>
                      <w:sz w:val="21"/>
                      <w:szCs w:val="21"/>
                      <w:highlight w:val="none"/>
                    </w:rPr>
                    <w:t>×</w:t>
                  </w:r>
                  <w:r>
                    <w:rPr>
                      <w:rFonts w:hint="default" w:ascii="Times New Roman" w:hAnsi="Times New Roman" w:eastAsia="Times New Roman" w:cs="Times New Roman"/>
                      <w:color w:val="000000"/>
                      <w:spacing w:val="1"/>
                      <w:position w:val="2"/>
                      <w:sz w:val="21"/>
                      <w:szCs w:val="21"/>
                      <w:highlight w:val="none"/>
                    </w:rPr>
                    <w:t>4.0</w:t>
                  </w:r>
                  <w:r>
                    <w:rPr>
                      <w:rFonts w:hint="default" w:ascii="Times New Roman" w:hAnsi="Times New Roman" w:eastAsia="Times New Roman" w:cs="Times New Roman"/>
                      <w:color w:val="000000"/>
                      <w:spacing w:val="-34"/>
                      <w:position w:val="2"/>
                      <w:sz w:val="21"/>
                      <w:szCs w:val="21"/>
                      <w:highlight w:val="none"/>
                    </w:rPr>
                    <w:t xml:space="preserve"> </w:t>
                  </w:r>
                  <w:r>
                    <w:rPr>
                      <w:rFonts w:hint="default" w:ascii="Times New Roman" w:hAnsi="Times New Roman" w:eastAsia="Arial" w:cs="Times New Roman"/>
                      <w:color w:val="000000"/>
                      <w:spacing w:val="1"/>
                      <w:position w:val="2"/>
                      <w:sz w:val="21"/>
                      <w:szCs w:val="21"/>
                      <w:highlight w:val="none"/>
                    </w:rPr>
                    <w:t>×</w:t>
                  </w:r>
                  <w:r>
                    <w:rPr>
                      <w:rFonts w:hint="default" w:ascii="Times New Roman" w:hAnsi="Times New Roman" w:eastAsia="Times New Roman" w:cs="Times New Roman"/>
                      <w:color w:val="000000"/>
                      <w:spacing w:val="1"/>
                      <w:position w:val="2"/>
                      <w:sz w:val="21"/>
                      <w:szCs w:val="21"/>
                      <w:highlight w:val="none"/>
                    </w:rPr>
                    <w:t>2.5m</w:t>
                  </w:r>
                </w:p>
              </w:tc>
              <w:tc>
                <w:tcPr>
                  <w:tcW w:w="744" w:type="dxa"/>
                  <w:noWrap w:val="0"/>
                  <w:vAlign w:val="top"/>
                </w:tcPr>
                <w:p w14:paraId="3B6C1CF3">
                  <w:pPr>
                    <w:pStyle w:val="25"/>
                    <w:spacing w:before="145"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474B3587">
                  <w:pPr>
                    <w:spacing w:before="181"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5FAEC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69" w:type="dxa"/>
                  <w:noWrap w:val="0"/>
                  <w:vAlign w:val="top"/>
                </w:tcPr>
                <w:p w14:paraId="46F3EAA3">
                  <w:pPr>
                    <w:rPr>
                      <w:rFonts w:hint="default" w:ascii="Times New Roman" w:hAnsi="Times New Roman" w:cs="Times New Roman"/>
                      <w:color w:val="000000"/>
                      <w:sz w:val="21"/>
                      <w:szCs w:val="21"/>
                      <w:highlight w:val="none"/>
                    </w:rPr>
                  </w:pPr>
                </w:p>
              </w:tc>
              <w:tc>
                <w:tcPr>
                  <w:tcW w:w="2115" w:type="dxa"/>
                  <w:noWrap w:val="0"/>
                  <w:vAlign w:val="top"/>
                </w:tcPr>
                <w:p w14:paraId="1B7CD7EE">
                  <w:pPr>
                    <w:pStyle w:val="25"/>
                    <w:spacing w:before="146" w:line="228" w:lineRule="auto"/>
                    <w:ind w:left="233"/>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高密度絮凝反应器</w:t>
                  </w:r>
                </w:p>
              </w:tc>
              <w:tc>
                <w:tcPr>
                  <w:tcW w:w="3953" w:type="dxa"/>
                  <w:noWrap w:val="0"/>
                  <w:vAlign w:val="top"/>
                </w:tcPr>
                <w:p w14:paraId="532E3DC1">
                  <w:pPr>
                    <w:spacing w:before="270" w:line="97" w:lineRule="exact"/>
                    <w:ind w:left="189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w:t>
                  </w:r>
                </w:p>
              </w:tc>
              <w:tc>
                <w:tcPr>
                  <w:tcW w:w="744" w:type="dxa"/>
                  <w:noWrap w:val="0"/>
                  <w:vAlign w:val="top"/>
                </w:tcPr>
                <w:p w14:paraId="2E59C8F4">
                  <w:pPr>
                    <w:pStyle w:val="25"/>
                    <w:spacing w:before="145"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141228E9">
                  <w:pPr>
                    <w:spacing w:before="182"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785DC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69" w:type="dxa"/>
                  <w:noWrap w:val="0"/>
                  <w:vAlign w:val="top"/>
                </w:tcPr>
                <w:p w14:paraId="41B4E9CE">
                  <w:pPr>
                    <w:spacing w:before="181" w:line="195" w:lineRule="auto"/>
                    <w:ind w:left="23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6</w:t>
                  </w:r>
                </w:p>
              </w:tc>
              <w:tc>
                <w:tcPr>
                  <w:tcW w:w="2115" w:type="dxa"/>
                  <w:noWrap w:val="0"/>
                  <w:vAlign w:val="top"/>
                </w:tcPr>
                <w:p w14:paraId="041571D4">
                  <w:pPr>
                    <w:pStyle w:val="25"/>
                    <w:spacing w:before="145" w:line="228" w:lineRule="auto"/>
                    <w:ind w:left="544"/>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框式搅拌机</w:t>
                  </w:r>
                </w:p>
              </w:tc>
              <w:tc>
                <w:tcPr>
                  <w:tcW w:w="3953" w:type="dxa"/>
                  <w:noWrap w:val="0"/>
                  <w:vAlign w:val="top"/>
                </w:tcPr>
                <w:p w14:paraId="5409F23F">
                  <w:pPr>
                    <w:spacing w:before="114" w:line="275" w:lineRule="exact"/>
                    <w:ind w:left="1544"/>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3"/>
                      <w:position w:val="2"/>
                      <w:sz w:val="21"/>
                      <w:szCs w:val="21"/>
                      <w:highlight w:val="none"/>
                    </w:rPr>
                    <w:t>N=</w:t>
                  </w:r>
                  <w:r>
                    <w:rPr>
                      <w:rFonts w:hint="default" w:ascii="Times New Roman" w:hAnsi="Times New Roman" w:eastAsia="Times New Roman" w:cs="Times New Roman"/>
                      <w:color w:val="000000"/>
                      <w:spacing w:val="-23"/>
                      <w:position w:val="2"/>
                      <w:sz w:val="21"/>
                      <w:szCs w:val="21"/>
                      <w:highlight w:val="none"/>
                    </w:rPr>
                    <w:t xml:space="preserve"> </w:t>
                  </w:r>
                  <w:r>
                    <w:rPr>
                      <w:rFonts w:hint="default" w:ascii="Times New Roman" w:hAnsi="Times New Roman" w:eastAsia="Times New Roman" w:cs="Times New Roman"/>
                      <w:color w:val="000000"/>
                      <w:spacing w:val="3"/>
                      <w:position w:val="2"/>
                      <w:sz w:val="21"/>
                      <w:szCs w:val="21"/>
                      <w:highlight w:val="none"/>
                    </w:rPr>
                    <w:t>1.5</w:t>
                  </w:r>
                  <w:r>
                    <w:rPr>
                      <w:rFonts w:hint="default" w:ascii="Times New Roman" w:hAnsi="Times New Roman" w:eastAsia="Times New Roman" w:cs="Times New Roman"/>
                      <w:color w:val="000000"/>
                      <w:position w:val="2"/>
                      <w:sz w:val="21"/>
                      <w:szCs w:val="21"/>
                      <w:highlight w:val="none"/>
                    </w:rPr>
                    <w:t>KW</w:t>
                  </w:r>
                </w:p>
              </w:tc>
              <w:tc>
                <w:tcPr>
                  <w:tcW w:w="744" w:type="dxa"/>
                  <w:noWrap w:val="0"/>
                  <w:vAlign w:val="top"/>
                </w:tcPr>
                <w:p w14:paraId="2DD90AE2">
                  <w:pPr>
                    <w:pStyle w:val="25"/>
                    <w:spacing w:before="145"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388CB37E">
                  <w:pPr>
                    <w:spacing w:before="181" w:line="195" w:lineRule="auto"/>
                    <w:ind w:left="42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w:t>
                  </w:r>
                </w:p>
              </w:tc>
            </w:tr>
            <w:tr w14:paraId="6E878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0233E7D8">
                  <w:pPr>
                    <w:rPr>
                      <w:rFonts w:hint="default" w:ascii="Times New Roman" w:hAnsi="Times New Roman" w:cs="Times New Roman"/>
                      <w:color w:val="000000"/>
                      <w:sz w:val="21"/>
                      <w:szCs w:val="21"/>
                      <w:highlight w:val="none"/>
                    </w:rPr>
                  </w:pPr>
                </w:p>
              </w:tc>
              <w:tc>
                <w:tcPr>
                  <w:tcW w:w="2115" w:type="dxa"/>
                  <w:noWrap w:val="0"/>
                  <w:vAlign w:val="top"/>
                </w:tcPr>
                <w:p w14:paraId="09D05847">
                  <w:pPr>
                    <w:pStyle w:val="25"/>
                    <w:spacing w:before="147" w:line="228" w:lineRule="auto"/>
                    <w:ind w:left="441"/>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旋转式刮泥机</w:t>
                  </w:r>
                </w:p>
              </w:tc>
              <w:tc>
                <w:tcPr>
                  <w:tcW w:w="3953" w:type="dxa"/>
                  <w:noWrap w:val="0"/>
                  <w:vAlign w:val="top"/>
                </w:tcPr>
                <w:p w14:paraId="78035075">
                  <w:pPr>
                    <w:spacing w:before="183" w:line="195" w:lineRule="auto"/>
                    <w:ind w:left="1492"/>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WNG</w:t>
                  </w:r>
                  <w:r>
                    <w:rPr>
                      <w:rFonts w:hint="default" w:ascii="Times New Roman" w:hAnsi="Times New Roman" w:eastAsia="Times New Roman" w:cs="Times New Roman"/>
                      <w:color w:val="000000"/>
                      <w:spacing w:val="8"/>
                      <w:sz w:val="21"/>
                      <w:szCs w:val="21"/>
                      <w:highlight w:val="none"/>
                    </w:rPr>
                    <w:t>-7.6m</w:t>
                  </w:r>
                </w:p>
              </w:tc>
              <w:tc>
                <w:tcPr>
                  <w:tcW w:w="744" w:type="dxa"/>
                  <w:noWrap w:val="0"/>
                  <w:vAlign w:val="top"/>
                </w:tcPr>
                <w:p w14:paraId="224C0472">
                  <w:pPr>
                    <w:pStyle w:val="25"/>
                    <w:spacing w:before="147"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7198C820">
                  <w:pPr>
                    <w:spacing w:before="183" w:line="195" w:lineRule="auto"/>
                    <w:ind w:left="42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4</w:t>
                  </w:r>
                </w:p>
              </w:tc>
            </w:tr>
            <w:tr w14:paraId="277C7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13B47729">
                  <w:pPr>
                    <w:spacing w:before="187" w:line="192" w:lineRule="auto"/>
                    <w:ind w:left="230"/>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7</w:t>
                  </w:r>
                </w:p>
              </w:tc>
              <w:tc>
                <w:tcPr>
                  <w:tcW w:w="2115" w:type="dxa"/>
                  <w:noWrap w:val="0"/>
                  <w:vAlign w:val="top"/>
                </w:tcPr>
                <w:p w14:paraId="0DF2AA3C">
                  <w:pPr>
                    <w:pStyle w:val="25"/>
                    <w:spacing w:before="148" w:line="229" w:lineRule="auto"/>
                    <w:ind w:left="439"/>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全自动过滤器</w:t>
                  </w:r>
                </w:p>
              </w:tc>
              <w:tc>
                <w:tcPr>
                  <w:tcW w:w="3953" w:type="dxa"/>
                  <w:noWrap w:val="0"/>
                  <w:vAlign w:val="top"/>
                </w:tcPr>
                <w:p w14:paraId="177E435B">
                  <w:pPr>
                    <w:spacing w:before="117" w:line="278" w:lineRule="exact"/>
                    <w:ind w:left="138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2"/>
                      <w:sz w:val="21"/>
                      <w:szCs w:val="21"/>
                      <w:highlight w:val="none"/>
                    </w:rPr>
                    <w:t>2m</w:t>
                  </w:r>
                  <w:r>
                    <w:rPr>
                      <w:rFonts w:hint="default" w:ascii="Times New Roman" w:hAnsi="Times New Roman" w:eastAsia="Arial" w:cs="Times New Roman"/>
                      <w:color w:val="000000"/>
                      <w:spacing w:val="2"/>
                      <w:position w:val="2"/>
                      <w:sz w:val="21"/>
                      <w:szCs w:val="21"/>
                      <w:highlight w:val="none"/>
                    </w:rPr>
                    <w:t>×</w:t>
                  </w:r>
                  <w:r>
                    <w:rPr>
                      <w:rFonts w:hint="default" w:ascii="Times New Roman" w:hAnsi="Times New Roman" w:eastAsia="Times New Roman" w:cs="Times New Roman"/>
                      <w:color w:val="000000"/>
                      <w:spacing w:val="2"/>
                      <w:position w:val="2"/>
                      <w:sz w:val="21"/>
                      <w:szCs w:val="21"/>
                      <w:highlight w:val="none"/>
                    </w:rPr>
                    <w:t>2m</w:t>
                  </w:r>
                  <w:r>
                    <w:rPr>
                      <w:rFonts w:hint="default" w:ascii="Times New Roman" w:hAnsi="Times New Roman" w:eastAsia="Arial" w:cs="Times New Roman"/>
                      <w:color w:val="000000"/>
                      <w:spacing w:val="2"/>
                      <w:position w:val="2"/>
                      <w:sz w:val="21"/>
                      <w:szCs w:val="21"/>
                      <w:highlight w:val="none"/>
                    </w:rPr>
                    <w:t>×</w:t>
                  </w:r>
                  <w:r>
                    <w:rPr>
                      <w:rFonts w:hint="default" w:ascii="Times New Roman" w:hAnsi="Times New Roman" w:eastAsia="Arial" w:cs="Times New Roman"/>
                      <w:color w:val="000000"/>
                      <w:spacing w:val="-25"/>
                      <w:position w:val="2"/>
                      <w:sz w:val="21"/>
                      <w:szCs w:val="21"/>
                      <w:highlight w:val="none"/>
                    </w:rPr>
                    <w:t xml:space="preserve"> </w:t>
                  </w:r>
                  <w:r>
                    <w:rPr>
                      <w:rFonts w:hint="default" w:ascii="Times New Roman" w:hAnsi="Times New Roman" w:eastAsia="Times New Roman" w:cs="Times New Roman"/>
                      <w:color w:val="000000"/>
                      <w:spacing w:val="2"/>
                      <w:position w:val="2"/>
                      <w:sz w:val="21"/>
                      <w:szCs w:val="21"/>
                      <w:highlight w:val="none"/>
                    </w:rPr>
                    <w:t>1.8m</w:t>
                  </w:r>
                </w:p>
              </w:tc>
              <w:tc>
                <w:tcPr>
                  <w:tcW w:w="744" w:type="dxa"/>
                  <w:noWrap w:val="0"/>
                  <w:vAlign w:val="top"/>
                </w:tcPr>
                <w:p w14:paraId="279224C9">
                  <w:pPr>
                    <w:pStyle w:val="25"/>
                    <w:spacing w:before="148"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46EA5D09">
                  <w:pPr>
                    <w:spacing w:before="184"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r w14:paraId="77E7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1DF94240">
                  <w:pPr>
                    <w:rPr>
                      <w:rFonts w:hint="default" w:ascii="Times New Roman" w:hAnsi="Times New Roman" w:cs="Times New Roman"/>
                      <w:color w:val="000000"/>
                      <w:sz w:val="21"/>
                      <w:szCs w:val="21"/>
                      <w:highlight w:val="none"/>
                    </w:rPr>
                  </w:pPr>
                </w:p>
              </w:tc>
              <w:tc>
                <w:tcPr>
                  <w:tcW w:w="2115" w:type="dxa"/>
                  <w:noWrap w:val="0"/>
                  <w:vAlign w:val="top"/>
                </w:tcPr>
                <w:p w14:paraId="6E0C7E17">
                  <w:pPr>
                    <w:pStyle w:val="25"/>
                    <w:spacing w:before="146" w:line="230" w:lineRule="auto"/>
                    <w:ind w:left="648"/>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反洗系统</w:t>
                  </w:r>
                </w:p>
              </w:tc>
              <w:tc>
                <w:tcPr>
                  <w:tcW w:w="3953" w:type="dxa"/>
                  <w:noWrap w:val="0"/>
                  <w:vAlign w:val="top"/>
                </w:tcPr>
                <w:p w14:paraId="0A273F35">
                  <w:pPr>
                    <w:spacing w:before="270" w:line="97" w:lineRule="exact"/>
                    <w:ind w:left="189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1"/>
                      <w:position w:val="-2"/>
                      <w:sz w:val="21"/>
                      <w:szCs w:val="21"/>
                      <w:highlight w:val="none"/>
                    </w:rPr>
                    <w:t>---</w:t>
                  </w:r>
                </w:p>
              </w:tc>
              <w:tc>
                <w:tcPr>
                  <w:tcW w:w="744" w:type="dxa"/>
                  <w:noWrap w:val="0"/>
                  <w:vAlign w:val="top"/>
                </w:tcPr>
                <w:p w14:paraId="3AEC7557">
                  <w:pPr>
                    <w:pStyle w:val="25"/>
                    <w:spacing w:before="146"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6705BDD7">
                  <w:pPr>
                    <w:spacing w:before="182"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r w14:paraId="0C1BA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02210CFD">
                  <w:pPr>
                    <w:spacing w:before="183" w:line="195" w:lineRule="auto"/>
                    <w:ind w:left="235"/>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8</w:t>
                  </w:r>
                </w:p>
              </w:tc>
              <w:tc>
                <w:tcPr>
                  <w:tcW w:w="2115" w:type="dxa"/>
                  <w:noWrap w:val="0"/>
                  <w:vAlign w:val="top"/>
                </w:tcPr>
                <w:p w14:paraId="573BAE76">
                  <w:pPr>
                    <w:pStyle w:val="25"/>
                    <w:spacing w:before="147" w:line="228" w:lineRule="auto"/>
                    <w:ind w:left="544"/>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臭氧发生器</w:t>
                  </w:r>
                </w:p>
              </w:tc>
              <w:tc>
                <w:tcPr>
                  <w:tcW w:w="3953" w:type="dxa"/>
                  <w:noWrap w:val="0"/>
                  <w:vAlign w:val="top"/>
                </w:tcPr>
                <w:p w14:paraId="0A8A45DF">
                  <w:pPr>
                    <w:pStyle w:val="25"/>
                    <w:spacing w:before="116" w:line="274" w:lineRule="exact"/>
                    <w:ind w:left="1419"/>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pacing w:val="4"/>
                      <w:position w:val="2"/>
                      <w:sz w:val="21"/>
                      <w:szCs w:val="21"/>
                      <w:highlight w:val="none"/>
                    </w:rPr>
                    <w:t>发生量</w:t>
                  </w:r>
                  <w:r>
                    <w:rPr>
                      <w:rFonts w:hint="default" w:ascii="Times New Roman" w:hAnsi="Times New Roman" w:cs="Times New Roman"/>
                      <w:color w:val="000000"/>
                      <w:spacing w:val="-34"/>
                      <w:position w:val="2"/>
                      <w:sz w:val="21"/>
                      <w:szCs w:val="21"/>
                      <w:highlight w:val="none"/>
                    </w:rPr>
                    <w:t xml:space="preserve"> </w:t>
                  </w:r>
                  <w:r>
                    <w:rPr>
                      <w:rFonts w:hint="default" w:ascii="Times New Roman" w:hAnsi="Times New Roman" w:eastAsia="Times New Roman" w:cs="Times New Roman"/>
                      <w:color w:val="000000"/>
                      <w:spacing w:val="4"/>
                      <w:position w:val="2"/>
                      <w:sz w:val="21"/>
                      <w:szCs w:val="21"/>
                      <w:highlight w:val="none"/>
                    </w:rPr>
                    <w:t>3</w:t>
                  </w:r>
                  <w:r>
                    <w:rPr>
                      <w:rFonts w:hint="default" w:ascii="Times New Roman" w:hAnsi="Times New Roman" w:eastAsia="Times New Roman" w:cs="Times New Roman"/>
                      <w:color w:val="000000"/>
                      <w:position w:val="2"/>
                      <w:sz w:val="21"/>
                      <w:szCs w:val="21"/>
                      <w:highlight w:val="none"/>
                    </w:rPr>
                    <w:t>kg</w:t>
                  </w:r>
                  <w:r>
                    <w:rPr>
                      <w:rFonts w:hint="default" w:ascii="Times New Roman" w:hAnsi="Times New Roman" w:eastAsia="Times New Roman" w:cs="Times New Roman"/>
                      <w:color w:val="000000"/>
                      <w:spacing w:val="4"/>
                      <w:position w:val="2"/>
                      <w:sz w:val="21"/>
                      <w:szCs w:val="21"/>
                      <w:highlight w:val="none"/>
                    </w:rPr>
                    <w:t>/h</w:t>
                  </w:r>
                </w:p>
              </w:tc>
              <w:tc>
                <w:tcPr>
                  <w:tcW w:w="744" w:type="dxa"/>
                  <w:noWrap w:val="0"/>
                  <w:vAlign w:val="top"/>
                </w:tcPr>
                <w:p w14:paraId="13A4A503">
                  <w:pPr>
                    <w:pStyle w:val="25"/>
                    <w:spacing w:before="147"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658F76E9">
                  <w:pPr>
                    <w:spacing w:before="183"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61A98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1D444ADA">
                  <w:pPr>
                    <w:rPr>
                      <w:rFonts w:hint="default" w:ascii="Times New Roman" w:hAnsi="Times New Roman" w:cs="Times New Roman"/>
                      <w:color w:val="000000"/>
                      <w:sz w:val="21"/>
                      <w:szCs w:val="21"/>
                      <w:highlight w:val="none"/>
                    </w:rPr>
                  </w:pPr>
                </w:p>
              </w:tc>
              <w:tc>
                <w:tcPr>
                  <w:tcW w:w="2115" w:type="dxa"/>
                  <w:noWrap w:val="0"/>
                  <w:vAlign w:val="top"/>
                </w:tcPr>
                <w:p w14:paraId="093DE350">
                  <w:pPr>
                    <w:pStyle w:val="25"/>
                    <w:spacing w:before="147" w:line="228" w:lineRule="auto"/>
                    <w:ind w:left="547"/>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螺杆压缩机</w:t>
                  </w:r>
                </w:p>
              </w:tc>
              <w:tc>
                <w:tcPr>
                  <w:tcW w:w="3953" w:type="dxa"/>
                  <w:noWrap w:val="0"/>
                  <w:vAlign w:val="top"/>
                </w:tcPr>
                <w:p w14:paraId="7DB4B205">
                  <w:pPr>
                    <w:spacing w:before="117" w:line="274" w:lineRule="exact"/>
                    <w:ind w:left="123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position w:val="1"/>
                      <w:sz w:val="21"/>
                      <w:szCs w:val="21"/>
                      <w:highlight w:val="none"/>
                    </w:rPr>
                    <w:t>TH</w:t>
                  </w:r>
                  <w:r>
                    <w:rPr>
                      <w:rFonts w:hint="default" w:ascii="Times New Roman" w:hAnsi="Times New Roman" w:eastAsia="Times New Roman" w:cs="Times New Roman"/>
                      <w:color w:val="000000"/>
                      <w:spacing w:val="5"/>
                      <w:position w:val="1"/>
                      <w:sz w:val="21"/>
                      <w:szCs w:val="21"/>
                      <w:highlight w:val="none"/>
                    </w:rPr>
                    <w:t>30/8-4.8</w:t>
                  </w:r>
                  <w:r>
                    <w:rPr>
                      <w:rFonts w:hint="default" w:ascii="Times New Roman" w:hAnsi="Times New Roman" w:eastAsia="Times New Roman" w:cs="Times New Roman"/>
                      <w:color w:val="000000"/>
                      <w:position w:val="1"/>
                      <w:sz w:val="21"/>
                      <w:szCs w:val="21"/>
                      <w:highlight w:val="none"/>
                    </w:rPr>
                    <w:t>ZG</w:t>
                  </w:r>
                  <w:r>
                    <w:rPr>
                      <w:rFonts w:hint="default" w:ascii="Times New Roman" w:hAnsi="Times New Roman" w:eastAsia="Times New Roman" w:cs="Times New Roman"/>
                      <w:color w:val="000000"/>
                      <w:spacing w:val="5"/>
                      <w:position w:val="1"/>
                      <w:sz w:val="21"/>
                      <w:szCs w:val="21"/>
                      <w:highlight w:val="none"/>
                    </w:rPr>
                    <w:t>1.5</w:t>
                  </w:r>
                </w:p>
              </w:tc>
              <w:tc>
                <w:tcPr>
                  <w:tcW w:w="744" w:type="dxa"/>
                  <w:noWrap w:val="0"/>
                  <w:vAlign w:val="top"/>
                </w:tcPr>
                <w:p w14:paraId="4D12B2F6">
                  <w:pPr>
                    <w:pStyle w:val="25"/>
                    <w:spacing w:before="148"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4ABA36C9">
                  <w:pPr>
                    <w:spacing w:before="184"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r w14:paraId="08A2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6FFA2328">
                  <w:pPr>
                    <w:rPr>
                      <w:rFonts w:hint="default" w:ascii="Times New Roman" w:hAnsi="Times New Roman" w:cs="Times New Roman"/>
                      <w:color w:val="000000"/>
                      <w:sz w:val="21"/>
                      <w:szCs w:val="21"/>
                      <w:highlight w:val="none"/>
                    </w:rPr>
                  </w:pPr>
                </w:p>
              </w:tc>
              <w:tc>
                <w:tcPr>
                  <w:tcW w:w="2115" w:type="dxa"/>
                  <w:noWrap w:val="0"/>
                  <w:vAlign w:val="top"/>
                </w:tcPr>
                <w:p w14:paraId="7BF2142D">
                  <w:pPr>
                    <w:pStyle w:val="25"/>
                    <w:spacing w:before="146" w:line="228" w:lineRule="auto"/>
                    <w:ind w:left="441"/>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冷冻式干燥机</w:t>
                  </w:r>
                </w:p>
              </w:tc>
              <w:tc>
                <w:tcPr>
                  <w:tcW w:w="3953" w:type="dxa"/>
                  <w:noWrap w:val="0"/>
                  <w:vAlign w:val="top"/>
                </w:tcPr>
                <w:p w14:paraId="555735F9">
                  <w:pPr>
                    <w:spacing w:before="182" w:line="195" w:lineRule="auto"/>
                    <w:ind w:left="1312"/>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HAD</w:t>
                  </w:r>
                  <w:r>
                    <w:rPr>
                      <w:rFonts w:hint="default" w:ascii="Times New Roman" w:hAnsi="Times New Roman" w:eastAsia="Times New Roman" w:cs="Times New Roman"/>
                      <w:color w:val="000000"/>
                      <w:spacing w:val="9"/>
                      <w:sz w:val="21"/>
                      <w:szCs w:val="21"/>
                      <w:highlight w:val="none"/>
                    </w:rPr>
                    <w:t>-6</w:t>
                  </w:r>
                  <w:r>
                    <w:rPr>
                      <w:rFonts w:hint="default" w:ascii="Times New Roman" w:hAnsi="Times New Roman" w:eastAsia="Times New Roman" w:cs="Times New Roman"/>
                      <w:color w:val="000000"/>
                      <w:sz w:val="21"/>
                      <w:szCs w:val="21"/>
                      <w:highlight w:val="none"/>
                    </w:rPr>
                    <w:t>HTF</w:t>
                  </w:r>
                  <w:r>
                    <w:rPr>
                      <w:rFonts w:hint="default" w:ascii="Times New Roman" w:hAnsi="Times New Roman" w:eastAsia="Times New Roman" w:cs="Times New Roman"/>
                      <w:color w:val="000000"/>
                      <w:spacing w:val="9"/>
                      <w:sz w:val="21"/>
                      <w:szCs w:val="21"/>
                      <w:highlight w:val="none"/>
                    </w:rPr>
                    <w:t>-6.5</w:t>
                  </w:r>
                </w:p>
              </w:tc>
              <w:tc>
                <w:tcPr>
                  <w:tcW w:w="744" w:type="dxa"/>
                  <w:noWrap w:val="0"/>
                  <w:vAlign w:val="top"/>
                </w:tcPr>
                <w:p w14:paraId="67D29AED">
                  <w:pPr>
                    <w:pStyle w:val="25"/>
                    <w:spacing w:before="146"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23006548">
                  <w:pPr>
                    <w:spacing w:before="182"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6471B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50D7E972">
                  <w:pPr>
                    <w:spacing w:before="116" w:line="274"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355406B5">
                  <w:pPr>
                    <w:pStyle w:val="25"/>
                    <w:spacing w:before="147" w:line="228" w:lineRule="auto"/>
                    <w:ind w:left="530"/>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PSA</w:t>
                  </w:r>
                  <w:r>
                    <w:rPr>
                      <w:rFonts w:hint="default" w:ascii="Times New Roman" w:hAnsi="Times New Roman" w:eastAsia="Times New Roman" w:cs="Times New Roman"/>
                      <w:color w:val="000000"/>
                      <w:spacing w:val="12"/>
                      <w:sz w:val="21"/>
                      <w:szCs w:val="21"/>
                      <w:highlight w:val="none"/>
                    </w:rPr>
                    <w:t xml:space="preserve"> </w:t>
                  </w:r>
                  <w:r>
                    <w:rPr>
                      <w:rFonts w:hint="default" w:ascii="Times New Roman" w:hAnsi="Times New Roman" w:cs="Times New Roman"/>
                      <w:color w:val="000000"/>
                      <w:spacing w:val="11"/>
                      <w:sz w:val="21"/>
                      <w:szCs w:val="21"/>
                      <w:highlight w:val="none"/>
                    </w:rPr>
                    <w:t>制氧机</w:t>
                  </w:r>
                </w:p>
              </w:tc>
              <w:tc>
                <w:tcPr>
                  <w:tcW w:w="3953" w:type="dxa"/>
                  <w:noWrap w:val="0"/>
                  <w:vAlign w:val="top"/>
                </w:tcPr>
                <w:p w14:paraId="37E96DE1">
                  <w:pPr>
                    <w:spacing w:before="183" w:line="195" w:lineRule="auto"/>
                    <w:ind w:left="1710"/>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ZY</w:t>
                  </w:r>
                  <w:r>
                    <w:rPr>
                      <w:rFonts w:hint="default" w:ascii="Times New Roman" w:hAnsi="Times New Roman" w:eastAsia="Times New Roman" w:cs="Times New Roman"/>
                      <w:color w:val="000000"/>
                      <w:spacing w:val="7"/>
                      <w:sz w:val="21"/>
                      <w:szCs w:val="21"/>
                      <w:highlight w:val="none"/>
                    </w:rPr>
                    <w:t>-20</w:t>
                  </w:r>
                </w:p>
              </w:tc>
              <w:tc>
                <w:tcPr>
                  <w:tcW w:w="744" w:type="dxa"/>
                  <w:noWrap w:val="0"/>
                  <w:vAlign w:val="top"/>
                </w:tcPr>
                <w:p w14:paraId="70AE6F18">
                  <w:pPr>
                    <w:pStyle w:val="25"/>
                    <w:spacing w:before="147"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5AD1563B">
                  <w:pPr>
                    <w:spacing w:before="183"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46274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113C4168">
                  <w:pPr>
                    <w:spacing w:before="117" w:line="274"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63CD3114">
                  <w:pPr>
                    <w:pStyle w:val="25"/>
                    <w:spacing w:before="147" w:line="228" w:lineRule="auto"/>
                    <w:ind w:left="228"/>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催化氧化配套设备</w:t>
                  </w:r>
                </w:p>
              </w:tc>
              <w:tc>
                <w:tcPr>
                  <w:tcW w:w="3953" w:type="dxa"/>
                  <w:noWrap w:val="0"/>
                  <w:vAlign w:val="top"/>
                </w:tcPr>
                <w:p w14:paraId="5A6454C7">
                  <w:pPr>
                    <w:spacing w:before="117" w:line="278" w:lineRule="exact"/>
                    <w:ind w:left="1590"/>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2"/>
                      <w:sz w:val="21"/>
                      <w:szCs w:val="21"/>
                      <w:highlight w:val="none"/>
                    </w:rPr>
                    <w:t>Φ3.0m</w:t>
                  </w:r>
                  <w:r>
                    <w:rPr>
                      <w:rFonts w:hint="default" w:ascii="Times New Roman" w:hAnsi="Times New Roman" w:eastAsia="Arial" w:cs="Times New Roman"/>
                      <w:color w:val="000000"/>
                      <w:spacing w:val="4"/>
                      <w:position w:val="2"/>
                      <w:sz w:val="21"/>
                      <w:szCs w:val="21"/>
                      <w:highlight w:val="none"/>
                    </w:rPr>
                    <w:t>×</w:t>
                  </w:r>
                  <w:r>
                    <w:rPr>
                      <w:rFonts w:hint="default" w:ascii="Times New Roman" w:hAnsi="Times New Roman" w:eastAsia="Times New Roman" w:cs="Times New Roman"/>
                      <w:color w:val="000000"/>
                      <w:spacing w:val="4"/>
                      <w:position w:val="2"/>
                      <w:sz w:val="21"/>
                      <w:szCs w:val="21"/>
                      <w:highlight w:val="none"/>
                    </w:rPr>
                    <w:t>8</w:t>
                  </w:r>
                </w:p>
              </w:tc>
              <w:tc>
                <w:tcPr>
                  <w:tcW w:w="744" w:type="dxa"/>
                  <w:noWrap w:val="0"/>
                  <w:vAlign w:val="top"/>
                </w:tcPr>
                <w:p w14:paraId="4C944ACA">
                  <w:pPr>
                    <w:pStyle w:val="25"/>
                    <w:spacing w:before="148"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13E523EC">
                  <w:pPr>
                    <w:spacing w:before="184" w:line="195" w:lineRule="auto"/>
                    <w:ind w:left="433"/>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3</w:t>
                  </w:r>
                </w:p>
              </w:tc>
            </w:tr>
            <w:tr w14:paraId="710F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55D6DE1F">
                  <w:pPr>
                    <w:spacing w:before="115" w:line="275"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2E02E897">
                  <w:pPr>
                    <w:pStyle w:val="25"/>
                    <w:spacing w:before="146" w:line="228" w:lineRule="auto"/>
                    <w:ind w:left="333"/>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臭氧消化回流塔</w:t>
                  </w:r>
                </w:p>
              </w:tc>
              <w:tc>
                <w:tcPr>
                  <w:tcW w:w="3953" w:type="dxa"/>
                  <w:noWrap w:val="0"/>
                  <w:vAlign w:val="top"/>
                </w:tcPr>
                <w:p w14:paraId="6FA9E3D4">
                  <w:pPr>
                    <w:spacing w:before="116" w:line="277" w:lineRule="exact"/>
                    <w:ind w:left="1590"/>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2"/>
                      <w:sz w:val="21"/>
                      <w:szCs w:val="21"/>
                      <w:highlight w:val="none"/>
                    </w:rPr>
                    <w:t>Φ3.0m</w:t>
                  </w:r>
                  <w:r>
                    <w:rPr>
                      <w:rFonts w:hint="default" w:ascii="Times New Roman" w:hAnsi="Times New Roman" w:eastAsia="Arial" w:cs="Times New Roman"/>
                      <w:color w:val="000000"/>
                      <w:spacing w:val="4"/>
                      <w:position w:val="2"/>
                      <w:sz w:val="21"/>
                      <w:szCs w:val="21"/>
                      <w:highlight w:val="none"/>
                    </w:rPr>
                    <w:t>×</w:t>
                  </w:r>
                  <w:r>
                    <w:rPr>
                      <w:rFonts w:hint="default" w:ascii="Times New Roman" w:hAnsi="Times New Roman" w:eastAsia="Times New Roman" w:cs="Times New Roman"/>
                      <w:color w:val="000000"/>
                      <w:spacing w:val="4"/>
                      <w:position w:val="2"/>
                      <w:sz w:val="21"/>
                      <w:szCs w:val="21"/>
                      <w:highlight w:val="none"/>
                    </w:rPr>
                    <w:t>7</w:t>
                  </w:r>
                </w:p>
              </w:tc>
              <w:tc>
                <w:tcPr>
                  <w:tcW w:w="744" w:type="dxa"/>
                  <w:noWrap w:val="0"/>
                  <w:vAlign w:val="top"/>
                </w:tcPr>
                <w:p w14:paraId="5A4178B9">
                  <w:pPr>
                    <w:pStyle w:val="25"/>
                    <w:spacing w:before="146"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67931A72">
                  <w:pPr>
                    <w:spacing w:before="182"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r w14:paraId="2472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63AE8044">
                  <w:pPr>
                    <w:spacing w:before="183" w:line="195" w:lineRule="auto"/>
                    <w:ind w:left="23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9</w:t>
                  </w:r>
                </w:p>
              </w:tc>
              <w:tc>
                <w:tcPr>
                  <w:tcW w:w="2115" w:type="dxa"/>
                  <w:noWrap w:val="0"/>
                  <w:vAlign w:val="top"/>
                </w:tcPr>
                <w:p w14:paraId="6EE66ADD">
                  <w:pPr>
                    <w:pStyle w:val="25"/>
                    <w:spacing w:before="147" w:line="230" w:lineRule="auto"/>
                    <w:ind w:left="477"/>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MAK</w:t>
                  </w:r>
                  <w:r>
                    <w:rPr>
                      <w:rFonts w:hint="default" w:ascii="Times New Roman" w:hAnsi="Times New Roman" w:eastAsia="Times New Roman" w:cs="Times New Roman"/>
                      <w:color w:val="000000"/>
                      <w:spacing w:val="14"/>
                      <w:sz w:val="21"/>
                      <w:szCs w:val="21"/>
                      <w:highlight w:val="none"/>
                    </w:rPr>
                    <w:t xml:space="preserve"> </w:t>
                  </w:r>
                  <w:r>
                    <w:rPr>
                      <w:rFonts w:hint="default" w:ascii="Times New Roman" w:hAnsi="Times New Roman" w:cs="Times New Roman"/>
                      <w:color w:val="000000"/>
                      <w:spacing w:val="12"/>
                      <w:sz w:val="21"/>
                      <w:szCs w:val="21"/>
                      <w:highlight w:val="none"/>
                    </w:rPr>
                    <w:t>生化塔</w:t>
                  </w:r>
                </w:p>
              </w:tc>
              <w:tc>
                <w:tcPr>
                  <w:tcW w:w="3953" w:type="dxa"/>
                  <w:noWrap w:val="0"/>
                  <w:vAlign w:val="top"/>
                </w:tcPr>
                <w:p w14:paraId="7572CFE5">
                  <w:pPr>
                    <w:spacing w:before="116" w:line="278" w:lineRule="exact"/>
                    <w:ind w:left="143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2"/>
                      <w:sz w:val="21"/>
                      <w:szCs w:val="21"/>
                      <w:highlight w:val="none"/>
                    </w:rPr>
                    <w:t>Φ5.0m</w:t>
                  </w:r>
                  <w:r>
                    <w:rPr>
                      <w:rFonts w:hint="default" w:ascii="Times New Roman" w:hAnsi="Times New Roman" w:eastAsia="Arial" w:cs="Times New Roman"/>
                      <w:color w:val="000000"/>
                      <w:spacing w:val="4"/>
                      <w:position w:val="2"/>
                      <w:sz w:val="21"/>
                      <w:szCs w:val="21"/>
                      <w:highlight w:val="none"/>
                    </w:rPr>
                    <w:t>×</w:t>
                  </w:r>
                  <w:r>
                    <w:rPr>
                      <w:rFonts w:hint="default" w:ascii="Times New Roman" w:hAnsi="Times New Roman" w:eastAsia="Times New Roman" w:cs="Times New Roman"/>
                      <w:color w:val="000000"/>
                      <w:spacing w:val="4"/>
                      <w:position w:val="2"/>
                      <w:sz w:val="21"/>
                      <w:szCs w:val="21"/>
                      <w:highlight w:val="none"/>
                    </w:rPr>
                    <w:t>6.5m</w:t>
                  </w:r>
                </w:p>
              </w:tc>
              <w:tc>
                <w:tcPr>
                  <w:tcW w:w="744" w:type="dxa"/>
                  <w:noWrap w:val="0"/>
                  <w:vAlign w:val="top"/>
                </w:tcPr>
                <w:p w14:paraId="20FE6637">
                  <w:pPr>
                    <w:pStyle w:val="25"/>
                    <w:spacing w:before="147"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02211190">
                  <w:pPr>
                    <w:spacing w:before="183"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5BC44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0DC7B1CD">
                  <w:pPr>
                    <w:spacing w:before="117" w:line="274"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5224C245">
                  <w:pPr>
                    <w:pStyle w:val="25"/>
                    <w:spacing w:before="148" w:line="229" w:lineRule="auto"/>
                    <w:ind w:left="441"/>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生物颗粒填料</w:t>
                  </w:r>
                </w:p>
              </w:tc>
              <w:tc>
                <w:tcPr>
                  <w:tcW w:w="3953" w:type="dxa"/>
                  <w:noWrap w:val="0"/>
                  <w:vAlign w:val="top"/>
                </w:tcPr>
                <w:p w14:paraId="1E17B0F6">
                  <w:pPr>
                    <w:pStyle w:val="25"/>
                    <w:spacing w:before="148" w:line="236" w:lineRule="auto"/>
                    <w:ind w:left="1618"/>
                    <w:rPr>
                      <w:rFonts w:hint="default" w:ascii="Times New Roman" w:hAnsi="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AK</w:t>
                  </w:r>
                  <w:r>
                    <w:rPr>
                      <w:rFonts w:hint="default" w:ascii="Times New Roman" w:hAnsi="Times New Roman" w:eastAsia="Times New Roman" w:cs="Times New Roman"/>
                      <w:color w:val="000000"/>
                      <w:spacing w:val="6"/>
                      <w:sz w:val="21"/>
                      <w:szCs w:val="21"/>
                      <w:highlight w:val="none"/>
                    </w:rPr>
                    <w:t>-5</w:t>
                  </w:r>
                  <w:r>
                    <w:rPr>
                      <w:rFonts w:hint="default" w:ascii="Times New Roman" w:hAnsi="Times New Roman" w:eastAsia="Times New Roman" w:cs="Times New Roman"/>
                      <w:color w:val="000000"/>
                      <w:spacing w:val="18"/>
                      <w:w w:val="101"/>
                      <w:sz w:val="21"/>
                      <w:szCs w:val="21"/>
                      <w:highlight w:val="none"/>
                    </w:rPr>
                    <w:t xml:space="preserve"> </w:t>
                  </w:r>
                  <w:r>
                    <w:rPr>
                      <w:rFonts w:hint="default" w:ascii="Times New Roman" w:hAnsi="Times New Roman" w:cs="Times New Roman"/>
                      <w:color w:val="000000"/>
                      <w:spacing w:val="6"/>
                      <w:sz w:val="21"/>
                      <w:szCs w:val="21"/>
                      <w:highlight w:val="none"/>
                    </w:rPr>
                    <w:t>型</w:t>
                  </w:r>
                </w:p>
              </w:tc>
              <w:tc>
                <w:tcPr>
                  <w:tcW w:w="744" w:type="dxa"/>
                  <w:noWrap w:val="0"/>
                  <w:vAlign w:val="top"/>
                </w:tcPr>
                <w:p w14:paraId="6E413ED7">
                  <w:pPr>
                    <w:spacing w:before="164" w:line="216" w:lineRule="auto"/>
                    <w:ind w:left="25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3"/>
                      <w:sz w:val="21"/>
                      <w:szCs w:val="21"/>
                      <w:highlight w:val="none"/>
                    </w:rPr>
                    <w:t>m</w:t>
                  </w:r>
                  <w:r>
                    <w:rPr>
                      <w:rFonts w:hint="default" w:ascii="Times New Roman" w:hAnsi="Times New Roman" w:eastAsia="Times New Roman" w:cs="Times New Roman"/>
                      <w:color w:val="000000"/>
                      <w:spacing w:val="4"/>
                      <w:position w:val="3"/>
                      <w:sz w:val="21"/>
                      <w:szCs w:val="21"/>
                      <w:highlight w:val="none"/>
                    </w:rPr>
                    <w:t>3</w:t>
                  </w:r>
                </w:p>
              </w:tc>
              <w:tc>
                <w:tcPr>
                  <w:tcW w:w="935" w:type="dxa"/>
                  <w:noWrap w:val="0"/>
                  <w:vAlign w:val="top"/>
                </w:tcPr>
                <w:p w14:paraId="10B8E535">
                  <w:pPr>
                    <w:spacing w:before="184" w:line="195" w:lineRule="auto"/>
                    <w:ind w:left="323"/>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3"/>
                      <w:sz w:val="21"/>
                      <w:szCs w:val="21"/>
                      <w:highlight w:val="none"/>
                    </w:rPr>
                    <w:t>200</w:t>
                  </w:r>
                </w:p>
              </w:tc>
            </w:tr>
            <w:tr w14:paraId="1F337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69" w:type="dxa"/>
                  <w:noWrap w:val="0"/>
                  <w:vAlign w:val="top"/>
                </w:tcPr>
                <w:p w14:paraId="1B97847D">
                  <w:pPr>
                    <w:spacing w:before="115" w:line="275"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76AB47FC">
                  <w:pPr>
                    <w:pStyle w:val="25"/>
                    <w:spacing w:before="146" w:line="229" w:lineRule="auto"/>
                    <w:ind w:left="440"/>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石英砂过滤器</w:t>
                  </w:r>
                </w:p>
              </w:tc>
              <w:tc>
                <w:tcPr>
                  <w:tcW w:w="3953" w:type="dxa"/>
                  <w:noWrap w:val="0"/>
                  <w:vAlign w:val="top"/>
                </w:tcPr>
                <w:p w14:paraId="62FE19FD">
                  <w:pPr>
                    <w:pStyle w:val="25"/>
                    <w:spacing w:before="115" w:line="275" w:lineRule="exact"/>
                    <w:ind w:left="1441"/>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pacing w:val="3"/>
                      <w:position w:val="1"/>
                      <w:sz w:val="21"/>
                      <w:szCs w:val="21"/>
                      <w:highlight w:val="none"/>
                    </w:rPr>
                    <w:t>处理量</w:t>
                  </w:r>
                  <w:r>
                    <w:rPr>
                      <w:rFonts w:hint="default" w:ascii="Times New Roman" w:hAnsi="Times New Roman" w:cs="Times New Roman"/>
                      <w:color w:val="000000"/>
                      <w:spacing w:val="-37"/>
                      <w:position w:val="1"/>
                      <w:sz w:val="21"/>
                      <w:szCs w:val="21"/>
                      <w:highlight w:val="none"/>
                    </w:rPr>
                    <w:t xml:space="preserve"> </w:t>
                  </w:r>
                  <w:r>
                    <w:rPr>
                      <w:rFonts w:hint="default" w:ascii="Times New Roman" w:hAnsi="Times New Roman" w:eastAsia="Times New Roman" w:cs="Times New Roman"/>
                      <w:color w:val="000000"/>
                      <w:spacing w:val="3"/>
                      <w:position w:val="1"/>
                      <w:sz w:val="21"/>
                      <w:szCs w:val="21"/>
                      <w:highlight w:val="none"/>
                    </w:rPr>
                    <w:t>50t/h</w:t>
                  </w:r>
                </w:p>
              </w:tc>
              <w:tc>
                <w:tcPr>
                  <w:tcW w:w="744" w:type="dxa"/>
                  <w:noWrap w:val="0"/>
                  <w:vAlign w:val="top"/>
                </w:tcPr>
                <w:p w14:paraId="4A939AD0">
                  <w:pPr>
                    <w:pStyle w:val="25"/>
                    <w:spacing w:before="146"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36F5A5F9">
                  <w:pPr>
                    <w:spacing w:before="182" w:line="195" w:lineRule="auto"/>
                    <w:ind w:left="428"/>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2</w:t>
                  </w:r>
                </w:p>
              </w:tc>
            </w:tr>
            <w:tr w14:paraId="0508C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569" w:type="dxa"/>
                  <w:noWrap w:val="0"/>
                  <w:vAlign w:val="top"/>
                </w:tcPr>
                <w:p w14:paraId="50C9FB88">
                  <w:pPr>
                    <w:spacing w:before="184" w:line="195" w:lineRule="auto"/>
                    <w:ind w:left="194"/>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8"/>
                      <w:sz w:val="21"/>
                      <w:szCs w:val="21"/>
                      <w:highlight w:val="none"/>
                    </w:rPr>
                    <w:t>10</w:t>
                  </w:r>
                </w:p>
              </w:tc>
              <w:tc>
                <w:tcPr>
                  <w:tcW w:w="2115" w:type="dxa"/>
                  <w:noWrap w:val="0"/>
                  <w:vAlign w:val="top"/>
                </w:tcPr>
                <w:p w14:paraId="2BAC0C9C">
                  <w:pPr>
                    <w:pStyle w:val="25"/>
                    <w:spacing w:before="148" w:line="228" w:lineRule="auto"/>
                    <w:ind w:left="441"/>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7"/>
                      <w:sz w:val="21"/>
                      <w:szCs w:val="21"/>
                      <w:highlight w:val="none"/>
                    </w:rPr>
                    <w:t>污泥浓缩装置</w:t>
                  </w:r>
                </w:p>
              </w:tc>
              <w:tc>
                <w:tcPr>
                  <w:tcW w:w="3953" w:type="dxa"/>
                  <w:noWrap w:val="0"/>
                  <w:vAlign w:val="top"/>
                </w:tcPr>
                <w:p w14:paraId="441E48A0">
                  <w:pPr>
                    <w:spacing w:before="117" w:line="278" w:lineRule="exact"/>
                    <w:ind w:left="166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4"/>
                      <w:position w:val="2"/>
                      <w:sz w:val="21"/>
                      <w:szCs w:val="21"/>
                      <w:highlight w:val="none"/>
                    </w:rPr>
                    <w:t>Φ4</w:t>
                  </w:r>
                  <w:r>
                    <w:rPr>
                      <w:rFonts w:hint="default" w:ascii="Times New Roman" w:hAnsi="Times New Roman" w:eastAsia="Arial" w:cs="Times New Roman"/>
                      <w:color w:val="000000"/>
                      <w:spacing w:val="4"/>
                      <w:position w:val="2"/>
                      <w:sz w:val="21"/>
                      <w:szCs w:val="21"/>
                      <w:highlight w:val="none"/>
                    </w:rPr>
                    <w:t>×</w:t>
                  </w:r>
                  <w:r>
                    <w:rPr>
                      <w:rFonts w:hint="default" w:ascii="Times New Roman" w:hAnsi="Times New Roman" w:eastAsia="Times New Roman" w:cs="Times New Roman"/>
                      <w:color w:val="000000"/>
                      <w:spacing w:val="4"/>
                      <w:position w:val="2"/>
                      <w:sz w:val="21"/>
                      <w:szCs w:val="21"/>
                      <w:highlight w:val="none"/>
                    </w:rPr>
                    <w:t>8m</w:t>
                  </w:r>
                </w:p>
              </w:tc>
              <w:tc>
                <w:tcPr>
                  <w:tcW w:w="744" w:type="dxa"/>
                  <w:noWrap w:val="0"/>
                  <w:vAlign w:val="top"/>
                </w:tcPr>
                <w:p w14:paraId="50CD6E8C">
                  <w:pPr>
                    <w:pStyle w:val="25"/>
                    <w:spacing w:before="148" w:line="229" w:lineRule="auto"/>
                    <w:ind w:left="277"/>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套</w:t>
                  </w:r>
                </w:p>
              </w:tc>
              <w:tc>
                <w:tcPr>
                  <w:tcW w:w="935" w:type="dxa"/>
                  <w:noWrap w:val="0"/>
                  <w:vAlign w:val="top"/>
                </w:tcPr>
                <w:p w14:paraId="6C98BFD8">
                  <w:pPr>
                    <w:spacing w:before="184"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r w14:paraId="716F8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569" w:type="dxa"/>
                  <w:noWrap w:val="0"/>
                  <w:vAlign w:val="top"/>
                </w:tcPr>
                <w:p w14:paraId="1EFB50EF">
                  <w:pPr>
                    <w:spacing w:before="39" w:line="274" w:lineRule="exact"/>
                    <w:ind w:left="247"/>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pacing w:val="2"/>
                      <w:position w:val="1"/>
                      <w:sz w:val="21"/>
                      <w:szCs w:val="21"/>
                      <w:highlight w:val="none"/>
                    </w:rPr>
                    <w:t>/</w:t>
                  </w:r>
                </w:p>
              </w:tc>
              <w:tc>
                <w:tcPr>
                  <w:tcW w:w="2115" w:type="dxa"/>
                  <w:noWrap w:val="0"/>
                  <w:vAlign w:val="top"/>
                </w:tcPr>
                <w:p w14:paraId="14F3E802">
                  <w:pPr>
                    <w:pStyle w:val="25"/>
                    <w:spacing w:before="70" w:line="228" w:lineRule="auto"/>
                    <w:ind w:left="440"/>
                    <w:rPr>
                      <w:rFonts w:hint="default" w:ascii="Times New Roman" w:hAnsi="Times New Roman" w:cs="Times New Roman"/>
                      <w:color w:val="000000"/>
                      <w:sz w:val="21"/>
                      <w:szCs w:val="21"/>
                      <w:highlight w:val="none"/>
                    </w:rPr>
                  </w:pPr>
                  <w:r>
                    <w:rPr>
                      <w:rFonts w:hint="default" w:ascii="Times New Roman" w:hAnsi="Times New Roman" w:cs="Times New Roman"/>
                      <w:color w:val="000000"/>
                      <w:spacing w:val="8"/>
                      <w:sz w:val="21"/>
                      <w:szCs w:val="21"/>
                      <w:highlight w:val="none"/>
                    </w:rPr>
                    <w:t>脱水加药系统</w:t>
                  </w:r>
                </w:p>
              </w:tc>
              <w:tc>
                <w:tcPr>
                  <w:tcW w:w="3953" w:type="dxa"/>
                  <w:noWrap w:val="0"/>
                  <w:vAlign w:val="top"/>
                </w:tcPr>
                <w:p w14:paraId="34716A86">
                  <w:pPr>
                    <w:pStyle w:val="25"/>
                    <w:spacing w:before="39" w:line="274" w:lineRule="exact"/>
                    <w:ind w:left="1061"/>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position w:val="1"/>
                      <w:sz w:val="21"/>
                      <w:szCs w:val="21"/>
                      <w:highlight w:val="none"/>
                    </w:rPr>
                    <w:t>V=</w:t>
                  </w:r>
                  <w:r>
                    <w:rPr>
                      <w:rFonts w:hint="default" w:ascii="Times New Roman" w:hAnsi="Times New Roman" w:eastAsia="Times New Roman" w:cs="Times New Roman"/>
                      <w:color w:val="000000"/>
                      <w:spacing w:val="-14"/>
                      <w:position w:val="1"/>
                      <w:sz w:val="21"/>
                      <w:szCs w:val="21"/>
                      <w:highlight w:val="none"/>
                    </w:rPr>
                    <w:t xml:space="preserve"> </w:t>
                  </w:r>
                  <w:r>
                    <w:rPr>
                      <w:rFonts w:hint="default" w:ascii="Times New Roman" w:hAnsi="Times New Roman" w:eastAsia="Times New Roman" w:cs="Times New Roman"/>
                      <w:color w:val="000000"/>
                      <w:position w:val="1"/>
                      <w:sz w:val="21"/>
                      <w:szCs w:val="21"/>
                      <w:highlight w:val="none"/>
                    </w:rPr>
                    <w:t>1.5m</w:t>
                  </w:r>
                  <w:r>
                    <w:rPr>
                      <w:rFonts w:hint="default" w:ascii="Times New Roman" w:hAnsi="Times New Roman" w:eastAsia="Times New Roman" w:cs="Times New Roman"/>
                      <w:color w:val="000000"/>
                      <w:position w:val="7"/>
                      <w:sz w:val="21"/>
                      <w:szCs w:val="21"/>
                      <w:highlight w:val="none"/>
                    </w:rPr>
                    <w:t>3</w:t>
                  </w:r>
                  <w:r>
                    <w:rPr>
                      <w:rFonts w:hint="default" w:ascii="Times New Roman" w:hAnsi="Times New Roman" w:eastAsia="Times New Roman" w:cs="Times New Roman"/>
                      <w:color w:val="000000"/>
                      <w:spacing w:val="-11"/>
                      <w:position w:val="7"/>
                      <w:sz w:val="21"/>
                      <w:szCs w:val="21"/>
                      <w:highlight w:val="none"/>
                    </w:rPr>
                    <w:t xml:space="preserve"> </w:t>
                  </w:r>
                  <w:r>
                    <w:rPr>
                      <w:rFonts w:hint="default" w:ascii="Times New Roman" w:hAnsi="Times New Roman" w:cs="Times New Roman"/>
                      <w:color w:val="000000"/>
                      <w:position w:val="1"/>
                      <w:sz w:val="21"/>
                      <w:szCs w:val="21"/>
                      <w:highlight w:val="none"/>
                    </w:rPr>
                    <w:t>，</w:t>
                  </w:r>
                  <w:r>
                    <w:rPr>
                      <w:rFonts w:hint="default" w:ascii="Times New Roman" w:hAnsi="Times New Roman" w:eastAsia="Times New Roman" w:cs="Times New Roman"/>
                      <w:color w:val="000000"/>
                      <w:position w:val="1"/>
                      <w:sz w:val="21"/>
                      <w:szCs w:val="21"/>
                      <w:highlight w:val="none"/>
                    </w:rPr>
                    <w:t>N=</w:t>
                  </w:r>
                  <w:r>
                    <w:rPr>
                      <w:rFonts w:hint="default" w:ascii="Times New Roman" w:hAnsi="Times New Roman" w:eastAsia="Times New Roman" w:cs="Times New Roman"/>
                      <w:color w:val="000000"/>
                      <w:spacing w:val="-26"/>
                      <w:position w:val="1"/>
                      <w:sz w:val="21"/>
                      <w:szCs w:val="21"/>
                      <w:highlight w:val="none"/>
                    </w:rPr>
                    <w:t xml:space="preserve"> </w:t>
                  </w:r>
                  <w:r>
                    <w:rPr>
                      <w:rFonts w:hint="default" w:ascii="Times New Roman" w:hAnsi="Times New Roman" w:eastAsia="Times New Roman" w:cs="Times New Roman"/>
                      <w:color w:val="000000"/>
                      <w:position w:val="1"/>
                      <w:sz w:val="21"/>
                      <w:szCs w:val="21"/>
                      <w:highlight w:val="none"/>
                    </w:rPr>
                    <w:t>1.5KW</w:t>
                  </w:r>
                </w:p>
              </w:tc>
              <w:tc>
                <w:tcPr>
                  <w:tcW w:w="744" w:type="dxa"/>
                  <w:noWrap w:val="0"/>
                  <w:vAlign w:val="top"/>
                </w:tcPr>
                <w:p w14:paraId="20B25478">
                  <w:pPr>
                    <w:pStyle w:val="25"/>
                    <w:spacing w:before="69" w:line="231" w:lineRule="auto"/>
                    <w:ind w:left="293"/>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台</w:t>
                  </w:r>
                </w:p>
              </w:tc>
              <w:tc>
                <w:tcPr>
                  <w:tcW w:w="935" w:type="dxa"/>
                  <w:noWrap w:val="0"/>
                  <w:vAlign w:val="top"/>
                </w:tcPr>
                <w:p w14:paraId="28526E78">
                  <w:pPr>
                    <w:spacing w:before="106" w:line="195" w:lineRule="auto"/>
                    <w:ind w:left="449"/>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r>
          </w:tbl>
          <w:p w14:paraId="6D85ED4E">
            <w:pPr>
              <w:adjustRightInd w:val="0"/>
              <w:snapToGrid w:val="0"/>
              <w:spacing w:line="360" w:lineRule="auto"/>
              <w:ind w:firstLine="482" w:firstLineChars="200"/>
              <w:rPr>
                <w:rFonts w:hint="default" w:ascii="Times New Roman" w:hAnsi="Times New Roman" w:cs="Times New Roman"/>
                <w:b/>
                <w:color w:val="000000"/>
                <w:sz w:val="24"/>
                <w:highlight w:val="none"/>
              </w:rPr>
            </w:pPr>
            <w:r>
              <w:rPr>
                <w:rFonts w:hint="default" w:ascii="Times New Roman" w:hAnsi="Times New Roman" w:eastAsia="宋体" w:cs="Times New Roman"/>
                <w:b/>
                <w:color w:val="000000"/>
                <w:sz w:val="24"/>
                <w:szCs w:val="24"/>
                <w:highlight w:val="none"/>
                <w:lang w:val="en-US" w:eastAsia="zh-CN"/>
              </w:rPr>
              <w:t>4、</w:t>
            </w:r>
            <w:bookmarkEnd w:id="4"/>
            <w:bookmarkStart w:id="5" w:name="_Toc39524564"/>
            <w:r>
              <w:rPr>
                <w:rFonts w:hint="default" w:ascii="Times New Roman" w:hAnsi="Times New Roman" w:cs="Times New Roman"/>
                <w:b/>
                <w:color w:val="000000"/>
                <w:sz w:val="24"/>
                <w:szCs w:val="24"/>
                <w:highlight w:val="none"/>
              </w:rPr>
              <w:t>污水处理工艺流程</w:t>
            </w:r>
          </w:p>
          <w:p w14:paraId="04883F4A">
            <w:pPr>
              <w:pStyle w:val="22"/>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现有污水处理站主体工艺为“微絮凝破氰反应/隔油池+混凝气浮机+生化调节池+HUB厌氧水解+缺氧生化池+好氧曝气池+沉淀池+高密度絮沉反应器+全自动过滤器+纳米臭氧催化氧化+接触氧化池+MAK生物塔+石英砂过滤+排放调节池”</w:t>
            </w:r>
            <w:r>
              <w:rPr>
                <w:rFonts w:hint="eastAsia" w:ascii="Times New Roman" w:hAnsi="Times New Roman" w:cs="Times New Roman"/>
                <w:color w:val="000000"/>
                <w:highlight w:val="none"/>
                <w:lang w:eastAsia="zh-CN"/>
              </w:rPr>
              <w:t>，</w:t>
            </w:r>
            <w:r>
              <w:rPr>
                <w:rFonts w:hint="default" w:ascii="Times New Roman" w:hAnsi="Times New Roman" w:cs="Times New Roman"/>
                <w:color w:val="000000"/>
                <w:highlight w:val="none"/>
              </w:rPr>
              <w:t>处理规模为80m</w:t>
            </w:r>
            <w:r>
              <w:rPr>
                <w:rFonts w:hint="default" w:ascii="Times New Roman" w:hAnsi="Times New Roman" w:cs="Times New Roman"/>
                <w:color w:val="000000"/>
                <w:highlight w:val="none"/>
                <w:vertAlign w:val="superscript"/>
              </w:rPr>
              <w:t>3</w:t>
            </w:r>
            <w:r>
              <w:rPr>
                <w:rFonts w:hint="default" w:ascii="Times New Roman" w:hAnsi="Times New Roman" w:cs="Times New Roman"/>
                <w:color w:val="000000"/>
                <w:highlight w:val="none"/>
              </w:rPr>
              <w:t>/h。</w:t>
            </w:r>
            <w:r>
              <w:rPr>
                <w:rFonts w:hint="default" w:ascii="Times New Roman" w:hAnsi="Times New Roman" w:cs="Times New Roman"/>
                <w:color w:val="000000"/>
                <w:sz w:val="24"/>
                <w:highlight w:val="none"/>
              </w:rPr>
              <w:t>。</w:t>
            </w:r>
          </w:p>
          <w:p w14:paraId="66393A23">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废水处理工艺流程详见图</w:t>
            </w:r>
            <w:r>
              <w:rPr>
                <w:rFonts w:hint="default" w:ascii="Times New Roman" w:hAnsi="Times New Roman" w:cs="Times New Roman"/>
                <w:color w:val="000000"/>
                <w:sz w:val="24"/>
                <w:highlight w:val="none"/>
                <w:lang w:val="en-US" w:eastAsia="zh-CN"/>
              </w:rPr>
              <w:t>2-</w:t>
            </w:r>
            <w:r>
              <w:rPr>
                <w:rFonts w:hint="eastAsia" w:ascii="Times New Roman" w:hAnsi="Times New Roman" w:cs="Times New Roman"/>
                <w:color w:val="000000"/>
                <w:sz w:val="24"/>
                <w:highlight w:val="none"/>
                <w:lang w:val="en-US" w:eastAsia="zh-CN"/>
              </w:rPr>
              <w:t>7</w:t>
            </w:r>
            <w:r>
              <w:rPr>
                <w:rFonts w:hint="default" w:ascii="Times New Roman" w:hAnsi="Times New Roman" w:cs="Times New Roman"/>
                <w:color w:val="000000"/>
                <w:sz w:val="24"/>
                <w:highlight w:val="none"/>
              </w:rPr>
              <w:t>。</w:t>
            </w:r>
          </w:p>
          <w:p w14:paraId="4F65B11C">
            <w:pPr>
              <w:adjustRightInd w:val="0"/>
              <w:snapToGrid w:val="0"/>
              <w:spacing w:line="360" w:lineRule="auto"/>
              <w:jc w:val="center"/>
              <w:rPr>
                <w:rFonts w:hint="default" w:ascii="Times New Roman" w:hAnsi="Times New Roman" w:cs="Times New Roman"/>
                <w:color w:val="000000"/>
                <w:sz w:val="24"/>
                <w:highlight w:val="none"/>
              </w:rPr>
            </w:pPr>
            <w:r>
              <w:rPr>
                <w:color w:val="000000"/>
                <w:position w:val="-212"/>
                <w:highlight w:val="none"/>
              </w:rPr>
              <w:drawing>
                <wp:inline distT="0" distB="0" distL="114300" distR="114300">
                  <wp:extent cx="5010785" cy="6761480"/>
                  <wp:effectExtent l="0" t="0" r="18415" b="1270"/>
                  <wp:docPr id="36" name="图片 5"/>
                  <wp:cNvGraphicFramePr/>
                  <a:graphic xmlns:a="http://schemas.openxmlformats.org/drawingml/2006/main">
                    <a:graphicData uri="http://schemas.openxmlformats.org/drawingml/2006/picture">
                      <pic:pic xmlns:pic="http://schemas.openxmlformats.org/drawingml/2006/picture">
                        <pic:nvPicPr>
                          <pic:cNvPr id="36" name="图片 5"/>
                          <pic:cNvPicPr/>
                        </pic:nvPicPr>
                        <pic:blipFill>
                          <a:blip r:embed="rId19"/>
                          <a:stretch>
                            <a:fillRect/>
                          </a:stretch>
                        </pic:blipFill>
                        <pic:spPr>
                          <a:xfrm>
                            <a:off x="0" y="0"/>
                            <a:ext cx="5010785" cy="6761480"/>
                          </a:xfrm>
                          <a:prstGeom prst="rect">
                            <a:avLst/>
                          </a:prstGeom>
                          <a:noFill/>
                          <a:ln>
                            <a:noFill/>
                          </a:ln>
                        </pic:spPr>
                      </pic:pic>
                    </a:graphicData>
                  </a:graphic>
                </wp:inline>
              </w:drawing>
            </w:r>
          </w:p>
          <w:p w14:paraId="09759B13">
            <w:pPr>
              <w:spacing w:line="360" w:lineRule="auto"/>
              <w:jc w:val="center"/>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rPr>
              <w:t>图</w:t>
            </w:r>
            <w:r>
              <w:rPr>
                <w:rFonts w:hint="default" w:ascii="Times New Roman" w:hAnsi="Times New Roman" w:cs="Times New Roman"/>
                <w:b/>
                <w:color w:val="000000"/>
                <w:sz w:val="24"/>
                <w:szCs w:val="24"/>
                <w:highlight w:val="none"/>
                <w:lang w:val="en-US" w:eastAsia="zh-CN"/>
              </w:rPr>
              <w:t>2-</w:t>
            </w:r>
            <w:r>
              <w:rPr>
                <w:rFonts w:hint="eastAsia" w:ascii="Times New Roman" w:hAnsi="Times New Roman" w:cs="Times New Roman"/>
                <w:b/>
                <w:color w:val="000000"/>
                <w:sz w:val="24"/>
                <w:szCs w:val="24"/>
                <w:highlight w:val="none"/>
                <w:lang w:val="en-US" w:eastAsia="zh-CN"/>
              </w:rPr>
              <w:t>7</w:t>
            </w:r>
            <w:r>
              <w:rPr>
                <w:rFonts w:hint="default" w:ascii="Times New Roman" w:hAnsi="Times New Roman" w:cs="Times New Roman"/>
                <w:b/>
                <w:color w:val="000000"/>
                <w:sz w:val="24"/>
                <w:szCs w:val="24"/>
                <w:highlight w:val="none"/>
              </w:rPr>
              <w:t>　现有工程污水处理工艺流程图</w:t>
            </w:r>
          </w:p>
          <w:bookmarkEnd w:id="5"/>
          <w:p w14:paraId="481EF088">
            <w:pPr>
              <w:pStyle w:val="33"/>
              <w:numPr>
                <w:ilvl w:val="0"/>
                <w:numId w:val="0"/>
              </w:numPr>
              <w:jc w:val="both"/>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 xml:space="preserve">   </w:t>
            </w:r>
            <w:r>
              <w:rPr>
                <w:rFonts w:hint="default" w:ascii="Times New Roman" w:hAnsi="Times New Roman" w:cs="Times New Roman"/>
                <w:b/>
                <w:bCs/>
                <w:color w:val="000000"/>
                <w:highlight w:val="none"/>
                <w:lang w:val="en-US" w:eastAsia="zh-CN"/>
              </w:rPr>
              <w:t xml:space="preserve"> </w:t>
            </w:r>
            <w:r>
              <w:rPr>
                <w:rFonts w:hint="eastAsia" w:cs="Times New Roman"/>
                <w:b/>
                <w:bCs/>
                <w:color w:val="000000"/>
                <w:highlight w:val="none"/>
                <w:lang w:val="en-US" w:eastAsia="zh-CN"/>
              </w:rPr>
              <w:t>5、现有工程水平衡图</w:t>
            </w:r>
          </w:p>
          <w:p w14:paraId="24929E64">
            <w:pPr>
              <w:pStyle w:val="33"/>
              <w:numPr>
                <w:ilvl w:val="0"/>
                <w:numId w:val="0"/>
              </w:numPr>
              <w:jc w:val="both"/>
              <w:rPr>
                <w:rFonts w:hint="default" w:ascii="Times New Roman" w:hAnsi="Times New Roman" w:cs="Times New Roman"/>
                <w:color w:val="000000"/>
                <w:highlight w:val="none"/>
                <w:lang w:val="en-US" w:eastAsia="zh-CN"/>
              </w:rPr>
            </w:pPr>
            <w:r>
              <w:rPr>
                <w:rFonts w:hint="eastAsia"/>
                <w:color w:val="000000"/>
                <w:highlight w:val="none"/>
                <w:lang w:val="en-US" w:eastAsia="zh-CN"/>
              </w:rPr>
              <w:t xml:space="preserve">    现有工程水平衡图如下：</w:t>
            </w:r>
          </w:p>
          <w:p w14:paraId="2C4F34D9">
            <w:pPr>
              <w:pStyle w:val="33"/>
              <w:numPr>
                <w:ilvl w:val="0"/>
                <w:numId w:val="0"/>
              </w:numPr>
              <w:rPr>
                <w:rFonts w:hint="default" w:ascii="Times New Roman" w:hAnsi="Times New Roman" w:cs="Times New Roman"/>
                <w:color w:val="000000"/>
                <w:highlight w:val="none"/>
                <w:lang w:eastAsia="zh-CN"/>
              </w:rPr>
            </w:pPr>
          </w:p>
          <w:p w14:paraId="25C3B0F3">
            <w:pPr>
              <w:pStyle w:val="6"/>
              <w:ind w:left="0" w:leftChars="0" w:firstLine="0" w:firstLineChars="0"/>
              <w:rPr>
                <w:rFonts w:hint="default" w:ascii="Times New Roman" w:hAnsi="Times New Roman" w:cs="Times New Roman"/>
                <w:color w:val="000000"/>
                <w:highlight w:val="none"/>
                <w:lang w:eastAsia="zh-CN"/>
              </w:rPr>
            </w:pPr>
          </w:p>
          <w:p w14:paraId="70B726F6">
            <w:pPr>
              <w:pStyle w:val="6"/>
              <w:ind w:left="0" w:leftChars="0" w:firstLine="0" w:firstLineChars="0"/>
              <w:rPr>
                <w:rFonts w:hint="default" w:ascii="Times New Roman" w:hAnsi="Times New Roman" w:cs="Times New Roman"/>
                <w:color w:val="000000"/>
                <w:highlight w:val="none"/>
                <w:lang w:val="en-US" w:eastAsia="zh-CN"/>
              </w:rPr>
            </w:pPr>
          </w:p>
          <w:p w14:paraId="24E17009">
            <w:pPr>
              <w:adjustRightInd w:val="0"/>
              <w:snapToGrid w:val="0"/>
              <w:spacing w:line="360" w:lineRule="auto"/>
              <w:jc w:val="left"/>
              <w:rPr>
                <w:rFonts w:hint="default" w:ascii="Times New Roman" w:hAnsi="Times New Roman" w:cs="Times New Roman"/>
                <w:snapToGrid w:val="0"/>
                <w:color w:val="000000"/>
                <w:kern w:val="21"/>
                <w:sz w:val="24"/>
                <w:szCs w:val="20"/>
                <w:highlight w:val="none"/>
              </w:rPr>
            </w:pPr>
          </w:p>
        </w:tc>
      </w:tr>
    </w:tbl>
    <w:p w14:paraId="1BA828AD">
      <w:pPr>
        <w:pStyle w:val="12"/>
        <w:rPr>
          <w:color w:val="000000"/>
          <w:highlight w:val="none"/>
        </w:rPr>
        <w:sectPr>
          <w:pgSz w:w="11906" w:h="16838"/>
          <w:pgMar w:top="1134" w:right="1134" w:bottom="1134" w:left="1531" w:header="851" w:footer="851" w:gutter="0"/>
          <w:pgBorders>
            <w:top w:val="none" w:sz="0" w:space="0"/>
            <w:left w:val="none" w:sz="0" w:space="0"/>
            <w:bottom w:val="none" w:sz="0" w:space="0"/>
            <w:right w:val="none" w:sz="0" w:space="0"/>
          </w:pgBorders>
          <w:cols w:space="720" w:num="1"/>
          <w:docGrid w:linePitch="312" w:charSpace="0"/>
        </w:sectPr>
      </w:pPr>
    </w:p>
    <w:p w14:paraId="2DDFDCB5">
      <w:pPr>
        <w:jc w:val="center"/>
        <w:outlineLvl w:val="9"/>
        <w:rPr>
          <w:color w:val="000000"/>
          <w:highlight w:val="none"/>
        </w:rPr>
      </w:pPr>
      <w:r>
        <w:rPr>
          <w:color w:val="000000"/>
          <w:highlight w:val="none"/>
        </w:rPr>
        <w:drawing>
          <wp:inline distT="0" distB="0" distL="114300" distR="114300">
            <wp:extent cx="8798560" cy="5424805"/>
            <wp:effectExtent l="0" t="0" r="2540" b="444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0"/>
                    <a:stretch>
                      <a:fillRect/>
                    </a:stretch>
                  </pic:blipFill>
                  <pic:spPr>
                    <a:xfrm>
                      <a:off x="0" y="0"/>
                      <a:ext cx="8798560" cy="5424805"/>
                    </a:xfrm>
                    <a:prstGeom prst="rect">
                      <a:avLst/>
                    </a:prstGeom>
                    <a:noFill/>
                    <a:ln>
                      <a:noFill/>
                    </a:ln>
                  </pic:spPr>
                </pic:pic>
              </a:graphicData>
            </a:graphic>
          </wp:inline>
        </w:drawing>
      </w:r>
    </w:p>
    <w:p w14:paraId="0D719BD7">
      <w:pPr>
        <w:jc w:val="center"/>
        <w:rPr>
          <w:rFonts w:hint="eastAsia" w:eastAsia="宋体"/>
          <w:color w:val="000000"/>
          <w:highlight w:val="none"/>
          <w:lang w:eastAsia="zh-CN"/>
        </w:rPr>
        <w:sectPr>
          <w:pgSz w:w="16838" w:h="11906" w:orient="landscape"/>
          <w:pgMar w:top="1531" w:right="1134" w:bottom="1134" w:left="1134" w:header="851" w:footer="851" w:gutter="0"/>
          <w:pgBorders>
            <w:top w:val="none" w:sz="0" w:space="0"/>
            <w:left w:val="none" w:sz="0" w:space="0"/>
            <w:bottom w:val="none" w:sz="0" w:space="0"/>
            <w:right w:val="none" w:sz="0" w:space="0"/>
          </w:pgBorders>
          <w:cols w:space="720" w:num="1"/>
          <w:docGrid w:linePitch="312" w:charSpace="0"/>
        </w:sectPr>
      </w:pPr>
      <w:r>
        <w:rPr>
          <w:rFonts w:hint="eastAsia"/>
          <w:b/>
          <w:bCs/>
          <w:color w:val="000000"/>
          <w:highlight w:val="none"/>
        </w:rPr>
        <w:t>图</w:t>
      </w:r>
      <w:r>
        <w:rPr>
          <w:rFonts w:hint="eastAsia"/>
          <w:b/>
          <w:bCs/>
          <w:color w:val="000000"/>
          <w:highlight w:val="none"/>
          <w:lang w:val="en-US" w:eastAsia="zh-CN"/>
        </w:rPr>
        <w:t>2-8</w:t>
      </w:r>
      <w:r>
        <w:rPr>
          <w:rFonts w:hint="eastAsia"/>
          <w:b/>
          <w:bCs/>
          <w:color w:val="000000"/>
          <w:highlight w:val="none"/>
        </w:rPr>
        <w:t xml:space="preserve"> 现有工程全厂水平衡图（t/h</w:t>
      </w:r>
      <w:r>
        <w:rPr>
          <w:rFonts w:hint="eastAsia"/>
          <w:b/>
          <w:bCs/>
          <w:color w:val="000000"/>
          <w:highlight w:val="none"/>
          <w:lang w:eastAsia="zh-CN"/>
        </w:rPr>
        <w:t>）</w:t>
      </w:r>
    </w:p>
    <w:tbl>
      <w:tblPr>
        <w:tblStyle w:val="13"/>
        <w:tblW w:w="96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836"/>
      </w:tblGrid>
      <w:tr w14:paraId="70AE4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44" w:type="dxa"/>
            <w:noWrap w:val="0"/>
            <w:vAlign w:val="center"/>
          </w:tcPr>
          <w:p w14:paraId="0E16ADDA">
            <w:pPr>
              <w:adjustRightInd w:val="0"/>
              <w:snapToGrid w:val="0"/>
              <w:jc w:val="center"/>
              <w:rPr>
                <w:color w:val="000000"/>
                <w:kern w:val="0"/>
                <w:szCs w:val="21"/>
                <w:highlight w:val="none"/>
              </w:rPr>
            </w:pPr>
          </w:p>
        </w:tc>
        <w:tc>
          <w:tcPr>
            <w:tcW w:w="8836" w:type="dxa"/>
            <w:noWrap w:val="0"/>
            <w:vAlign w:val="center"/>
          </w:tcPr>
          <w:p w14:paraId="4F83FC51">
            <w:pPr>
              <w:pStyle w:val="30"/>
              <w:spacing w:before="0" w:beforeLines="0" w:line="360" w:lineRule="auto"/>
              <w:ind w:firstLine="482" w:firstLineChars="200"/>
              <w:outlineLvl w:val="1"/>
              <w:rPr>
                <w:rFonts w:hint="default" w:ascii="Times New Roman" w:hAnsi="Times New Roman" w:eastAsia="宋体" w:cs="Times New Roman"/>
                <w:b/>
                <w:color w:val="000000"/>
                <w:highlight w:val="none"/>
              </w:rPr>
            </w:pPr>
            <w:r>
              <w:rPr>
                <w:rFonts w:hint="eastAsia" w:ascii="Times New Roman" w:hAnsi="Times New Roman" w:eastAsia="宋体" w:cs="Times New Roman"/>
                <w:b/>
                <w:color w:val="000000"/>
                <w:sz w:val="24"/>
                <w:szCs w:val="24"/>
                <w:highlight w:val="none"/>
                <w:lang w:val="en-US" w:eastAsia="zh-CN"/>
              </w:rPr>
              <w:t>6</w:t>
            </w:r>
            <w:r>
              <w:rPr>
                <w:rFonts w:hint="default" w:ascii="Times New Roman" w:hAnsi="Times New Roman" w:eastAsia="宋体" w:cs="Times New Roman"/>
                <w:b/>
                <w:color w:val="000000"/>
                <w:sz w:val="24"/>
                <w:szCs w:val="24"/>
                <w:highlight w:val="none"/>
                <w:lang w:val="en-US" w:eastAsia="zh-CN"/>
              </w:rPr>
              <w:t>、</w:t>
            </w:r>
            <w:r>
              <w:rPr>
                <w:rFonts w:hint="default" w:ascii="Times New Roman" w:hAnsi="Times New Roman" w:eastAsia="宋体" w:cs="Times New Roman"/>
                <w:b/>
                <w:color w:val="000000"/>
                <w:sz w:val="24"/>
                <w:szCs w:val="24"/>
                <w:highlight w:val="none"/>
              </w:rPr>
              <w:t>现有</w:t>
            </w:r>
            <w:r>
              <w:rPr>
                <w:rFonts w:hint="eastAsia" w:ascii="Times New Roman" w:hAnsi="Times New Roman" w:eastAsia="宋体" w:cs="Times New Roman"/>
                <w:b/>
                <w:color w:val="000000"/>
                <w:sz w:val="24"/>
                <w:szCs w:val="24"/>
                <w:highlight w:val="none"/>
                <w:lang w:val="en-US" w:eastAsia="zh-CN"/>
              </w:rPr>
              <w:t>污水处理站</w:t>
            </w:r>
            <w:r>
              <w:rPr>
                <w:rFonts w:hint="default" w:ascii="Times New Roman" w:hAnsi="Times New Roman" w:eastAsia="宋体" w:cs="Times New Roman"/>
                <w:b/>
                <w:color w:val="000000"/>
                <w:sz w:val="24"/>
                <w:szCs w:val="24"/>
                <w:highlight w:val="none"/>
              </w:rPr>
              <w:t>主要污染物及达标排放情况</w:t>
            </w:r>
          </w:p>
          <w:p w14:paraId="2628B505">
            <w:pPr>
              <w:adjustRightInd w:val="0"/>
              <w:snapToGrid w:val="0"/>
              <w:spacing w:line="360" w:lineRule="auto"/>
              <w:ind w:firstLine="482" w:firstLineChars="200"/>
              <w:rPr>
                <w:rFonts w:hint="default" w:ascii="Times New Roman" w:hAnsi="Times New Roman" w:cs="Times New Roman"/>
                <w:color w:val="000000"/>
                <w:sz w:val="24"/>
                <w:szCs w:val="24"/>
                <w:highlight w:val="none"/>
              </w:rPr>
            </w:pP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lang w:val="en-US" w:eastAsia="zh-CN"/>
              </w:rPr>
              <w:t>1</w:t>
            </w: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rPr>
              <w:t>废气产生及排放情况</w:t>
            </w:r>
          </w:p>
          <w:p w14:paraId="5BA98AC9">
            <w:pPr>
              <w:adjustRightInd w:val="0"/>
              <w:snapToGrid w:val="0"/>
              <w:spacing w:line="360" w:lineRule="auto"/>
              <w:ind w:firstLine="480" w:firstLineChars="200"/>
              <w:rPr>
                <w:rFonts w:hint="default" w:ascii="Times New Roman" w:hAnsi="Times New Roman" w:cs="Times New Roman"/>
                <w:color w:val="000000"/>
                <w:sz w:val="24"/>
                <w:highlight w:val="none"/>
              </w:rPr>
            </w:pPr>
            <w:bookmarkStart w:id="6" w:name="_Toc406490087"/>
            <w:bookmarkStart w:id="7" w:name="_Toc253576017"/>
            <w:r>
              <w:rPr>
                <w:rFonts w:hint="default" w:ascii="Times New Roman" w:hAnsi="Times New Roman" w:cs="Times New Roman"/>
                <w:color w:val="000000"/>
                <w:sz w:val="24"/>
                <w:highlight w:val="none"/>
              </w:rPr>
              <w:t>诸如硫化氢及氨气之类的敏感性恶臭物质，其产生部位大都在厌氧池、好氧池、缺氧池、污泥浓缩池、污水脱水机房等部位。</w:t>
            </w:r>
          </w:p>
          <w:p w14:paraId="20890BF8">
            <w:pPr>
              <w:adjustRightInd w:val="0"/>
              <w:snapToGrid w:val="0"/>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highlight w:val="none"/>
              </w:rPr>
              <w:t>经现场勘察，原污水处理系统各生化池、事故水池、调节池气浮间、污泥压滤厂房均采取了密闭措施</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但无收集处理设施</w:t>
            </w:r>
            <w:r>
              <w:rPr>
                <w:rFonts w:hint="eastAsia"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恶臭气体无组织排放。</w:t>
            </w:r>
          </w:p>
          <w:p w14:paraId="5CF3B721">
            <w:pPr>
              <w:adjustRightInd w:val="0"/>
              <w:snapToGrid w:val="0"/>
              <w:spacing w:line="360" w:lineRule="auto"/>
              <w:ind w:firstLine="480" w:firstLineChars="200"/>
              <w:rPr>
                <w:rFonts w:hint="eastAsia" w:ascii="Times New Roman" w:hAnsi="Times New Roman" w:eastAsia="宋体"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内蒙古一缕阳光环保科技有限公司于2021年6月28日至2021年6月29日对本项目进行环境保护验收监测，验收监测期间，厂界四周氨最大值为0.08mg/m</w:t>
            </w:r>
            <w:r>
              <w:rPr>
                <w:rFonts w:hint="eastAsia" w:ascii="Times New Roman" w:hAnsi="Times New Roman" w:cs="Times New Roman"/>
                <w:color w:val="000000"/>
                <w:sz w:val="24"/>
                <w:szCs w:val="24"/>
                <w:highlight w:val="none"/>
                <w:vertAlign w:val="superscript"/>
                <w:lang w:eastAsia="zh-CN"/>
              </w:rPr>
              <w:t>3</w:t>
            </w:r>
            <w:r>
              <w:rPr>
                <w:rFonts w:hint="eastAsia" w:ascii="Times New Roman" w:hAnsi="Times New Roman" w:cs="Times New Roman"/>
                <w:color w:val="000000"/>
                <w:sz w:val="24"/>
                <w:szCs w:val="24"/>
                <w:highlight w:val="none"/>
                <w:lang w:eastAsia="zh-CN"/>
              </w:rPr>
              <w:t>，硫化氢最大值为0.003mg/m</w:t>
            </w:r>
            <w:r>
              <w:rPr>
                <w:rFonts w:hint="eastAsia" w:ascii="Times New Roman" w:hAnsi="Times New Roman" w:cs="Times New Roman"/>
                <w:color w:val="000000"/>
                <w:sz w:val="24"/>
                <w:szCs w:val="24"/>
                <w:highlight w:val="none"/>
                <w:vertAlign w:val="superscript"/>
                <w:lang w:eastAsia="zh-CN"/>
              </w:rPr>
              <w:t>3</w:t>
            </w:r>
            <w:r>
              <w:rPr>
                <w:rFonts w:hint="eastAsia" w:ascii="Times New Roman" w:hAnsi="Times New Roman" w:cs="Times New Roman"/>
                <w:color w:val="000000"/>
                <w:sz w:val="24"/>
                <w:szCs w:val="24"/>
                <w:highlight w:val="none"/>
                <w:lang w:eastAsia="zh-CN"/>
              </w:rPr>
              <w:t>。厂界四周氨、硫化氢均满足《炼焦化学工业污染物排放标准》（GB16171-2012）表7中厂界浓度限值要求。</w:t>
            </w:r>
          </w:p>
          <w:p w14:paraId="01BF1695">
            <w:pPr>
              <w:adjustRightInd w:val="0"/>
              <w:snapToGrid w:val="0"/>
              <w:spacing w:line="360" w:lineRule="auto"/>
              <w:ind w:firstLine="482" w:firstLineChars="200"/>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lang w:val="en-US" w:eastAsia="zh-CN"/>
              </w:rPr>
              <w:t>2</w:t>
            </w: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rPr>
              <w:t>废水</w:t>
            </w:r>
            <w:bookmarkEnd w:id="6"/>
            <w:bookmarkEnd w:id="7"/>
            <w:r>
              <w:rPr>
                <w:rFonts w:hint="default" w:ascii="Times New Roman" w:hAnsi="Times New Roman" w:cs="Times New Roman"/>
                <w:b/>
                <w:color w:val="000000"/>
                <w:sz w:val="24"/>
                <w:szCs w:val="24"/>
                <w:highlight w:val="none"/>
              </w:rPr>
              <w:t>产生及排放情况</w:t>
            </w:r>
          </w:p>
          <w:p w14:paraId="5D917BB0">
            <w:pPr>
              <w:pStyle w:val="25"/>
              <w:spacing w:before="83" w:line="334" w:lineRule="auto"/>
              <w:ind w:left="117" w:right="108" w:firstLine="480"/>
              <w:rPr>
                <w:color w:val="000000"/>
                <w:sz w:val="24"/>
                <w:szCs w:val="24"/>
                <w:highlight w:val="none"/>
              </w:rPr>
            </w:pPr>
            <w:bookmarkStart w:id="8" w:name="_Toc253576018"/>
            <w:bookmarkStart w:id="9" w:name="_Toc406490088"/>
            <w:r>
              <w:rPr>
                <w:rFonts w:hint="eastAsia" w:ascii="Times New Roman" w:hAnsi="Times New Roman" w:cs="Times New Roman"/>
                <w:color w:val="000000"/>
                <w:sz w:val="24"/>
                <w:szCs w:val="24"/>
                <w:highlight w:val="none"/>
                <w:lang w:val="en-US" w:eastAsia="zh-CN"/>
              </w:rPr>
              <w:t>验收监测期间，</w:t>
            </w:r>
            <w:r>
              <w:rPr>
                <w:color w:val="000000"/>
                <w:spacing w:val="-2"/>
                <w:highlight w:val="none"/>
              </w:rPr>
              <w:t>污水</w:t>
            </w:r>
            <w:r>
              <w:rPr>
                <w:color w:val="000000"/>
                <w:spacing w:val="-2"/>
                <w:sz w:val="24"/>
                <w:szCs w:val="24"/>
                <w:highlight w:val="none"/>
              </w:rPr>
              <w:t>处理设施出口</w:t>
            </w:r>
            <w:r>
              <w:rPr>
                <w:rFonts w:ascii="Times New Roman" w:hAnsi="Times New Roman" w:eastAsia="Times New Roman" w:cs="Times New Roman"/>
                <w:color w:val="000000"/>
                <w:spacing w:val="-2"/>
                <w:sz w:val="24"/>
                <w:szCs w:val="24"/>
                <w:highlight w:val="none"/>
              </w:rPr>
              <w:t>pH</w:t>
            </w:r>
            <w:r>
              <w:rPr>
                <w:color w:val="000000"/>
                <w:spacing w:val="-2"/>
                <w:sz w:val="24"/>
                <w:szCs w:val="24"/>
                <w:highlight w:val="none"/>
              </w:rPr>
              <w:t>最大值为</w:t>
            </w:r>
            <w:r>
              <w:rPr>
                <w:rFonts w:ascii="Times New Roman" w:hAnsi="Times New Roman" w:eastAsia="Times New Roman" w:cs="Times New Roman"/>
                <w:color w:val="000000"/>
                <w:spacing w:val="-2"/>
                <w:sz w:val="24"/>
                <w:szCs w:val="24"/>
                <w:highlight w:val="none"/>
              </w:rPr>
              <w:t>7.33</w:t>
            </w:r>
            <w:r>
              <w:rPr>
                <w:color w:val="000000"/>
                <w:spacing w:val="-2"/>
                <w:sz w:val="24"/>
                <w:szCs w:val="24"/>
                <w:highlight w:val="none"/>
              </w:rPr>
              <w:t>，悬浮物最大值为</w:t>
            </w:r>
            <w:r>
              <w:rPr>
                <w:rFonts w:ascii="Times New Roman" w:hAnsi="Times New Roman" w:eastAsia="Times New Roman" w:cs="Times New Roman"/>
                <w:color w:val="000000"/>
                <w:spacing w:val="-2"/>
                <w:sz w:val="24"/>
                <w:szCs w:val="24"/>
                <w:highlight w:val="none"/>
              </w:rPr>
              <w:t>17mg</w:t>
            </w:r>
            <w:r>
              <w:rPr>
                <w:rFonts w:ascii="Times New Roman" w:hAnsi="Times New Roman" w:eastAsia="Times New Roman" w:cs="Times New Roman"/>
                <w:color w:val="000000"/>
                <w:spacing w:val="-3"/>
                <w:sz w:val="24"/>
                <w:szCs w:val="24"/>
                <w:highlight w:val="none"/>
              </w:rPr>
              <w:t>/L</w:t>
            </w:r>
            <w:r>
              <w:rPr>
                <w:color w:val="000000"/>
                <w:spacing w:val="-3"/>
                <w:sz w:val="24"/>
                <w:szCs w:val="24"/>
                <w:highlight w:val="none"/>
              </w:rPr>
              <w:t>，</w:t>
            </w:r>
            <w:r>
              <w:rPr>
                <w:rFonts w:ascii="Times New Roman" w:hAnsi="Times New Roman" w:eastAsia="Times New Roman" w:cs="Times New Roman"/>
                <w:color w:val="000000"/>
                <w:spacing w:val="-3"/>
                <w:sz w:val="24"/>
                <w:szCs w:val="24"/>
                <w:highlight w:val="none"/>
              </w:rPr>
              <w:t>COD</w:t>
            </w:r>
            <w:r>
              <w:rPr>
                <w:rFonts w:ascii="Times New Roman" w:hAnsi="Times New Roman" w:eastAsia="Times New Roman" w:cs="Times New Roman"/>
                <w:color w:val="000000"/>
                <w:spacing w:val="-3"/>
                <w:position w:val="-1"/>
                <w:sz w:val="24"/>
                <w:szCs w:val="24"/>
                <w:highlight w:val="none"/>
              </w:rPr>
              <w:t>Cr</w:t>
            </w:r>
            <w:r>
              <w:rPr>
                <w:color w:val="000000"/>
                <w:spacing w:val="-3"/>
                <w:sz w:val="24"/>
                <w:szCs w:val="24"/>
                <w:highlight w:val="none"/>
              </w:rPr>
              <w:t>最大值为</w:t>
            </w:r>
            <w:r>
              <w:rPr>
                <w:rFonts w:ascii="Times New Roman" w:hAnsi="Times New Roman" w:eastAsia="Times New Roman" w:cs="Times New Roman"/>
                <w:color w:val="000000"/>
                <w:spacing w:val="-3"/>
                <w:sz w:val="24"/>
                <w:szCs w:val="24"/>
                <w:highlight w:val="none"/>
              </w:rPr>
              <w:t>144mg/L</w:t>
            </w:r>
            <w:r>
              <w:rPr>
                <w:color w:val="000000"/>
                <w:spacing w:val="-3"/>
                <w:sz w:val="24"/>
                <w:szCs w:val="24"/>
                <w:highlight w:val="none"/>
              </w:rPr>
              <w:t>，氨氮最大值为</w:t>
            </w:r>
            <w:r>
              <w:rPr>
                <w:rFonts w:ascii="Times New Roman" w:hAnsi="Times New Roman" w:eastAsia="Times New Roman" w:cs="Times New Roman"/>
                <w:color w:val="000000"/>
                <w:spacing w:val="-3"/>
                <w:sz w:val="24"/>
                <w:szCs w:val="24"/>
                <w:highlight w:val="none"/>
              </w:rPr>
              <w:t>0.501mg/L</w:t>
            </w:r>
            <w:r>
              <w:rPr>
                <w:color w:val="000000"/>
                <w:spacing w:val="-3"/>
                <w:sz w:val="24"/>
                <w:szCs w:val="24"/>
                <w:highlight w:val="none"/>
              </w:rPr>
              <w:t>，挥发酚最大值为</w:t>
            </w:r>
            <w:r>
              <w:rPr>
                <w:rFonts w:ascii="Times New Roman" w:hAnsi="Times New Roman" w:eastAsia="Times New Roman" w:cs="Times New Roman"/>
                <w:color w:val="000000"/>
                <w:spacing w:val="-3"/>
                <w:sz w:val="24"/>
                <w:szCs w:val="24"/>
                <w:highlight w:val="none"/>
              </w:rPr>
              <w:t>0.025mg/L</w:t>
            </w:r>
            <w:r>
              <w:rPr>
                <w:color w:val="000000"/>
                <w:spacing w:val="-3"/>
                <w:sz w:val="24"/>
                <w:szCs w:val="24"/>
                <w:highlight w:val="none"/>
              </w:rPr>
              <w:t>，</w:t>
            </w:r>
            <w:r>
              <w:rPr>
                <w:rFonts w:ascii="Times New Roman" w:hAnsi="Times New Roman" w:eastAsia="Times New Roman" w:cs="Times New Roman"/>
                <w:color w:val="000000"/>
                <w:spacing w:val="-3"/>
                <w:sz w:val="24"/>
                <w:szCs w:val="24"/>
                <w:highlight w:val="none"/>
              </w:rPr>
              <w:t>BOD</w:t>
            </w:r>
            <w:r>
              <w:rPr>
                <w:rFonts w:ascii="Times New Roman" w:hAnsi="Times New Roman" w:eastAsia="Times New Roman" w:cs="Times New Roman"/>
                <w:color w:val="000000"/>
                <w:spacing w:val="-3"/>
                <w:position w:val="-1"/>
                <w:sz w:val="24"/>
                <w:szCs w:val="24"/>
                <w:highlight w:val="none"/>
                <w:vertAlign w:val="subscript"/>
              </w:rPr>
              <w:t>5</w:t>
            </w:r>
            <w:r>
              <w:rPr>
                <w:color w:val="000000"/>
                <w:spacing w:val="-3"/>
                <w:sz w:val="24"/>
                <w:szCs w:val="24"/>
                <w:highlight w:val="none"/>
              </w:rPr>
              <w:t>最大</w:t>
            </w:r>
            <w:r>
              <w:rPr>
                <w:color w:val="000000"/>
                <w:spacing w:val="-5"/>
                <w:sz w:val="24"/>
                <w:szCs w:val="24"/>
                <w:highlight w:val="none"/>
              </w:rPr>
              <w:t>值为</w:t>
            </w:r>
            <w:r>
              <w:rPr>
                <w:rFonts w:ascii="Times New Roman" w:hAnsi="Times New Roman" w:eastAsia="Times New Roman" w:cs="Times New Roman"/>
                <w:color w:val="000000"/>
                <w:spacing w:val="-5"/>
                <w:sz w:val="24"/>
                <w:szCs w:val="24"/>
                <w:highlight w:val="none"/>
              </w:rPr>
              <w:t>15.9mg/L</w:t>
            </w:r>
            <w:r>
              <w:rPr>
                <w:color w:val="000000"/>
                <w:spacing w:val="-5"/>
                <w:sz w:val="24"/>
                <w:szCs w:val="24"/>
                <w:highlight w:val="none"/>
              </w:rPr>
              <w:t>，总氮最大值为</w:t>
            </w:r>
            <w:r>
              <w:rPr>
                <w:rFonts w:ascii="Times New Roman" w:hAnsi="Times New Roman" w:eastAsia="Times New Roman" w:cs="Times New Roman"/>
                <w:color w:val="000000"/>
                <w:spacing w:val="-5"/>
                <w:sz w:val="24"/>
                <w:szCs w:val="24"/>
                <w:highlight w:val="none"/>
              </w:rPr>
              <w:t>22.8mg/L</w:t>
            </w:r>
            <w:r>
              <w:rPr>
                <w:color w:val="000000"/>
                <w:spacing w:val="-5"/>
                <w:sz w:val="24"/>
                <w:szCs w:val="24"/>
                <w:highlight w:val="none"/>
              </w:rPr>
              <w:t>，总磷最大值为</w:t>
            </w:r>
            <w:r>
              <w:rPr>
                <w:rFonts w:ascii="Times New Roman" w:hAnsi="Times New Roman" w:eastAsia="Times New Roman" w:cs="Times New Roman"/>
                <w:color w:val="000000"/>
                <w:spacing w:val="-5"/>
                <w:sz w:val="24"/>
                <w:szCs w:val="24"/>
                <w:highlight w:val="none"/>
              </w:rPr>
              <w:t>0.17mg/L</w:t>
            </w:r>
            <w:r>
              <w:rPr>
                <w:color w:val="000000"/>
                <w:spacing w:val="-5"/>
                <w:sz w:val="24"/>
                <w:szCs w:val="24"/>
                <w:highlight w:val="none"/>
              </w:rPr>
              <w:t>，氰化物、石油类、硫</w:t>
            </w:r>
            <w:r>
              <w:rPr>
                <w:color w:val="000000"/>
                <w:spacing w:val="-1"/>
                <w:sz w:val="24"/>
                <w:szCs w:val="24"/>
                <w:highlight w:val="none"/>
              </w:rPr>
              <w:t>化物、苯均未检出，多环芳烃最大值为</w:t>
            </w:r>
            <w:r>
              <w:rPr>
                <w:rFonts w:ascii="Times New Roman" w:hAnsi="Times New Roman" w:eastAsia="Times New Roman" w:cs="Times New Roman"/>
                <w:color w:val="000000"/>
                <w:spacing w:val="-1"/>
                <w:sz w:val="24"/>
                <w:szCs w:val="24"/>
                <w:highlight w:val="none"/>
              </w:rPr>
              <w:t>0.023mg/L</w:t>
            </w:r>
            <w:r>
              <w:rPr>
                <w:color w:val="000000"/>
                <w:spacing w:val="-1"/>
                <w:sz w:val="24"/>
                <w:szCs w:val="24"/>
                <w:highlight w:val="none"/>
              </w:rPr>
              <w:t>、</w:t>
            </w:r>
            <w:r>
              <w:rPr>
                <w:rFonts w:hint="eastAsia" w:eastAsia="宋体"/>
                <w:color w:val="000000"/>
                <w:spacing w:val="-1"/>
                <w:sz w:val="24"/>
                <w:szCs w:val="24"/>
                <w:highlight w:val="none"/>
                <w:lang w:eastAsia="zh-CN"/>
              </w:rPr>
              <w:t>苯并（a）芘</w:t>
            </w:r>
            <w:r>
              <w:rPr>
                <w:color w:val="000000"/>
                <w:spacing w:val="-2"/>
                <w:sz w:val="24"/>
                <w:szCs w:val="24"/>
                <w:highlight w:val="none"/>
              </w:rPr>
              <w:t>最大值为</w:t>
            </w:r>
            <w:r>
              <w:rPr>
                <w:rFonts w:ascii="Times New Roman" w:hAnsi="Times New Roman" w:eastAsia="Times New Roman" w:cs="Times New Roman"/>
                <w:color w:val="000000"/>
                <w:spacing w:val="-2"/>
                <w:sz w:val="24"/>
                <w:szCs w:val="24"/>
                <w:highlight w:val="none"/>
              </w:rPr>
              <w:t>0.012</w:t>
            </w:r>
            <w:r>
              <w:rPr>
                <w:color w:val="000000"/>
                <w:spacing w:val="-2"/>
                <w:sz w:val="24"/>
                <w:szCs w:val="24"/>
                <w:highlight w:val="none"/>
              </w:rPr>
              <w:t>μ</w:t>
            </w:r>
            <w:r>
              <w:rPr>
                <w:rFonts w:ascii="Times New Roman" w:hAnsi="Times New Roman" w:eastAsia="Times New Roman" w:cs="Times New Roman"/>
                <w:color w:val="000000"/>
                <w:spacing w:val="-2"/>
                <w:sz w:val="24"/>
                <w:szCs w:val="24"/>
                <w:highlight w:val="none"/>
              </w:rPr>
              <w:t>g/L</w:t>
            </w:r>
            <w:r>
              <w:rPr>
                <w:color w:val="000000"/>
                <w:spacing w:val="-2"/>
                <w:sz w:val="24"/>
                <w:szCs w:val="24"/>
                <w:highlight w:val="none"/>
              </w:rPr>
              <w:t>。</w:t>
            </w:r>
          </w:p>
          <w:p w14:paraId="5B15622E">
            <w:pPr>
              <w:adjustRightInd w:val="0"/>
              <w:snapToGrid w:val="0"/>
              <w:spacing w:line="360" w:lineRule="auto"/>
              <w:ind w:firstLine="470" w:firstLineChars="200"/>
              <w:jc w:val="center"/>
              <w:rPr>
                <w:rFonts w:hint="default" w:eastAsia="宋体"/>
                <w:color w:val="000000"/>
                <w:spacing w:val="-3"/>
                <w:sz w:val="24"/>
                <w:szCs w:val="24"/>
                <w:highlight w:val="none"/>
                <w:lang w:val="en-US" w:eastAsia="zh-CN"/>
              </w:rPr>
            </w:pPr>
            <w:r>
              <w:rPr>
                <w:rFonts w:hint="eastAsia"/>
                <w:b/>
                <w:bCs/>
                <w:color w:val="000000"/>
                <w:spacing w:val="-3"/>
                <w:sz w:val="24"/>
                <w:szCs w:val="24"/>
                <w:highlight w:val="none"/>
                <w:lang w:val="en-US" w:eastAsia="zh-CN"/>
              </w:rPr>
              <w:t xml:space="preserve">表2-16 </w:t>
            </w:r>
            <w:r>
              <w:rPr>
                <w:b/>
                <w:bCs/>
                <w:color w:val="000000"/>
                <w:spacing w:val="-2"/>
                <w:highlight w:val="none"/>
              </w:rPr>
              <w:t>污水</w:t>
            </w:r>
            <w:r>
              <w:rPr>
                <w:b/>
                <w:bCs/>
                <w:color w:val="000000"/>
                <w:spacing w:val="-2"/>
                <w:sz w:val="24"/>
                <w:szCs w:val="24"/>
                <w:highlight w:val="none"/>
              </w:rPr>
              <w:t>处理设施</w:t>
            </w:r>
            <w:r>
              <w:rPr>
                <w:rFonts w:hint="eastAsia"/>
                <w:b/>
                <w:bCs/>
                <w:color w:val="000000"/>
                <w:spacing w:val="-2"/>
                <w:sz w:val="24"/>
                <w:szCs w:val="24"/>
                <w:highlight w:val="none"/>
                <w:lang w:val="en-US" w:eastAsia="zh-CN"/>
              </w:rPr>
              <w:t>进出水质情况一览表</w:t>
            </w:r>
          </w:p>
          <w:tbl>
            <w:tblPr>
              <w:tblStyle w:val="13"/>
              <w:tblW w:w="87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4"/>
              <w:gridCol w:w="744"/>
              <w:gridCol w:w="744"/>
              <w:gridCol w:w="800"/>
              <w:gridCol w:w="744"/>
              <w:gridCol w:w="800"/>
              <w:gridCol w:w="800"/>
              <w:gridCol w:w="563"/>
              <w:gridCol w:w="744"/>
              <w:gridCol w:w="800"/>
              <w:gridCol w:w="745"/>
              <w:gridCol w:w="564"/>
            </w:tblGrid>
            <w:tr w14:paraId="60FB5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44" w:type="dxa"/>
                  <w:tcBorders>
                    <w:top w:val="single" w:color="000000" w:sz="4" w:space="0"/>
                    <w:left w:val="single" w:color="000000" w:sz="4" w:space="0"/>
                    <w:bottom w:val="single" w:color="000000" w:sz="4" w:space="0"/>
                    <w:right w:val="single" w:color="000000" w:sz="4" w:space="0"/>
                  </w:tcBorders>
                  <w:noWrap w:val="0"/>
                  <w:vAlign w:val="center"/>
                </w:tcPr>
                <w:p w14:paraId="551802E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指标</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337FF1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pH</w:t>
                  </w:r>
                  <w:r>
                    <w:rPr>
                      <w:rFonts w:hint="eastAsia" w:ascii="宋体" w:hAnsi="宋体" w:eastAsia="宋体" w:cs="宋体"/>
                      <w:i w:val="0"/>
                      <w:iCs w:val="0"/>
                      <w:color w:val="000000"/>
                      <w:kern w:val="0"/>
                      <w:sz w:val="21"/>
                      <w:szCs w:val="21"/>
                      <w:highlight w:val="none"/>
                      <w:u w:val="none"/>
                      <w:lang w:val="en-US" w:eastAsia="zh-CN" w:bidi="ar"/>
                    </w:rPr>
                    <w:t>值</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011D99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县浮物mg/L</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9C2A30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化学需氧量mg/L</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8C3830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氨氮mg/L</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11C4045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挥发酚mg/L</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E2F050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氰化物mg/L</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975AB84">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vertAlign w:val="baseline"/>
                    </w:rPr>
                  </w:pPr>
                  <w:r>
                    <w:rPr>
                      <w:rFonts w:hint="default" w:ascii="Times New Roman" w:hAnsi="Times New Roman" w:eastAsia="宋体" w:cs="Times New Roman"/>
                      <w:i w:val="0"/>
                      <w:iCs w:val="0"/>
                      <w:color w:val="000000"/>
                      <w:kern w:val="0"/>
                      <w:sz w:val="21"/>
                      <w:szCs w:val="21"/>
                      <w:highlight w:val="none"/>
                      <w:u w:val="none"/>
                      <w:lang w:val="en-US" w:eastAsia="zh-CN" w:bidi="ar"/>
                    </w:rPr>
                    <w:t>BOD</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mg/L</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A758C6F">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总氮mg/L</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A3CA21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总磷mg/L</w:t>
                  </w:r>
                </w:p>
              </w:tc>
              <w:tc>
                <w:tcPr>
                  <w:tcW w:w="745" w:type="dxa"/>
                  <w:tcBorders>
                    <w:top w:val="single" w:color="000000" w:sz="4" w:space="0"/>
                    <w:left w:val="single" w:color="000000" w:sz="4" w:space="0"/>
                    <w:bottom w:val="single" w:color="000000" w:sz="4" w:space="0"/>
                    <w:right w:val="single" w:color="000000" w:sz="4" w:space="0"/>
                  </w:tcBorders>
                  <w:noWrap w:val="0"/>
                  <w:vAlign w:val="center"/>
                </w:tcPr>
                <w:p w14:paraId="1666C03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石油类mg/L</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2987DCF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硫化物mg/L</w:t>
                  </w:r>
                </w:p>
              </w:tc>
            </w:tr>
            <w:tr w14:paraId="7BF31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44" w:type="dxa"/>
                  <w:tcBorders>
                    <w:top w:val="single" w:color="000000" w:sz="4" w:space="0"/>
                    <w:left w:val="single" w:color="000000" w:sz="4" w:space="0"/>
                    <w:bottom w:val="single" w:color="000000" w:sz="4" w:space="0"/>
                    <w:right w:val="single" w:color="000000" w:sz="4" w:space="0"/>
                  </w:tcBorders>
                  <w:noWrap w:val="0"/>
                  <w:vAlign w:val="center"/>
                </w:tcPr>
                <w:p w14:paraId="02662AD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进水要求</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4953ED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8-10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FB8FAD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＜250</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7FD5DC9F">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＜5000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E2BFE3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cs="Times New Roman"/>
                      <w:color w:val="000000"/>
                      <w:sz w:val="21"/>
                      <w:szCs w:val="21"/>
                      <w:highlight w:val="none"/>
                    </w:rPr>
                    <w:t>＜200</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9C27E8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＜600</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68A02AD">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E7E9B9E">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z w:val="21"/>
                      <w:szCs w:val="21"/>
                      <w:highlight w:val="none"/>
                    </w:rPr>
                    <w:t>＜1000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E6416F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cs="Times New Roman"/>
                      <w:i w:val="0"/>
                      <w:iCs w:val="0"/>
                      <w:color w:val="000000"/>
                      <w:kern w:val="0"/>
                      <w:sz w:val="21"/>
                      <w:szCs w:val="21"/>
                      <w:highlight w:val="none"/>
                      <w:u w:val="none"/>
                      <w:lang w:val="en-US" w:eastAsia="zh-CN" w:bidi="ar"/>
                    </w:rPr>
                    <w:t>300</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6CAB29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cs="Times New Roman"/>
                      <w:i w:val="0"/>
                      <w:iCs w:val="0"/>
                      <w:color w:val="000000"/>
                      <w:kern w:val="0"/>
                      <w:sz w:val="21"/>
                      <w:szCs w:val="21"/>
                      <w:highlight w:val="none"/>
                      <w:u w:val="none"/>
                      <w:lang w:val="en-US" w:eastAsia="zh-CN" w:bidi="ar"/>
                    </w:rPr>
                    <w:t>10</w:t>
                  </w:r>
                </w:p>
              </w:tc>
              <w:tc>
                <w:tcPr>
                  <w:tcW w:w="745" w:type="dxa"/>
                  <w:tcBorders>
                    <w:top w:val="single" w:color="000000" w:sz="4" w:space="0"/>
                    <w:left w:val="single" w:color="000000" w:sz="4" w:space="0"/>
                    <w:bottom w:val="single" w:color="000000" w:sz="4" w:space="0"/>
                    <w:right w:val="single" w:color="000000" w:sz="4" w:space="0"/>
                  </w:tcBorders>
                  <w:noWrap w:val="0"/>
                  <w:vAlign w:val="center"/>
                </w:tcPr>
                <w:p w14:paraId="65077FD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＜50</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29ED4955">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r>
            <w:tr w14:paraId="18533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44" w:type="dxa"/>
                  <w:tcBorders>
                    <w:top w:val="single" w:color="000000" w:sz="4" w:space="0"/>
                    <w:left w:val="single" w:color="000000" w:sz="4" w:space="0"/>
                    <w:bottom w:val="single" w:color="000000" w:sz="4" w:space="0"/>
                    <w:right w:val="single" w:color="000000" w:sz="4" w:space="0"/>
                  </w:tcBorders>
                  <w:noWrap/>
                  <w:vAlign w:val="center"/>
                </w:tcPr>
                <w:p w14:paraId="5DDF563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监测最大值</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3E2BA49">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7.33</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6DC50C16">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DE413A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144</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1DAE519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0.501</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9F955F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0.025</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2A7FA0B">
                  <w:pPr>
                    <w:keepNext w:val="0"/>
                    <w:keepLines w:val="0"/>
                    <w:pageBreakBefore w:val="0"/>
                    <w:widowControl/>
                    <w:kinsoku/>
                    <w:wordWrap/>
                    <w:overflowPunct/>
                    <w:topLinePunct w:val="0"/>
                    <w:autoSpaceDE/>
                    <w:autoSpaceDN/>
                    <w:bidi w:val="0"/>
                    <w:adjustRightInd w:val="0"/>
                    <w:snapToGrid w:val="0"/>
                    <w:ind w:left="-105" w:leftChars="-50" w:right="-105" w:rightChars="-50"/>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90E46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15.9</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3E1D381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22.8</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556202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0.17</w:t>
                  </w:r>
                </w:p>
              </w:tc>
              <w:tc>
                <w:tcPr>
                  <w:tcW w:w="745" w:type="dxa"/>
                  <w:tcBorders>
                    <w:top w:val="single" w:color="000000" w:sz="4" w:space="0"/>
                    <w:left w:val="single" w:color="000000" w:sz="4" w:space="0"/>
                    <w:bottom w:val="single" w:color="000000" w:sz="4" w:space="0"/>
                    <w:right w:val="single" w:color="000000" w:sz="4" w:space="0"/>
                  </w:tcBorders>
                  <w:noWrap/>
                  <w:vAlign w:val="center"/>
                </w:tcPr>
                <w:p w14:paraId="15AA1E23">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564" w:type="dxa"/>
                  <w:tcBorders>
                    <w:top w:val="single" w:color="000000" w:sz="4" w:space="0"/>
                    <w:left w:val="single" w:color="000000" w:sz="4" w:space="0"/>
                    <w:bottom w:val="single" w:color="000000" w:sz="4" w:space="0"/>
                    <w:right w:val="single" w:color="000000" w:sz="4" w:space="0"/>
                  </w:tcBorders>
                  <w:noWrap/>
                  <w:vAlign w:val="center"/>
                </w:tcPr>
                <w:p w14:paraId="48654A42">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r>
            <w:tr w14:paraId="14B97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44" w:type="dxa"/>
                  <w:tcBorders>
                    <w:top w:val="single" w:color="000000" w:sz="4" w:space="0"/>
                    <w:left w:val="single" w:color="000000" w:sz="4" w:space="0"/>
                    <w:bottom w:val="single" w:color="000000" w:sz="4" w:space="0"/>
                    <w:right w:val="single" w:color="000000" w:sz="4" w:space="0"/>
                  </w:tcBorders>
                  <w:noWrap w:val="0"/>
                  <w:vAlign w:val="center"/>
                </w:tcPr>
                <w:p w14:paraId="79469C8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标准</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C7F02B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7E44877">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70</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C191066">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150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1647BB6">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30E130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ascii="Times New Roman" w:hAnsi="Times New Roman" w:eastAsia="宋体" w:cs="Times New Roman"/>
                      <w:i w:val="0"/>
                      <w:iCs w:val="0"/>
                      <w:color w:val="000000"/>
                      <w:kern w:val="0"/>
                      <w:sz w:val="21"/>
                      <w:szCs w:val="21"/>
                      <w:highlight w:val="none"/>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2ECE632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0.2</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3BED6D0">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382DF3A">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184EAD8">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745" w:type="dxa"/>
                  <w:tcBorders>
                    <w:top w:val="single" w:color="000000" w:sz="4" w:space="0"/>
                    <w:left w:val="single" w:color="000000" w:sz="4" w:space="0"/>
                    <w:bottom w:val="single" w:color="000000" w:sz="4" w:space="0"/>
                    <w:right w:val="single" w:color="000000" w:sz="4" w:space="0"/>
                  </w:tcBorders>
                  <w:noWrap w:val="0"/>
                  <w:vAlign w:val="center"/>
                </w:tcPr>
                <w:p w14:paraId="7660FF97">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F97B23C">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0.2</w:t>
                  </w:r>
                </w:p>
              </w:tc>
            </w:tr>
            <w:tr w14:paraId="47B55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44" w:type="dxa"/>
                  <w:tcBorders>
                    <w:top w:val="single" w:color="000000" w:sz="4" w:space="0"/>
                    <w:left w:val="single" w:color="000000" w:sz="4" w:space="0"/>
                    <w:bottom w:val="single" w:color="000000" w:sz="4" w:space="0"/>
                    <w:right w:val="single" w:color="000000" w:sz="4" w:space="0"/>
                  </w:tcBorders>
                  <w:noWrap w:val="0"/>
                  <w:vAlign w:val="center"/>
                </w:tcPr>
                <w:p w14:paraId="177DD67B">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标准来源</w:t>
                  </w:r>
                </w:p>
              </w:tc>
              <w:tc>
                <w:tcPr>
                  <w:tcW w:w="4632" w:type="dxa"/>
                  <w:gridSpan w:val="6"/>
                  <w:tcBorders>
                    <w:top w:val="single" w:color="000000" w:sz="4" w:space="0"/>
                    <w:left w:val="single" w:color="000000" w:sz="4" w:space="0"/>
                    <w:bottom w:val="single" w:color="000000" w:sz="4" w:space="0"/>
                    <w:right w:val="single" w:color="000000" w:sz="4" w:space="0"/>
                  </w:tcBorders>
                  <w:noWrap w:val="0"/>
                  <w:vAlign w:val="center"/>
                </w:tcPr>
                <w:p w14:paraId="01805501">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《炼焦化学工业污染物排放标准》（GB16171-2012）中表1新建企业污水污染物排放浓度限值（间接排放）</w:t>
                  </w:r>
                </w:p>
              </w:tc>
              <w:tc>
                <w:tcPr>
                  <w:tcW w:w="3416" w:type="dxa"/>
                  <w:gridSpan w:val="5"/>
                  <w:tcBorders>
                    <w:top w:val="single" w:color="000000" w:sz="4" w:space="0"/>
                    <w:left w:val="single" w:color="000000" w:sz="4" w:space="0"/>
                    <w:bottom w:val="single" w:color="000000" w:sz="4" w:space="0"/>
                    <w:right w:val="single" w:color="000000" w:sz="4" w:space="0"/>
                  </w:tcBorders>
                  <w:noWrap w:val="0"/>
                  <w:vAlign w:val="center"/>
                </w:tcPr>
                <w:p w14:paraId="6C0D8B46">
                  <w:pPr>
                    <w:keepNext w:val="0"/>
                    <w:keepLines w:val="0"/>
                    <w:pageBreakBefore w:val="0"/>
                    <w:widowControl/>
                    <w:suppressLineNumbers w:val="0"/>
                    <w:kinsoku/>
                    <w:wordWrap/>
                    <w:overflowPunct/>
                    <w:topLinePunct w:val="0"/>
                    <w:autoSpaceDE/>
                    <w:autoSpaceDN/>
                    <w:bidi w:val="0"/>
                    <w:adjustRightInd w:val="0"/>
                    <w:snapToGrid w:val="0"/>
                    <w:ind w:left="-105" w:leftChars="-50" w:right="-105" w:rightChars="-5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《炼焦化学工业污染物排放标准》（GB16171-2012）中表</w:t>
                  </w:r>
                  <w:r>
                    <w:rPr>
                      <w:rFonts w:hint="eastAsia" w:ascii="Times New Roman" w:hAnsi="Times New Roman" w:eastAsia="宋体" w:cs="Times New Roman"/>
                      <w:i w:val="0"/>
                      <w:iCs w:val="0"/>
                      <w:color w:val="000000"/>
                      <w:kern w:val="0"/>
                      <w:sz w:val="21"/>
                      <w:szCs w:val="21"/>
                      <w:highlight w:val="none"/>
                      <w:u w:val="none"/>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新建企业污水污染物排放浓度限值（间接排放）</w:t>
                  </w:r>
                </w:p>
              </w:tc>
            </w:tr>
          </w:tbl>
          <w:p w14:paraId="4415CBFA">
            <w:pPr>
              <w:adjustRightInd w:val="0"/>
              <w:snapToGrid w:val="0"/>
              <w:spacing w:line="360" w:lineRule="auto"/>
              <w:ind w:firstLine="468" w:firstLineChars="200"/>
              <w:rPr>
                <w:rFonts w:hint="default" w:ascii="Times New Roman" w:hAnsi="Times New Roman" w:eastAsia="宋体" w:cs="Times New Roman"/>
                <w:color w:val="000000"/>
                <w:sz w:val="24"/>
                <w:szCs w:val="24"/>
                <w:highlight w:val="none"/>
                <w:lang w:val="en-US" w:eastAsia="zh-CN"/>
              </w:rPr>
            </w:pPr>
            <w:r>
              <w:rPr>
                <w:color w:val="000000"/>
                <w:spacing w:val="-3"/>
                <w:sz w:val="24"/>
                <w:szCs w:val="24"/>
                <w:highlight w:val="none"/>
              </w:rPr>
              <w:t>污水处理设施出口</w:t>
            </w:r>
            <w:r>
              <w:rPr>
                <w:rFonts w:ascii="Times New Roman" w:hAnsi="Times New Roman" w:eastAsia="Times New Roman" w:cs="Times New Roman"/>
                <w:color w:val="000000"/>
                <w:spacing w:val="-3"/>
                <w:sz w:val="24"/>
                <w:szCs w:val="24"/>
                <w:highlight w:val="none"/>
              </w:rPr>
              <w:t>COD</w:t>
            </w:r>
            <w:r>
              <w:rPr>
                <w:rFonts w:ascii="Times New Roman" w:hAnsi="Times New Roman" w:eastAsia="Times New Roman" w:cs="Times New Roman"/>
                <w:color w:val="000000"/>
                <w:spacing w:val="-3"/>
                <w:position w:val="-1"/>
                <w:sz w:val="24"/>
                <w:szCs w:val="24"/>
                <w:highlight w:val="none"/>
              </w:rPr>
              <w:t>Cr</w:t>
            </w:r>
            <w:r>
              <w:rPr>
                <w:color w:val="000000"/>
                <w:spacing w:val="-3"/>
                <w:sz w:val="24"/>
                <w:szCs w:val="24"/>
                <w:highlight w:val="none"/>
              </w:rPr>
              <w:t>、</w:t>
            </w:r>
            <w:r>
              <w:rPr>
                <w:rFonts w:ascii="Times New Roman" w:hAnsi="Times New Roman" w:eastAsia="Times New Roman" w:cs="Times New Roman"/>
                <w:color w:val="000000"/>
                <w:spacing w:val="-3"/>
                <w:sz w:val="24"/>
                <w:szCs w:val="24"/>
                <w:highlight w:val="none"/>
              </w:rPr>
              <w:t>pH</w:t>
            </w:r>
            <w:r>
              <w:rPr>
                <w:color w:val="000000"/>
                <w:spacing w:val="-3"/>
                <w:sz w:val="24"/>
                <w:szCs w:val="24"/>
                <w:highlight w:val="none"/>
              </w:rPr>
              <w:t>、悬浮物、氨氮、挥发酚、氰化物均满足《炼焦化学</w:t>
            </w:r>
            <w:r>
              <w:rPr>
                <w:color w:val="000000"/>
                <w:spacing w:val="-2"/>
                <w:sz w:val="24"/>
                <w:szCs w:val="24"/>
                <w:highlight w:val="none"/>
              </w:rPr>
              <w:t>工业污染物排放标准》（</w:t>
            </w:r>
            <w:r>
              <w:rPr>
                <w:rFonts w:ascii="Times New Roman" w:hAnsi="Times New Roman" w:eastAsia="Times New Roman" w:cs="Times New Roman"/>
                <w:color w:val="000000"/>
                <w:spacing w:val="-2"/>
                <w:sz w:val="24"/>
                <w:szCs w:val="24"/>
                <w:highlight w:val="none"/>
              </w:rPr>
              <w:t>GB16171-2012</w:t>
            </w:r>
            <w:r>
              <w:rPr>
                <w:color w:val="000000"/>
                <w:spacing w:val="-2"/>
                <w:sz w:val="24"/>
                <w:szCs w:val="24"/>
                <w:highlight w:val="none"/>
              </w:rPr>
              <w:t>）</w:t>
            </w:r>
            <w:r>
              <w:rPr>
                <w:color w:val="000000"/>
                <w:spacing w:val="-2"/>
                <w:sz w:val="24"/>
                <w:highlight w:val="none"/>
              </w:rPr>
              <w:t>表</w:t>
            </w:r>
            <w:r>
              <w:rPr>
                <w:rFonts w:hint="eastAsia" w:eastAsia="宋体"/>
                <w:color w:val="000000"/>
                <w:spacing w:val="-2"/>
                <w:sz w:val="24"/>
                <w:highlight w:val="none"/>
                <w:lang w:val="en-US" w:eastAsia="zh-CN"/>
              </w:rPr>
              <w:t>2</w:t>
            </w:r>
            <w:r>
              <w:rPr>
                <w:color w:val="000000"/>
                <w:spacing w:val="-2"/>
                <w:sz w:val="24"/>
                <w:highlight w:val="none"/>
              </w:rPr>
              <w:t>中</w:t>
            </w:r>
            <w:r>
              <w:rPr>
                <w:color w:val="000000"/>
                <w:spacing w:val="-2"/>
                <w:sz w:val="24"/>
                <w:szCs w:val="24"/>
                <w:highlight w:val="none"/>
              </w:rPr>
              <w:t>间接排放限制要求；</w:t>
            </w:r>
            <w:r>
              <w:rPr>
                <w:rFonts w:ascii="Times New Roman" w:hAnsi="Times New Roman" w:eastAsia="Times New Roman" w:cs="Times New Roman"/>
                <w:color w:val="000000"/>
                <w:spacing w:val="-2"/>
                <w:sz w:val="24"/>
                <w:szCs w:val="24"/>
                <w:highlight w:val="none"/>
              </w:rPr>
              <w:t>BOD</w:t>
            </w:r>
            <w:r>
              <w:rPr>
                <w:rFonts w:ascii="Times New Roman" w:hAnsi="Times New Roman" w:eastAsia="Times New Roman" w:cs="Times New Roman"/>
                <w:color w:val="000000"/>
                <w:spacing w:val="-2"/>
                <w:position w:val="-1"/>
                <w:sz w:val="24"/>
                <w:szCs w:val="24"/>
                <w:highlight w:val="none"/>
                <w:vertAlign w:val="subscript"/>
              </w:rPr>
              <w:t>5</w:t>
            </w:r>
            <w:r>
              <w:rPr>
                <w:color w:val="000000"/>
                <w:spacing w:val="-3"/>
                <w:sz w:val="24"/>
                <w:szCs w:val="24"/>
                <w:highlight w:val="none"/>
              </w:rPr>
              <w:t>、总氮、总</w:t>
            </w:r>
            <w:r>
              <w:rPr>
                <w:color w:val="000000"/>
                <w:spacing w:val="-1"/>
                <w:sz w:val="24"/>
                <w:szCs w:val="24"/>
                <w:highlight w:val="none"/>
              </w:rPr>
              <w:t>磷、石油类、硫化物、苯、多环芳烃、</w:t>
            </w:r>
            <w:r>
              <w:rPr>
                <w:rFonts w:hint="eastAsia"/>
                <w:color w:val="000000"/>
                <w:spacing w:val="-1"/>
                <w:sz w:val="24"/>
                <w:highlight w:val="none"/>
                <w:lang w:eastAsia="zh-CN"/>
              </w:rPr>
              <w:t>苯并（a）芘</w:t>
            </w:r>
            <w:r>
              <w:rPr>
                <w:color w:val="000000"/>
                <w:spacing w:val="-1"/>
                <w:sz w:val="24"/>
                <w:szCs w:val="24"/>
                <w:highlight w:val="none"/>
              </w:rPr>
              <w:t>均满足《炼焦化学工业污染物排放标准》</w:t>
            </w:r>
            <w:r>
              <w:rPr>
                <w:color w:val="000000"/>
                <w:spacing w:val="-3"/>
                <w:sz w:val="24"/>
                <w:szCs w:val="24"/>
                <w:highlight w:val="none"/>
              </w:rPr>
              <w:t>（</w:t>
            </w:r>
            <w:r>
              <w:rPr>
                <w:rFonts w:ascii="Times New Roman" w:hAnsi="Times New Roman" w:eastAsia="Times New Roman" w:cs="Times New Roman"/>
                <w:color w:val="000000"/>
                <w:spacing w:val="-3"/>
                <w:sz w:val="24"/>
                <w:szCs w:val="24"/>
                <w:highlight w:val="none"/>
              </w:rPr>
              <w:t>GB16171-2012</w:t>
            </w:r>
            <w:r>
              <w:rPr>
                <w:color w:val="000000"/>
                <w:spacing w:val="-3"/>
                <w:sz w:val="24"/>
                <w:szCs w:val="24"/>
                <w:highlight w:val="none"/>
              </w:rPr>
              <w:t>）表</w:t>
            </w:r>
            <w:r>
              <w:rPr>
                <w:rFonts w:ascii="Times New Roman" w:hAnsi="Times New Roman" w:eastAsia="Times New Roman" w:cs="Times New Roman"/>
                <w:color w:val="000000"/>
                <w:spacing w:val="-3"/>
                <w:sz w:val="24"/>
                <w:szCs w:val="24"/>
                <w:highlight w:val="none"/>
              </w:rPr>
              <w:t>3</w:t>
            </w:r>
            <w:r>
              <w:rPr>
                <w:color w:val="000000"/>
                <w:spacing w:val="-3"/>
                <w:sz w:val="24"/>
                <w:szCs w:val="24"/>
                <w:highlight w:val="none"/>
              </w:rPr>
              <w:t>中间接排放限制要求</w:t>
            </w:r>
            <w:r>
              <w:rPr>
                <w:rFonts w:hint="default" w:ascii="Times New Roman" w:hAnsi="Times New Roman" w:cs="Times New Roman"/>
                <w:color w:val="000000"/>
                <w:sz w:val="24"/>
                <w:szCs w:val="24"/>
                <w:highlight w:val="none"/>
              </w:rPr>
              <w:t>。</w:t>
            </w:r>
            <w:r>
              <w:rPr>
                <w:rFonts w:hint="eastAsia" w:ascii="Times New Roman" w:hAnsi="Times New Roman" w:cs="Times New Roman"/>
                <w:color w:val="000000"/>
                <w:sz w:val="24"/>
                <w:szCs w:val="24"/>
                <w:highlight w:val="none"/>
                <w:lang w:val="en-US" w:eastAsia="zh-CN"/>
              </w:rPr>
              <w:t>生化废水产生量为42.5m³/h，</w:t>
            </w:r>
            <w:r>
              <w:rPr>
                <w:rFonts w:hint="eastAsia" w:ascii="Times New Roman" w:hAnsi="Times New Roman" w:eastAsia="宋体" w:cs="Times New Roman"/>
                <w:color w:val="000000"/>
                <w:spacing w:val="-1"/>
                <w:sz w:val="24"/>
                <w:szCs w:val="24"/>
                <w:highlight w:val="none"/>
                <w:lang w:val="en-US" w:eastAsia="zh-CN"/>
              </w:rPr>
              <w:t>处理后的生化水用于熄焦及煤场喷洒，不外排。</w:t>
            </w:r>
          </w:p>
          <w:p w14:paraId="7AFCF8F4">
            <w:pPr>
              <w:adjustRightInd w:val="0"/>
              <w:snapToGrid w:val="0"/>
              <w:spacing w:line="360" w:lineRule="auto"/>
              <w:ind w:firstLine="482" w:firstLineChars="200"/>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lang w:val="en-US" w:eastAsia="zh-CN"/>
              </w:rPr>
              <w:t>3</w:t>
            </w: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rPr>
              <w:t>噪声产生及治理情况</w:t>
            </w:r>
          </w:p>
          <w:p w14:paraId="5593ACCA">
            <w:pPr>
              <w:snapToGrid w:val="0"/>
              <w:spacing w:line="360" w:lineRule="auto"/>
              <w:ind w:firstLine="476"/>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本项目现有工程主要噪声源主要为各类水泵、鼓风机等设备产生的噪声，噪声值范围在75～90dB（A）之间。现有工程采取选择低噪声设备、基础减振、设备消声、建筑隔声、距离衰减等措施。</w:t>
            </w:r>
          </w:p>
          <w:p w14:paraId="6892B27C">
            <w:pPr>
              <w:snapToGrid w:val="0"/>
              <w:spacing w:line="360" w:lineRule="auto"/>
              <w:ind w:firstLine="476"/>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验收期间，</w:t>
            </w:r>
            <w:r>
              <w:rPr>
                <w:rFonts w:hint="default" w:ascii="Times New Roman" w:hAnsi="Times New Roman" w:cs="Times New Roman"/>
                <w:color w:val="000000"/>
                <w:sz w:val="24"/>
                <w:highlight w:val="none"/>
              </w:rPr>
              <w:t>厂界四周</w:t>
            </w:r>
            <w:r>
              <w:rPr>
                <w:color w:val="000000"/>
                <w:sz w:val="24"/>
                <w:highlight w:val="none"/>
              </w:rPr>
              <w:t>昼间噪声在</w:t>
            </w:r>
            <w:r>
              <w:rPr>
                <w:rFonts w:hint="default" w:ascii="Times New Roman" w:hAnsi="Times New Roman" w:cs="Times New Roman"/>
                <w:color w:val="000000"/>
                <w:sz w:val="24"/>
                <w:highlight w:val="none"/>
              </w:rPr>
              <w:t>55.5-56.8dB（A）范围</w:t>
            </w:r>
            <w:r>
              <w:rPr>
                <w:rFonts w:hint="default" w:ascii="Times New Roman" w:hAnsi="Times New Roman" w:cs="Times New Roman"/>
                <w:color w:val="000000"/>
                <w:sz w:val="24"/>
                <w:szCs w:val="24"/>
                <w:highlight w:val="none"/>
              </w:rPr>
              <w:t>内，夜</w:t>
            </w:r>
            <w:r>
              <w:rPr>
                <w:color w:val="000000"/>
                <w:sz w:val="24"/>
                <w:szCs w:val="24"/>
                <w:highlight w:val="none"/>
              </w:rPr>
              <w:t>间</w:t>
            </w:r>
            <w:r>
              <w:rPr>
                <w:rStyle w:val="16"/>
                <w:rFonts w:hint="eastAsia"/>
                <w:color w:val="000000"/>
                <w:sz w:val="24"/>
                <w:szCs w:val="24"/>
                <w:highlight w:val="none"/>
                <w:lang w:val="en-US" w:eastAsia="zh-CN"/>
              </w:rPr>
              <w:t>噪声</w:t>
            </w:r>
            <w:r>
              <w:rPr>
                <w:color w:val="000000"/>
                <w:sz w:val="24"/>
                <w:szCs w:val="24"/>
                <w:highlight w:val="none"/>
              </w:rPr>
              <w:t>在</w:t>
            </w:r>
            <w:r>
              <w:rPr>
                <w:rFonts w:hint="default" w:ascii="Times New Roman" w:hAnsi="Times New Roman" w:cs="Times New Roman"/>
                <w:color w:val="000000"/>
                <w:sz w:val="24"/>
                <w:szCs w:val="24"/>
                <w:highlight w:val="none"/>
              </w:rPr>
              <w:t>4</w:t>
            </w:r>
            <w:r>
              <w:rPr>
                <w:rFonts w:hint="default" w:ascii="Times New Roman" w:hAnsi="Times New Roman" w:cs="Times New Roman"/>
                <w:color w:val="000000"/>
                <w:sz w:val="24"/>
                <w:highlight w:val="none"/>
              </w:rPr>
              <w:t>6.0-47.1dB（A）范围内，均满足《工业企业厂界环境噪声排放标准》（GB12348-2008）表1中3类标准限值要求。</w:t>
            </w:r>
          </w:p>
          <w:bookmarkEnd w:id="8"/>
          <w:bookmarkEnd w:id="9"/>
          <w:p w14:paraId="5C910E80">
            <w:pPr>
              <w:adjustRightInd w:val="0"/>
              <w:snapToGrid w:val="0"/>
              <w:spacing w:line="360" w:lineRule="auto"/>
              <w:ind w:firstLine="482" w:firstLineChars="200"/>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lang w:val="en-US" w:eastAsia="zh-CN"/>
              </w:rPr>
              <w:t>4</w:t>
            </w:r>
            <w:r>
              <w:rPr>
                <w:rFonts w:hint="default" w:ascii="Times New Roman" w:hAnsi="Times New Roman" w:cs="Times New Roman"/>
                <w:b/>
                <w:color w:val="000000"/>
                <w:sz w:val="24"/>
                <w:szCs w:val="24"/>
                <w:highlight w:val="none"/>
                <w:lang w:eastAsia="zh-CN"/>
              </w:rPr>
              <w:t>）</w:t>
            </w:r>
            <w:r>
              <w:rPr>
                <w:rFonts w:hint="default" w:ascii="Times New Roman" w:hAnsi="Times New Roman" w:cs="Times New Roman"/>
                <w:b/>
                <w:color w:val="000000"/>
                <w:sz w:val="24"/>
                <w:szCs w:val="24"/>
                <w:highlight w:val="none"/>
              </w:rPr>
              <w:t>固废产生及处置情况</w:t>
            </w:r>
          </w:p>
          <w:p w14:paraId="047DC88B">
            <w:pPr>
              <w:spacing w:line="360" w:lineRule="auto"/>
              <w:ind w:firstLine="476"/>
              <w:rPr>
                <w:rFonts w:hint="default" w:ascii="Times New Roman" w:hAnsi="Times New Roman" w:cs="Times New Roman"/>
                <w:b w:val="0"/>
                <w:bCs w:val="0"/>
                <w:color w:val="000000"/>
                <w:kern w:val="0"/>
                <w:sz w:val="24"/>
                <w:szCs w:val="24"/>
                <w:highlight w:val="none"/>
              </w:rPr>
            </w:pPr>
            <w:r>
              <w:rPr>
                <w:rFonts w:hint="default" w:ascii="Times New Roman" w:hAnsi="Times New Roman" w:cs="Times New Roman"/>
                <w:b w:val="0"/>
                <w:bCs w:val="0"/>
                <w:color w:val="000000"/>
                <w:kern w:val="0"/>
                <w:sz w:val="24"/>
                <w:szCs w:val="24"/>
                <w:highlight w:val="none"/>
              </w:rPr>
              <w:t>本项目现有</w:t>
            </w:r>
            <w:r>
              <w:rPr>
                <w:rFonts w:hint="eastAsia" w:ascii="Times New Roman" w:hAnsi="Times New Roman" w:cs="Times New Roman"/>
                <w:b w:val="0"/>
                <w:bCs w:val="0"/>
                <w:color w:val="000000"/>
                <w:kern w:val="0"/>
                <w:sz w:val="24"/>
                <w:szCs w:val="24"/>
                <w:highlight w:val="none"/>
                <w:lang w:val="en-US" w:eastAsia="zh-CN"/>
              </w:rPr>
              <w:t>污水处理站</w:t>
            </w:r>
            <w:r>
              <w:rPr>
                <w:rFonts w:hint="default" w:ascii="Times New Roman" w:hAnsi="Times New Roman" w:cs="Times New Roman"/>
                <w:b w:val="0"/>
                <w:bCs w:val="0"/>
                <w:color w:val="000000"/>
                <w:kern w:val="0"/>
                <w:sz w:val="24"/>
                <w:szCs w:val="24"/>
                <w:highlight w:val="none"/>
              </w:rPr>
              <w:t>产生的固废主要</w:t>
            </w:r>
            <w:r>
              <w:rPr>
                <w:rFonts w:hint="eastAsia" w:ascii="Times New Roman" w:hAnsi="Times New Roman" w:cs="Times New Roman"/>
                <w:b w:val="0"/>
                <w:bCs w:val="0"/>
                <w:color w:val="000000"/>
                <w:kern w:val="0"/>
                <w:sz w:val="24"/>
                <w:szCs w:val="24"/>
                <w:highlight w:val="none"/>
                <w:lang w:val="en-US" w:eastAsia="zh-CN"/>
              </w:rPr>
              <w:t>为</w:t>
            </w:r>
            <w:r>
              <w:rPr>
                <w:rFonts w:hint="default" w:ascii="Times New Roman" w:hAnsi="Times New Roman" w:cs="Times New Roman"/>
                <w:b w:val="0"/>
                <w:bCs w:val="0"/>
                <w:color w:val="000000"/>
                <w:sz w:val="24"/>
                <w:szCs w:val="24"/>
                <w:highlight w:val="none"/>
              </w:rPr>
              <w:t>污泥。</w:t>
            </w:r>
          </w:p>
          <w:p w14:paraId="4DA9E4FB">
            <w:pPr>
              <w:pStyle w:val="30"/>
              <w:spacing w:before="0" w:beforeLines="0"/>
              <w:ind w:firstLine="480" w:firstLineChars="200"/>
              <w:outlineLvl w:val="1"/>
              <w:rPr>
                <w:rFonts w:hint="eastAsia" w:ascii="Times New Roman" w:hAnsi="Times New Roman" w:eastAsia="宋体" w:cs="Times New Roman"/>
                <w:b w:val="0"/>
                <w:bCs w:val="0"/>
                <w:color w:val="000000"/>
                <w:kern w:val="0"/>
                <w:sz w:val="24"/>
                <w:szCs w:val="24"/>
                <w:highlight w:val="none"/>
                <w:lang w:val="en-US" w:eastAsia="zh-CN" w:bidi="ar-SA"/>
              </w:rPr>
            </w:pPr>
            <w:bookmarkStart w:id="10" w:name="_Toc39524565"/>
            <w:r>
              <w:rPr>
                <w:rFonts w:hint="default" w:ascii="Times New Roman" w:hAnsi="Times New Roman" w:eastAsia="宋体" w:cs="Times New Roman"/>
                <w:b w:val="0"/>
                <w:bCs w:val="0"/>
                <w:color w:val="000000"/>
                <w:kern w:val="0"/>
                <w:sz w:val="24"/>
                <w:szCs w:val="24"/>
                <w:highlight w:val="none"/>
                <w:lang w:val="en-US" w:eastAsia="zh-CN" w:bidi="ar-SA"/>
              </w:rPr>
              <w:t>脱水后的污泥</w:t>
            </w:r>
            <w:r>
              <w:rPr>
                <w:rFonts w:hint="eastAsia" w:ascii="Times New Roman" w:hAnsi="Times New Roman" w:eastAsia="宋体" w:cs="Times New Roman"/>
                <w:b w:val="0"/>
                <w:bCs w:val="0"/>
                <w:color w:val="000000"/>
                <w:kern w:val="0"/>
                <w:sz w:val="24"/>
                <w:szCs w:val="24"/>
                <w:highlight w:val="none"/>
                <w:lang w:val="en-US" w:eastAsia="zh-CN" w:bidi="ar-SA"/>
              </w:rPr>
              <w:t>最大产生量为100吨，</w:t>
            </w:r>
            <w:r>
              <w:rPr>
                <w:rFonts w:hint="default" w:ascii="Times New Roman" w:hAnsi="Times New Roman" w:eastAsia="宋体" w:cs="Times New Roman"/>
                <w:b w:val="0"/>
                <w:bCs w:val="0"/>
                <w:color w:val="000000"/>
                <w:kern w:val="0"/>
                <w:sz w:val="24"/>
                <w:szCs w:val="24"/>
                <w:highlight w:val="none"/>
                <w:lang w:val="en-US" w:eastAsia="zh-CN" w:bidi="ar-SA"/>
              </w:rPr>
              <w:t>备煤车间掺入炼焦原料煤中炼焦</w:t>
            </w:r>
            <w:r>
              <w:rPr>
                <w:rFonts w:hint="eastAsia" w:ascii="Times New Roman" w:hAnsi="Times New Roman" w:eastAsia="宋体" w:cs="Times New Roman"/>
                <w:b w:val="0"/>
                <w:bCs w:val="0"/>
                <w:color w:val="000000"/>
                <w:kern w:val="0"/>
                <w:sz w:val="24"/>
                <w:szCs w:val="24"/>
                <w:highlight w:val="none"/>
                <w:lang w:val="en-US" w:eastAsia="zh-CN" w:bidi="ar-SA"/>
              </w:rPr>
              <w:t>。</w:t>
            </w:r>
          </w:p>
          <w:p w14:paraId="79468167">
            <w:pPr>
              <w:pStyle w:val="30"/>
              <w:spacing w:before="0" w:beforeLines="0"/>
              <w:ind w:firstLine="480" w:firstLineChars="200"/>
              <w:outlineLvl w:val="1"/>
              <w:rPr>
                <w:rFonts w:hint="default" w:ascii="Times New Roman" w:hAnsi="Times New Roman" w:eastAsia="宋体" w:cs="Times New Roman"/>
                <w:b/>
                <w:color w:val="000000"/>
                <w:sz w:val="24"/>
                <w:szCs w:val="24"/>
                <w:highlight w:val="none"/>
                <w:lang w:val="en-US" w:eastAsia="zh-CN"/>
              </w:rPr>
            </w:pPr>
            <w:r>
              <w:rPr>
                <w:rFonts w:hint="eastAsia" w:ascii="Times New Roman" w:hAnsi="Times New Roman" w:eastAsia="宋体" w:cs="Times New Roman"/>
                <w:b w:val="0"/>
                <w:bCs w:val="0"/>
                <w:color w:val="000000"/>
                <w:kern w:val="0"/>
                <w:sz w:val="24"/>
                <w:szCs w:val="24"/>
                <w:highlight w:val="none"/>
                <w:lang w:val="en-US" w:eastAsia="zh-CN" w:bidi="ar-SA"/>
              </w:rPr>
              <w:t>现有工程建有危废库2座，分别450㎡、25㎡，分别位于厂区东北角、空压站旁。</w:t>
            </w:r>
          </w:p>
          <w:p w14:paraId="499659A8">
            <w:pPr>
              <w:adjustRightInd w:val="0"/>
              <w:snapToGrid w:val="0"/>
              <w:spacing w:line="360" w:lineRule="auto"/>
              <w:ind w:firstLine="482" w:firstLineChars="200"/>
              <w:rPr>
                <w:rFonts w:hint="default" w:ascii="Times New Roman" w:hAnsi="Times New Roman" w:eastAsia="宋体" w:cs="Times New Roman"/>
                <w:b/>
                <w:color w:val="000000"/>
                <w:sz w:val="24"/>
                <w:szCs w:val="24"/>
                <w:highlight w:val="none"/>
                <w:lang w:val="en-US" w:eastAsia="zh-CN"/>
              </w:rPr>
            </w:pPr>
            <w:r>
              <w:rPr>
                <w:rFonts w:hint="eastAsia" w:ascii="Times New Roman" w:hAnsi="Times New Roman" w:eastAsia="宋体" w:cs="Times New Roman"/>
                <w:b/>
                <w:color w:val="000000"/>
                <w:sz w:val="24"/>
                <w:szCs w:val="24"/>
                <w:highlight w:val="none"/>
                <w:lang w:val="en-US" w:eastAsia="zh-CN"/>
              </w:rPr>
              <w:t>（5）防渗措施情况</w:t>
            </w:r>
          </w:p>
          <w:p w14:paraId="3047B982">
            <w:pPr>
              <w:adjustRightInd w:val="0"/>
              <w:snapToGrid w:val="0"/>
              <w:spacing w:line="360" w:lineRule="auto"/>
              <w:ind w:firstLine="480" w:firstLineChars="200"/>
              <w:rPr>
                <w:rFonts w:hint="default" w:ascii="Times New Roman" w:hAnsi="Times New Roman" w:eastAsia="宋体" w:cs="Times New Roman"/>
                <w:b w:val="0"/>
                <w:bCs/>
                <w:color w:val="000000"/>
                <w:sz w:val="24"/>
                <w:szCs w:val="24"/>
                <w:highlight w:val="none"/>
                <w:lang w:val="en-US" w:eastAsia="zh-CN"/>
              </w:rPr>
            </w:pPr>
            <w:r>
              <w:rPr>
                <w:rFonts w:hint="eastAsia" w:ascii="Times New Roman" w:hAnsi="Times New Roman" w:eastAsia="宋体" w:cs="Times New Roman"/>
                <w:b w:val="0"/>
                <w:bCs/>
                <w:color w:val="000000"/>
                <w:sz w:val="24"/>
                <w:szCs w:val="24"/>
                <w:highlight w:val="none"/>
                <w:lang w:val="en-US" w:eastAsia="zh-CN"/>
              </w:rPr>
              <w:t>生化污水站地面及池体进行了</w:t>
            </w:r>
            <w:r>
              <w:rPr>
                <w:rFonts w:hint="default" w:ascii="Times New Roman" w:hAnsi="Times New Roman" w:eastAsia="宋体" w:cs="Times New Roman"/>
                <w:b w:val="0"/>
                <w:bCs/>
                <w:color w:val="000000"/>
                <w:sz w:val="24"/>
                <w:szCs w:val="24"/>
                <w:highlight w:val="none"/>
                <w:lang w:val="en-US" w:eastAsia="zh-CN"/>
              </w:rPr>
              <w:t>防渗措施，采用防渗建筑材料铺设地面</w:t>
            </w:r>
            <w:r>
              <w:rPr>
                <w:rFonts w:hint="eastAsia" w:ascii="Times New Roman" w:hAnsi="Times New Roman" w:eastAsia="宋体" w:cs="Times New Roman"/>
                <w:b w:val="0"/>
                <w:bCs/>
                <w:color w:val="000000"/>
                <w:sz w:val="24"/>
                <w:szCs w:val="24"/>
                <w:highlight w:val="none"/>
                <w:lang w:val="en-US" w:eastAsia="zh-CN"/>
              </w:rPr>
              <w:t>、池体</w:t>
            </w:r>
            <w:r>
              <w:rPr>
                <w:rFonts w:hint="default" w:ascii="Times New Roman" w:hAnsi="Times New Roman" w:eastAsia="宋体" w:cs="Times New Roman"/>
                <w:b w:val="0"/>
                <w:bCs/>
                <w:color w:val="000000"/>
                <w:sz w:val="24"/>
                <w:szCs w:val="24"/>
                <w:highlight w:val="none"/>
                <w:lang w:val="en-US" w:eastAsia="zh-CN"/>
              </w:rPr>
              <w:t>，防渗标准参照《一般工业固体废物贮存和填埋污染控制标准》(GB 18599-2020)中的相关规定，渗透系数≤10</w:t>
            </w:r>
            <w:r>
              <w:rPr>
                <w:rFonts w:hint="default" w:ascii="Times New Roman" w:hAnsi="Times New Roman" w:eastAsia="宋体" w:cs="Times New Roman"/>
                <w:b w:val="0"/>
                <w:bCs/>
                <w:color w:val="000000"/>
                <w:sz w:val="24"/>
                <w:szCs w:val="24"/>
                <w:highlight w:val="none"/>
                <w:vertAlign w:val="superscript"/>
                <w:lang w:val="en-US" w:eastAsia="zh-CN"/>
              </w:rPr>
              <w:t>-7</w:t>
            </w:r>
            <w:r>
              <w:rPr>
                <w:rFonts w:hint="default" w:ascii="Times New Roman" w:hAnsi="Times New Roman" w:eastAsia="宋体" w:cs="Times New Roman"/>
                <w:b w:val="0"/>
                <w:bCs/>
                <w:color w:val="000000"/>
                <w:sz w:val="24"/>
                <w:szCs w:val="24"/>
                <w:highlight w:val="none"/>
                <w:lang w:val="en-US" w:eastAsia="zh-CN"/>
              </w:rPr>
              <w:t>cm/s，不使有害物料进入地面从而污染地下水。</w:t>
            </w:r>
          </w:p>
          <w:p w14:paraId="095B44EC">
            <w:pPr>
              <w:adjustRightInd w:val="0"/>
              <w:snapToGrid w:val="0"/>
              <w:spacing w:line="360" w:lineRule="auto"/>
              <w:ind w:firstLine="482" w:firstLineChars="200"/>
              <w:rPr>
                <w:rFonts w:hint="default" w:ascii="Times New Roman" w:hAnsi="Times New Roman" w:cs="Times New Roman"/>
                <w:b/>
                <w:color w:val="000000"/>
                <w:sz w:val="28"/>
                <w:highlight w:val="none"/>
              </w:rPr>
            </w:pPr>
            <w:r>
              <w:rPr>
                <w:rFonts w:hint="default" w:ascii="Times New Roman" w:hAnsi="Times New Roman" w:eastAsia="宋体" w:cs="Times New Roman"/>
                <w:b/>
                <w:color w:val="000000"/>
                <w:sz w:val="24"/>
                <w:szCs w:val="24"/>
                <w:highlight w:val="none"/>
                <w:lang w:val="en-US" w:eastAsia="zh-CN"/>
              </w:rPr>
              <w:t>6、</w:t>
            </w:r>
            <w:bookmarkEnd w:id="10"/>
            <w:r>
              <w:rPr>
                <w:rFonts w:hint="default" w:ascii="Times New Roman" w:hAnsi="Times New Roman" w:cs="Times New Roman"/>
                <w:b/>
                <w:color w:val="000000"/>
                <w:sz w:val="24"/>
                <w:szCs w:val="24"/>
                <w:highlight w:val="none"/>
              </w:rPr>
              <w:t>现有</w:t>
            </w:r>
            <w:r>
              <w:rPr>
                <w:rFonts w:hint="eastAsia" w:ascii="Times New Roman" w:hAnsi="Times New Roman" w:cs="Times New Roman"/>
                <w:b/>
                <w:color w:val="000000"/>
                <w:sz w:val="24"/>
                <w:szCs w:val="24"/>
                <w:highlight w:val="none"/>
                <w:lang w:val="en-US" w:eastAsia="zh-CN"/>
              </w:rPr>
              <w:t>污水处理站</w:t>
            </w:r>
            <w:r>
              <w:rPr>
                <w:rFonts w:hint="default" w:ascii="Times New Roman" w:hAnsi="Times New Roman" w:cs="Times New Roman"/>
                <w:b/>
                <w:color w:val="000000"/>
                <w:sz w:val="24"/>
                <w:szCs w:val="24"/>
                <w:highlight w:val="none"/>
              </w:rPr>
              <w:t>存在的问题</w:t>
            </w:r>
          </w:p>
          <w:p w14:paraId="7E3E682E">
            <w:pPr>
              <w:pStyle w:val="33"/>
              <w:keepNext w:val="0"/>
              <w:keepLines w:val="0"/>
              <w:pageBreakBefore w:val="0"/>
              <w:widowControl w:val="0"/>
              <w:kinsoku/>
              <w:wordWrap/>
              <w:overflowPunct/>
              <w:topLinePunct w:val="0"/>
              <w:autoSpaceDE w:val="0"/>
              <w:autoSpaceDN w:val="0"/>
              <w:bidi w:val="0"/>
              <w:adjustRightInd w:val="0"/>
              <w:snapToGrid w:val="0"/>
              <w:ind w:firstLine="480"/>
              <w:jc w:val="both"/>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sz w:val="24"/>
                <w:highlight w:val="none"/>
              </w:rPr>
              <w:t>企业现有污水处理站</w:t>
            </w:r>
            <w:r>
              <w:rPr>
                <w:rFonts w:hint="eastAsia" w:ascii="Times New Roman" w:hAnsi="Times New Roman" w:cs="Times New Roman"/>
                <w:color w:val="000000"/>
                <w:sz w:val="24"/>
                <w:highlight w:val="none"/>
                <w:lang w:val="en-US" w:eastAsia="zh-CN"/>
              </w:rPr>
              <w:t>产生恶臭废气的部分处理单元未</w:t>
            </w:r>
            <w:r>
              <w:rPr>
                <w:rFonts w:hint="default" w:ascii="Times New Roman" w:hAnsi="Times New Roman" w:cs="Times New Roman"/>
                <w:color w:val="000000"/>
                <w:sz w:val="24"/>
                <w:highlight w:val="none"/>
              </w:rPr>
              <w:t>采取</w:t>
            </w:r>
            <w:r>
              <w:rPr>
                <w:rFonts w:hint="eastAsia" w:ascii="Times New Roman" w:hAnsi="Times New Roman" w:cs="Times New Roman"/>
                <w:color w:val="000000"/>
                <w:sz w:val="24"/>
                <w:highlight w:val="none"/>
                <w:lang w:val="en-US" w:eastAsia="zh-CN"/>
              </w:rPr>
              <w:t>封闭</w:t>
            </w:r>
            <w:r>
              <w:rPr>
                <w:rFonts w:hint="default" w:ascii="Times New Roman" w:hAnsi="Times New Roman" w:cs="Times New Roman"/>
                <w:color w:val="000000"/>
                <w:sz w:val="24"/>
                <w:highlight w:val="none"/>
              </w:rPr>
              <w:t>措施</w:t>
            </w:r>
            <w:r>
              <w:rPr>
                <w:rFonts w:hint="default"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lang w:val="en-US" w:eastAsia="zh-CN"/>
              </w:rPr>
              <w:t>应加强恶臭气体收集</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降低</w:t>
            </w:r>
            <w:r>
              <w:rPr>
                <w:rFonts w:hint="default" w:ascii="Times New Roman" w:hAnsi="Times New Roman" w:cs="Times New Roman"/>
                <w:color w:val="000000"/>
                <w:sz w:val="24"/>
                <w:highlight w:val="none"/>
              </w:rPr>
              <w:t>污染</w:t>
            </w:r>
            <w:r>
              <w:rPr>
                <w:rFonts w:hint="default" w:ascii="Times New Roman" w:hAnsi="Times New Roman" w:cs="Times New Roman"/>
                <w:color w:val="000000"/>
                <w:highlight w:val="none"/>
                <w:lang w:val="en-US" w:eastAsia="zh-CN"/>
              </w:rPr>
              <w:t>。</w:t>
            </w:r>
          </w:p>
          <w:p w14:paraId="5A7F6EB8">
            <w:pPr>
              <w:pStyle w:val="33"/>
              <w:keepNext w:val="0"/>
              <w:keepLines w:val="0"/>
              <w:pageBreakBefore w:val="0"/>
              <w:widowControl w:val="0"/>
              <w:kinsoku/>
              <w:wordWrap/>
              <w:overflowPunct/>
              <w:topLinePunct w:val="0"/>
              <w:autoSpaceDE w:val="0"/>
              <w:autoSpaceDN w:val="0"/>
              <w:bidi w:val="0"/>
              <w:adjustRightInd w:val="0"/>
              <w:snapToGrid w:val="0"/>
              <w:ind w:firstLine="480"/>
              <w:jc w:val="both"/>
              <w:textAlignment w:val="auto"/>
              <w:rPr>
                <w:rFonts w:hint="eastAsia"/>
                <w:color w:val="000000"/>
                <w:kern w:val="0"/>
                <w:szCs w:val="21"/>
                <w:highlight w:val="none"/>
              </w:rPr>
            </w:pPr>
            <w:r>
              <w:rPr>
                <w:rFonts w:hint="eastAsia" w:ascii="Times New Roman" w:hAnsi="Times New Roman" w:eastAsia="宋体" w:cs="Times New Roman"/>
                <w:bCs/>
                <w:color w:val="000000"/>
                <w:sz w:val="24"/>
                <w:highlight w:val="none"/>
                <w:lang w:val="en-US" w:eastAsia="zh-CN"/>
              </w:rPr>
              <w:t>根据企业建设进度，生化污水处理站</w:t>
            </w:r>
            <w:r>
              <w:rPr>
                <w:rFonts w:hint="default" w:ascii="Times New Roman" w:hAnsi="Times New Roman" w:eastAsia="宋体" w:cs="Times New Roman"/>
                <w:bCs/>
                <w:color w:val="000000"/>
                <w:sz w:val="24"/>
                <w:highlight w:val="none"/>
                <w:lang w:val="en-US" w:eastAsia="zh-CN"/>
              </w:rPr>
              <w:t>计划整改完成时间为202</w:t>
            </w:r>
            <w:r>
              <w:rPr>
                <w:rFonts w:hint="eastAsia" w:ascii="Times New Roman" w:hAnsi="Times New Roman" w:eastAsia="宋体" w:cs="Times New Roman"/>
                <w:bCs/>
                <w:color w:val="000000"/>
                <w:sz w:val="24"/>
                <w:highlight w:val="none"/>
                <w:lang w:val="en-US" w:eastAsia="zh-CN"/>
              </w:rPr>
              <w:t>3</w:t>
            </w:r>
            <w:r>
              <w:rPr>
                <w:rFonts w:hint="default" w:ascii="Times New Roman" w:hAnsi="Times New Roman" w:eastAsia="宋体" w:cs="Times New Roman"/>
                <w:bCs/>
                <w:color w:val="000000"/>
                <w:sz w:val="24"/>
                <w:highlight w:val="none"/>
                <w:lang w:val="en-US" w:eastAsia="zh-CN"/>
              </w:rPr>
              <w:t>年</w:t>
            </w:r>
            <w:r>
              <w:rPr>
                <w:rFonts w:hint="eastAsia" w:ascii="Times New Roman" w:hAnsi="Times New Roman" w:eastAsia="宋体" w:cs="Times New Roman"/>
                <w:bCs/>
                <w:color w:val="000000"/>
                <w:sz w:val="24"/>
                <w:highlight w:val="none"/>
                <w:lang w:val="en-US" w:eastAsia="zh-CN"/>
              </w:rPr>
              <w:t>12</w:t>
            </w:r>
            <w:r>
              <w:rPr>
                <w:rFonts w:hint="default" w:ascii="Times New Roman" w:hAnsi="Times New Roman" w:eastAsia="宋体" w:cs="Times New Roman"/>
                <w:bCs/>
                <w:color w:val="000000"/>
                <w:sz w:val="24"/>
                <w:highlight w:val="none"/>
                <w:lang w:val="en-US" w:eastAsia="zh-CN"/>
              </w:rPr>
              <w:t>月底。</w:t>
            </w:r>
          </w:p>
        </w:tc>
      </w:tr>
    </w:tbl>
    <w:p w14:paraId="79A588BE">
      <w:pPr>
        <w:rPr>
          <w:color w:val="000000"/>
          <w:highlight w:val="none"/>
        </w:rPr>
        <w:sectPr>
          <w:pgSz w:w="11906" w:h="16838"/>
          <w:pgMar w:top="1134" w:right="1134" w:bottom="1134" w:left="1531" w:header="851" w:footer="851" w:gutter="0"/>
          <w:pgBorders>
            <w:top w:val="none" w:sz="0" w:space="0"/>
            <w:left w:val="none" w:sz="0" w:space="0"/>
            <w:bottom w:val="none" w:sz="0" w:space="0"/>
            <w:right w:val="none" w:sz="0" w:space="0"/>
          </w:pgBorders>
          <w:cols w:space="720" w:num="1"/>
          <w:docGrid w:linePitch="312" w:charSpace="0"/>
        </w:sectPr>
      </w:pPr>
    </w:p>
    <w:p w14:paraId="15278CD2">
      <w:pPr>
        <w:snapToGrid w:val="0"/>
        <w:spacing w:line="288" w:lineRule="auto"/>
        <w:outlineLvl w:val="0"/>
        <w:rPr>
          <w:b/>
          <w:snapToGrid w:val="0"/>
          <w:color w:val="000000"/>
          <w:sz w:val="32"/>
          <w:szCs w:val="32"/>
          <w:highlight w:val="none"/>
        </w:rPr>
      </w:pPr>
      <w:r>
        <w:rPr>
          <w:b/>
          <w:snapToGrid w:val="0"/>
          <w:color w:val="000000"/>
          <w:sz w:val="32"/>
          <w:szCs w:val="32"/>
          <w:highlight w:val="none"/>
        </w:rPr>
        <w:t>三、区域环境质量现状、环境保护目标及评价标准</w:t>
      </w:r>
    </w:p>
    <w:tbl>
      <w:tblPr>
        <w:tblStyle w:val="13"/>
        <w:tblW w:w="96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836"/>
      </w:tblGrid>
      <w:tr w14:paraId="47492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44" w:type="dxa"/>
            <w:noWrap w:val="0"/>
            <w:vAlign w:val="center"/>
          </w:tcPr>
          <w:p w14:paraId="42AD030D">
            <w:pPr>
              <w:adjustRightInd w:val="0"/>
              <w:snapToGrid w:val="0"/>
              <w:jc w:val="center"/>
              <w:rPr>
                <w:b/>
                <w:color w:val="000000"/>
                <w:kern w:val="0"/>
                <w:sz w:val="24"/>
                <w:highlight w:val="none"/>
              </w:rPr>
            </w:pPr>
            <w:r>
              <w:rPr>
                <w:b/>
                <w:color w:val="000000"/>
                <w:kern w:val="0"/>
                <w:sz w:val="24"/>
                <w:highlight w:val="none"/>
              </w:rPr>
              <w:t>区域</w:t>
            </w:r>
          </w:p>
          <w:p w14:paraId="1C0C86E7">
            <w:pPr>
              <w:adjustRightInd w:val="0"/>
              <w:snapToGrid w:val="0"/>
              <w:jc w:val="center"/>
              <w:rPr>
                <w:b/>
                <w:color w:val="000000"/>
                <w:kern w:val="0"/>
                <w:sz w:val="24"/>
                <w:highlight w:val="none"/>
              </w:rPr>
            </w:pPr>
            <w:r>
              <w:rPr>
                <w:b/>
                <w:color w:val="000000"/>
                <w:kern w:val="0"/>
                <w:sz w:val="24"/>
                <w:highlight w:val="none"/>
              </w:rPr>
              <w:t>环境</w:t>
            </w:r>
          </w:p>
          <w:p w14:paraId="50BA6244">
            <w:pPr>
              <w:adjustRightInd w:val="0"/>
              <w:snapToGrid w:val="0"/>
              <w:jc w:val="center"/>
              <w:rPr>
                <w:b/>
                <w:color w:val="000000"/>
                <w:kern w:val="0"/>
                <w:sz w:val="24"/>
                <w:highlight w:val="none"/>
              </w:rPr>
            </w:pPr>
            <w:r>
              <w:rPr>
                <w:b/>
                <w:color w:val="000000"/>
                <w:kern w:val="0"/>
                <w:sz w:val="24"/>
                <w:highlight w:val="none"/>
              </w:rPr>
              <w:t>质量</w:t>
            </w:r>
          </w:p>
          <w:p w14:paraId="51E15DA6">
            <w:pPr>
              <w:adjustRightInd w:val="0"/>
              <w:snapToGrid w:val="0"/>
              <w:jc w:val="center"/>
              <w:rPr>
                <w:color w:val="000000"/>
                <w:kern w:val="0"/>
                <w:szCs w:val="21"/>
                <w:highlight w:val="none"/>
              </w:rPr>
            </w:pPr>
            <w:r>
              <w:rPr>
                <w:b/>
                <w:color w:val="000000"/>
                <w:kern w:val="0"/>
                <w:sz w:val="24"/>
                <w:highlight w:val="none"/>
              </w:rPr>
              <w:t>现状</w:t>
            </w:r>
          </w:p>
        </w:tc>
        <w:tc>
          <w:tcPr>
            <w:tcW w:w="8836" w:type="dxa"/>
            <w:noWrap w:val="0"/>
            <w:vAlign w:val="center"/>
          </w:tcPr>
          <w:p w14:paraId="2F44E098">
            <w:pPr>
              <w:spacing w:line="360" w:lineRule="auto"/>
              <w:ind w:firstLine="482" w:firstLineChars="200"/>
              <w:jc w:val="left"/>
              <w:rPr>
                <w:b/>
                <w:color w:val="000000"/>
                <w:sz w:val="24"/>
                <w:highlight w:val="none"/>
              </w:rPr>
            </w:pPr>
            <w:r>
              <w:rPr>
                <w:rFonts w:hint="eastAsia"/>
                <w:b/>
                <w:color w:val="000000"/>
                <w:sz w:val="24"/>
                <w:highlight w:val="none"/>
                <w:lang w:val="en-US" w:eastAsia="zh-CN"/>
              </w:rPr>
              <w:t>1</w:t>
            </w:r>
            <w:r>
              <w:rPr>
                <w:b/>
                <w:color w:val="000000"/>
                <w:sz w:val="24"/>
                <w:highlight w:val="none"/>
              </w:rPr>
              <w:t>、大气环境质量现状</w:t>
            </w:r>
          </w:p>
          <w:p w14:paraId="12575035">
            <w:pPr>
              <w:tabs>
                <w:tab w:val="left" w:pos="180"/>
              </w:tabs>
              <w:spacing w:line="360" w:lineRule="auto"/>
              <w:ind w:firstLine="482" w:firstLineChars="200"/>
              <w:rPr>
                <w:b/>
                <w:color w:val="000000"/>
                <w:sz w:val="24"/>
                <w:szCs w:val="20"/>
                <w:highlight w:val="none"/>
              </w:rPr>
            </w:pPr>
            <w:r>
              <w:rPr>
                <w:rFonts w:hint="eastAsia"/>
                <w:b/>
                <w:color w:val="000000"/>
                <w:sz w:val="24"/>
                <w:szCs w:val="20"/>
                <w:highlight w:val="none"/>
                <w:lang w:eastAsia="zh-CN"/>
              </w:rPr>
              <w:t>（</w:t>
            </w:r>
            <w:r>
              <w:rPr>
                <w:rFonts w:hint="eastAsia"/>
                <w:b/>
                <w:color w:val="000000"/>
                <w:sz w:val="24"/>
                <w:szCs w:val="20"/>
                <w:highlight w:val="none"/>
                <w:lang w:val="en-US" w:eastAsia="zh-CN"/>
              </w:rPr>
              <w:t>1</w:t>
            </w:r>
            <w:r>
              <w:rPr>
                <w:rFonts w:hint="eastAsia"/>
                <w:b/>
                <w:color w:val="000000"/>
                <w:sz w:val="24"/>
                <w:szCs w:val="20"/>
                <w:highlight w:val="none"/>
                <w:lang w:eastAsia="zh-CN"/>
              </w:rPr>
              <w:t>）</w:t>
            </w:r>
            <w:r>
              <w:rPr>
                <w:b/>
                <w:color w:val="000000"/>
                <w:sz w:val="24"/>
                <w:szCs w:val="20"/>
                <w:highlight w:val="none"/>
              </w:rPr>
              <w:t>区域</w:t>
            </w:r>
            <w:r>
              <w:rPr>
                <w:rFonts w:hint="eastAsia"/>
                <w:b/>
                <w:color w:val="000000"/>
                <w:sz w:val="24"/>
                <w:szCs w:val="20"/>
                <w:highlight w:val="none"/>
                <w:lang w:val="en-US" w:eastAsia="zh-CN"/>
              </w:rPr>
              <w:t>基本污染物</w:t>
            </w:r>
            <w:r>
              <w:rPr>
                <w:b/>
                <w:color w:val="000000"/>
                <w:sz w:val="24"/>
                <w:szCs w:val="20"/>
                <w:highlight w:val="none"/>
              </w:rPr>
              <w:t>环境质量达标分析</w:t>
            </w:r>
          </w:p>
          <w:p w14:paraId="12E557EB">
            <w:pPr>
              <w:pStyle w:val="33"/>
              <w:ind w:firstLine="480"/>
              <w:jc w:val="both"/>
              <w:rPr>
                <w:color w:val="000000"/>
                <w:highlight w:val="none"/>
              </w:rPr>
            </w:pPr>
            <w:r>
              <w:rPr>
                <w:color w:val="000000"/>
                <w:highlight w:val="none"/>
              </w:rPr>
              <w:t>本次区域环境质量现状采用内蒙古自治区生态环境厅发布的《</w:t>
            </w:r>
            <w:r>
              <w:rPr>
                <w:rFonts w:hint="eastAsia"/>
                <w:color w:val="000000"/>
                <w:highlight w:val="none"/>
              </w:rPr>
              <w:t>202</w:t>
            </w:r>
            <w:r>
              <w:rPr>
                <w:rFonts w:hint="eastAsia"/>
                <w:color w:val="000000"/>
                <w:highlight w:val="none"/>
                <w:lang w:val="en-US" w:eastAsia="zh-CN"/>
              </w:rPr>
              <w:t>2</w:t>
            </w:r>
            <w:r>
              <w:rPr>
                <w:color w:val="000000"/>
                <w:highlight w:val="none"/>
              </w:rPr>
              <w:t>年内蒙古自治区生态环境状况公报》中鄂尔多斯市的数据统计</w:t>
            </w:r>
            <w:r>
              <w:rPr>
                <w:rFonts w:hint="eastAsia"/>
                <w:color w:val="000000"/>
                <w:highlight w:val="none"/>
              </w:rPr>
              <w:t>鄂尔多斯市202</w:t>
            </w:r>
            <w:r>
              <w:rPr>
                <w:rFonts w:hint="eastAsia"/>
                <w:color w:val="000000"/>
                <w:highlight w:val="none"/>
                <w:lang w:val="en-US" w:eastAsia="zh-CN"/>
              </w:rPr>
              <w:t>2</w:t>
            </w:r>
            <w:r>
              <w:rPr>
                <w:rFonts w:hint="eastAsia"/>
                <w:color w:val="000000"/>
                <w:highlight w:val="none"/>
              </w:rPr>
              <w:t>年PM</w:t>
            </w:r>
            <w:r>
              <w:rPr>
                <w:rFonts w:hint="eastAsia"/>
                <w:color w:val="000000"/>
                <w:highlight w:val="none"/>
                <w:vertAlign w:val="subscript"/>
              </w:rPr>
              <w:t>2.5</w:t>
            </w:r>
            <w:r>
              <w:rPr>
                <w:rFonts w:hint="eastAsia"/>
                <w:color w:val="000000"/>
                <w:highlight w:val="none"/>
              </w:rPr>
              <w:t>、PM</w:t>
            </w:r>
            <w:r>
              <w:rPr>
                <w:rFonts w:hint="eastAsia"/>
                <w:color w:val="000000"/>
                <w:highlight w:val="none"/>
                <w:vertAlign w:val="subscript"/>
              </w:rPr>
              <w:t>10</w:t>
            </w:r>
            <w:r>
              <w:rPr>
                <w:rFonts w:hint="eastAsia"/>
                <w:color w:val="000000"/>
                <w:highlight w:val="none"/>
              </w:rPr>
              <w:t>、SO</w:t>
            </w:r>
            <w:r>
              <w:rPr>
                <w:rFonts w:hint="eastAsia"/>
                <w:color w:val="000000"/>
                <w:highlight w:val="none"/>
                <w:vertAlign w:val="subscript"/>
              </w:rPr>
              <w:t>2</w:t>
            </w:r>
            <w:r>
              <w:rPr>
                <w:rFonts w:hint="eastAsia"/>
                <w:color w:val="000000"/>
                <w:highlight w:val="none"/>
              </w:rPr>
              <w:t>、NO</w:t>
            </w:r>
            <w:r>
              <w:rPr>
                <w:rFonts w:hint="eastAsia"/>
                <w:color w:val="000000"/>
                <w:highlight w:val="none"/>
                <w:vertAlign w:val="subscript"/>
              </w:rPr>
              <w:t>2</w:t>
            </w:r>
            <w:r>
              <w:rPr>
                <w:rFonts w:hint="eastAsia"/>
                <w:color w:val="000000"/>
                <w:highlight w:val="none"/>
              </w:rPr>
              <w:t>年均浓度分别为；</w:t>
            </w:r>
            <w:r>
              <w:rPr>
                <w:rFonts w:hint="eastAsia"/>
                <w:color w:val="000000"/>
                <w:highlight w:val="none"/>
                <w:lang w:val="en-US" w:eastAsia="zh-CN"/>
              </w:rPr>
              <w:t>20</w:t>
            </w:r>
            <w:r>
              <w:rPr>
                <w:rFonts w:hint="eastAsia"/>
                <w:color w:val="000000"/>
                <w:highlight w:val="none"/>
              </w:rPr>
              <w:t>ug/</w:t>
            </w:r>
            <w:r>
              <w:rPr>
                <w:rFonts w:hint="eastAsia"/>
                <w:color w:val="000000"/>
                <w:highlight w:val="none"/>
                <w:lang w:eastAsia="zh-CN"/>
              </w:rPr>
              <w:t>m³</w:t>
            </w:r>
            <w:r>
              <w:rPr>
                <w:rFonts w:hint="eastAsia"/>
                <w:color w:val="000000"/>
                <w:highlight w:val="none"/>
              </w:rPr>
              <w:t>、</w:t>
            </w:r>
            <w:r>
              <w:rPr>
                <w:rFonts w:hint="eastAsia"/>
                <w:color w:val="000000"/>
                <w:highlight w:val="none"/>
                <w:lang w:val="en-US" w:eastAsia="zh-CN"/>
              </w:rPr>
              <w:t>51</w:t>
            </w:r>
            <w:r>
              <w:rPr>
                <w:rFonts w:hint="eastAsia"/>
                <w:color w:val="000000"/>
                <w:highlight w:val="none"/>
              </w:rPr>
              <w:t>ug/</w:t>
            </w:r>
            <w:r>
              <w:rPr>
                <w:rFonts w:hint="eastAsia"/>
                <w:color w:val="000000"/>
                <w:highlight w:val="none"/>
                <w:lang w:eastAsia="zh-CN"/>
              </w:rPr>
              <w:t>m³</w:t>
            </w:r>
            <w:r>
              <w:rPr>
                <w:rFonts w:hint="eastAsia"/>
                <w:color w:val="000000"/>
                <w:highlight w:val="none"/>
              </w:rPr>
              <w:t>、1</w:t>
            </w:r>
            <w:r>
              <w:rPr>
                <w:rFonts w:hint="eastAsia"/>
                <w:color w:val="000000"/>
                <w:highlight w:val="none"/>
                <w:lang w:val="en-US" w:eastAsia="zh-CN"/>
              </w:rPr>
              <w:t>0</w:t>
            </w:r>
            <w:r>
              <w:rPr>
                <w:rFonts w:hint="eastAsia"/>
                <w:color w:val="000000"/>
                <w:highlight w:val="none"/>
              </w:rPr>
              <w:t>ug/</w:t>
            </w:r>
            <w:r>
              <w:rPr>
                <w:rFonts w:hint="eastAsia"/>
                <w:color w:val="000000"/>
                <w:highlight w:val="none"/>
                <w:lang w:eastAsia="zh-CN"/>
              </w:rPr>
              <w:t>m³</w:t>
            </w:r>
            <w:r>
              <w:rPr>
                <w:rFonts w:hint="eastAsia"/>
                <w:color w:val="000000"/>
                <w:highlight w:val="none"/>
              </w:rPr>
              <w:t>、</w:t>
            </w:r>
            <w:r>
              <w:rPr>
                <w:rFonts w:hint="eastAsia"/>
                <w:color w:val="000000"/>
                <w:highlight w:val="none"/>
                <w:lang w:val="en-US" w:eastAsia="zh-CN"/>
              </w:rPr>
              <w:t>23</w:t>
            </w:r>
            <w:r>
              <w:rPr>
                <w:rFonts w:hint="eastAsia"/>
                <w:color w:val="000000"/>
                <w:highlight w:val="none"/>
              </w:rPr>
              <w:t>ug/</w:t>
            </w:r>
            <w:r>
              <w:rPr>
                <w:rFonts w:hint="eastAsia"/>
                <w:color w:val="000000"/>
                <w:highlight w:val="none"/>
                <w:lang w:eastAsia="zh-CN"/>
              </w:rPr>
              <w:t>m³</w:t>
            </w:r>
            <w:r>
              <w:rPr>
                <w:rFonts w:hint="eastAsia"/>
                <w:color w:val="000000"/>
                <w:highlight w:val="none"/>
              </w:rPr>
              <w:t>；CO</w:t>
            </w:r>
            <w:r>
              <w:rPr>
                <w:rFonts w:hint="eastAsia"/>
                <w:color w:val="000000"/>
                <w:highlight w:val="none"/>
                <w:lang w:val="en-US" w:eastAsia="zh-CN"/>
              </w:rPr>
              <w:t xml:space="preserve"> </w:t>
            </w:r>
            <w:r>
              <w:rPr>
                <w:rFonts w:hint="eastAsia"/>
                <w:color w:val="000000"/>
                <w:highlight w:val="none"/>
              </w:rPr>
              <w:t>24小时平均第95百分数浓度为</w:t>
            </w:r>
            <w:r>
              <w:rPr>
                <w:rFonts w:hint="eastAsia"/>
                <w:color w:val="000000"/>
                <w:highlight w:val="none"/>
                <w:lang w:val="en-US" w:eastAsia="zh-CN"/>
              </w:rPr>
              <w:t>0.9</w:t>
            </w:r>
            <w:r>
              <w:rPr>
                <w:rFonts w:hint="eastAsia"/>
                <w:color w:val="000000"/>
                <w:highlight w:val="none"/>
              </w:rPr>
              <w:t>mg/</w:t>
            </w:r>
            <w:r>
              <w:rPr>
                <w:rFonts w:hint="eastAsia"/>
                <w:color w:val="000000"/>
                <w:highlight w:val="none"/>
                <w:lang w:eastAsia="zh-CN"/>
              </w:rPr>
              <w:t>m³</w:t>
            </w:r>
            <w:r>
              <w:rPr>
                <w:rFonts w:hint="eastAsia"/>
                <w:color w:val="000000"/>
                <w:highlight w:val="none"/>
              </w:rPr>
              <w:t>，O</w:t>
            </w:r>
            <w:r>
              <w:rPr>
                <w:rFonts w:hint="eastAsia"/>
                <w:color w:val="000000"/>
                <w:highlight w:val="none"/>
                <w:vertAlign w:val="subscript"/>
              </w:rPr>
              <w:t>3</w:t>
            </w:r>
            <w:r>
              <w:rPr>
                <w:rFonts w:hint="eastAsia"/>
                <w:color w:val="000000"/>
                <w:highlight w:val="none"/>
              </w:rPr>
              <w:t>日最大8小时平均值第90百分位数浓度为1</w:t>
            </w:r>
            <w:r>
              <w:rPr>
                <w:rFonts w:hint="eastAsia"/>
                <w:color w:val="000000"/>
                <w:highlight w:val="none"/>
                <w:lang w:val="en-US" w:eastAsia="zh-CN"/>
              </w:rPr>
              <w:t>48</w:t>
            </w:r>
            <w:r>
              <w:rPr>
                <w:rFonts w:hint="eastAsia"/>
                <w:color w:val="000000"/>
                <w:highlight w:val="none"/>
              </w:rPr>
              <w:t>ug/</w:t>
            </w:r>
            <w:r>
              <w:rPr>
                <w:rFonts w:hint="eastAsia"/>
                <w:color w:val="000000"/>
                <w:highlight w:val="none"/>
                <w:lang w:eastAsia="zh-CN"/>
              </w:rPr>
              <w:t>m³</w:t>
            </w:r>
            <w:r>
              <w:rPr>
                <w:rFonts w:hint="eastAsia"/>
                <w:color w:val="000000"/>
                <w:highlight w:val="none"/>
              </w:rPr>
              <w:t>。</w:t>
            </w:r>
            <w:r>
              <w:rPr>
                <w:color w:val="000000"/>
                <w:highlight w:val="none"/>
              </w:rPr>
              <w:t>鄂尔多斯市</w:t>
            </w:r>
            <w:r>
              <w:rPr>
                <w:rFonts w:hint="eastAsia"/>
                <w:color w:val="000000"/>
                <w:highlight w:val="none"/>
              </w:rPr>
              <w:t>202</w:t>
            </w:r>
            <w:r>
              <w:rPr>
                <w:rFonts w:hint="eastAsia"/>
                <w:color w:val="000000"/>
                <w:highlight w:val="none"/>
                <w:lang w:val="en-US" w:eastAsia="zh-CN"/>
              </w:rPr>
              <w:t>2</w:t>
            </w:r>
            <w:r>
              <w:rPr>
                <w:color w:val="000000"/>
                <w:highlight w:val="none"/>
              </w:rPr>
              <w:t>年区域基本污染物监测统计结果见表3-1。</w:t>
            </w:r>
          </w:p>
          <w:p w14:paraId="6659935D">
            <w:pPr>
              <w:spacing w:line="360" w:lineRule="auto"/>
              <w:ind w:right="105" w:rightChars="50"/>
              <w:jc w:val="center"/>
              <w:textAlignment w:val="baseline"/>
              <w:rPr>
                <w:color w:val="000000"/>
                <w:sz w:val="24"/>
                <w:highlight w:val="none"/>
              </w:rPr>
            </w:pPr>
            <w:r>
              <w:rPr>
                <w:b/>
                <w:bCs/>
                <w:color w:val="000000"/>
                <w:sz w:val="24"/>
                <w:highlight w:val="none"/>
              </w:rPr>
              <w:t>表3-1 环境空气监测结果统计表</w:t>
            </w:r>
          </w:p>
          <w:tbl>
            <w:tblPr>
              <w:tblStyle w:val="13"/>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14"/>
              <w:gridCol w:w="2411"/>
              <w:gridCol w:w="1356"/>
              <w:gridCol w:w="1206"/>
              <w:gridCol w:w="1204"/>
              <w:gridCol w:w="1045"/>
            </w:tblGrid>
            <w:tr w14:paraId="4C33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jc w:val="center"/>
              </w:trPr>
              <w:tc>
                <w:tcPr>
                  <w:tcW w:w="719" w:type="pct"/>
                  <w:noWrap w:val="0"/>
                  <w:vAlign w:val="center"/>
                </w:tcPr>
                <w:p w14:paraId="0B7FD40E">
                  <w:pPr>
                    <w:jc w:val="center"/>
                    <w:rPr>
                      <w:color w:val="000000"/>
                      <w:szCs w:val="21"/>
                      <w:highlight w:val="none"/>
                    </w:rPr>
                  </w:pPr>
                  <w:r>
                    <w:rPr>
                      <w:color w:val="000000"/>
                      <w:szCs w:val="21"/>
                      <w:highlight w:val="none"/>
                    </w:rPr>
                    <w:t>污染物</w:t>
                  </w:r>
                </w:p>
              </w:tc>
              <w:tc>
                <w:tcPr>
                  <w:tcW w:w="1428" w:type="pct"/>
                  <w:noWrap w:val="0"/>
                  <w:vAlign w:val="center"/>
                </w:tcPr>
                <w:p w14:paraId="77FF83F8">
                  <w:pPr>
                    <w:jc w:val="center"/>
                    <w:rPr>
                      <w:color w:val="000000"/>
                      <w:szCs w:val="21"/>
                      <w:highlight w:val="none"/>
                    </w:rPr>
                  </w:pPr>
                  <w:r>
                    <w:rPr>
                      <w:color w:val="000000"/>
                      <w:szCs w:val="21"/>
                      <w:highlight w:val="none"/>
                    </w:rPr>
                    <w:t>年评价指标</w:t>
                  </w:r>
                </w:p>
              </w:tc>
              <w:tc>
                <w:tcPr>
                  <w:tcW w:w="803" w:type="pct"/>
                  <w:noWrap w:val="0"/>
                  <w:vAlign w:val="center"/>
                </w:tcPr>
                <w:p w14:paraId="43F4598D">
                  <w:pPr>
                    <w:jc w:val="center"/>
                    <w:rPr>
                      <w:color w:val="000000"/>
                      <w:szCs w:val="21"/>
                      <w:highlight w:val="none"/>
                    </w:rPr>
                  </w:pPr>
                  <w:r>
                    <w:rPr>
                      <w:color w:val="000000"/>
                      <w:szCs w:val="21"/>
                      <w:highlight w:val="none"/>
                    </w:rPr>
                    <w:t>现状浓度（μg/m</w:t>
                  </w:r>
                  <w:r>
                    <w:rPr>
                      <w:color w:val="000000"/>
                      <w:szCs w:val="21"/>
                      <w:highlight w:val="none"/>
                      <w:vertAlign w:val="superscript"/>
                    </w:rPr>
                    <w:t>3</w:t>
                  </w:r>
                  <w:r>
                    <w:rPr>
                      <w:color w:val="000000"/>
                      <w:highlight w:val="none"/>
                    </w:rPr>
                    <w:t>)</w:t>
                  </w:r>
                </w:p>
              </w:tc>
              <w:tc>
                <w:tcPr>
                  <w:tcW w:w="714" w:type="pct"/>
                  <w:noWrap w:val="0"/>
                  <w:vAlign w:val="center"/>
                </w:tcPr>
                <w:p w14:paraId="3161633B">
                  <w:pPr>
                    <w:jc w:val="center"/>
                    <w:rPr>
                      <w:color w:val="000000"/>
                      <w:szCs w:val="21"/>
                      <w:highlight w:val="none"/>
                    </w:rPr>
                  </w:pPr>
                  <w:r>
                    <w:rPr>
                      <w:color w:val="000000"/>
                      <w:szCs w:val="21"/>
                      <w:highlight w:val="none"/>
                    </w:rPr>
                    <w:t>标准值（μg/m</w:t>
                  </w:r>
                  <w:r>
                    <w:rPr>
                      <w:color w:val="000000"/>
                      <w:szCs w:val="21"/>
                      <w:highlight w:val="none"/>
                      <w:vertAlign w:val="superscript"/>
                    </w:rPr>
                    <w:t>3</w:t>
                  </w:r>
                  <w:r>
                    <w:rPr>
                      <w:color w:val="000000"/>
                      <w:szCs w:val="21"/>
                      <w:highlight w:val="none"/>
                    </w:rPr>
                    <w:t>）</w:t>
                  </w:r>
                </w:p>
              </w:tc>
              <w:tc>
                <w:tcPr>
                  <w:tcW w:w="713" w:type="pct"/>
                  <w:noWrap w:val="0"/>
                  <w:vAlign w:val="center"/>
                </w:tcPr>
                <w:p w14:paraId="657CE739">
                  <w:pPr>
                    <w:jc w:val="center"/>
                    <w:rPr>
                      <w:color w:val="000000"/>
                      <w:szCs w:val="21"/>
                      <w:highlight w:val="none"/>
                    </w:rPr>
                  </w:pPr>
                  <w:r>
                    <w:rPr>
                      <w:color w:val="000000"/>
                      <w:szCs w:val="21"/>
                      <w:highlight w:val="none"/>
                    </w:rPr>
                    <w:t>占标率</w:t>
                  </w:r>
                </w:p>
                <w:p w14:paraId="42ECBF5D">
                  <w:pPr>
                    <w:jc w:val="center"/>
                    <w:rPr>
                      <w:color w:val="000000"/>
                      <w:szCs w:val="21"/>
                      <w:highlight w:val="none"/>
                    </w:rPr>
                  </w:pPr>
                  <w:r>
                    <w:rPr>
                      <w:rFonts w:hint="eastAsia"/>
                      <w:color w:val="000000"/>
                      <w:szCs w:val="21"/>
                      <w:highlight w:val="none"/>
                    </w:rPr>
                    <w:t>（%）</w:t>
                  </w:r>
                </w:p>
              </w:tc>
              <w:tc>
                <w:tcPr>
                  <w:tcW w:w="619" w:type="pct"/>
                  <w:noWrap w:val="0"/>
                  <w:vAlign w:val="center"/>
                </w:tcPr>
                <w:p w14:paraId="378AFA58">
                  <w:pPr>
                    <w:jc w:val="center"/>
                    <w:rPr>
                      <w:color w:val="000000"/>
                      <w:szCs w:val="21"/>
                      <w:highlight w:val="none"/>
                    </w:rPr>
                  </w:pPr>
                  <w:r>
                    <w:rPr>
                      <w:color w:val="000000"/>
                      <w:szCs w:val="21"/>
                      <w:highlight w:val="none"/>
                    </w:rPr>
                    <w:t>达标</w:t>
                  </w:r>
                </w:p>
                <w:p w14:paraId="4CF6CE59">
                  <w:pPr>
                    <w:jc w:val="center"/>
                    <w:rPr>
                      <w:color w:val="000000"/>
                      <w:szCs w:val="21"/>
                      <w:highlight w:val="none"/>
                    </w:rPr>
                  </w:pPr>
                  <w:r>
                    <w:rPr>
                      <w:color w:val="000000"/>
                      <w:szCs w:val="21"/>
                      <w:highlight w:val="none"/>
                    </w:rPr>
                    <w:t>情况</w:t>
                  </w:r>
                </w:p>
              </w:tc>
            </w:tr>
            <w:tr w14:paraId="408D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7" w:hRule="atLeast"/>
                <w:jc w:val="center"/>
              </w:trPr>
              <w:tc>
                <w:tcPr>
                  <w:tcW w:w="719" w:type="pct"/>
                  <w:noWrap w:val="0"/>
                  <w:vAlign w:val="center"/>
                </w:tcPr>
                <w:p w14:paraId="2373BD87">
                  <w:pPr>
                    <w:widowControl/>
                    <w:adjustRightInd w:val="0"/>
                    <w:snapToGrid w:val="0"/>
                    <w:jc w:val="center"/>
                    <w:rPr>
                      <w:color w:val="000000"/>
                      <w:szCs w:val="21"/>
                      <w:highlight w:val="none"/>
                    </w:rPr>
                  </w:pPr>
                  <w:r>
                    <w:rPr>
                      <w:color w:val="000000"/>
                      <w:szCs w:val="21"/>
                      <w:highlight w:val="none"/>
                    </w:rPr>
                    <w:t>SO</w:t>
                  </w:r>
                  <w:r>
                    <w:rPr>
                      <w:color w:val="000000"/>
                      <w:szCs w:val="21"/>
                      <w:highlight w:val="none"/>
                      <w:vertAlign w:val="subscript"/>
                    </w:rPr>
                    <w:t>2</w:t>
                  </w:r>
                </w:p>
              </w:tc>
              <w:tc>
                <w:tcPr>
                  <w:tcW w:w="1428" w:type="pct"/>
                  <w:noWrap w:val="0"/>
                  <w:vAlign w:val="center"/>
                </w:tcPr>
                <w:p w14:paraId="2D1EAC75">
                  <w:pPr>
                    <w:widowControl/>
                    <w:adjustRightInd w:val="0"/>
                    <w:snapToGrid w:val="0"/>
                    <w:jc w:val="center"/>
                    <w:rPr>
                      <w:color w:val="000000"/>
                      <w:szCs w:val="21"/>
                      <w:highlight w:val="none"/>
                    </w:rPr>
                  </w:pPr>
                  <w:r>
                    <w:rPr>
                      <w:color w:val="000000"/>
                      <w:szCs w:val="21"/>
                      <w:highlight w:val="none"/>
                    </w:rPr>
                    <w:t>年平均质量浓度</w:t>
                  </w:r>
                </w:p>
              </w:tc>
              <w:tc>
                <w:tcPr>
                  <w:tcW w:w="803" w:type="pct"/>
                  <w:noWrap w:val="0"/>
                  <w:vAlign w:val="center"/>
                </w:tcPr>
                <w:p w14:paraId="47F0134B">
                  <w:pPr>
                    <w:widowControl/>
                    <w:adjustRightInd w:val="0"/>
                    <w:snapToGrid w:val="0"/>
                    <w:jc w:val="center"/>
                    <w:rPr>
                      <w:color w:val="000000"/>
                      <w:szCs w:val="21"/>
                      <w:highlight w:val="none"/>
                    </w:rPr>
                  </w:pPr>
                  <w:r>
                    <w:rPr>
                      <w:rFonts w:hint="eastAsia"/>
                      <w:color w:val="000000"/>
                      <w:szCs w:val="21"/>
                      <w:highlight w:val="none"/>
                    </w:rPr>
                    <w:t>10</w:t>
                  </w:r>
                </w:p>
              </w:tc>
              <w:tc>
                <w:tcPr>
                  <w:tcW w:w="714" w:type="pct"/>
                  <w:noWrap w:val="0"/>
                  <w:vAlign w:val="center"/>
                </w:tcPr>
                <w:p w14:paraId="6B6C001F">
                  <w:pPr>
                    <w:widowControl/>
                    <w:adjustRightInd w:val="0"/>
                    <w:snapToGrid w:val="0"/>
                    <w:jc w:val="center"/>
                    <w:rPr>
                      <w:color w:val="000000"/>
                      <w:szCs w:val="21"/>
                      <w:highlight w:val="none"/>
                    </w:rPr>
                  </w:pPr>
                  <w:r>
                    <w:rPr>
                      <w:color w:val="000000"/>
                      <w:szCs w:val="21"/>
                      <w:highlight w:val="none"/>
                    </w:rPr>
                    <w:t>60</w:t>
                  </w:r>
                </w:p>
              </w:tc>
              <w:tc>
                <w:tcPr>
                  <w:tcW w:w="713" w:type="pct"/>
                  <w:noWrap w:val="0"/>
                  <w:vAlign w:val="center"/>
                </w:tcPr>
                <w:p w14:paraId="51E4A6AC">
                  <w:pPr>
                    <w:widowControl/>
                    <w:adjustRightInd w:val="0"/>
                    <w:snapToGrid w:val="0"/>
                    <w:jc w:val="center"/>
                    <w:rPr>
                      <w:color w:val="000000"/>
                      <w:szCs w:val="21"/>
                      <w:highlight w:val="none"/>
                    </w:rPr>
                  </w:pPr>
                  <w:r>
                    <w:rPr>
                      <w:rFonts w:hint="eastAsia"/>
                      <w:color w:val="000000"/>
                      <w:szCs w:val="21"/>
                      <w:highlight w:val="none"/>
                    </w:rPr>
                    <w:t>16.67</w:t>
                  </w:r>
                </w:p>
              </w:tc>
              <w:tc>
                <w:tcPr>
                  <w:tcW w:w="619" w:type="pct"/>
                  <w:noWrap w:val="0"/>
                  <w:vAlign w:val="center"/>
                </w:tcPr>
                <w:p w14:paraId="16F5E6CA">
                  <w:pPr>
                    <w:widowControl/>
                    <w:adjustRightInd w:val="0"/>
                    <w:snapToGrid w:val="0"/>
                    <w:jc w:val="center"/>
                    <w:rPr>
                      <w:color w:val="000000"/>
                      <w:szCs w:val="21"/>
                      <w:highlight w:val="none"/>
                    </w:rPr>
                  </w:pPr>
                  <w:r>
                    <w:rPr>
                      <w:color w:val="000000"/>
                      <w:szCs w:val="21"/>
                      <w:highlight w:val="none"/>
                    </w:rPr>
                    <w:t>达标</w:t>
                  </w:r>
                </w:p>
              </w:tc>
            </w:tr>
            <w:tr w14:paraId="1F7A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7" w:hRule="atLeast"/>
                <w:jc w:val="center"/>
              </w:trPr>
              <w:tc>
                <w:tcPr>
                  <w:tcW w:w="719" w:type="pct"/>
                  <w:noWrap w:val="0"/>
                  <w:vAlign w:val="center"/>
                </w:tcPr>
                <w:p w14:paraId="37DA8257">
                  <w:pPr>
                    <w:widowControl/>
                    <w:adjustRightInd w:val="0"/>
                    <w:snapToGrid w:val="0"/>
                    <w:jc w:val="center"/>
                    <w:rPr>
                      <w:color w:val="000000"/>
                      <w:szCs w:val="21"/>
                      <w:highlight w:val="none"/>
                    </w:rPr>
                  </w:pPr>
                  <w:r>
                    <w:rPr>
                      <w:color w:val="000000"/>
                      <w:szCs w:val="21"/>
                      <w:highlight w:val="none"/>
                    </w:rPr>
                    <w:t>NO</w:t>
                  </w:r>
                  <w:r>
                    <w:rPr>
                      <w:color w:val="000000"/>
                      <w:szCs w:val="21"/>
                      <w:highlight w:val="none"/>
                      <w:vertAlign w:val="subscript"/>
                    </w:rPr>
                    <w:t>2</w:t>
                  </w:r>
                </w:p>
              </w:tc>
              <w:tc>
                <w:tcPr>
                  <w:tcW w:w="1428" w:type="pct"/>
                  <w:noWrap w:val="0"/>
                  <w:vAlign w:val="center"/>
                </w:tcPr>
                <w:p w14:paraId="77DCB0D1">
                  <w:pPr>
                    <w:widowControl/>
                    <w:adjustRightInd w:val="0"/>
                    <w:snapToGrid w:val="0"/>
                    <w:jc w:val="center"/>
                    <w:rPr>
                      <w:color w:val="000000"/>
                      <w:szCs w:val="21"/>
                      <w:highlight w:val="none"/>
                    </w:rPr>
                  </w:pPr>
                  <w:r>
                    <w:rPr>
                      <w:color w:val="000000"/>
                      <w:szCs w:val="21"/>
                      <w:highlight w:val="none"/>
                    </w:rPr>
                    <w:t>年平均质量浓度</w:t>
                  </w:r>
                </w:p>
              </w:tc>
              <w:tc>
                <w:tcPr>
                  <w:tcW w:w="803" w:type="pct"/>
                  <w:noWrap w:val="0"/>
                  <w:vAlign w:val="center"/>
                </w:tcPr>
                <w:p w14:paraId="18C1AE4B">
                  <w:pPr>
                    <w:widowControl/>
                    <w:adjustRightInd w:val="0"/>
                    <w:snapToGrid w:val="0"/>
                    <w:jc w:val="center"/>
                    <w:rPr>
                      <w:color w:val="000000"/>
                      <w:szCs w:val="21"/>
                      <w:highlight w:val="none"/>
                    </w:rPr>
                  </w:pPr>
                  <w:r>
                    <w:rPr>
                      <w:rFonts w:hint="eastAsia"/>
                      <w:color w:val="000000"/>
                      <w:szCs w:val="21"/>
                      <w:highlight w:val="none"/>
                    </w:rPr>
                    <w:t>23</w:t>
                  </w:r>
                </w:p>
              </w:tc>
              <w:tc>
                <w:tcPr>
                  <w:tcW w:w="714" w:type="pct"/>
                  <w:noWrap w:val="0"/>
                  <w:vAlign w:val="center"/>
                </w:tcPr>
                <w:p w14:paraId="579FF244">
                  <w:pPr>
                    <w:widowControl/>
                    <w:adjustRightInd w:val="0"/>
                    <w:snapToGrid w:val="0"/>
                    <w:jc w:val="center"/>
                    <w:rPr>
                      <w:color w:val="000000"/>
                      <w:szCs w:val="21"/>
                      <w:highlight w:val="none"/>
                    </w:rPr>
                  </w:pPr>
                  <w:r>
                    <w:rPr>
                      <w:color w:val="000000"/>
                      <w:szCs w:val="21"/>
                      <w:highlight w:val="none"/>
                    </w:rPr>
                    <w:t>40</w:t>
                  </w:r>
                </w:p>
              </w:tc>
              <w:tc>
                <w:tcPr>
                  <w:tcW w:w="713" w:type="pct"/>
                  <w:noWrap w:val="0"/>
                  <w:vAlign w:val="center"/>
                </w:tcPr>
                <w:p w14:paraId="3008E103">
                  <w:pPr>
                    <w:widowControl/>
                    <w:adjustRightInd w:val="0"/>
                    <w:snapToGrid w:val="0"/>
                    <w:jc w:val="center"/>
                    <w:rPr>
                      <w:color w:val="000000"/>
                      <w:szCs w:val="21"/>
                      <w:highlight w:val="none"/>
                    </w:rPr>
                  </w:pPr>
                  <w:r>
                    <w:rPr>
                      <w:rFonts w:hint="eastAsia"/>
                      <w:color w:val="000000"/>
                      <w:szCs w:val="21"/>
                      <w:highlight w:val="none"/>
                    </w:rPr>
                    <w:t>57.50</w:t>
                  </w:r>
                </w:p>
              </w:tc>
              <w:tc>
                <w:tcPr>
                  <w:tcW w:w="619" w:type="pct"/>
                  <w:noWrap w:val="0"/>
                  <w:vAlign w:val="center"/>
                </w:tcPr>
                <w:p w14:paraId="6EC5F85D">
                  <w:pPr>
                    <w:widowControl/>
                    <w:adjustRightInd w:val="0"/>
                    <w:snapToGrid w:val="0"/>
                    <w:jc w:val="center"/>
                    <w:rPr>
                      <w:color w:val="000000"/>
                      <w:szCs w:val="21"/>
                      <w:highlight w:val="none"/>
                    </w:rPr>
                  </w:pPr>
                  <w:r>
                    <w:rPr>
                      <w:color w:val="000000"/>
                      <w:szCs w:val="21"/>
                      <w:highlight w:val="none"/>
                    </w:rPr>
                    <w:t>达标</w:t>
                  </w:r>
                </w:p>
              </w:tc>
            </w:tr>
            <w:tr w14:paraId="060E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7" w:hRule="atLeast"/>
                <w:jc w:val="center"/>
              </w:trPr>
              <w:tc>
                <w:tcPr>
                  <w:tcW w:w="719" w:type="pct"/>
                  <w:noWrap w:val="0"/>
                  <w:vAlign w:val="center"/>
                </w:tcPr>
                <w:p w14:paraId="33421504">
                  <w:pPr>
                    <w:widowControl/>
                    <w:adjustRightInd w:val="0"/>
                    <w:snapToGrid w:val="0"/>
                    <w:jc w:val="center"/>
                    <w:rPr>
                      <w:color w:val="000000"/>
                      <w:szCs w:val="21"/>
                      <w:highlight w:val="none"/>
                    </w:rPr>
                  </w:pPr>
                  <w:r>
                    <w:rPr>
                      <w:color w:val="000000"/>
                      <w:szCs w:val="21"/>
                      <w:highlight w:val="none"/>
                    </w:rPr>
                    <w:t>PM</w:t>
                  </w:r>
                  <w:r>
                    <w:rPr>
                      <w:color w:val="000000"/>
                      <w:szCs w:val="21"/>
                      <w:highlight w:val="none"/>
                      <w:vertAlign w:val="subscript"/>
                    </w:rPr>
                    <w:t>10</w:t>
                  </w:r>
                </w:p>
              </w:tc>
              <w:tc>
                <w:tcPr>
                  <w:tcW w:w="1428" w:type="pct"/>
                  <w:noWrap w:val="0"/>
                  <w:vAlign w:val="center"/>
                </w:tcPr>
                <w:p w14:paraId="77E5D0EB">
                  <w:pPr>
                    <w:widowControl/>
                    <w:adjustRightInd w:val="0"/>
                    <w:snapToGrid w:val="0"/>
                    <w:jc w:val="center"/>
                    <w:rPr>
                      <w:color w:val="000000"/>
                      <w:szCs w:val="21"/>
                      <w:highlight w:val="none"/>
                    </w:rPr>
                  </w:pPr>
                  <w:r>
                    <w:rPr>
                      <w:color w:val="000000"/>
                      <w:szCs w:val="21"/>
                      <w:highlight w:val="none"/>
                    </w:rPr>
                    <w:t>年平均质量浓度</w:t>
                  </w:r>
                </w:p>
              </w:tc>
              <w:tc>
                <w:tcPr>
                  <w:tcW w:w="803" w:type="pct"/>
                  <w:noWrap w:val="0"/>
                  <w:vAlign w:val="center"/>
                </w:tcPr>
                <w:p w14:paraId="6B773E8F">
                  <w:pPr>
                    <w:widowControl/>
                    <w:adjustRightInd w:val="0"/>
                    <w:snapToGrid w:val="0"/>
                    <w:jc w:val="center"/>
                    <w:rPr>
                      <w:color w:val="000000"/>
                      <w:szCs w:val="21"/>
                      <w:highlight w:val="none"/>
                    </w:rPr>
                  </w:pPr>
                  <w:r>
                    <w:rPr>
                      <w:rFonts w:hint="eastAsia"/>
                      <w:color w:val="000000"/>
                      <w:szCs w:val="21"/>
                      <w:highlight w:val="none"/>
                    </w:rPr>
                    <w:t>51</w:t>
                  </w:r>
                </w:p>
              </w:tc>
              <w:tc>
                <w:tcPr>
                  <w:tcW w:w="714" w:type="pct"/>
                  <w:noWrap w:val="0"/>
                  <w:vAlign w:val="center"/>
                </w:tcPr>
                <w:p w14:paraId="365C39F6">
                  <w:pPr>
                    <w:widowControl/>
                    <w:adjustRightInd w:val="0"/>
                    <w:snapToGrid w:val="0"/>
                    <w:jc w:val="center"/>
                    <w:rPr>
                      <w:color w:val="000000"/>
                      <w:szCs w:val="21"/>
                      <w:highlight w:val="none"/>
                    </w:rPr>
                  </w:pPr>
                  <w:r>
                    <w:rPr>
                      <w:color w:val="000000"/>
                      <w:szCs w:val="21"/>
                      <w:highlight w:val="none"/>
                    </w:rPr>
                    <w:t>70</w:t>
                  </w:r>
                </w:p>
              </w:tc>
              <w:tc>
                <w:tcPr>
                  <w:tcW w:w="713" w:type="pct"/>
                  <w:noWrap w:val="0"/>
                  <w:vAlign w:val="center"/>
                </w:tcPr>
                <w:p w14:paraId="003ADDAF">
                  <w:pPr>
                    <w:widowControl/>
                    <w:adjustRightInd w:val="0"/>
                    <w:snapToGrid w:val="0"/>
                    <w:jc w:val="center"/>
                    <w:rPr>
                      <w:color w:val="000000"/>
                      <w:szCs w:val="21"/>
                      <w:highlight w:val="none"/>
                    </w:rPr>
                  </w:pPr>
                  <w:r>
                    <w:rPr>
                      <w:rFonts w:hint="eastAsia"/>
                      <w:color w:val="000000"/>
                      <w:szCs w:val="21"/>
                      <w:highlight w:val="none"/>
                    </w:rPr>
                    <w:t>72.86</w:t>
                  </w:r>
                </w:p>
              </w:tc>
              <w:tc>
                <w:tcPr>
                  <w:tcW w:w="619" w:type="pct"/>
                  <w:noWrap w:val="0"/>
                  <w:vAlign w:val="center"/>
                </w:tcPr>
                <w:p w14:paraId="66DAE093">
                  <w:pPr>
                    <w:widowControl/>
                    <w:adjustRightInd w:val="0"/>
                    <w:snapToGrid w:val="0"/>
                    <w:jc w:val="center"/>
                    <w:rPr>
                      <w:color w:val="000000"/>
                      <w:szCs w:val="21"/>
                      <w:highlight w:val="none"/>
                    </w:rPr>
                  </w:pPr>
                  <w:r>
                    <w:rPr>
                      <w:color w:val="000000"/>
                      <w:szCs w:val="21"/>
                      <w:highlight w:val="none"/>
                    </w:rPr>
                    <w:t>达标</w:t>
                  </w:r>
                </w:p>
              </w:tc>
            </w:tr>
            <w:tr w14:paraId="0FB3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7" w:hRule="atLeast"/>
                <w:jc w:val="center"/>
              </w:trPr>
              <w:tc>
                <w:tcPr>
                  <w:tcW w:w="719" w:type="pct"/>
                  <w:noWrap w:val="0"/>
                  <w:vAlign w:val="center"/>
                </w:tcPr>
                <w:p w14:paraId="1D2C8293">
                  <w:pPr>
                    <w:widowControl/>
                    <w:adjustRightInd w:val="0"/>
                    <w:snapToGrid w:val="0"/>
                    <w:jc w:val="center"/>
                    <w:rPr>
                      <w:color w:val="000000"/>
                      <w:szCs w:val="21"/>
                      <w:highlight w:val="none"/>
                    </w:rPr>
                  </w:pPr>
                  <w:r>
                    <w:rPr>
                      <w:color w:val="000000"/>
                      <w:szCs w:val="21"/>
                      <w:highlight w:val="none"/>
                    </w:rPr>
                    <w:t>PM</w:t>
                  </w:r>
                  <w:r>
                    <w:rPr>
                      <w:color w:val="000000"/>
                      <w:szCs w:val="21"/>
                      <w:highlight w:val="none"/>
                      <w:vertAlign w:val="subscript"/>
                    </w:rPr>
                    <w:t>2.5</w:t>
                  </w:r>
                </w:p>
              </w:tc>
              <w:tc>
                <w:tcPr>
                  <w:tcW w:w="1428" w:type="pct"/>
                  <w:noWrap w:val="0"/>
                  <w:vAlign w:val="center"/>
                </w:tcPr>
                <w:p w14:paraId="0FD4604B">
                  <w:pPr>
                    <w:widowControl/>
                    <w:adjustRightInd w:val="0"/>
                    <w:snapToGrid w:val="0"/>
                    <w:jc w:val="center"/>
                    <w:rPr>
                      <w:color w:val="000000"/>
                      <w:szCs w:val="21"/>
                      <w:highlight w:val="none"/>
                    </w:rPr>
                  </w:pPr>
                  <w:r>
                    <w:rPr>
                      <w:color w:val="000000"/>
                      <w:szCs w:val="21"/>
                      <w:highlight w:val="none"/>
                    </w:rPr>
                    <w:t>年平均质量浓度</w:t>
                  </w:r>
                </w:p>
              </w:tc>
              <w:tc>
                <w:tcPr>
                  <w:tcW w:w="803" w:type="pct"/>
                  <w:noWrap w:val="0"/>
                  <w:vAlign w:val="center"/>
                </w:tcPr>
                <w:p w14:paraId="7B11BAED">
                  <w:pPr>
                    <w:widowControl/>
                    <w:adjustRightInd w:val="0"/>
                    <w:snapToGrid w:val="0"/>
                    <w:jc w:val="center"/>
                    <w:rPr>
                      <w:color w:val="000000"/>
                      <w:szCs w:val="21"/>
                      <w:highlight w:val="none"/>
                    </w:rPr>
                  </w:pPr>
                  <w:r>
                    <w:rPr>
                      <w:rFonts w:hint="eastAsia"/>
                      <w:color w:val="000000"/>
                      <w:szCs w:val="21"/>
                      <w:highlight w:val="none"/>
                    </w:rPr>
                    <w:t>20</w:t>
                  </w:r>
                </w:p>
              </w:tc>
              <w:tc>
                <w:tcPr>
                  <w:tcW w:w="714" w:type="pct"/>
                  <w:noWrap w:val="0"/>
                  <w:vAlign w:val="center"/>
                </w:tcPr>
                <w:p w14:paraId="56F4BB57">
                  <w:pPr>
                    <w:widowControl/>
                    <w:adjustRightInd w:val="0"/>
                    <w:snapToGrid w:val="0"/>
                    <w:jc w:val="center"/>
                    <w:rPr>
                      <w:color w:val="000000"/>
                      <w:szCs w:val="21"/>
                      <w:highlight w:val="none"/>
                    </w:rPr>
                  </w:pPr>
                  <w:r>
                    <w:rPr>
                      <w:color w:val="000000"/>
                      <w:szCs w:val="21"/>
                      <w:highlight w:val="none"/>
                    </w:rPr>
                    <w:t>35</w:t>
                  </w:r>
                </w:p>
              </w:tc>
              <w:tc>
                <w:tcPr>
                  <w:tcW w:w="713" w:type="pct"/>
                  <w:noWrap w:val="0"/>
                  <w:vAlign w:val="center"/>
                </w:tcPr>
                <w:p w14:paraId="69EC0F69">
                  <w:pPr>
                    <w:widowControl/>
                    <w:adjustRightInd w:val="0"/>
                    <w:snapToGrid w:val="0"/>
                    <w:jc w:val="center"/>
                    <w:rPr>
                      <w:color w:val="000000"/>
                      <w:szCs w:val="21"/>
                      <w:highlight w:val="none"/>
                    </w:rPr>
                  </w:pPr>
                  <w:r>
                    <w:rPr>
                      <w:rFonts w:hint="eastAsia"/>
                      <w:color w:val="000000"/>
                      <w:szCs w:val="21"/>
                      <w:highlight w:val="none"/>
                    </w:rPr>
                    <w:t>57.14</w:t>
                  </w:r>
                </w:p>
              </w:tc>
              <w:tc>
                <w:tcPr>
                  <w:tcW w:w="619" w:type="pct"/>
                  <w:noWrap w:val="0"/>
                  <w:vAlign w:val="center"/>
                </w:tcPr>
                <w:p w14:paraId="0751A4F8">
                  <w:pPr>
                    <w:widowControl/>
                    <w:adjustRightInd w:val="0"/>
                    <w:snapToGrid w:val="0"/>
                    <w:jc w:val="center"/>
                    <w:rPr>
                      <w:color w:val="000000"/>
                      <w:szCs w:val="21"/>
                      <w:highlight w:val="none"/>
                    </w:rPr>
                  </w:pPr>
                  <w:r>
                    <w:rPr>
                      <w:color w:val="000000"/>
                      <w:szCs w:val="21"/>
                      <w:highlight w:val="none"/>
                    </w:rPr>
                    <w:t>达标</w:t>
                  </w:r>
                </w:p>
              </w:tc>
            </w:tr>
            <w:tr w14:paraId="0B0E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7" w:hRule="atLeast"/>
                <w:jc w:val="center"/>
              </w:trPr>
              <w:tc>
                <w:tcPr>
                  <w:tcW w:w="719" w:type="pct"/>
                  <w:noWrap w:val="0"/>
                  <w:vAlign w:val="center"/>
                </w:tcPr>
                <w:p w14:paraId="39816DA4">
                  <w:pPr>
                    <w:widowControl/>
                    <w:adjustRightInd w:val="0"/>
                    <w:snapToGrid w:val="0"/>
                    <w:jc w:val="center"/>
                    <w:rPr>
                      <w:color w:val="000000"/>
                      <w:szCs w:val="21"/>
                      <w:highlight w:val="none"/>
                    </w:rPr>
                  </w:pPr>
                  <w:r>
                    <w:rPr>
                      <w:color w:val="000000"/>
                      <w:szCs w:val="21"/>
                      <w:highlight w:val="none"/>
                    </w:rPr>
                    <w:t>O</w:t>
                  </w:r>
                  <w:r>
                    <w:rPr>
                      <w:color w:val="000000"/>
                      <w:szCs w:val="21"/>
                      <w:highlight w:val="none"/>
                      <w:vertAlign w:val="subscript"/>
                    </w:rPr>
                    <w:t>3</w:t>
                  </w:r>
                </w:p>
              </w:tc>
              <w:tc>
                <w:tcPr>
                  <w:tcW w:w="1428" w:type="pct"/>
                  <w:noWrap w:val="0"/>
                  <w:vAlign w:val="center"/>
                </w:tcPr>
                <w:p w14:paraId="6B101E83">
                  <w:pPr>
                    <w:adjustRightInd w:val="0"/>
                    <w:snapToGrid w:val="0"/>
                    <w:jc w:val="center"/>
                    <w:rPr>
                      <w:color w:val="000000"/>
                      <w:highlight w:val="none"/>
                    </w:rPr>
                  </w:pPr>
                  <w:r>
                    <w:rPr>
                      <w:color w:val="000000"/>
                      <w:szCs w:val="21"/>
                      <w:highlight w:val="none"/>
                    </w:rPr>
                    <w:t>8小时平均质量浓度</w:t>
                  </w:r>
                </w:p>
              </w:tc>
              <w:tc>
                <w:tcPr>
                  <w:tcW w:w="803" w:type="pct"/>
                  <w:noWrap w:val="0"/>
                  <w:vAlign w:val="center"/>
                </w:tcPr>
                <w:p w14:paraId="603244DE">
                  <w:pPr>
                    <w:widowControl/>
                    <w:adjustRightInd w:val="0"/>
                    <w:snapToGrid w:val="0"/>
                    <w:jc w:val="center"/>
                    <w:rPr>
                      <w:color w:val="000000"/>
                      <w:szCs w:val="21"/>
                      <w:highlight w:val="none"/>
                    </w:rPr>
                  </w:pPr>
                  <w:r>
                    <w:rPr>
                      <w:rFonts w:hint="eastAsia"/>
                      <w:color w:val="000000"/>
                      <w:szCs w:val="21"/>
                      <w:highlight w:val="none"/>
                    </w:rPr>
                    <w:t>148</w:t>
                  </w:r>
                </w:p>
              </w:tc>
              <w:tc>
                <w:tcPr>
                  <w:tcW w:w="714" w:type="pct"/>
                  <w:noWrap w:val="0"/>
                  <w:vAlign w:val="center"/>
                </w:tcPr>
                <w:p w14:paraId="67F89E01">
                  <w:pPr>
                    <w:widowControl/>
                    <w:adjustRightInd w:val="0"/>
                    <w:snapToGrid w:val="0"/>
                    <w:jc w:val="center"/>
                    <w:rPr>
                      <w:color w:val="000000"/>
                      <w:szCs w:val="21"/>
                      <w:highlight w:val="none"/>
                    </w:rPr>
                  </w:pPr>
                  <w:r>
                    <w:rPr>
                      <w:color w:val="000000"/>
                      <w:szCs w:val="21"/>
                      <w:highlight w:val="none"/>
                    </w:rPr>
                    <w:t>160</w:t>
                  </w:r>
                </w:p>
              </w:tc>
              <w:tc>
                <w:tcPr>
                  <w:tcW w:w="713" w:type="pct"/>
                  <w:noWrap w:val="0"/>
                  <w:vAlign w:val="center"/>
                </w:tcPr>
                <w:p w14:paraId="418D2EDC">
                  <w:pPr>
                    <w:widowControl/>
                    <w:adjustRightInd w:val="0"/>
                    <w:snapToGrid w:val="0"/>
                    <w:jc w:val="center"/>
                    <w:rPr>
                      <w:color w:val="000000"/>
                      <w:szCs w:val="21"/>
                      <w:highlight w:val="none"/>
                    </w:rPr>
                  </w:pPr>
                  <w:r>
                    <w:rPr>
                      <w:rFonts w:hint="eastAsia"/>
                      <w:color w:val="000000"/>
                      <w:szCs w:val="21"/>
                      <w:highlight w:val="none"/>
                    </w:rPr>
                    <w:t>92.50</w:t>
                  </w:r>
                </w:p>
              </w:tc>
              <w:tc>
                <w:tcPr>
                  <w:tcW w:w="619" w:type="pct"/>
                  <w:noWrap w:val="0"/>
                  <w:vAlign w:val="center"/>
                </w:tcPr>
                <w:p w14:paraId="01B17B72">
                  <w:pPr>
                    <w:widowControl/>
                    <w:adjustRightInd w:val="0"/>
                    <w:snapToGrid w:val="0"/>
                    <w:jc w:val="center"/>
                    <w:rPr>
                      <w:color w:val="000000"/>
                      <w:szCs w:val="21"/>
                      <w:highlight w:val="none"/>
                    </w:rPr>
                  </w:pPr>
                  <w:r>
                    <w:rPr>
                      <w:color w:val="000000"/>
                      <w:szCs w:val="21"/>
                      <w:highlight w:val="none"/>
                    </w:rPr>
                    <w:t>达标</w:t>
                  </w:r>
                </w:p>
              </w:tc>
            </w:tr>
            <w:tr w14:paraId="2C5E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719" w:type="pct"/>
                  <w:noWrap w:val="0"/>
                  <w:vAlign w:val="center"/>
                </w:tcPr>
                <w:p w14:paraId="433B3373">
                  <w:pPr>
                    <w:widowControl/>
                    <w:adjustRightInd w:val="0"/>
                    <w:snapToGrid w:val="0"/>
                    <w:jc w:val="center"/>
                    <w:rPr>
                      <w:color w:val="000000"/>
                      <w:szCs w:val="21"/>
                      <w:highlight w:val="none"/>
                    </w:rPr>
                  </w:pPr>
                  <w:r>
                    <w:rPr>
                      <w:color w:val="000000"/>
                      <w:szCs w:val="21"/>
                      <w:highlight w:val="none"/>
                    </w:rPr>
                    <w:t>CO</w:t>
                  </w:r>
                </w:p>
              </w:tc>
              <w:tc>
                <w:tcPr>
                  <w:tcW w:w="1428" w:type="pct"/>
                  <w:noWrap w:val="0"/>
                  <w:vAlign w:val="center"/>
                </w:tcPr>
                <w:p w14:paraId="42FA1820">
                  <w:pPr>
                    <w:widowControl/>
                    <w:adjustRightInd w:val="0"/>
                    <w:snapToGrid w:val="0"/>
                    <w:jc w:val="center"/>
                    <w:rPr>
                      <w:color w:val="000000"/>
                      <w:highlight w:val="none"/>
                    </w:rPr>
                  </w:pPr>
                  <w:r>
                    <w:rPr>
                      <w:color w:val="000000"/>
                      <w:szCs w:val="21"/>
                      <w:highlight w:val="none"/>
                    </w:rPr>
                    <w:t>第95百分位数日平均</w:t>
                  </w:r>
                </w:p>
              </w:tc>
              <w:tc>
                <w:tcPr>
                  <w:tcW w:w="803" w:type="pct"/>
                  <w:noWrap w:val="0"/>
                  <w:vAlign w:val="center"/>
                </w:tcPr>
                <w:p w14:paraId="65D1FC1E">
                  <w:pPr>
                    <w:widowControl/>
                    <w:adjustRightInd w:val="0"/>
                    <w:snapToGrid w:val="0"/>
                    <w:jc w:val="center"/>
                    <w:rPr>
                      <w:color w:val="000000"/>
                      <w:szCs w:val="21"/>
                      <w:highlight w:val="none"/>
                    </w:rPr>
                  </w:pPr>
                  <w:r>
                    <w:rPr>
                      <w:color w:val="000000"/>
                      <w:szCs w:val="21"/>
                      <w:highlight w:val="none"/>
                    </w:rPr>
                    <w:t>0.9mg/m</w:t>
                  </w:r>
                  <w:r>
                    <w:rPr>
                      <w:color w:val="000000"/>
                      <w:szCs w:val="21"/>
                      <w:highlight w:val="none"/>
                      <w:vertAlign w:val="superscript"/>
                    </w:rPr>
                    <w:t>3</w:t>
                  </w:r>
                </w:p>
              </w:tc>
              <w:tc>
                <w:tcPr>
                  <w:tcW w:w="714" w:type="pct"/>
                  <w:noWrap w:val="0"/>
                  <w:vAlign w:val="center"/>
                </w:tcPr>
                <w:p w14:paraId="12B658F2">
                  <w:pPr>
                    <w:widowControl/>
                    <w:adjustRightInd w:val="0"/>
                    <w:snapToGrid w:val="0"/>
                    <w:jc w:val="center"/>
                    <w:rPr>
                      <w:color w:val="000000"/>
                      <w:szCs w:val="21"/>
                      <w:highlight w:val="none"/>
                    </w:rPr>
                  </w:pPr>
                  <w:r>
                    <w:rPr>
                      <w:color w:val="000000"/>
                      <w:szCs w:val="21"/>
                      <w:highlight w:val="none"/>
                    </w:rPr>
                    <w:t>4mg/m</w:t>
                  </w:r>
                  <w:r>
                    <w:rPr>
                      <w:color w:val="000000"/>
                      <w:szCs w:val="21"/>
                      <w:highlight w:val="none"/>
                      <w:vertAlign w:val="superscript"/>
                    </w:rPr>
                    <w:t>3</w:t>
                  </w:r>
                </w:p>
              </w:tc>
              <w:tc>
                <w:tcPr>
                  <w:tcW w:w="713" w:type="pct"/>
                  <w:noWrap w:val="0"/>
                  <w:vAlign w:val="center"/>
                </w:tcPr>
                <w:p w14:paraId="68D9AC81">
                  <w:pPr>
                    <w:widowControl/>
                    <w:adjustRightInd w:val="0"/>
                    <w:snapToGrid w:val="0"/>
                    <w:jc w:val="center"/>
                    <w:rPr>
                      <w:color w:val="000000"/>
                      <w:szCs w:val="21"/>
                      <w:highlight w:val="none"/>
                    </w:rPr>
                  </w:pPr>
                  <w:r>
                    <w:rPr>
                      <w:color w:val="000000"/>
                      <w:szCs w:val="21"/>
                      <w:highlight w:val="none"/>
                    </w:rPr>
                    <w:t>22.50</w:t>
                  </w:r>
                </w:p>
              </w:tc>
              <w:tc>
                <w:tcPr>
                  <w:tcW w:w="619" w:type="pct"/>
                  <w:noWrap w:val="0"/>
                  <w:vAlign w:val="center"/>
                </w:tcPr>
                <w:p w14:paraId="5828C1D1">
                  <w:pPr>
                    <w:widowControl/>
                    <w:adjustRightInd w:val="0"/>
                    <w:snapToGrid w:val="0"/>
                    <w:jc w:val="center"/>
                    <w:rPr>
                      <w:color w:val="000000"/>
                      <w:szCs w:val="21"/>
                      <w:highlight w:val="none"/>
                    </w:rPr>
                  </w:pPr>
                  <w:r>
                    <w:rPr>
                      <w:color w:val="000000"/>
                      <w:szCs w:val="21"/>
                      <w:highlight w:val="none"/>
                    </w:rPr>
                    <w:t>达标</w:t>
                  </w:r>
                </w:p>
              </w:tc>
            </w:tr>
          </w:tbl>
          <w:p w14:paraId="4C3EEEDB">
            <w:pPr>
              <w:snapToGrid w:val="0"/>
              <w:spacing w:line="360" w:lineRule="auto"/>
              <w:ind w:firstLine="480" w:firstLineChars="200"/>
              <w:rPr>
                <w:color w:val="000000"/>
                <w:sz w:val="24"/>
                <w:highlight w:val="none"/>
              </w:rPr>
            </w:pPr>
            <w:r>
              <w:rPr>
                <w:color w:val="000000"/>
                <w:sz w:val="24"/>
                <w:highlight w:val="none"/>
              </w:rPr>
              <w:t>根据《</w:t>
            </w:r>
            <w:r>
              <w:rPr>
                <w:rFonts w:hint="eastAsia"/>
                <w:color w:val="000000"/>
                <w:sz w:val="24"/>
                <w:highlight w:val="none"/>
              </w:rPr>
              <w:t>202</w:t>
            </w:r>
            <w:r>
              <w:rPr>
                <w:rFonts w:hint="eastAsia"/>
                <w:color w:val="000000"/>
                <w:sz w:val="24"/>
                <w:highlight w:val="none"/>
                <w:lang w:val="en-US" w:eastAsia="zh-CN"/>
              </w:rPr>
              <w:t>2</w:t>
            </w:r>
            <w:r>
              <w:rPr>
                <w:color w:val="000000"/>
                <w:sz w:val="24"/>
                <w:highlight w:val="none"/>
              </w:rPr>
              <w:t>年内蒙古自治区生态环境状况公报》（内蒙古自治区环境保护厅，202</w:t>
            </w:r>
            <w:r>
              <w:rPr>
                <w:rFonts w:hint="eastAsia"/>
                <w:color w:val="000000"/>
                <w:sz w:val="24"/>
                <w:highlight w:val="none"/>
                <w:lang w:val="en-US" w:eastAsia="zh-CN"/>
              </w:rPr>
              <w:t>3</w:t>
            </w:r>
            <w:r>
              <w:rPr>
                <w:color w:val="000000"/>
                <w:sz w:val="24"/>
                <w:highlight w:val="none"/>
              </w:rPr>
              <w:t>年</w:t>
            </w:r>
            <w:r>
              <w:rPr>
                <w:rFonts w:hint="eastAsia"/>
                <w:color w:val="000000"/>
                <w:sz w:val="24"/>
                <w:highlight w:val="none"/>
              </w:rPr>
              <w:t>6</w:t>
            </w:r>
            <w:r>
              <w:rPr>
                <w:color w:val="000000"/>
                <w:sz w:val="24"/>
                <w:highlight w:val="none"/>
              </w:rPr>
              <w:t>月）发布全区环境空气质量状况，鄂尔多斯市的</w:t>
            </w:r>
            <w:r>
              <w:rPr>
                <w:rFonts w:hint="eastAsia"/>
                <w:color w:val="000000"/>
                <w:sz w:val="24"/>
                <w:highlight w:val="none"/>
              </w:rPr>
              <w:t>202</w:t>
            </w:r>
            <w:r>
              <w:rPr>
                <w:rFonts w:hint="eastAsia"/>
                <w:color w:val="000000"/>
                <w:sz w:val="24"/>
                <w:highlight w:val="none"/>
                <w:lang w:val="en-US" w:eastAsia="zh-CN"/>
              </w:rPr>
              <w:t>2</w:t>
            </w:r>
            <w:r>
              <w:rPr>
                <w:color w:val="000000"/>
                <w:sz w:val="24"/>
                <w:highlight w:val="none"/>
              </w:rPr>
              <w:t>年环境空气质量达标。</w:t>
            </w:r>
          </w:p>
          <w:p w14:paraId="75E72494">
            <w:pPr>
              <w:spacing w:line="360" w:lineRule="auto"/>
              <w:ind w:firstLine="482"/>
              <w:rPr>
                <w:rFonts w:hint="default"/>
                <w:color w:val="000000"/>
                <w:sz w:val="24"/>
                <w:highlight w:val="none"/>
                <w:lang w:val="en-US" w:eastAsia="zh-CN"/>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color w:val="000000"/>
                <w:sz w:val="24"/>
                <w:highlight w:val="none"/>
                <w:lang w:val="en-US" w:eastAsia="zh-CN"/>
              </w:rPr>
              <w:t>特征污染物达标分析</w:t>
            </w:r>
          </w:p>
          <w:p w14:paraId="76B3CBE6">
            <w:pPr>
              <w:spacing w:line="360" w:lineRule="auto"/>
              <w:ind w:firstLine="482"/>
              <w:rPr>
                <w:color w:val="000000"/>
                <w:sz w:val="24"/>
                <w:highlight w:val="none"/>
              </w:rPr>
            </w:pPr>
            <w:r>
              <w:rPr>
                <w:rFonts w:hint="eastAsia"/>
                <w:color w:val="000000"/>
                <w:sz w:val="24"/>
                <w:highlight w:val="none"/>
                <w:lang w:val="en-US" w:eastAsia="zh-CN"/>
              </w:rPr>
              <w:t>本次评价特征污染物为氨、硫化氢，数据引用于内蒙古华清环境检测有限公司2021 年 06 月 16 日-06 月 22 日对《内蒙古恒驰科技有限公司高性能环保着色新材料项目环境影响报告书》进行的环境空气质量现状监测数据现状监测数据，距离本项目最近的监测</w:t>
            </w:r>
            <w:r>
              <w:rPr>
                <w:rFonts w:hint="default" w:ascii="Times New Roman" w:hAnsi="Times New Roman" w:cs="Times New Roman"/>
                <w:color w:val="000000"/>
                <w:sz w:val="24"/>
                <w:highlight w:val="none"/>
                <w:lang w:val="en-US" w:eastAsia="zh-CN"/>
              </w:rPr>
              <w:t>点位于本项目</w:t>
            </w:r>
            <w:r>
              <w:rPr>
                <w:rFonts w:hint="eastAsia" w:ascii="Times New Roman" w:hAnsi="Times New Roman" w:cs="Times New Roman"/>
                <w:color w:val="000000"/>
                <w:sz w:val="24"/>
                <w:highlight w:val="none"/>
                <w:lang w:val="en-US" w:eastAsia="zh-CN"/>
              </w:rPr>
              <w:t>东北</w:t>
            </w:r>
            <w:r>
              <w:rPr>
                <w:rFonts w:hint="default" w:ascii="Times New Roman" w:hAnsi="Times New Roman" w:cs="Times New Roman"/>
                <w:color w:val="000000"/>
                <w:sz w:val="24"/>
                <w:highlight w:val="none"/>
                <w:lang w:val="en-US" w:eastAsia="zh-CN"/>
              </w:rPr>
              <w:t>侧</w:t>
            </w:r>
            <w:r>
              <w:rPr>
                <w:rFonts w:hint="eastAsia" w:ascii="Times New Roman" w:hAnsi="Times New Roman" w:cs="Times New Roman"/>
                <w:color w:val="000000"/>
                <w:sz w:val="24"/>
                <w:highlight w:val="none"/>
                <w:lang w:val="en-US" w:eastAsia="zh-CN"/>
              </w:rPr>
              <w:t>2.64</w:t>
            </w:r>
            <w:r>
              <w:rPr>
                <w:rFonts w:hint="default" w:ascii="Times New Roman" w:hAnsi="Times New Roman" w:cs="Times New Roman"/>
                <w:color w:val="000000"/>
                <w:sz w:val="24"/>
                <w:highlight w:val="none"/>
                <w:lang w:val="en-US" w:eastAsia="zh-CN"/>
              </w:rPr>
              <w:t>km，监测日期为</w:t>
            </w:r>
            <w:r>
              <w:rPr>
                <w:rFonts w:hint="default" w:ascii="Times New Roman" w:hAnsi="Times New Roman" w:cs="Times New Roman"/>
                <w:color w:val="000000"/>
                <w:sz w:val="24"/>
                <w:highlight w:val="none"/>
                <w:lang w:eastAsia="zh-CN"/>
              </w:rPr>
              <w:t>2021年9月7日～9月22日</w:t>
            </w:r>
            <w:r>
              <w:rPr>
                <w:rFonts w:hint="eastAsia"/>
                <w:color w:val="000000"/>
                <w:sz w:val="24"/>
                <w:highlight w:val="none"/>
              </w:rPr>
              <w:t>。</w:t>
            </w:r>
          </w:p>
          <w:p w14:paraId="11858351">
            <w:pPr>
              <w:pStyle w:val="19"/>
              <w:jc w:val="center"/>
              <w:rPr>
                <w:rFonts w:hint="default" w:eastAsia="宋体"/>
                <w:color w:val="000000"/>
                <w:kern w:val="24"/>
                <w:sz w:val="24"/>
                <w:szCs w:val="20"/>
                <w:highlight w:val="none"/>
                <w:lang w:val="en-US" w:eastAsia="zh-CN"/>
              </w:rPr>
            </w:pPr>
            <w:r>
              <w:rPr>
                <w:rFonts w:hint="eastAsia"/>
                <w:b/>
                <w:bCs/>
                <w:color w:val="000000"/>
                <w:kern w:val="24"/>
                <w:sz w:val="24"/>
                <w:szCs w:val="20"/>
                <w:highlight w:val="none"/>
                <w:lang w:val="en-US" w:eastAsia="zh-CN"/>
              </w:rPr>
              <w:t>表3-2 监测结果一览表</w:t>
            </w:r>
          </w:p>
          <w:tbl>
            <w:tblPr>
              <w:tblStyle w:val="14"/>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230"/>
              <w:gridCol w:w="1120"/>
              <w:gridCol w:w="1115"/>
              <w:gridCol w:w="1530"/>
              <w:gridCol w:w="948"/>
              <w:gridCol w:w="718"/>
              <w:gridCol w:w="719"/>
            </w:tblGrid>
            <w:tr w14:paraId="030E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noWrap w:val="0"/>
                  <w:vAlign w:val="center"/>
                </w:tcPr>
                <w:p w14:paraId="16DB950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监测日期</w:t>
                  </w:r>
                </w:p>
              </w:tc>
              <w:tc>
                <w:tcPr>
                  <w:tcW w:w="1230" w:type="dxa"/>
                  <w:noWrap w:val="0"/>
                  <w:vAlign w:val="center"/>
                </w:tcPr>
                <w:p w14:paraId="603F5D1F">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监测因子</w:t>
                  </w:r>
                </w:p>
              </w:tc>
              <w:tc>
                <w:tcPr>
                  <w:tcW w:w="1120" w:type="dxa"/>
                  <w:noWrap w:val="0"/>
                  <w:vAlign w:val="center"/>
                </w:tcPr>
                <w:p w14:paraId="09BB928E">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监测时段</w:t>
                  </w:r>
                </w:p>
              </w:tc>
              <w:tc>
                <w:tcPr>
                  <w:tcW w:w="1115" w:type="dxa"/>
                  <w:noWrap w:val="0"/>
                  <w:vAlign w:val="center"/>
                </w:tcPr>
                <w:p w14:paraId="3C00430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监测结果mg/m³</w:t>
                  </w:r>
                </w:p>
              </w:tc>
              <w:tc>
                <w:tcPr>
                  <w:tcW w:w="1530" w:type="dxa"/>
                  <w:noWrap w:val="0"/>
                  <w:vAlign w:val="center"/>
                </w:tcPr>
                <w:p w14:paraId="11908FBA">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最大占标率%</w:t>
                  </w:r>
                </w:p>
              </w:tc>
              <w:tc>
                <w:tcPr>
                  <w:tcW w:w="948" w:type="dxa"/>
                  <w:noWrap w:val="0"/>
                  <w:vAlign w:val="center"/>
                </w:tcPr>
                <w:p w14:paraId="3A3A3CAE">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超标率</w:t>
                  </w:r>
                </w:p>
              </w:tc>
              <w:tc>
                <w:tcPr>
                  <w:tcW w:w="718" w:type="dxa"/>
                  <w:noWrap w:val="0"/>
                  <w:vAlign w:val="center"/>
                </w:tcPr>
                <w:p w14:paraId="4A1D072F">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评价标准</w:t>
                  </w:r>
                </w:p>
              </w:tc>
              <w:tc>
                <w:tcPr>
                  <w:tcW w:w="719" w:type="dxa"/>
                  <w:noWrap w:val="0"/>
                  <w:vAlign w:val="center"/>
                </w:tcPr>
                <w:p w14:paraId="0DA7FAFE">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b/>
                      <w:bCs/>
                      <w:color w:val="000000"/>
                      <w:kern w:val="24"/>
                      <w:sz w:val="21"/>
                      <w:szCs w:val="21"/>
                      <w:highlight w:val="none"/>
                      <w:vertAlign w:val="baseline"/>
                      <w:lang w:val="en-US" w:eastAsia="zh-CN"/>
                    </w:rPr>
                  </w:pPr>
                  <w:r>
                    <w:rPr>
                      <w:rFonts w:hint="eastAsia"/>
                      <w:b/>
                      <w:bCs/>
                      <w:color w:val="000000"/>
                      <w:kern w:val="24"/>
                      <w:sz w:val="21"/>
                      <w:szCs w:val="21"/>
                      <w:highlight w:val="none"/>
                      <w:vertAlign w:val="baseline"/>
                      <w:lang w:val="en-US" w:eastAsia="zh-CN"/>
                    </w:rPr>
                    <w:t>达标情况</w:t>
                  </w:r>
                </w:p>
              </w:tc>
            </w:tr>
            <w:tr w14:paraId="28EE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restart"/>
                  <w:noWrap w:val="0"/>
                  <w:vAlign w:val="center"/>
                </w:tcPr>
                <w:p w14:paraId="0FA30737">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color w:val="000000"/>
                      <w:kern w:val="24"/>
                      <w:sz w:val="21"/>
                      <w:szCs w:val="21"/>
                      <w:highlight w:val="none"/>
                      <w:vertAlign w:val="baseline"/>
                    </w:rPr>
                  </w:pPr>
                  <w:r>
                    <w:rPr>
                      <w:rFonts w:hint="default" w:ascii="Times New Roman" w:hAnsi="Times New Roman" w:cs="Times New Roman"/>
                      <w:color w:val="000000"/>
                      <w:sz w:val="21"/>
                      <w:szCs w:val="21"/>
                      <w:highlight w:val="none"/>
                      <w:lang w:eastAsia="zh-CN"/>
                    </w:rPr>
                    <w:t>2021年</w:t>
                  </w:r>
                  <w:r>
                    <w:rPr>
                      <w:rFonts w:hint="eastAsia" w:ascii="Times New Roman" w:hAnsi="Times New Roman" w:cs="Times New Roman"/>
                      <w:color w:val="000000"/>
                      <w:sz w:val="21"/>
                      <w:szCs w:val="21"/>
                      <w:highlight w:val="none"/>
                      <w:lang w:val="en-US" w:eastAsia="zh-CN"/>
                    </w:rPr>
                    <w:t>6</w:t>
                  </w:r>
                  <w:r>
                    <w:rPr>
                      <w:rFonts w:hint="default" w:ascii="Times New Roman" w:hAnsi="Times New Roman" w:cs="Times New Roman"/>
                      <w:color w:val="000000"/>
                      <w:sz w:val="21"/>
                      <w:szCs w:val="21"/>
                      <w:highlight w:val="none"/>
                      <w:lang w:eastAsia="zh-CN"/>
                    </w:rPr>
                    <w:t>月</w:t>
                  </w:r>
                  <w:r>
                    <w:rPr>
                      <w:rFonts w:hint="eastAsia" w:ascii="Times New Roman" w:hAnsi="Times New Roman" w:cs="Times New Roman"/>
                      <w:color w:val="000000"/>
                      <w:sz w:val="21"/>
                      <w:szCs w:val="21"/>
                      <w:highlight w:val="none"/>
                      <w:lang w:val="en-US" w:eastAsia="zh-CN"/>
                    </w:rPr>
                    <w:t>16</w:t>
                  </w:r>
                  <w:r>
                    <w:rPr>
                      <w:rFonts w:hint="default" w:ascii="Times New Roman" w:hAnsi="Times New Roman" w:cs="Times New Roman"/>
                      <w:color w:val="000000"/>
                      <w:sz w:val="21"/>
                      <w:szCs w:val="21"/>
                      <w:highlight w:val="none"/>
                      <w:lang w:eastAsia="zh-CN"/>
                    </w:rPr>
                    <w:t>日～</w:t>
                  </w:r>
                  <w:r>
                    <w:rPr>
                      <w:rFonts w:hint="eastAsia" w:ascii="Times New Roman" w:hAnsi="Times New Roman" w:cs="Times New Roman"/>
                      <w:color w:val="000000"/>
                      <w:sz w:val="21"/>
                      <w:szCs w:val="21"/>
                      <w:highlight w:val="none"/>
                      <w:lang w:val="en-US" w:eastAsia="zh-CN"/>
                    </w:rPr>
                    <w:t>6</w:t>
                  </w:r>
                  <w:r>
                    <w:rPr>
                      <w:rFonts w:hint="default" w:ascii="Times New Roman" w:hAnsi="Times New Roman" w:cs="Times New Roman"/>
                      <w:color w:val="000000"/>
                      <w:sz w:val="21"/>
                      <w:szCs w:val="21"/>
                      <w:highlight w:val="none"/>
                      <w:lang w:eastAsia="zh-CN"/>
                    </w:rPr>
                    <w:t>月22</w:t>
                  </w:r>
                  <w:r>
                    <w:rPr>
                      <w:color w:val="000000"/>
                      <w:kern w:val="2"/>
                      <w:sz w:val="21"/>
                      <w:szCs w:val="21"/>
                      <w:highlight w:val="none"/>
                      <w:lang w:val="en-US" w:eastAsia="zh-CN"/>
                    </w:rPr>
                    <w:t>日</w:t>
                  </w:r>
                </w:p>
              </w:tc>
              <w:tc>
                <w:tcPr>
                  <w:tcW w:w="1230" w:type="dxa"/>
                  <w:noWrap w:val="0"/>
                  <w:vAlign w:val="center"/>
                </w:tcPr>
                <w:p w14:paraId="76F2C8E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氨</w:t>
                  </w:r>
                </w:p>
              </w:tc>
              <w:tc>
                <w:tcPr>
                  <w:tcW w:w="1120" w:type="dxa"/>
                  <w:noWrap w:val="0"/>
                  <w:vAlign w:val="center"/>
                </w:tcPr>
                <w:p w14:paraId="6BF24FFC">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1小时平均</w:t>
                  </w:r>
                </w:p>
              </w:tc>
              <w:tc>
                <w:tcPr>
                  <w:tcW w:w="1115" w:type="dxa"/>
                  <w:noWrap w:val="0"/>
                  <w:vAlign w:val="center"/>
                </w:tcPr>
                <w:p w14:paraId="24C20A4D">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0.01-0.07</w:t>
                  </w:r>
                </w:p>
              </w:tc>
              <w:tc>
                <w:tcPr>
                  <w:tcW w:w="1530" w:type="dxa"/>
                  <w:noWrap w:val="0"/>
                  <w:vAlign w:val="center"/>
                </w:tcPr>
                <w:p w14:paraId="1E9F0F1D">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35</w:t>
                  </w:r>
                </w:p>
              </w:tc>
              <w:tc>
                <w:tcPr>
                  <w:tcW w:w="948" w:type="dxa"/>
                  <w:noWrap w:val="0"/>
                  <w:vAlign w:val="center"/>
                </w:tcPr>
                <w:p w14:paraId="08FDEB3B">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w:t>
                  </w:r>
                </w:p>
              </w:tc>
              <w:tc>
                <w:tcPr>
                  <w:tcW w:w="718" w:type="dxa"/>
                  <w:noWrap w:val="0"/>
                  <w:vAlign w:val="center"/>
                </w:tcPr>
                <w:p w14:paraId="1C36D63D">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0.2</w:t>
                  </w:r>
                </w:p>
              </w:tc>
              <w:tc>
                <w:tcPr>
                  <w:tcW w:w="719" w:type="dxa"/>
                  <w:noWrap w:val="0"/>
                  <w:vAlign w:val="center"/>
                </w:tcPr>
                <w:p w14:paraId="3E0B2A47">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达标</w:t>
                  </w:r>
                </w:p>
              </w:tc>
            </w:tr>
            <w:tr w14:paraId="3CBB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Merge w:val="continue"/>
                  <w:noWrap w:val="0"/>
                  <w:vAlign w:val="center"/>
                </w:tcPr>
                <w:p w14:paraId="4B7539CB">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color w:val="000000"/>
                      <w:kern w:val="24"/>
                      <w:sz w:val="21"/>
                      <w:szCs w:val="21"/>
                      <w:highlight w:val="none"/>
                      <w:vertAlign w:val="baseline"/>
                    </w:rPr>
                  </w:pPr>
                </w:p>
              </w:tc>
              <w:tc>
                <w:tcPr>
                  <w:tcW w:w="1230" w:type="dxa"/>
                  <w:noWrap w:val="0"/>
                  <w:vAlign w:val="center"/>
                </w:tcPr>
                <w:p w14:paraId="1E50276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硫化氢</w:t>
                  </w:r>
                </w:p>
              </w:tc>
              <w:tc>
                <w:tcPr>
                  <w:tcW w:w="1120" w:type="dxa"/>
                  <w:noWrap w:val="0"/>
                  <w:vAlign w:val="center"/>
                </w:tcPr>
                <w:p w14:paraId="1569715A">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color w:val="000000"/>
                      <w:kern w:val="24"/>
                      <w:sz w:val="21"/>
                      <w:szCs w:val="21"/>
                      <w:highlight w:val="none"/>
                      <w:vertAlign w:val="baseline"/>
                    </w:rPr>
                  </w:pPr>
                  <w:r>
                    <w:rPr>
                      <w:rFonts w:hint="eastAsia"/>
                      <w:color w:val="000000"/>
                      <w:kern w:val="24"/>
                      <w:sz w:val="21"/>
                      <w:szCs w:val="21"/>
                      <w:highlight w:val="none"/>
                      <w:vertAlign w:val="baseline"/>
                      <w:lang w:val="en-US" w:eastAsia="zh-CN"/>
                    </w:rPr>
                    <w:t>1小时平均</w:t>
                  </w:r>
                </w:p>
              </w:tc>
              <w:tc>
                <w:tcPr>
                  <w:tcW w:w="1115" w:type="dxa"/>
                  <w:noWrap w:val="0"/>
                  <w:vAlign w:val="center"/>
                </w:tcPr>
                <w:p w14:paraId="221856A7">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未检出</w:t>
                  </w:r>
                </w:p>
              </w:tc>
              <w:tc>
                <w:tcPr>
                  <w:tcW w:w="1530" w:type="dxa"/>
                  <w:noWrap w:val="0"/>
                  <w:vAlign w:val="center"/>
                </w:tcPr>
                <w:p w14:paraId="3789B368">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w:t>
                  </w:r>
                </w:p>
              </w:tc>
              <w:tc>
                <w:tcPr>
                  <w:tcW w:w="948" w:type="dxa"/>
                  <w:noWrap w:val="0"/>
                  <w:vAlign w:val="center"/>
                </w:tcPr>
                <w:p w14:paraId="6C64D9DC">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w:t>
                  </w:r>
                </w:p>
              </w:tc>
              <w:tc>
                <w:tcPr>
                  <w:tcW w:w="718" w:type="dxa"/>
                  <w:noWrap w:val="0"/>
                  <w:vAlign w:val="center"/>
                </w:tcPr>
                <w:p w14:paraId="25178E7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0.01</w:t>
                  </w:r>
                </w:p>
              </w:tc>
              <w:tc>
                <w:tcPr>
                  <w:tcW w:w="719" w:type="dxa"/>
                  <w:noWrap w:val="0"/>
                  <w:vAlign w:val="center"/>
                </w:tcPr>
                <w:p w14:paraId="68259B05">
                  <w:pPr>
                    <w:pStyle w:val="19"/>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eastAsia" w:eastAsia="宋体"/>
                      <w:color w:val="000000"/>
                      <w:kern w:val="24"/>
                      <w:sz w:val="21"/>
                      <w:szCs w:val="21"/>
                      <w:highlight w:val="none"/>
                      <w:vertAlign w:val="baseline"/>
                      <w:lang w:val="en-US" w:eastAsia="zh-CN"/>
                    </w:rPr>
                  </w:pPr>
                  <w:r>
                    <w:rPr>
                      <w:rFonts w:hint="eastAsia"/>
                      <w:color w:val="000000"/>
                      <w:kern w:val="24"/>
                      <w:sz w:val="21"/>
                      <w:szCs w:val="21"/>
                      <w:highlight w:val="none"/>
                      <w:vertAlign w:val="baseline"/>
                      <w:lang w:val="en-US" w:eastAsia="zh-CN"/>
                    </w:rPr>
                    <w:t>达标</w:t>
                  </w:r>
                </w:p>
              </w:tc>
            </w:tr>
          </w:tbl>
          <w:p w14:paraId="648A8C53">
            <w:pPr>
              <w:pStyle w:val="19"/>
              <w:rPr>
                <w:rFonts w:hint="eastAsia"/>
                <w:color w:val="000000"/>
                <w:highlight w:val="none"/>
              </w:rPr>
            </w:pPr>
            <w:r>
              <w:rPr>
                <w:color w:val="000000"/>
                <w:kern w:val="24"/>
                <w:sz w:val="24"/>
                <w:szCs w:val="20"/>
                <w:highlight w:val="none"/>
              </w:rPr>
              <w:t>监测点污染物</w:t>
            </w:r>
            <w:r>
              <w:rPr>
                <w:rFonts w:hint="eastAsia"/>
                <w:color w:val="000000"/>
                <w:kern w:val="24"/>
                <w:sz w:val="24"/>
                <w:szCs w:val="20"/>
                <w:highlight w:val="none"/>
                <w:lang w:val="en-US" w:eastAsia="zh-CN"/>
              </w:rPr>
              <w:t>氨1小时浓度范围为0.01-0.07mg/m³，最大占标率硫化氢1小时浓度未检出。</w:t>
            </w:r>
            <w:r>
              <w:rPr>
                <w:color w:val="000000"/>
                <w:sz w:val="24"/>
                <w:highlight w:val="none"/>
              </w:rPr>
              <w:t>根据表</w:t>
            </w:r>
            <w:r>
              <w:rPr>
                <w:rFonts w:hint="eastAsia"/>
                <w:color w:val="000000"/>
                <w:sz w:val="24"/>
                <w:highlight w:val="none"/>
                <w:lang w:val="en-US" w:eastAsia="zh-CN"/>
              </w:rPr>
              <w:t>3-2</w:t>
            </w:r>
            <w:r>
              <w:rPr>
                <w:color w:val="000000"/>
                <w:sz w:val="24"/>
                <w:highlight w:val="none"/>
              </w:rPr>
              <w:t>可知，评价区内</w:t>
            </w:r>
            <w:r>
              <w:rPr>
                <w:rFonts w:hint="eastAsia"/>
                <w:color w:val="000000"/>
                <w:sz w:val="24"/>
                <w:highlight w:val="none"/>
              </w:rPr>
              <w:t>氨和硫化氢的小时浓度满足</w:t>
            </w:r>
            <w:r>
              <w:rPr>
                <w:rFonts w:hint="eastAsia"/>
                <w:color w:val="000000"/>
                <w:kern w:val="24"/>
                <w:sz w:val="24"/>
                <w:szCs w:val="20"/>
                <w:highlight w:val="none"/>
              </w:rPr>
              <w:t>《环境影响评价技术导则大气环境》</w:t>
            </w:r>
            <w:r>
              <w:rPr>
                <w:color w:val="000000"/>
                <w:kern w:val="24"/>
                <w:sz w:val="24"/>
                <w:szCs w:val="20"/>
                <w:highlight w:val="none"/>
              </w:rPr>
              <w:t>(HJ2.2-2018)</w:t>
            </w:r>
            <w:r>
              <w:rPr>
                <w:rFonts w:hint="eastAsia"/>
                <w:color w:val="000000"/>
                <w:kern w:val="24"/>
                <w:sz w:val="24"/>
                <w:szCs w:val="20"/>
                <w:highlight w:val="none"/>
              </w:rPr>
              <w:t>中附录</w:t>
            </w:r>
            <w:r>
              <w:rPr>
                <w:color w:val="000000"/>
                <w:kern w:val="24"/>
                <w:sz w:val="24"/>
                <w:szCs w:val="20"/>
                <w:highlight w:val="none"/>
              </w:rPr>
              <w:t>D</w:t>
            </w:r>
            <w:r>
              <w:rPr>
                <w:rFonts w:hint="eastAsia"/>
                <w:color w:val="000000"/>
                <w:kern w:val="24"/>
                <w:sz w:val="24"/>
                <w:szCs w:val="20"/>
                <w:highlight w:val="none"/>
              </w:rPr>
              <w:t>其他污染物空气质量浓度参考限值要求。</w:t>
            </w:r>
          </w:p>
          <w:p w14:paraId="14677782">
            <w:pPr>
              <w:autoSpaceDE w:val="0"/>
              <w:autoSpaceDN w:val="0"/>
              <w:adjustRightInd w:val="0"/>
              <w:spacing w:line="360" w:lineRule="auto"/>
              <w:ind w:firstLine="482" w:firstLineChars="200"/>
              <w:jc w:val="left"/>
              <w:textAlignment w:val="baseline"/>
              <w:rPr>
                <w:rFonts w:hint="default" w:eastAsia="宋体"/>
                <w:b/>
                <w:bCs/>
                <w:color w:val="000000"/>
                <w:sz w:val="24"/>
                <w:highlight w:val="none"/>
                <w:lang w:val="en-US" w:eastAsia="zh-CN"/>
              </w:rPr>
            </w:pPr>
            <w:r>
              <w:rPr>
                <w:rFonts w:hint="eastAsia"/>
                <w:b/>
                <w:bCs/>
                <w:color w:val="000000"/>
                <w:sz w:val="24"/>
                <w:highlight w:val="none"/>
                <w:lang w:val="en-US" w:eastAsia="zh-CN"/>
              </w:rPr>
              <w:t>2、地下水环境质量现状</w:t>
            </w:r>
          </w:p>
          <w:p w14:paraId="54C72020">
            <w:pPr>
              <w:spacing w:line="360" w:lineRule="auto"/>
              <w:ind w:firstLine="480" w:firstLineChars="200"/>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sz w:val="24"/>
                <w:szCs w:val="24"/>
                <w:highlight w:val="none"/>
                <w:lang w:val="en-US" w:eastAsia="zh-CN"/>
              </w:rPr>
              <w:t>本次评价引用园区地下水环境状况评估数据，</w:t>
            </w:r>
            <w:r>
              <w:rPr>
                <w:rFonts w:hint="eastAsia" w:ascii="Times New Roman" w:hAnsi="Times New Roman" w:cs="Times New Roman"/>
                <w:color w:val="000000"/>
                <w:sz w:val="24"/>
                <w:szCs w:val="24"/>
                <w:highlight w:val="none"/>
                <w:lang w:eastAsia="zh-CN"/>
              </w:rPr>
              <w:t>根据鄂尔多斯市鄂托克旗地下水环境状况初步调查评估项目地下水检测报告（</w:t>
            </w:r>
            <w:r>
              <w:rPr>
                <w:rFonts w:hint="eastAsia" w:ascii="Times New Roman" w:hAnsi="Times New Roman" w:cs="Times New Roman"/>
                <w:color w:val="000000"/>
                <w:sz w:val="24"/>
                <w:szCs w:val="24"/>
                <w:highlight w:val="none"/>
                <w:lang w:val="en-US" w:eastAsia="zh-CN"/>
              </w:rPr>
              <w:t>EJY-2022-WT-993，2022年6月20日</w:t>
            </w:r>
            <w:r>
              <w:rPr>
                <w:rFonts w:hint="eastAsia" w:ascii="Times New Roman" w:hAnsi="Times New Roman" w:cs="Times New Roman"/>
                <w:color w:val="000000"/>
                <w:sz w:val="24"/>
                <w:szCs w:val="24"/>
                <w:highlight w:val="none"/>
                <w:lang w:eastAsia="zh-CN"/>
              </w:rPr>
              <w:t>）中，内蒙古蒙西高新技术工业园区海胜锌业</w:t>
            </w:r>
            <w:r>
              <w:rPr>
                <w:rFonts w:hint="eastAsia" w:ascii="Times New Roman" w:hAnsi="Times New Roman" w:cs="Times New Roman"/>
                <w:color w:val="000000"/>
                <w:sz w:val="24"/>
                <w:szCs w:val="24"/>
                <w:highlight w:val="none"/>
                <w:lang w:val="en-US" w:eastAsia="zh-CN"/>
              </w:rPr>
              <w:t>N-1（位于本项目西侧1.618km）、双欣化学N-4（位于本项目北侧4.071km）点位地下水监测结果如下。</w:t>
            </w:r>
          </w:p>
          <w:p w14:paraId="0660E864">
            <w:pPr>
              <w:jc w:val="center"/>
              <w:rPr>
                <w:rFonts w:hint="default" w:ascii="Times New Roman" w:hAnsi="Times New Roman" w:cs="Times New Roman"/>
                <w:b/>
                <w:color w:val="000000"/>
                <w:szCs w:val="21"/>
                <w:highlight w:val="none"/>
              </w:rPr>
            </w:pPr>
            <w:r>
              <w:rPr>
                <w:rFonts w:ascii="Times New Roman" w:hAnsi="Times New Roman" w:cs="Times New Roman"/>
                <w:b/>
                <w:color w:val="000000"/>
                <w:szCs w:val="21"/>
                <w:highlight w:val="none"/>
              </w:rPr>
              <w:t>表</w:t>
            </w:r>
            <w:r>
              <w:rPr>
                <w:rFonts w:hint="eastAsia" w:ascii="Times New Roman" w:hAnsi="Times New Roman" w:cs="Times New Roman"/>
                <w:b/>
                <w:color w:val="000000"/>
                <w:szCs w:val="21"/>
                <w:highlight w:val="none"/>
                <w:lang w:val="en-US" w:eastAsia="zh-CN"/>
              </w:rPr>
              <w:t xml:space="preserve">3-3 </w:t>
            </w:r>
            <w:r>
              <w:rPr>
                <w:rFonts w:ascii="Times New Roman" w:hAnsi="Times New Roman" w:cs="Times New Roman"/>
                <w:b/>
                <w:color w:val="000000"/>
                <w:szCs w:val="21"/>
                <w:highlight w:val="none"/>
              </w:rPr>
              <w:t>地下水监测结果一览表</w:t>
            </w:r>
            <w:r>
              <w:rPr>
                <w:rFonts w:hint="default" w:ascii="Times New Roman" w:hAnsi="Times New Roman" w:cs="Times New Roman"/>
                <w:b/>
                <w:color w:val="000000"/>
                <w:szCs w:val="21"/>
                <w:highlight w:val="none"/>
              </w:rPr>
              <w:t>（鄂尔多斯市鄂托克旗地下水环境状况初步调查评估项目）</w:t>
            </w:r>
          </w:p>
          <w:tbl>
            <w:tblPr>
              <w:tblStyle w:val="13"/>
              <w:tblW w:w="867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78"/>
              <w:gridCol w:w="1601"/>
              <w:gridCol w:w="1049"/>
              <w:gridCol w:w="1049"/>
              <w:gridCol w:w="1049"/>
              <w:gridCol w:w="1049"/>
              <w:gridCol w:w="1202"/>
            </w:tblGrid>
            <w:tr w14:paraId="37A0D3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3279" w:type="dxa"/>
                  <w:gridSpan w:val="2"/>
                  <w:noWrap w:val="0"/>
                  <w:vAlign w:val="center"/>
                </w:tcPr>
                <w:p w14:paraId="6EABBCAF">
                  <w:pPr>
                    <w:adjustRightInd w:val="0"/>
                    <w:snapToGrid w:val="0"/>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检测点位</w:t>
                  </w:r>
                </w:p>
              </w:tc>
              <w:tc>
                <w:tcPr>
                  <w:tcW w:w="1049" w:type="dxa"/>
                  <w:vMerge w:val="restart"/>
                  <w:noWrap w:val="0"/>
                  <w:vAlign w:val="center"/>
                </w:tcPr>
                <w:p w14:paraId="4A6CA515">
                  <w:pPr>
                    <w:adjustRightInd w:val="0"/>
                    <w:snapToGrid w:val="0"/>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eastAsia="zh-CN"/>
                    </w:rPr>
                    <w:t>海胜锌业</w:t>
                  </w:r>
                  <w:r>
                    <w:rPr>
                      <w:rFonts w:hint="eastAsia" w:ascii="Times New Roman" w:hAnsi="Times New Roman" w:cs="Times New Roman"/>
                      <w:b/>
                      <w:bCs/>
                      <w:color w:val="000000"/>
                      <w:sz w:val="21"/>
                      <w:szCs w:val="21"/>
                      <w:highlight w:val="none"/>
                      <w:lang w:val="en-US" w:eastAsia="zh-CN"/>
                    </w:rPr>
                    <w:t>N-1</w:t>
                  </w:r>
                </w:p>
              </w:tc>
              <w:tc>
                <w:tcPr>
                  <w:tcW w:w="1049" w:type="dxa"/>
                  <w:vMerge w:val="restart"/>
                  <w:noWrap w:val="0"/>
                  <w:vAlign w:val="center"/>
                </w:tcPr>
                <w:p w14:paraId="0B135396">
                  <w:pPr>
                    <w:adjustRightInd w:val="0"/>
                    <w:snapToGrid w:val="0"/>
                    <w:jc w:val="center"/>
                    <w:rPr>
                      <w:rFonts w:hint="eastAsia" w:ascii="Times New Roman" w:hAnsi="Times New Roman" w:eastAsia="宋体" w:cs="Times New Roman"/>
                      <w:b/>
                      <w:bCs/>
                      <w:color w:val="000000"/>
                      <w:sz w:val="21"/>
                      <w:szCs w:val="21"/>
                      <w:highlight w:val="none"/>
                      <w:lang w:eastAsia="zh-CN"/>
                    </w:rPr>
                  </w:pPr>
                  <w:r>
                    <w:rPr>
                      <w:rFonts w:hint="eastAsia" w:ascii="Times New Roman" w:hAnsi="Times New Roman" w:cs="Times New Roman"/>
                      <w:b/>
                      <w:bCs/>
                      <w:color w:val="000000"/>
                      <w:sz w:val="21"/>
                      <w:szCs w:val="21"/>
                      <w:highlight w:val="none"/>
                      <w:lang w:eastAsia="zh-CN"/>
                    </w:rPr>
                    <w:t>污染指数</w:t>
                  </w:r>
                </w:p>
              </w:tc>
              <w:tc>
                <w:tcPr>
                  <w:tcW w:w="1049" w:type="dxa"/>
                  <w:vMerge w:val="restart"/>
                  <w:noWrap w:val="0"/>
                  <w:vAlign w:val="center"/>
                </w:tcPr>
                <w:p w14:paraId="7BA0AD29">
                  <w:pPr>
                    <w:adjustRightInd w:val="0"/>
                    <w:snapToGrid w:val="0"/>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eastAsia="zh-CN"/>
                    </w:rPr>
                    <w:t>双欣化学</w:t>
                  </w:r>
                  <w:r>
                    <w:rPr>
                      <w:rFonts w:hint="eastAsia" w:ascii="Times New Roman" w:hAnsi="Times New Roman" w:cs="Times New Roman"/>
                      <w:b/>
                      <w:bCs/>
                      <w:color w:val="000000"/>
                      <w:sz w:val="21"/>
                      <w:szCs w:val="21"/>
                      <w:highlight w:val="none"/>
                      <w:lang w:val="en-US" w:eastAsia="zh-CN"/>
                    </w:rPr>
                    <w:t>N-4</w:t>
                  </w:r>
                </w:p>
              </w:tc>
              <w:tc>
                <w:tcPr>
                  <w:tcW w:w="1049" w:type="dxa"/>
                  <w:vMerge w:val="restart"/>
                  <w:noWrap w:val="0"/>
                  <w:vAlign w:val="center"/>
                </w:tcPr>
                <w:p w14:paraId="20814A7A">
                  <w:pPr>
                    <w:adjustRightInd w:val="0"/>
                    <w:snapToGrid w:val="0"/>
                    <w:jc w:val="center"/>
                    <w:rPr>
                      <w:rFonts w:hint="eastAsia" w:ascii="Times New Roman" w:hAnsi="Times New Roman" w:eastAsia="宋体" w:cs="Times New Roman"/>
                      <w:b/>
                      <w:bCs/>
                      <w:color w:val="000000"/>
                      <w:sz w:val="21"/>
                      <w:szCs w:val="21"/>
                      <w:highlight w:val="none"/>
                      <w:lang w:eastAsia="zh-CN"/>
                    </w:rPr>
                  </w:pPr>
                  <w:r>
                    <w:rPr>
                      <w:rFonts w:hint="eastAsia" w:ascii="Times New Roman" w:hAnsi="Times New Roman" w:cs="Times New Roman"/>
                      <w:b/>
                      <w:bCs/>
                      <w:color w:val="000000"/>
                      <w:sz w:val="21"/>
                      <w:szCs w:val="21"/>
                      <w:highlight w:val="none"/>
                      <w:lang w:eastAsia="zh-CN"/>
                    </w:rPr>
                    <w:t>污染指数</w:t>
                  </w:r>
                </w:p>
              </w:tc>
              <w:tc>
                <w:tcPr>
                  <w:tcW w:w="1202" w:type="dxa"/>
                  <w:vMerge w:val="restart"/>
                  <w:noWrap w:val="0"/>
                  <w:vAlign w:val="center"/>
                </w:tcPr>
                <w:p w14:paraId="3675F0F3">
                  <w:pPr>
                    <w:adjustRightInd w:val="0"/>
                    <w:snapToGrid w:val="0"/>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标准限值</w:t>
                  </w:r>
                </w:p>
              </w:tc>
            </w:tr>
            <w:tr w14:paraId="4A309A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1678" w:type="dxa"/>
                  <w:noWrap w:val="0"/>
                  <w:vAlign w:val="center"/>
                </w:tcPr>
                <w:p w14:paraId="477EAAF7">
                  <w:pPr>
                    <w:adjustRightInd w:val="0"/>
                    <w:snapToGrid w:val="0"/>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检测项目</w:t>
                  </w:r>
                </w:p>
              </w:tc>
              <w:tc>
                <w:tcPr>
                  <w:tcW w:w="1601" w:type="dxa"/>
                  <w:noWrap w:val="0"/>
                  <w:vAlign w:val="center"/>
                </w:tcPr>
                <w:p w14:paraId="6080564F">
                  <w:pPr>
                    <w:adjustRightInd w:val="0"/>
                    <w:snapToGrid w:val="0"/>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单位</w:t>
                  </w:r>
                </w:p>
              </w:tc>
              <w:tc>
                <w:tcPr>
                  <w:tcW w:w="1049" w:type="dxa"/>
                  <w:vMerge w:val="continue"/>
                  <w:noWrap w:val="0"/>
                  <w:vAlign w:val="center"/>
                </w:tcPr>
                <w:p w14:paraId="10B0A437">
                  <w:pPr>
                    <w:adjustRightInd w:val="0"/>
                    <w:snapToGrid w:val="0"/>
                    <w:jc w:val="center"/>
                    <w:rPr>
                      <w:rFonts w:ascii="Times New Roman" w:hAnsi="Times New Roman" w:cs="Times New Roman"/>
                      <w:color w:val="000000"/>
                      <w:sz w:val="21"/>
                      <w:szCs w:val="21"/>
                      <w:highlight w:val="none"/>
                    </w:rPr>
                  </w:pPr>
                </w:p>
              </w:tc>
              <w:tc>
                <w:tcPr>
                  <w:tcW w:w="1049" w:type="dxa"/>
                  <w:vMerge w:val="continue"/>
                  <w:noWrap w:val="0"/>
                  <w:vAlign w:val="center"/>
                </w:tcPr>
                <w:p w14:paraId="3BD4A11E">
                  <w:pPr>
                    <w:adjustRightInd w:val="0"/>
                    <w:snapToGrid w:val="0"/>
                    <w:jc w:val="center"/>
                    <w:rPr>
                      <w:rFonts w:ascii="Times New Roman" w:hAnsi="Times New Roman" w:cs="Times New Roman"/>
                      <w:color w:val="000000"/>
                      <w:sz w:val="21"/>
                      <w:szCs w:val="21"/>
                      <w:highlight w:val="none"/>
                    </w:rPr>
                  </w:pPr>
                </w:p>
              </w:tc>
              <w:tc>
                <w:tcPr>
                  <w:tcW w:w="1049" w:type="dxa"/>
                  <w:vMerge w:val="continue"/>
                  <w:noWrap w:val="0"/>
                  <w:vAlign w:val="center"/>
                </w:tcPr>
                <w:p w14:paraId="6BA7BDCC">
                  <w:pPr>
                    <w:adjustRightInd w:val="0"/>
                    <w:snapToGrid w:val="0"/>
                    <w:jc w:val="center"/>
                    <w:rPr>
                      <w:rFonts w:ascii="Times New Roman" w:hAnsi="Times New Roman" w:cs="Times New Roman"/>
                      <w:color w:val="000000"/>
                      <w:sz w:val="21"/>
                      <w:szCs w:val="21"/>
                      <w:highlight w:val="none"/>
                    </w:rPr>
                  </w:pPr>
                </w:p>
              </w:tc>
              <w:tc>
                <w:tcPr>
                  <w:tcW w:w="1049" w:type="dxa"/>
                  <w:vMerge w:val="continue"/>
                  <w:noWrap w:val="0"/>
                  <w:vAlign w:val="center"/>
                </w:tcPr>
                <w:p w14:paraId="6A4151E3">
                  <w:pPr>
                    <w:adjustRightInd w:val="0"/>
                    <w:snapToGrid w:val="0"/>
                    <w:jc w:val="center"/>
                    <w:rPr>
                      <w:rFonts w:ascii="Times New Roman" w:hAnsi="Times New Roman" w:cs="Times New Roman"/>
                      <w:color w:val="000000"/>
                      <w:sz w:val="21"/>
                      <w:szCs w:val="21"/>
                      <w:highlight w:val="none"/>
                    </w:rPr>
                  </w:pPr>
                </w:p>
              </w:tc>
              <w:tc>
                <w:tcPr>
                  <w:tcW w:w="1202" w:type="dxa"/>
                  <w:vMerge w:val="continue"/>
                  <w:noWrap w:val="0"/>
                  <w:vAlign w:val="center"/>
                </w:tcPr>
                <w:p w14:paraId="647FC503">
                  <w:pPr>
                    <w:adjustRightInd w:val="0"/>
                    <w:snapToGrid w:val="0"/>
                    <w:jc w:val="center"/>
                    <w:rPr>
                      <w:rFonts w:ascii="Times New Roman" w:hAnsi="Times New Roman" w:cs="Times New Roman"/>
                      <w:color w:val="000000"/>
                      <w:sz w:val="21"/>
                      <w:szCs w:val="21"/>
                      <w:highlight w:val="none"/>
                    </w:rPr>
                  </w:pPr>
                </w:p>
              </w:tc>
            </w:tr>
            <w:tr w14:paraId="182775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9F1CB0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pH</w:t>
                  </w:r>
                </w:p>
              </w:tc>
              <w:tc>
                <w:tcPr>
                  <w:tcW w:w="1601" w:type="dxa"/>
                  <w:noWrap w:val="0"/>
                  <w:vAlign w:val="center"/>
                </w:tcPr>
                <w:p w14:paraId="743A57E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w:t>
                  </w:r>
                </w:p>
              </w:tc>
              <w:tc>
                <w:tcPr>
                  <w:tcW w:w="1049" w:type="dxa"/>
                  <w:noWrap w:val="0"/>
                  <w:vAlign w:val="center"/>
                </w:tcPr>
                <w:p w14:paraId="01456EE4">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8.3</w:t>
                  </w:r>
                </w:p>
              </w:tc>
              <w:tc>
                <w:tcPr>
                  <w:tcW w:w="1049" w:type="dxa"/>
                  <w:noWrap w:val="0"/>
                  <w:vAlign w:val="center"/>
                </w:tcPr>
                <w:p w14:paraId="6691C86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0.6</w:t>
                  </w:r>
                </w:p>
              </w:tc>
              <w:tc>
                <w:tcPr>
                  <w:tcW w:w="1049" w:type="dxa"/>
                  <w:noWrap w:val="0"/>
                  <w:vAlign w:val="center"/>
                </w:tcPr>
                <w:p w14:paraId="04E88C6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8.5</w:t>
                  </w:r>
                </w:p>
              </w:tc>
              <w:tc>
                <w:tcPr>
                  <w:tcW w:w="1049" w:type="dxa"/>
                  <w:noWrap w:val="0"/>
                  <w:vAlign w:val="center"/>
                </w:tcPr>
                <w:p w14:paraId="12183B84">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1202" w:type="dxa"/>
                  <w:noWrap w:val="0"/>
                  <w:vAlign w:val="center"/>
                </w:tcPr>
                <w:p w14:paraId="0B4A4DD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6.5~8.5</w:t>
                  </w:r>
                </w:p>
              </w:tc>
            </w:tr>
            <w:tr w14:paraId="375EA1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02BF96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溶解性总固体</w:t>
                  </w:r>
                </w:p>
              </w:tc>
              <w:tc>
                <w:tcPr>
                  <w:tcW w:w="1601" w:type="dxa"/>
                  <w:noWrap w:val="0"/>
                  <w:vAlign w:val="center"/>
                </w:tcPr>
                <w:p w14:paraId="0DE7D56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32BF5FA2">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4.54x10</w:t>
                  </w:r>
                  <w:r>
                    <w:rPr>
                      <w:rFonts w:hint="eastAsia" w:ascii="Times New Roman" w:hAnsi="Times New Roman" w:cs="Times New Roman"/>
                      <w:color w:val="000000"/>
                      <w:sz w:val="21"/>
                      <w:szCs w:val="21"/>
                      <w:highlight w:val="none"/>
                      <w:vertAlign w:val="superscript"/>
                      <w:lang w:val="en-US" w:eastAsia="zh-CN"/>
                    </w:rPr>
                    <w:t>3</w:t>
                  </w:r>
                </w:p>
              </w:tc>
              <w:tc>
                <w:tcPr>
                  <w:tcW w:w="1049" w:type="dxa"/>
                  <w:noWrap w:val="0"/>
                  <w:vAlign w:val="center"/>
                </w:tcPr>
                <w:p w14:paraId="08D42B87">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4.54</w:t>
                  </w:r>
                </w:p>
              </w:tc>
              <w:tc>
                <w:tcPr>
                  <w:tcW w:w="1049" w:type="dxa"/>
                  <w:noWrap w:val="0"/>
                  <w:vAlign w:val="center"/>
                </w:tcPr>
                <w:p w14:paraId="55FDD7D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1.62x10</w:t>
                  </w:r>
                  <w:r>
                    <w:rPr>
                      <w:rFonts w:hint="eastAsia" w:ascii="Times New Roman" w:hAnsi="Times New Roman" w:cs="Times New Roman"/>
                      <w:color w:val="000000"/>
                      <w:sz w:val="21"/>
                      <w:szCs w:val="21"/>
                      <w:highlight w:val="none"/>
                      <w:vertAlign w:val="superscript"/>
                      <w:lang w:val="en-US" w:eastAsia="zh-CN"/>
                    </w:rPr>
                    <w:t>3</w:t>
                  </w:r>
                </w:p>
              </w:tc>
              <w:tc>
                <w:tcPr>
                  <w:tcW w:w="1049" w:type="dxa"/>
                  <w:noWrap w:val="0"/>
                  <w:vAlign w:val="center"/>
                </w:tcPr>
                <w:p w14:paraId="238914B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1.62</w:t>
                  </w:r>
                </w:p>
              </w:tc>
              <w:tc>
                <w:tcPr>
                  <w:tcW w:w="1202" w:type="dxa"/>
                  <w:noWrap w:val="0"/>
                  <w:vAlign w:val="center"/>
                </w:tcPr>
                <w:p w14:paraId="334563A0">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1000</w:t>
                  </w:r>
                </w:p>
              </w:tc>
            </w:tr>
            <w:tr w14:paraId="13F14A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6DF1147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硫酸盐</w:t>
                  </w:r>
                </w:p>
              </w:tc>
              <w:tc>
                <w:tcPr>
                  <w:tcW w:w="1601" w:type="dxa"/>
                  <w:noWrap w:val="0"/>
                  <w:vAlign w:val="center"/>
                </w:tcPr>
                <w:p w14:paraId="75949BA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154B2F3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951</w:t>
                  </w:r>
                </w:p>
              </w:tc>
              <w:tc>
                <w:tcPr>
                  <w:tcW w:w="1049" w:type="dxa"/>
                  <w:noWrap w:val="0"/>
                  <w:vAlign w:val="center"/>
                </w:tcPr>
                <w:p w14:paraId="4CBA767B">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3.80</w:t>
                  </w:r>
                </w:p>
              </w:tc>
              <w:tc>
                <w:tcPr>
                  <w:tcW w:w="1049" w:type="dxa"/>
                  <w:noWrap w:val="0"/>
                  <w:vAlign w:val="center"/>
                </w:tcPr>
                <w:p w14:paraId="775806A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352</w:t>
                  </w:r>
                </w:p>
              </w:tc>
              <w:tc>
                <w:tcPr>
                  <w:tcW w:w="1049" w:type="dxa"/>
                  <w:noWrap w:val="0"/>
                  <w:vAlign w:val="center"/>
                </w:tcPr>
                <w:p w14:paraId="78E00003">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1.41</w:t>
                  </w:r>
                </w:p>
              </w:tc>
              <w:tc>
                <w:tcPr>
                  <w:tcW w:w="1202" w:type="dxa"/>
                  <w:noWrap w:val="0"/>
                  <w:vAlign w:val="center"/>
                </w:tcPr>
                <w:p w14:paraId="33CA4504">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250</w:t>
                  </w:r>
                </w:p>
              </w:tc>
            </w:tr>
            <w:tr w14:paraId="4500E4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5022267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氯化物</w:t>
                  </w:r>
                </w:p>
              </w:tc>
              <w:tc>
                <w:tcPr>
                  <w:tcW w:w="1601" w:type="dxa"/>
                  <w:noWrap w:val="0"/>
                  <w:vAlign w:val="center"/>
                </w:tcPr>
                <w:p w14:paraId="0BF974D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7FEDE90F">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1.58x10</w:t>
                  </w:r>
                  <w:r>
                    <w:rPr>
                      <w:rFonts w:hint="eastAsia" w:ascii="Times New Roman" w:hAnsi="Times New Roman" w:cs="Times New Roman"/>
                      <w:color w:val="000000"/>
                      <w:sz w:val="21"/>
                      <w:szCs w:val="21"/>
                      <w:highlight w:val="none"/>
                      <w:vertAlign w:val="superscript"/>
                      <w:lang w:val="en-US" w:eastAsia="zh-CN"/>
                    </w:rPr>
                    <w:t>3</w:t>
                  </w:r>
                </w:p>
              </w:tc>
              <w:tc>
                <w:tcPr>
                  <w:tcW w:w="1049" w:type="dxa"/>
                  <w:noWrap w:val="0"/>
                  <w:vAlign w:val="center"/>
                </w:tcPr>
                <w:p w14:paraId="593CDD0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6.32</w:t>
                  </w:r>
                </w:p>
              </w:tc>
              <w:tc>
                <w:tcPr>
                  <w:tcW w:w="1049" w:type="dxa"/>
                  <w:noWrap w:val="0"/>
                  <w:vAlign w:val="center"/>
                </w:tcPr>
                <w:p w14:paraId="14ACC8AE">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504</w:t>
                  </w:r>
                </w:p>
              </w:tc>
              <w:tc>
                <w:tcPr>
                  <w:tcW w:w="1049" w:type="dxa"/>
                  <w:noWrap w:val="0"/>
                  <w:vAlign w:val="center"/>
                </w:tcPr>
                <w:p w14:paraId="1C3D770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2.02</w:t>
                  </w:r>
                </w:p>
              </w:tc>
              <w:tc>
                <w:tcPr>
                  <w:tcW w:w="1202" w:type="dxa"/>
                  <w:noWrap w:val="0"/>
                  <w:vAlign w:val="center"/>
                </w:tcPr>
                <w:p w14:paraId="31FFC552">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250</w:t>
                  </w:r>
                </w:p>
              </w:tc>
            </w:tr>
            <w:tr w14:paraId="576B36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768075A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氰化物</w:t>
                  </w:r>
                </w:p>
              </w:tc>
              <w:tc>
                <w:tcPr>
                  <w:tcW w:w="1601" w:type="dxa"/>
                  <w:noWrap w:val="0"/>
                  <w:vAlign w:val="center"/>
                </w:tcPr>
                <w:p w14:paraId="541A1B2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1327977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0.001L</w:t>
                  </w:r>
                </w:p>
              </w:tc>
              <w:tc>
                <w:tcPr>
                  <w:tcW w:w="1049" w:type="dxa"/>
                  <w:noWrap w:val="0"/>
                  <w:vAlign w:val="center"/>
                </w:tcPr>
                <w:p w14:paraId="3C3FB519">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703232C4">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0.001L</w:t>
                  </w:r>
                </w:p>
              </w:tc>
              <w:tc>
                <w:tcPr>
                  <w:tcW w:w="1049" w:type="dxa"/>
                  <w:noWrap w:val="0"/>
                  <w:vAlign w:val="center"/>
                </w:tcPr>
                <w:p w14:paraId="46CAC07C">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5CF064B3">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0.05</w:t>
                  </w:r>
                </w:p>
              </w:tc>
            </w:tr>
            <w:tr w14:paraId="406E0D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246A336C">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氟化物</w:t>
                  </w:r>
                </w:p>
              </w:tc>
              <w:tc>
                <w:tcPr>
                  <w:tcW w:w="1601" w:type="dxa"/>
                  <w:noWrap w:val="0"/>
                  <w:vAlign w:val="center"/>
                </w:tcPr>
                <w:p w14:paraId="48E9C11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5F52AA52">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1.58</w:t>
                  </w:r>
                </w:p>
              </w:tc>
              <w:tc>
                <w:tcPr>
                  <w:tcW w:w="1049" w:type="dxa"/>
                  <w:noWrap w:val="0"/>
                  <w:vAlign w:val="center"/>
                </w:tcPr>
                <w:p w14:paraId="09FCE328">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1.58</w:t>
                  </w:r>
                </w:p>
              </w:tc>
              <w:tc>
                <w:tcPr>
                  <w:tcW w:w="1049" w:type="dxa"/>
                  <w:noWrap w:val="0"/>
                  <w:vAlign w:val="center"/>
                </w:tcPr>
                <w:p w14:paraId="1E66976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3.87</w:t>
                  </w:r>
                </w:p>
              </w:tc>
              <w:tc>
                <w:tcPr>
                  <w:tcW w:w="1049" w:type="dxa"/>
                  <w:noWrap w:val="0"/>
                  <w:vAlign w:val="center"/>
                </w:tcPr>
                <w:p w14:paraId="0BC7DB8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3.87</w:t>
                  </w:r>
                </w:p>
              </w:tc>
              <w:tc>
                <w:tcPr>
                  <w:tcW w:w="1202" w:type="dxa"/>
                  <w:noWrap w:val="0"/>
                  <w:vAlign w:val="center"/>
                </w:tcPr>
                <w:p w14:paraId="1CCAE1F4">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1.0</w:t>
                  </w:r>
                </w:p>
              </w:tc>
            </w:tr>
            <w:tr w14:paraId="7B211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2C423A2D">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总硬度</w:t>
                  </w:r>
                </w:p>
              </w:tc>
              <w:tc>
                <w:tcPr>
                  <w:tcW w:w="1601" w:type="dxa"/>
                  <w:noWrap w:val="0"/>
                  <w:vAlign w:val="center"/>
                </w:tcPr>
                <w:p w14:paraId="4E3B2AF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3B26A214">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1288</w:t>
                  </w:r>
                </w:p>
              </w:tc>
              <w:tc>
                <w:tcPr>
                  <w:tcW w:w="1049" w:type="dxa"/>
                  <w:noWrap w:val="0"/>
                  <w:vAlign w:val="center"/>
                </w:tcPr>
                <w:p w14:paraId="61B9E75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2.86</w:t>
                  </w:r>
                </w:p>
              </w:tc>
              <w:tc>
                <w:tcPr>
                  <w:tcW w:w="1049" w:type="dxa"/>
                  <w:noWrap w:val="0"/>
                  <w:vAlign w:val="center"/>
                </w:tcPr>
                <w:p w14:paraId="25614C8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281</w:t>
                  </w:r>
                </w:p>
              </w:tc>
              <w:tc>
                <w:tcPr>
                  <w:tcW w:w="1049" w:type="dxa"/>
                  <w:noWrap w:val="0"/>
                  <w:vAlign w:val="center"/>
                </w:tcPr>
                <w:p w14:paraId="24BE2ECE">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0.62</w:t>
                  </w:r>
                </w:p>
              </w:tc>
              <w:tc>
                <w:tcPr>
                  <w:tcW w:w="1202" w:type="dxa"/>
                  <w:noWrap w:val="0"/>
                  <w:vAlign w:val="center"/>
                </w:tcPr>
                <w:p w14:paraId="0AA6FC4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450</w:t>
                  </w:r>
                </w:p>
              </w:tc>
            </w:tr>
            <w:tr w14:paraId="610D29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3527EEC9">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铁</w:t>
                  </w:r>
                </w:p>
              </w:tc>
              <w:tc>
                <w:tcPr>
                  <w:tcW w:w="1601" w:type="dxa"/>
                  <w:noWrap w:val="0"/>
                  <w:vAlign w:val="center"/>
                </w:tcPr>
                <w:p w14:paraId="1A2B6382">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6F39F18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5B7E8C6C">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4741784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7FD15512">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7238043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0.3</w:t>
                  </w:r>
                </w:p>
              </w:tc>
            </w:tr>
            <w:tr w14:paraId="7403E0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44014B4">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锰</w:t>
                  </w:r>
                </w:p>
              </w:tc>
              <w:tc>
                <w:tcPr>
                  <w:tcW w:w="1601" w:type="dxa"/>
                  <w:noWrap w:val="0"/>
                  <w:vAlign w:val="center"/>
                </w:tcPr>
                <w:p w14:paraId="259DD26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7878F75E">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1677872F">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494604B1">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38225008">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15000602">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0.1</w:t>
                  </w:r>
                </w:p>
              </w:tc>
            </w:tr>
            <w:tr w14:paraId="5A31C5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75EFC3D">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挥发性酚类</w:t>
                  </w:r>
                </w:p>
              </w:tc>
              <w:tc>
                <w:tcPr>
                  <w:tcW w:w="1601" w:type="dxa"/>
                  <w:noWrap w:val="0"/>
                  <w:vAlign w:val="center"/>
                </w:tcPr>
                <w:p w14:paraId="72FD786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14B08D07">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0.0003L</w:t>
                  </w:r>
                </w:p>
              </w:tc>
              <w:tc>
                <w:tcPr>
                  <w:tcW w:w="1049" w:type="dxa"/>
                  <w:noWrap w:val="0"/>
                  <w:vAlign w:val="center"/>
                </w:tcPr>
                <w:p w14:paraId="3753428C">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7EA2AE4D">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0.0003L</w:t>
                  </w:r>
                </w:p>
              </w:tc>
              <w:tc>
                <w:tcPr>
                  <w:tcW w:w="1049" w:type="dxa"/>
                  <w:noWrap w:val="0"/>
                  <w:vAlign w:val="center"/>
                </w:tcPr>
                <w:p w14:paraId="67462A78">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76DCF7D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0.002</w:t>
                  </w:r>
                </w:p>
              </w:tc>
            </w:tr>
            <w:tr w14:paraId="4A96D9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852EDA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汞</w:t>
                  </w:r>
                </w:p>
              </w:tc>
              <w:tc>
                <w:tcPr>
                  <w:tcW w:w="1601" w:type="dxa"/>
                  <w:noWrap w:val="0"/>
                  <w:vAlign w:val="center"/>
                </w:tcPr>
                <w:p w14:paraId="4223D6C9">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µg/L</w:t>
                  </w:r>
                </w:p>
              </w:tc>
              <w:tc>
                <w:tcPr>
                  <w:tcW w:w="1049" w:type="dxa"/>
                  <w:noWrap w:val="0"/>
                  <w:vAlign w:val="center"/>
                </w:tcPr>
                <w:p w14:paraId="3F7DEEC3">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0.00004L</w:t>
                  </w:r>
                </w:p>
              </w:tc>
              <w:tc>
                <w:tcPr>
                  <w:tcW w:w="1049" w:type="dxa"/>
                  <w:noWrap w:val="0"/>
                  <w:vAlign w:val="center"/>
                </w:tcPr>
                <w:p w14:paraId="7657E144">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13B290AA">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0.00004L</w:t>
                  </w:r>
                </w:p>
              </w:tc>
              <w:tc>
                <w:tcPr>
                  <w:tcW w:w="1049" w:type="dxa"/>
                  <w:noWrap w:val="0"/>
                  <w:vAlign w:val="center"/>
                </w:tcPr>
                <w:p w14:paraId="26395C0B">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68594F09">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0.001</w:t>
                  </w:r>
                </w:p>
              </w:tc>
            </w:tr>
            <w:tr w14:paraId="6CDC5C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6A482D8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砷</w:t>
                  </w:r>
                </w:p>
              </w:tc>
              <w:tc>
                <w:tcPr>
                  <w:tcW w:w="1601" w:type="dxa"/>
                  <w:noWrap w:val="0"/>
                  <w:vAlign w:val="center"/>
                </w:tcPr>
                <w:p w14:paraId="0E0168A7">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µg/L</w:t>
                  </w:r>
                </w:p>
              </w:tc>
              <w:tc>
                <w:tcPr>
                  <w:tcW w:w="1049" w:type="dxa"/>
                  <w:noWrap w:val="0"/>
                  <w:vAlign w:val="center"/>
                </w:tcPr>
                <w:p w14:paraId="2672078B">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0.0003L</w:t>
                  </w:r>
                </w:p>
              </w:tc>
              <w:tc>
                <w:tcPr>
                  <w:tcW w:w="1049" w:type="dxa"/>
                  <w:noWrap w:val="0"/>
                  <w:vAlign w:val="center"/>
                </w:tcPr>
                <w:p w14:paraId="4DB3B2A0">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7199746A">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0.0003L</w:t>
                  </w:r>
                </w:p>
              </w:tc>
              <w:tc>
                <w:tcPr>
                  <w:tcW w:w="1049" w:type="dxa"/>
                  <w:noWrap w:val="0"/>
                  <w:vAlign w:val="center"/>
                </w:tcPr>
                <w:p w14:paraId="5FD586B8">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4BEA3BA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w:t>
                  </w:r>
                </w:p>
              </w:tc>
            </w:tr>
            <w:tr w14:paraId="7F0BF7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0FF5C38A">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镉</w:t>
                  </w:r>
                </w:p>
              </w:tc>
              <w:tc>
                <w:tcPr>
                  <w:tcW w:w="1601" w:type="dxa"/>
                  <w:noWrap w:val="0"/>
                  <w:vAlign w:val="center"/>
                </w:tcPr>
                <w:p w14:paraId="0D0A0BCC">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µg/L</w:t>
                  </w:r>
                </w:p>
              </w:tc>
              <w:tc>
                <w:tcPr>
                  <w:tcW w:w="1049" w:type="dxa"/>
                  <w:noWrap w:val="0"/>
                  <w:vAlign w:val="center"/>
                </w:tcPr>
                <w:p w14:paraId="431EE30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0.000025L</w:t>
                  </w:r>
                </w:p>
              </w:tc>
              <w:tc>
                <w:tcPr>
                  <w:tcW w:w="1049" w:type="dxa"/>
                  <w:noWrap w:val="0"/>
                  <w:vAlign w:val="center"/>
                </w:tcPr>
                <w:p w14:paraId="1E8D61AF">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22B2373B">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0.000025L</w:t>
                  </w:r>
                </w:p>
              </w:tc>
              <w:tc>
                <w:tcPr>
                  <w:tcW w:w="1049" w:type="dxa"/>
                  <w:noWrap w:val="0"/>
                  <w:vAlign w:val="center"/>
                </w:tcPr>
                <w:p w14:paraId="51D4ECAC">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60CFF380">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w:t>
                  </w:r>
                  <w:r>
                    <w:rPr>
                      <w:rFonts w:ascii="Times New Roman" w:hAnsi="Times New Roman" w:cs="Times New Roman"/>
                      <w:color w:val="000000"/>
                      <w:sz w:val="21"/>
                      <w:szCs w:val="21"/>
                      <w:highlight w:val="none"/>
                    </w:rPr>
                    <w:t>5</w:t>
                  </w:r>
                </w:p>
              </w:tc>
            </w:tr>
            <w:tr w14:paraId="0AFF9A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13002E3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铅</w:t>
                  </w:r>
                </w:p>
              </w:tc>
              <w:tc>
                <w:tcPr>
                  <w:tcW w:w="1601" w:type="dxa"/>
                  <w:noWrap w:val="0"/>
                  <w:vAlign w:val="center"/>
                </w:tcPr>
                <w:p w14:paraId="67D6BC7E">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µg/L</w:t>
                  </w:r>
                </w:p>
              </w:tc>
              <w:tc>
                <w:tcPr>
                  <w:tcW w:w="1049" w:type="dxa"/>
                  <w:noWrap w:val="0"/>
                  <w:vAlign w:val="center"/>
                </w:tcPr>
                <w:p w14:paraId="67D4E9FD">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0.000025L</w:t>
                  </w:r>
                </w:p>
              </w:tc>
              <w:tc>
                <w:tcPr>
                  <w:tcW w:w="1049" w:type="dxa"/>
                  <w:noWrap w:val="0"/>
                  <w:vAlign w:val="center"/>
                </w:tcPr>
                <w:p w14:paraId="3D3A4AC5">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723E3E12">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0.000025L</w:t>
                  </w:r>
                </w:p>
              </w:tc>
              <w:tc>
                <w:tcPr>
                  <w:tcW w:w="1049" w:type="dxa"/>
                  <w:noWrap w:val="0"/>
                  <w:vAlign w:val="center"/>
                </w:tcPr>
                <w:p w14:paraId="6AE43F0A">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1918F21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w:t>
                  </w:r>
                </w:p>
              </w:tc>
            </w:tr>
            <w:tr w14:paraId="666CF0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73E9E59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六价铬</w:t>
                  </w:r>
                </w:p>
              </w:tc>
              <w:tc>
                <w:tcPr>
                  <w:tcW w:w="1601" w:type="dxa"/>
                  <w:noWrap w:val="0"/>
                  <w:vAlign w:val="center"/>
                </w:tcPr>
                <w:p w14:paraId="5D3BAD7D">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5BB8CB15">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0.004L</w:t>
                  </w:r>
                </w:p>
              </w:tc>
              <w:tc>
                <w:tcPr>
                  <w:tcW w:w="1049" w:type="dxa"/>
                  <w:noWrap w:val="0"/>
                  <w:vAlign w:val="center"/>
                </w:tcPr>
                <w:p w14:paraId="44EEFCC6">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2A7CBFCC">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0.004L</w:t>
                  </w:r>
                </w:p>
              </w:tc>
              <w:tc>
                <w:tcPr>
                  <w:tcW w:w="1049" w:type="dxa"/>
                  <w:noWrap w:val="0"/>
                  <w:vAlign w:val="center"/>
                </w:tcPr>
                <w:p w14:paraId="354A3A29">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2A31E5F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0.05</w:t>
                  </w:r>
                </w:p>
              </w:tc>
            </w:tr>
            <w:tr w14:paraId="58F5DE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678" w:type="dxa"/>
                  <w:noWrap w:val="0"/>
                  <w:vAlign w:val="center"/>
                </w:tcPr>
                <w:p w14:paraId="6874AB7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K</w:t>
                  </w:r>
                  <w:r>
                    <w:rPr>
                      <w:rFonts w:ascii="Times New Roman" w:hAnsi="Times New Roman" w:cs="Times New Roman"/>
                      <w:color w:val="000000"/>
                      <w:sz w:val="21"/>
                      <w:szCs w:val="21"/>
                      <w:highlight w:val="none"/>
                      <w:vertAlign w:val="superscript"/>
                    </w:rPr>
                    <w:t>+</w:t>
                  </w:r>
                </w:p>
              </w:tc>
              <w:tc>
                <w:tcPr>
                  <w:tcW w:w="1601" w:type="dxa"/>
                  <w:noWrap w:val="0"/>
                  <w:vAlign w:val="center"/>
                </w:tcPr>
                <w:p w14:paraId="089FA610">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0BD3BD08">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10.4</w:t>
                  </w:r>
                </w:p>
              </w:tc>
              <w:tc>
                <w:tcPr>
                  <w:tcW w:w="1049" w:type="dxa"/>
                  <w:noWrap w:val="0"/>
                  <w:vAlign w:val="center"/>
                </w:tcPr>
                <w:p w14:paraId="40BE65BA">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0E061B2F">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6.01</w:t>
                  </w:r>
                </w:p>
              </w:tc>
              <w:tc>
                <w:tcPr>
                  <w:tcW w:w="1049" w:type="dxa"/>
                  <w:noWrap w:val="0"/>
                  <w:vAlign w:val="center"/>
                </w:tcPr>
                <w:p w14:paraId="317D7771">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38BA13C1">
                  <w:pPr>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r>
            <w:tr w14:paraId="59A00A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678" w:type="dxa"/>
                  <w:noWrap w:val="0"/>
                  <w:vAlign w:val="center"/>
                </w:tcPr>
                <w:p w14:paraId="330D822A">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Na</w:t>
                  </w:r>
                  <w:r>
                    <w:rPr>
                      <w:rFonts w:ascii="Times New Roman" w:hAnsi="Times New Roman" w:cs="Times New Roman"/>
                      <w:color w:val="000000"/>
                      <w:sz w:val="21"/>
                      <w:szCs w:val="21"/>
                      <w:highlight w:val="none"/>
                      <w:vertAlign w:val="superscript"/>
                    </w:rPr>
                    <w:t>+</w:t>
                  </w:r>
                </w:p>
              </w:tc>
              <w:tc>
                <w:tcPr>
                  <w:tcW w:w="1601" w:type="dxa"/>
                  <w:noWrap w:val="0"/>
                  <w:vAlign w:val="center"/>
                </w:tcPr>
                <w:p w14:paraId="2570E3F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626204CF">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1.14x10</w:t>
                  </w:r>
                  <w:r>
                    <w:rPr>
                      <w:rFonts w:hint="eastAsia" w:ascii="Times New Roman" w:hAnsi="Times New Roman" w:cs="Times New Roman"/>
                      <w:color w:val="000000"/>
                      <w:sz w:val="21"/>
                      <w:szCs w:val="21"/>
                      <w:highlight w:val="none"/>
                      <w:vertAlign w:val="superscript"/>
                      <w:lang w:val="en-US" w:eastAsia="zh-CN"/>
                    </w:rPr>
                    <w:t>3</w:t>
                  </w:r>
                </w:p>
              </w:tc>
              <w:tc>
                <w:tcPr>
                  <w:tcW w:w="1049" w:type="dxa"/>
                  <w:noWrap w:val="0"/>
                  <w:vAlign w:val="center"/>
                </w:tcPr>
                <w:p w14:paraId="2832129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5.7</w:t>
                  </w:r>
                </w:p>
              </w:tc>
              <w:tc>
                <w:tcPr>
                  <w:tcW w:w="1049" w:type="dxa"/>
                  <w:noWrap w:val="0"/>
                  <w:vAlign w:val="center"/>
                </w:tcPr>
                <w:p w14:paraId="5513F6E5">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478</w:t>
                  </w:r>
                </w:p>
              </w:tc>
              <w:tc>
                <w:tcPr>
                  <w:tcW w:w="1049" w:type="dxa"/>
                  <w:noWrap w:val="0"/>
                  <w:vAlign w:val="center"/>
                </w:tcPr>
                <w:p w14:paraId="3B60293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2.39</w:t>
                  </w:r>
                </w:p>
              </w:tc>
              <w:tc>
                <w:tcPr>
                  <w:tcW w:w="1202" w:type="dxa"/>
                  <w:noWrap w:val="0"/>
                  <w:vAlign w:val="center"/>
                </w:tcPr>
                <w:p w14:paraId="09EC1BCB">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200</w:t>
                  </w:r>
                </w:p>
              </w:tc>
            </w:tr>
            <w:tr w14:paraId="2D1A35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1678" w:type="dxa"/>
                  <w:noWrap w:val="0"/>
                  <w:vAlign w:val="center"/>
                </w:tcPr>
                <w:p w14:paraId="6F2E4E13">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Ca</w:t>
                  </w:r>
                  <w:r>
                    <w:rPr>
                      <w:rFonts w:ascii="Times New Roman" w:hAnsi="Times New Roman" w:cs="Times New Roman"/>
                      <w:color w:val="000000"/>
                      <w:sz w:val="21"/>
                      <w:szCs w:val="21"/>
                      <w:highlight w:val="none"/>
                      <w:vertAlign w:val="superscript"/>
                    </w:rPr>
                    <w:t>2+</w:t>
                  </w:r>
                </w:p>
              </w:tc>
              <w:tc>
                <w:tcPr>
                  <w:tcW w:w="1601" w:type="dxa"/>
                  <w:noWrap w:val="0"/>
                  <w:vAlign w:val="center"/>
                </w:tcPr>
                <w:p w14:paraId="191FD0A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0B2EEAC9">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365</w:t>
                  </w:r>
                </w:p>
              </w:tc>
              <w:tc>
                <w:tcPr>
                  <w:tcW w:w="1049" w:type="dxa"/>
                  <w:noWrap w:val="0"/>
                  <w:vAlign w:val="center"/>
                </w:tcPr>
                <w:p w14:paraId="48FFEE8F">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68EDB3B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46.6</w:t>
                  </w:r>
                </w:p>
              </w:tc>
              <w:tc>
                <w:tcPr>
                  <w:tcW w:w="1049" w:type="dxa"/>
                  <w:noWrap w:val="0"/>
                  <w:vAlign w:val="center"/>
                </w:tcPr>
                <w:p w14:paraId="58BA335D">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78F9B8E7">
                  <w:pPr>
                    <w:adjustRightInd w:val="0"/>
                    <w:snapToGrid w:val="0"/>
                    <w:jc w:val="center"/>
                    <w:rPr>
                      <w:rFonts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r>
            <w:tr w14:paraId="508A32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678" w:type="dxa"/>
                  <w:noWrap w:val="0"/>
                  <w:vAlign w:val="center"/>
                </w:tcPr>
                <w:p w14:paraId="2D98E07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w:t>
                  </w:r>
                  <w:r>
                    <w:rPr>
                      <w:rFonts w:ascii="Times New Roman" w:hAnsi="Times New Roman" w:cs="Times New Roman"/>
                      <w:color w:val="000000"/>
                      <w:sz w:val="21"/>
                      <w:szCs w:val="21"/>
                      <w:highlight w:val="none"/>
                      <w:vertAlign w:val="superscript"/>
                    </w:rPr>
                    <w:t>2+</w:t>
                  </w:r>
                </w:p>
              </w:tc>
              <w:tc>
                <w:tcPr>
                  <w:tcW w:w="1601" w:type="dxa"/>
                  <w:noWrap w:val="0"/>
                  <w:vAlign w:val="center"/>
                </w:tcPr>
                <w:p w14:paraId="25F05D8C">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049C3921">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152</w:t>
                  </w:r>
                </w:p>
              </w:tc>
              <w:tc>
                <w:tcPr>
                  <w:tcW w:w="1049" w:type="dxa"/>
                  <w:noWrap w:val="0"/>
                  <w:vAlign w:val="center"/>
                </w:tcPr>
                <w:p w14:paraId="4870877B">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711FB02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33.6</w:t>
                  </w:r>
                </w:p>
              </w:tc>
              <w:tc>
                <w:tcPr>
                  <w:tcW w:w="1049" w:type="dxa"/>
                  <w:noWrap w:val="0"/>
                  <w:vAlign w:val="center"/>
                </w:tcPr>
                <w:p w14:paraId="2DA15724">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2A35191B">
                  <w:pPr>
                    <w:adjustRightInd w:val="0"/>
                    <w:snapToGrid w:val="0"/>
                    <w:jc w:val="center"/>
                    <w:rPr>
                      <w:rFonts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r>
            <w:tr w14:paraId="129BEE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678" w:type="dxa"/>
                  <w:noWrap w:val="0"/>
                  <w:vAlign w:val="center"/>
                </w:tcPr>
                <w:p w14:paraId="78BDE982">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CO</w:t>
                  </w:r>
                  <w:r>
                    <w:rPr>
                      <w:rFonts w:ascii="Times New Roman" w:hAnsi="Times New Roman" w:cs="Times New Roman"/>
                      <w:color w:val="000000"/>
                      <w:sz w:val="21"/>
                      <w:szCs w:val="21"/>
                      <w:highlight w:val="none"/>
                      <w:vertAlign w:val="subscript"/>
                    </w:rPr>
                    <w:t>3</w:t>
                  </w:r>
                  <w:r>
                    <w:rPr>
                      <w:rFonts w:ascii="Times New Roman" w:hAnsi="Times New Roman" w:cs="Times New Roman"/>
                      <w:color w:val="000000"/>
                      <w:sz w:val="21"/>
                      <w:szCs w:val="21"/>
                      <w:highlight w:val="none"/>
                      <w:vertAlign w:val="superscript"/>
                    </w:rPr>
                    <w:t>2-</w:t>
                  </w:r>
                </w:p>
              </w:tc>
              <w:tc>
                <w:tcPr>
                  <w:tcW w:w="1601" w:type="dxa"/>
                  <w:noWrap w:val="0"/>
                  <w:vAlign w:val="center"/>
                </w:tcPr>
                <w:p w14:paraId="7DE11A2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402AE404">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w:t>
                  </w:r>
                </w:p>
              </w:tc>
              <w:tc>
                <w:tcPr>
                  <w:tcW w:w="1049" w:type="dxa"/>
                  <w:noWrap w:val="0"/>
                  <w:vAlign w:val="center"/>
                </w:tcPr>
                <w:p w14:paraId="59020BF0">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324E37C9">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0.00</w:t>
                  </w:r>
                </w:p>
              </w:tc>
              <w:tc>
                <w:tcPr>
                  <w:tcW w:w="1049" w:type="dxa"/>
                  <w:noWrap w:val="0"/>
                  <w:vAlign w:val="center"/>
                </w:tcPr>
                <w:p w14:paraId="1AC24619">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7A29FF90">
                  <w:pPr>
                    <w:adjustRightInd w:val="0"/>
                    <w:snapToGrid w:val="0"/>
                    <w:jc w:val="center"/>
                    <w:rPr>
                      <w:rFonts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r>
            <w:tr w14:paraId="17F6E1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678" w:type="dxa"/>
                  <w:noWrap w:val="0"/>
                  <w:vAlign w:val="center"/>
                </w:tcPr>
                <w:p w14:paraId="201517B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HCO</w:t>
                  </w:r>
                  <w:r>
                    <w:rPr>
                      <w:rFonts w:ascii="Times New Roman" w:hAnsi="Times New Roman" w:cs="Times New Roman"/>
                      <w:color w:val="000000"/>
                      <w:sz w:val="21"/>
                      <w:szCs w:val="21"/>
                      <w:highlight w:val="none"/>
                      <w:vertAlign w:val="subscript"/>
                    </w:rPr>
                    <w:t>3</w:t>
                  </w:r>
                  <w:r>
                    <w:rPr>
                      <w:rFonts w:ascii="Times New Roman" w:hAnsi="Times New Roman" w:cs="Times New Roman"/>
                      <w:color w:val="000000"/>
                      <w:sz w:val="21"/>
                      <w:szCs w:val="21"/>
                      <w:highlight w:val="none"/>
                      <w:vertAlign w:val="superscript"/>
                    </w:rPr>
                    <w:t>-</w:t>
                  </w:r>
                </w:p>
              </w:tc>
              <w:tc>
                <w:tcPr>
                  <w:tcW w:w="1601" w:type="dxa"/>
                  <w:noWrap w:val="0"/>
                  <w:vAlign w:val="center"/>
                </w:tcPr>
                <w:p w14:paraId="2217D0DD">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6FDA4527">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210</w:t>
                  </w:r>
                </w:p>
              </w:tc>
              <w:tc>
                <w:tcPr>
                  <w:tcW w:w="1049" w:type="dxa"/>
                  <w:noWrap w:val="0"/>
                  <w:vAlign w:val="center"/>
                </w:tcPr>
                <w:p w14:paraId="4E795063">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46647CBD">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196</w:t>
                  </w:r>
                </w:p>
              </w:tc>
              <w:tc>
                <w:tcPr>
                  <w:tcW w:w="1049" w:type="dxa"/>
                  <w:noWrap w:val="0"/>
                  <w:vAlign w:val="center"/>
                </w:tcPr>
                <w:p w14:paraId="37F2720C">
                  <w:pPr>
                    <w:adjustRightInd w:val="0"/>
                    <w:snapToGrid w:val="0"/>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2CFDBEA9">
                  <w:pPr>
                    <w:adjustRightInd w:val="0"/>
                    <w:snapToGrid w:val="0"/>
                    <w:jc w:val="center"/>
                    <w:rPr>
                      <w:rFonts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w:t>
                  </w:r>
                </w:p>
              </w:tc>
            </w:tr>
            <w:tr w14:paraId="7A1E1E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2D7AD3F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耗氧量</w:t>
                  </w:r>
                </w:p>
              </w:tc>
              <w:tc>
                <w:tcPr>
                  <w:tcW w:w="1601" w:type="dxa"/>
                  <w:noWrap w:val="0"/>
                  <w:vAlign w:val="center"/>
                </w:tcPr>
                <w:p w14:paraId="1490FBA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5E5F64D8">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1.49</w:t>
                  </w:r>
                </w:p>
              </w:tc>
              <w:tc>
                <w:tcPr>
                  <w:tcW w:w="1049" w:type="dxa"/>
                  <w:noWrap w:val="0"/>
                  <w:vAlign w:val="center"/>
                </w:tcPr>
                <w:p w14:paraId="5C1D6BF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0.50</w:t>
                  </w:r>
                </w:p>
              </w:tc>
              <w:tc>
                <w:tcPr>
                  <w:tcW w:w="1049" w:type="dxa"/>
                  <w:noWrap w:val="0"/>
                  <w:vAlign w:val="center"/>
                </w:tcPr>
                <w:p w14:paraId="1EA80671">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1.74</w:t>
                  </w:r>
                </w:p>
              </w:tc>
              <w:tc>
                <w:tcPr>
                  <w:tcW w:w="1049" w:type="dxa"/>
                  <w:noWrap w:val="0"/>
                  <w:vAlign w:val="center"/>
                </w:tcPr>
                <w:p w14:paraId="5EA56A4A">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0.58</w:t>
                  </w:r>
                </w:p>
              </w:tc>
              <w:tc>
                <w:tcPr>
                  <w:tcW w:w="1202" w:type="dxa"/>
                  <w:noWrap w:val="0"/>
                  <w:vAlign w:val="center"/>
                </w:tcPr>
                <w:p w14:paraId="3DCDC2E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3.0</w:t>
                  </w:r>
                </w:p>
              </w:tc>
            </w:tr>
            <w:tr w14:paraId="138C8B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216B7A39">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氨氮</w:t>
                  </w:r>
                </w:p>
              </w:tc>
              <w:tc>
                <w:tcPr>
                  <w:tcW w:w="1601" w:type="dxa"/>
                  <w:noWrap w:val="0"/>
                  <w:vAlign w:val="center"/>
                </w:tcPr>
                <w:p w14:paraId="27F28E5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74FCC87C">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0.129</w:t>
                  </w:r>
                </w:p>
              </w:tc>
              <w:tc>
                <w:tcPr>
                  <w:tcW w:w="1049" w:type="dxa"/>
                  <w:noWrap w:val="0"/>
                  <w:vAlign w:val="center"/>
                </w:tcPr>
                <w:p w14:paraId="5625FEB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0.04</w:t>
                  </w:r>
                </w:p>
              </w:tc>
              <w:tc>
                <w:tcPr>
                  <w:tcW w:w="1049" w:type="dxa"/>
                  <w:noWrap w:val="0"/>
                  <w:vAlign w:val="center"/>
                </w:tcPr>
                <w:p w14:paraId="1B5A6E86">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0.109</w:t>
                  </w:r>
                </w:p>
              </w:tc>
              <w:tc>
                <w:tcPr>
                  <w:tcW w:w="1049" w:type="dxa"/>
                  <w:noWrap w:val="0"/>
                  <w:vAlign w:val="center"/>
                </w:tcPr>
                <w:p w14:paraId="358BE758">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0.04</w:t>
                  </w:r>
                </w:p>
              </w:tc>
              <w:tc>
                <w:tcPr>
                  <w:tcW w:w="1202" w:type="dxa"/>
                  <w:noWrap w:val="0"/>
                  <w:vAlign w:val="center"/>
                </w:tcPr>
                <w:p w14:paraId="3F72A5B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0.5</w:t>
                  </w:r>
                </w:p>
              </w:tc>
            </w:tr>
            <w:tr w14:paraId="0E1C53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48B2E99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亚硝酸盐氮</w:t>
                  </w:r>
                </w:p>
              </w:tc>
              <w:tc>
                <w:tcPr>
                  <w:tcW w:w="1601" w:type="dxa"/>
                  <w:noWrap w:val="0"/>
                  <w:vAlign w:val="center"/>
                </w:tcPr>
                <w:p w14:paraId="0E6BAC61">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0467240F">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0.016L</w:t>
                  </w:r>
                </w:p>
              </w:tc>
              <w:tc>
                <w:tcPr>
                  <w:tcW w:w="1049" w:type="dxa"/>
                  <w:noWrap w:val="0"/>
                  <w:vAlign w:val="center"/>
                </w:tcPr>
                <w:p w14:paraId="5BCFC206">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42EF1AEF">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0.016L</w:t>
                  </w:r>
                </w:p>
              </w:tc>
              <w:tc>
                <w:tcPr>
                  <w:tcW w:w="1049" w:type="dxa"/>
                  <w:noWrap w:val="0"/>
                  <w:vAlign w:val="center"/>
                </w:tcPr>
                <w:p w14:paraId="05986EF6">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6FE3474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1.0</w:t>
                  </w:r>
                </w:p>
              </w:tc>
            </w:tr>
            <w:tr w14:paraId="1820E2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678" w:type="dxa"/>
                  <w:noWrap w:val="0"/>
                  <w:vAlign w:val="center"/>
                </w:tcPr>
                <w:p w14:paraId="70394D50">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硝酸盐氮</w:t>
                  </w:r>
                </w:p>
              </w:tc>
              <w:tc>
                <w:tcPr>
                  <w:tcW w:w="1601" w:type="dxa"/>
                  <w:noWrap w:val="0"/>
                  <w:vAlign w:val="center"/>
                </w:tcPr>
                <w:p w14:paraId="2D2CE7D9">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1D674913">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1.99</w:t>
                  </w:r>
                </w:p>
              </w:tc>
              <w:tc>
                <w:tcPr>
                  <w:tcW w:w="1049" w:type="dxa"/>
                  <w:noWrap w:val="0"/>
                  <w:vAlign w:val="center"/>
                </w:tcPr>
                <w:p w14:paraId="587DC1D1">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0.10</w:t>
                  </w:r>
                </w:p>
              </w:tc>
              <w:tc>
                <w:tcPr>
                  <w:tcW w:w="1049" w:type="dxa"/>
                  <w:noWrap w:val="0"/>
                  <w:vAlign w:val="center"/>
                </w:tcPr>
                <w:p w14:paraId="6F90A235">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11.8</w:t>
                  </w:r>
                </w:p>
              </w:tc>
              <w:tc>
                <w:tcPr>
                  <w:tcW w:w="1049" w:type="dxa"/>
                  <w:noWrap w:val="0"/>
                  <w:vAlign w:val="center"/>
                </w:tcPr>
                <w:p w14:paraId="48C8EAA9">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0.59</w:t>
                  </w:r>
                </w:p>
              </w:tc>
              <w:tc>
                <w:tcPr>
                  <w:tcW w:w="1202" w:type="dxa"/>
                  <w:noWrap w:val="0"/>
                  <w:vAlign w:val="center"/>
                </w:tcPr>
                <w:p w14:paraId="257E2ADB">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20</w:t>
                  </w:r>
                </w:p>
              </w:tc>
            </w:tr>
            <w:tr w14:paraId="07AE3D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1678" w:type="dxa"/>
                  <w:noWrap w:val="0"/>
                  <w:vAlign w:val="center"/>
                </w:tcPr>
                <w:p w14:paraId="68A3F62A">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总大肠菌群</w:t>
                  </w:r>
                </w:p>
              </w:tc>
              <w:tc>
                <w:tcPr>
                  <w:tcW w:w="1601" w:type="dxa"/>
                  <w:noWrap w:val="0"/>
                  <w:vAlign w:val="center"/>
                </w:tcPr>
                <w:p w14:paraId="25D60785">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MPN</w:t>
                  </w:r>
                  <w:r>
                    <w:rPr>
                      <w:rFonts w:ascii="Times New Roman" w:hAnsi="Times New Roman" w:cs="Times New Roman"/>
                      <w:color w:val="000000"/>
                      <w:sz w:val="21"/>
                      <w:szCs w:val="21"/>
                      <w:highlight w:val="none"/>
                      <w:vertAlign w:val="superscript"/>
                    </w:rPr>
                    <w:t>b</w:t>
                  </w:r>
                  <w:r>
                    <w:rPr>
                      <w:rFonts w:ascii="Times New Roman" w:hAnsi="Times New Roman" w:cs="Times New Roman"/>
                      <w:color w:val="000000"/>
                      <w:sz w:val="21"/>
                      <w:szCs w:val="21"/>
                      <w:highlight w:val="none"/>
                    </w:rPr>
                    <w:t>/100mL</w:t>
                  </w:r>
                </w:p>
              </w:tc>
              <w:tc>
                <w:tcPr>
                  <w:tcW w:w="1049" w:type="dxa"/>
                  <w:noWrap w:val="0"/>
                  <w:vAlign w:val="center"/>
                </w:tcPr>
                <w:p w14:paraId="323D1540">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1049" w:type="dxa"/>
                  <w:noWrap w:val="0"/>
                  <w:vAlign w:val="center"/>
                </w:tcPr>
                <w:p w14:paraId="12D7890B">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5B51D334">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0954D697">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1D765756">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3</w:t>
                  </w:r>
                </w:p>
              </w:tc>
            </w:tr>
            <w:tr w14:paraId="64EB66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678" w:type="dxa"/>
                  <w:noWrap w:val="0"/>
                  <w:vAlign w:val="center"/>
                </w:tcPr>
                <w:p w14:paraId="1F34472F">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细菌总数</w:t>
                  </w:r>
                </w:p>
              </w:tc>
              <w:tc>
                <w:tcPr>
                  <w:tcW w:w="1601" w:type="dxa"/>
                  <w:noWrap w:val="0"/>
                  <w:vAlign w:val="center"/>
                </w:tcPr>
                <w:p w14:paraId="5993362C">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CFU/mL</w:t>
                  </w:r>
                </w:p>
              </w:tc>
              <w:tc>
                <w:tcPr>
                  <w:tcW w:w="1049" w:type="dxa"/>
                  <w:noWrap w:val="0"/>
                  <w:vAlign w:val="center"/>
                </w:tcPr>
                <w:p w14:paraId="48690977">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64</w:t>
                  </w:r>
                </w:p>
              </w:tc>
              <w:tc>
                <w:tcPr>
                  <w:tcW w:w="1049" w:type="dxa"/>
                  <w:noWrap w:val="0"/>
                  <w:vAlign w:val="center"/>
                </w:tcPr>
                <w:p w14:paraId="5A4C7D68">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0.64</w:t>
                  </w:r>
                </w:p>
              </w:tc>
              <w:tc>
                <w:tcPr>
                  <w:tcW w:w="1049" w:type="dxa"/>
                  <w:noWrap w:val="0"/>
                  <w:vAlign w:val="center"/>
                </w:tcPr>
                <w:p w14:paraId="778DE1B4">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13044E75">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4F3A8948">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100</w:t>
                  </w:r>
                </w:p>
              </w:tc>
            </w:tr>
            <w:tr w14:paraId="63226A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678" w:type="dxa"/>
                  <w:noWrap w:val="0"/>
                  <w:vAlign w:val="center"/>
                </w:tcPr>
                <w:p w14:paraId="7D97E9E9">
                  <w:pPr>
                    <w:adjustRightInd w:val="0"/>
                    <w:snapToGrid w:val="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cs="Times New Roman"/>
                      <w:color w:val="000000"/>
                      <w:sz w:val="21"/>
                      <w:szCs w:val="21"/>
                      <w:highlight w:val="none"/>
                      <w:lang w:eastAsia="zh-CN"/>
                    </w:rPr>
                    <w:t>石油类</w:t>
                  </w:r>
                </w:p>
              </w:tc>
              <w:tc>
                <w:tcPr>
                  <w:tcW w:w="1601" w:type="dxa"/>
                  <w:noWrap w:val="0"/>
                  <w:vAlign w:val="center"/>
                </w:tcPr>
                <w:p w14:paraId="32CBAA90">
                  <w:pPr>
                    <w:adjustRightInd w:val="0"/>
                    <w:snapToGrid w:val="0"/>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mg/L</w:t>
                  </w:r>
                </w:p>
              </w:tc>
              <w:tc>
                <w:tcPr>
                  <w:tcW w:w="1049" w:type="dxa"/>
                  <w:noWrap w:val="0"/>
                  <w:vAlign w:val="center"/>
                </w:tcPr>
                <w:p w14:paraId="7CB9CA25">
                  <w:pPr>
                    <w:adjustRightInd w:val="0"/>
                    <w:snapToGrid w:val="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59E5BF20">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049" w:type="dxa"/>
                  <w:noWrap w:val="0"/>
                  <w:vAlign w:val="center"/>
                </w:tcPr>
                <w:p w14:paraId="2E021897">
                  <w:pPr>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0.01L</w:t>
                  </w:r>
                </w:p>
              </w:tc>
              <w:tc>
                <w:tcPr>
                  <w:tcW w:w="1049" w:type="dxa"/>
                  <w:noWrap w:val="0"/>
                  <w:vAlign w:val="center"/>
                </w:tcPr>
                <w:p w14:paraId="3B5432BF">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202" w:type="dxa"/>
                  <w:noWrap w:val="0"/>
                  <w:vAlign w:val="center"/>
                </w:tcPr>
                <w:p w14:paraId="7B44BC28">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r>
          </w:tbl>
          <w:p w14:paraId="646FB309">
            <w:pPr>
              <w:spacing w:line="360" w:lineRule="auto"/>
              <w:ind w:firstLine="480" w:firstLineChars="200"/>
              <w:rPr>
                <w:rFonts w:hint="eastAsia"/>
                <w:color w:val="000000"/>
                <w:sz w:val="24"/>
                <w:szCs w:val="24"/>
                <w:highlight w:val="none"/>
              </w:rPr>
            </w:pPr>
            <w:r>
              <w:rPr>
                <w:rFonts w:hint="eastAsia" w:ascii="Times New Roman" w:hAnsi="Times New Roman" w:cs="Times New Roman"/>
                <w:color w:val="000000"/>
                <w:sz w:val="24"/>
                <w:szCs w:val="24"/>
                <w:highlight w:val="none"/>
                <w:lang w:val="en-US" w:eastAsia="zh-CN"/>
              </w:rPr>
              <w:t>结合评价区现状监测数据及</w:t>
            </w:r>
            <w:r>
              <w:rPr>
                <w:rFonts w:hint="eastAsia" w:ascii="Times New Roman" w:hAnsi="Times New Roman" w:cs="Times New Roman"/>
                <w:color w:val="000000"/>
                <w:sz w:val="24"/>
                <w:szCs w:val="24"/>
                <w:highlight w:val="none"/>
                <w:lang w:eastAsia="zh-CN"/>
              </w:rPr>
              <w:t>鄂尔多斯市鄂托克旗地下水环境状况初步调查评估项目地下水检测情况可知，海胜锌业N-1、双欣化学N-4监测点溶解性总固体、氯化物、硫酸盐、钠、氟超标，海胜锌业N-1监测点总硬度超标。钠离子超标是由于地下水的矿化度较高。溶解性总固体、氯化物、硫酸盐、总硬度、氟超标原因为区内天然水文地质条件所致。除此之外，其它监测点其它监测因子皆满足《地下水质量标准》(GB/T14848-2017)中Ⅲ类标准</w:t>
            </w:r>
            <w:r>
              <w:rPr>
                <w:rFonts w:ascii="Times New Roman" w:hAnsi="Times New Roman" w:cs="Times New Roman"/>
                <w:color w:val="000000"/>
                <w:sz w:val="24"/>
                <w:szCs w:val="24"/>
                <w:highlight w:val="none"/>
              </w:rPr>
              <w:t>。</w:t>
            </w:r>
          </w:p>
          <w:p w14:paraId="64041745">
            <w:pPr>
              <w:spacing w:line="360" w:lineRule="auto"/>
              <w:ind w:firstLine="480"/>
              <w:rPr>
                <w:rFonts w:hint="default" w:eastAsia="宋体"/>
                <w:color w:val="000000"/>
                <w:sz w:val="24"/>
                <w:szCs w:val="24"/>
                <w:highlight w:val="none"/>
                <w:lang w:val="en-US" w:eastAsia="zh-CN"/>
              </w:rPr>
            </w:pPr>
            <w:r>
              <w:rPr>
                <w:rFonts w:hint="eastAsia"/>
                <w:b/>
                <w:bCs/>
                <w:color w:val="000000"/>
                <w:sz w:val="24"/>
                <w:szCs w:val="24"/>
                <w:highlight w:val="none"/>
                <w:lang w:val="en-US" w:eastAsia="zh-CN"/>
              </w:rPr>
              <w:t>3、土壤质量现状</w:t>
            </w:r>
          </w:p>
          <w:p w14:paraId="7AD19E8D">
            <w:pPr>
              <w:spacing w:line="360" w:lineRule="auto"/>
              <w:ind w:firstLine="480"/>
              <w:rPr>
                <w:rFonts w:hint="eastAsia"/>
                <w:color w:val="000000"/>
                <w:sz w:val="24"/>
                <w:szCs w:val="24"/>
                <w:highlight w:val="none"/>
                <w:lang w:val="en-US" w:eastAsia="zh-CN"/>
              </w:rPr>
            </w:pPr>
            <w:r>
              <w:rPr>
                <w:rFonts w:hint="eastAsia"/>
                <w:color w:val="000000"/>
                <w:sz w:val="24"/>
                <w:szCs w:val="24"/>
                <w:highlight w:val="none"/>
                <w:lang w:val="en-US" w:eastAsia="zh-CN"/>
              </w:rPr>
              <w:t>本次评价引用现有项目“内蒙古星光煤炭集团鄂托克旗华誉煤焦化有限公司年产100万吨焦化熄焦技改干熄焦项目环境影响报告书”中的土壤监测数据。</w:t>
            </w:r>
          </w:p>
          <w:p w14:paraId="1A0E90FC">
            <w:pPr>
              <w:spacing w:line="360" w:lineRule="auto"/>
              <w:ind w:firstLine="480"/>
              <w:rPr>
                <w:rFonts w:hint="eastAsia" w:eastAsia="宋体"/>
                <w:color w:val="000000"/>
                <w:sz w:val="24"/>
                <w:szCs w:val="24"/>
                <w:highlight w:val="none"/>
                <w:lang w:val="en-US" w:eastAsia="zh-CN"/>
              </w:rPr>
            </w:pPr>
            <w:r>
              <w:rPr>
                <w:color w:val="000000"/>
                <w:sz w:val="24"/>
                <w:szCs w:val="24"/>
                <w:highlight w:val="none"/>
              </w:rPr>
              <w:t>（1）监测点</w:t>
            </w:r>
            <w:r>
              <w:rPr>
                <w:rFonts w:hint="eastAsia"/>
                <w:color w:val="000000"/>
                <w:sz w:val="24"/>
                <w:szCs w:val="24"/>
                <w:highlight w:val="none"/>
                <w:lang w:val="en-US" w:eastAsia="zh-CN"/>
              </w:rPr>
              <w:t>位</w:t>
            </w:r>
          </w:p>
          <w:p w14:paraId="50A0A6E8">
            <w:pPr>
              <w:ind w:firstLine="720" w:firstLineChars="300"/>
              <w:rPr>
                <w:rFonts w:hint="default" w:eastAsia="宋体"/>
                <w:color w:val="000000"/>
                <w:sz w:val="24"/>
                <w:szCs w:val="24"/>
                <w:highlight w:val="none"/>
                <w:lang w:val="en-US" w:eastAsia="zh-CN"/>
              </w:rPr>
            </w:pPr>
            <w:r>
              <w:rPr>
                <w:rFonts w:hint="eastAsia"/>
                <w:color w:val="000000"/>
                <w:sz w:val="24"/>
                <w:szCs w:val="24"/>
                <w:highlight w:val="none"/>
                <w:lang w:val="en-US" w:eastAsia="zh-CN"/>
              </w:rPr>
              <w:t>除盐水站处</w:t>
            </w:r>
          </w:p>
          <w:p w14:paraId="4097C630">
            <w:pPr>
              <w:spacing w:line="360" w:lineRule="auto"/>
              <w:ind w:firstLine="480"/>
              <w:rPr>
                <w:color w:val="000000"/>
                <w:sz w:val="24"/>
                <w:szCs w:val="24"/>
                <w:highlight w:val="none"/>
              </w:rPr>
            </w:pPr>
            <w:r>
              <w:rPr>
                <w:color w:val="000000"/>
                <w:sz w:val="24"/>
                <w:szCs w:val="24"/>
                <w:highlight w:val="none"/>
              </w:rPr>
              <w:t>（2）监测因子</w:t>
            </w:r>
          </w:p>
          <w:p w14:paraId="10D874CE">
            <w:pPr>
              <w:spacing w:line="360" w:lineRule="auto"/>
              <w:ind w:firstLine="480" w:firstLineChars="200"/>
              <w:rPr>
                <w:rFonts w:hint="eastAsia" w:eastAsia="宋体"/>
                <w:color w:val="000000"/>
                <w:sz w:val="24"/>
                <w:szCs w:val="24"/>
                <w:highlight w:val="none"/>
                <w:lang w:eastAsia="zh-CN"/>
              </w:rPr>
            </w:pPr>
            <w:r>
              <w:rPr>
                <w:bCs/>
                <w:color w:val="000000"/>
                <w:sz w:val="24"/>
                <w:szCs w:val="24"/>
                <w:highlight w:val="none"/>
              </w:rPr>
              <w:t>砷、镉、铬（六价）、铜、铅、汞、镍</w:t>
            </w:r>
            <w:r>
              <w:rPr>
                <w:rFonts w:hint="eastAsia"/>
                <w:bCs/>
                <w:color w:val="000000"/>
                <w:sz w:val="24"/>
                <w:szCs w:val="24"/>
                <w:highlight w:val="none"/>
              </w:rPr>
              <w:t>、</w:t>
            </w:r>
            <w:r>
              <w:rPr>
                <w:bCs/>
                <w:color w:val="000000"/>
                <w:sz w:val="24"/>
                <w:szCs w:val="24"/>
                <w:highlight w:val="none"/>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bCs/>
                <w:color w:val="000000"/>
                <w:sz w:val="24"/>
                <w:szCs w:val="24"/>
                <w:highlight w:val="none"/>
                <w:lang w:eastAsia="zh-CN"/>
              </w:rPr>
              <w:t>、</w:t>
            </w:r>
            <w:r>
              <w:rPr>
                <w:rFonts w:hint="eastAsia"/>
                <w:color w:val="000000"/>
                <w:sz w:val="24"/>
                <w:szCs w:val="24"/>
                <w:highlight w:val="none"/>
              </w:rPr>
              <w:t>酚类化合物、氰化物</w:t>
            </w:r>
            <w:r>
              <w:rPr>
                <w:rFonts w:hint="eastAsia"/>
                <w:color w:val="000000"/>
                <w:sz w:val="24"/>
                <w:szCs w:val="24"/>
                <w:highlight w:val="none"/>
                <w:lang w:eastAsia="zh-CN"/>
              </w:rPr>
              <w:t>。</w:t>
            </w:r>
          </w:p>
          <w:p w14:paraId="5381CA31">
            <w:pPr>
              <w:spacing w:line="360" w:lineRule="auto"/>
              <w:ind w:firstLine="480" w:firstLineChars="200"/>
              <w:rPr>
                <w:color w:val="000000"/>
                <w:sz w:val="24"/>
                <w:szCs w:val="24"/>
                <w:highlight w:val="none"/>
              </w:rPr>
            </w:pPr>
            <w:r>
              <w:rPr>
                <w:color w:val="000000"/>
                <w:sz w:val="24"/>
                <w:szCs w:val="24"/>
                <w:highlight w:val="none"/>
              </w:rPr>
              <w:t>（3）监测时间</w:t>
            </w:r>
            <w:r>
              <w:rPr>
                <w:rFonts w:hint="eastAsia"/>
                <w:color w:val="000000"/>
                <w:sz w:val="24"/>
                <w:szCs w:val="24"/>
                <w:highlight w:val="none"/>
              </w:rPr>
              <w:t>及</w:t>
            </w:r>
            <w:r>
              <w:rPr>
                <w:color w:val="000000"/>
                <w:sz w:val="24"/>
                <w:szCs w:val="24"/>
                <w:highlight w:val="none"/>
              </w:rPr>
              <w:t>监测单位</w:t>
            </w:r>
          </w:p>
          <w:p w14:paraId="58DF9B9F">
            <w:pPr>
              <w:ind w:firstLine="480" w:firstLineChars="200"/>
              <w:rPr>
                <w:color w:val="000000"/>
                <w:sz w:val="24"/>
                <w:szCs w:val="24"/>
                <w:highlight w:val="none"/>
              </w:rPr>
            </w:pPr>
            <w:r>
              <w:rPr>
                <w:color w:val="000000"/>
                <w:sz w:val="24"/>
                <w:szCs w:val="24"/>
                <w:highlight w:val="none"/>
              </w:rPr>
              <w:t>202</w:t>
            </w:r>
            <w:r>
              <w:rPr>
                <w:rFonts w:hint="eastAsia"/>
                <w:color w:val="000000"/>
                <w:sz w:val="24"/>
                <w:szCs w:val="24"/>
                <w:highlight w:val="none"/>
              </w:rPr>
              <w:t>2</w:t>
            </w:r>
            <w:r>
              <w:rPr>
                <w:color w:val="000000"/>
                <w:sz w:val="24"/>
                <w:szCs w:val="24"/>
                <w:highlight w:val="none"/>
              </w:rPr>
              <w:t>年</w:t>
            </w:r>
            <w:r>
              <w:rPr>
                <w:rFonts w:hint="eastAsia"/>
                <w:color w:val="000000"/>
                <w:sz w:val="24"/>
                <w:szCs w:val="24"/>
                <w:highlight w:val="none"/>
              </w:rPr>
              <w:t>7</w:t>
            </w:r>
            <w:r>
              <w:rPr>
                <w:color w:val="000000"/>
                <w:sz w:val="24"/>
                <w:szCs w:val="24"/>
                <w:highlight w:val="none"/>
              </w:rPr>
              <w:t>月</w:t>
            </w:r>
            <w:r>
              <w:rPr>
                <w:rFonts w:hint="eastAsia"/>
                <w:color w:val="000000"/>
                <w:sz w:val="24"/>
                <w:szCs w:val="24"/>
                <w:highlight w:val="none"/>
              </w:rPr>
              <w:t>9</w:t>
            </w:r>
            <w:r>
              <w:rPr>
                <w:color w:val="000000"/>
                <w:sz w:val="24"/>
                <w:szCs w:val="24"/>
                <w:highlight w:val="none"/>
              </w:rPr>
              <w:t>日采样监测1次</w:t>
            </w:r>
            <w:r>
              <w:rPr>
                <w:rFonts w:hint="eastAsia"/>
                <w:color w:val="000000"/>
                <w:sz w:val="24"/>
                <w:szCs w:val="24"/>
                <w:highlight w:val="none"/>
              </w:rPr>
              <w:t>，</w:t>
            </w:r>
            <w:r>
              <w:rPr>
                <w:color w:val="000000"/>
                <w:sz w:val="24"/>
                <w:szCs w:val="24"/>
                <w:highlight w:val="none"/>
              </w:rPr>
              <w:t>由</w:t>
            </w:r>
            <w:r>
              <w:rPr>
                <w:rFonts w:hint="eastAsia"/>
                <w:color w:val="000000"/>
                <w:sz w:val="24"/>
                <w:szCs w:val="24"/>
                <w:highlight w:val="none"/>
              </w:rPr>
              <w:t>益铭检测技术服务（青岛）有限公司</w:t>
            </w:r>
            <w:r>
              <w:rPr>
                <w:color w:val="000000"/>
                <w:sz w:val="24"/>
                <w:szCs w:val="24"/>
                <w:highlight w:val="none"/>
              </w:rPr>
              <w:t>进行监测。</w:t>
            </w:r>
          </w:p>
          <w:p w14:paraId="7FAC1FB4">
            <w:pPr>
              <w:spacing w:line="360" w:lineRule="auto"/>
              <w:ind w:firstLine="480" w:firstLineChars="200"/>
              <w:rPr>
                <w:color w:val="000000"/>
                <w:sz w:val="24"/>
                <w:szCs w:val="24"/>
                <w:highlight w:val="none"/>
              </w:rPr>
            </w:pPr>
            <w:r>
              <w:rPr>
                <w:color w:val="000000"/>
                <w:sz w:val="24"/>
                <w:szCs w:val="24"/>
                <w:highlight w:val="none"/>
              </w:rPr>
              <w:t>（4）监测结果及评价</w:t>
            </w:r>
          </w:p>
          <w:p w14:paraId="43D0FB66">
            <w:pPr>
              <w:spacing w:line="360" w:lineRule="auto"/>
              <w:ind w:firstLine="480" w:firstLineChars="200"/>
              <w:rPr>
                <w:color w:val="000000"/>
                <w:highlight w:val="none"/>
              </w:rPr>
            </w:pPr>
            <w:r>
              <w:rPr>
                <w:color w:val="000000"/>
                <w:sz w:val="24"/>
                <w:szCs w:val="24"/>
                <w:highlight w:val="none"/>
              </w:rPr>
              <w:t>拟建项目区土壤土壤环境质量现状监测结果见表</w:t>
            </w:r>
            <w:r>
              <w:rPr>
                <w:rFonts w:hint="eastAsia"/>
                <w:color w:val="000000"/>
                <w:sz w:val="24"/>
                <w:szCs w:val="24"/>
                <w:highlight w:val="none"/>
                <w:lang w:val="en-US" w:eastAsia="zh-CN"/>
              </w:rPr>
              <w:t>3-3</w:t>
            </w:r>
            <w:r>
              <w:rPr>
                <w:color w:val="000000"/>
                <w:sz w:val="24"/>
                <w:szCs w:val="24"/>
                <w:highlight w:val="none"/>
              </w:rPr>
              <w:t>，土壤环境质量执行《土壤环境质量建设用地土壤污染风险管控标准（试行）》（GB36600-2018）中第二类用地标准限值。</w:t>
            </w:r>
          </w:p>
          <w:p w14:paraId="03BD5991">
            <w:pPr>
              <w:pStyle w:val="2"/>
              <w:tabs>
                <w:tab w:val="left" w:pos="2841"/>
                <w:tab w:val="clear" w:pos="0"/>
              </w:tabs>
              <w:spacing w:line="500" w:lineRule="exact"/>
              <w:ind w:firstLine="0" w:firstLineChars="0"/>
              <w:jc w:val="center"/>
              <w:rPr>
                <w:rFonts w:hint="eastAsia" w:ascii="宋体" w:hAnsi="宋体" w:cs="宋体"/>
                <w:b/>
                <w:color w:val="000000"/>
                <w:sz w:val="24"/>
                <w:highlight w:val="none"/>
              </w:rPr>
            </w:pPr>
            <w:r>
              <w:rPr>
                <w:rFonts w:hint="eastAsia" w:ascii="宋体" w:hAnsi="宋体" w:cs="宋体"/>
                <w:b/>
                <w:color w:val="000000"/>
                <w:sz w:val="24"/>
                <w:highlight w:val="none"/>
              </w:rPr>
              <w:t>表</w:t>
            </w:r>
            <w:r>
              <w:rPr>
                <w:rFonts w:hint="eastAsia" w:ascii="宋体" w:hAnsi="宋体" w:cs="宋体"/>
                <w:b/>
                <w:color w:val="000000"/>
                <w:sz w:val="24"/>
                <w:highlight w:val="none"/>
                <w:lang w:val="en-US" w:eastAsia="zh-CN"/>
              </w:rPr>
              <w:t>3-3</w:t>
            </w:r>
            <w:r>
              <w:rPr>
                <w:rFonts w:hint="eastAsia" w:ascii="宋体" w:hAnsi="宋体" w:cs="宋体"/>
                <w:b/>
                <w:color w:val="000000"/>
                <w:sz w:val="24"/>
                <w:highlight w:val="none"/>
              </w:rPr>
              <w:t xml:space="preserve"> 厂区</w:t>
            </w:r>
            <w:r>
              <w:rPr>
                <w:rFonts w:hint="eastAsia" w:ascii="宋体" w:hAnsi="宋体" w:cs="宋体"/>
                <w:b/>
                <w:color w:val="000000"/>
                <w:sz w:val="24"/>
                <w:highlight w:val="none"/>
                <w:lang w:val="en-US" w:eastAsia="zh-CN"/>
              </w:rPr>
              <w:t>除盐水站处土</w:t>
            </w:r>
            <w:r>
              <w:rPr>
                <w:rFonts w:hint="eastAsia" w:ascii="宋体" w:hAnsi="宋体" w:cs="宋体"/>
                <w:b/>
                <w:color w:val="000000"/>
                <w:sz w:val="24"/>
                <w:highlight w:val="none"/>
              </w:rPr>
              <w:t>壤检测结果</w:t>
            </w:r>
          </w:p>
          <w:tbl>
            <w:tblPr>
              <w:tblStyle w:val="13"/>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818"/>
              <w:gridCol w:w="908"/>
              <w:gridCol w:w="908"/>
              <w:gridCol w:w="921"/>
              <w:gridCol w:w="1106"/>
              <w:gridCol w:w="1438"/>
              <w:gridCol w:w="965"/>
            </w:tblGrid>
            <w:tr w14:paraId="5DC17F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vMerge w:val="restart"/>
                  <w:shd w:val="clear" w:color="auto" w:fill="FFFFFF"/>
                  <w:noWrap w:val="0"/>
                  <w:vAlign w:val="center"/>
                </w:tcPr>
                <w:p w14:paraId="7356294A">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序号</w:t>
                  </w:r>
                </w:p>
              </w:tc>
              <w:tc>
                <w:tcPr>
                  <w:tcW w:w="1057" w:type="pct"/>
                  <w:vMerge w:val="restart"/>
                  <w:shd w:val="clear" w:color="auto" w:fill="FFFFFF"/>
                  <w:noWrap w:val="0"/>
                  <w:vAlign w:val="center"/>
                </w:tcPr>
                <w:p w14:paraId="4D87AB1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检测因子</w:t>
                  </w:r>
                </w:p>
              </w:tc>
              <w:tc>
                <w:tcPr>
                  <w:tcW w:w="1591" w:type="pct"/>
                  <w:gridSpan w:val="3"/>
                  <w:shd w:val="clear" w:color="auto" w:fill="FFFFFF"/>
                  <w:noWrap w:val="0"/>
                  <w:vAlign w:val="center"/>
                </w:tcPr>
                <w:p w14:paraId="3FB9E9E0">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sz w:val="21"/>
                      <w:szCs w:val="21"/>
                      <w:highlight w:val="none"/>
                    </w:rPr>
                    <w:t>厂区1#</w:t>
                  </w:r>
                </w:p>
              </w:tc>
              <w:tc>
                <w:tcPr>
                  <w:tcW w:w="643" w:type="pct"/>
                  <w:vMerge w:val="restart"/>
                  <w:shd w:val="clear" w:color="auto" w:fill="FFFFFF"/>
                  <w:noWrap w:val="0"/>
                  <w:vAlign w:val="center"/>
                </w:tcPr>
                <w:p w14:paraId="6FBF5838">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单位</w:t>
                  </w:r>
                </w:p>
              </w:tc>
              <w:tc>
                <w:tcPr>
                  <w:tcW w:w="836" w:type="pct"/>
                  <w:vMerge w:val="restart"/>
                  <w:shd w:val="clear" w:color="auto" w:fill="FFFFFF"/>
                  <w:noWrap w:val="0"/>
                  <w:vAlign w:val="center"/>
                </w:tcPr>
                <w:p w14:paraId="4BF329D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标准限值</w:t>
                  </w:r>
                </w:p>
              </w:tc>
              <w:tc>
                <w:tcPr>
                  <w:tcW w:w="561" w:type="pct"/>
                  <w:vMerge w:val="restart"/>
                  <w:shd w:val="clear" w:color="auto" w:fill="FFFFFF"/>
                  <w:noWrap w:val="0"/>
                  <w:vAlign w:val="center"/>
                </w:tcPr>
                <w:p w14:paraId="5FE0FF1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是否达标</w:t>
                  </w:r>
                </w:p>
              </w:tc>
            </w:tr>
            <w:tr w14:paraId="0FBB79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vMerge w:val="continue"/>
                  <w:shd w:val="clear" w:color="auto" w:fill="FFFFFF"/>
                  <w:noWrap w:val="0"/>
                  <w:vAlign w:val="center"/>
                </w:tcPr>
                <w:p w14:paraId="436B1763">
                  <w:pPr>
                    <w:jc w:val="center"/>
                    <w:rPr>
                      <w:rFonts w:hint="eastAsia" w:ascii="宋体" w:hAnsi="宋体" w:cs="宋体"/>
                      <w:color w:val="000000"/>
                      <w:sz w:val="21"/>
                      <w:szCs w:val="21"/>
                      <w:highlight w:val="none"/>
                    </w:rPr>
                  </w:pPr>
                </w:p>
              </w:tc>
              <w:tc>
                <w:tcPr>
                  <w:tcW w:w="1057" w:type="pct"/>
                  <w:vMerge w:val="continue"/>
                  <w:shd w:val="clear" w:color="auto" w:fill="FFFFFF"/>
                  <w:noWrap w:val="0"/>
                  <w:vAlign w:val="center"/>
                </w:tcPr>
                <w:p w14:paraId="55DC998A">
                  <w:pPr>
                    <w:jc w:val="center"/>
                    <w:rPr>
                      <w:rFonts w:hint="eastAsia" w:ascii="宋体" w:hAnsi="宋体" w:cs="宋体"/>
                      <w:color w:val="000000"/>
                      <w:sz w:val="21"/>
                      <w:szCs w:val="21"/>
                      <w:highlight w:val="none"/>
                    </w:rPr>
                  </w:pPr>
                </w:p>
              </w:tc>
              <w:tc>
                <w:tcPr>
                  <w:tcW w:w="528" w:type="pct"/>
                  <w:shd w:val="clear" w:color="auto" w:fill="FFFFFF"/>
                  <w:noWrap w:val="0"/>
                  <w:vAlign w:val="center"/>
                </w:tcPr>
                <w:p w14:paraId="7209A03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表</w:t>
                  </w:r>
                </w:p>
              </w:tc>
              <w:tc>
                <w:tcPr>
                  <w:tcW w:w="528" w:type="pct"/>
                  <w:shd w:val="clear" w:color="auto" w:fill="FFFFFF"/>
                  <w:noWrap w:val="0"/>
                  <w:vAlign w:val="center"/>
                </w:tcPr>
                <w:p w14:paraId="5283E80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中</w:t>
                  </w:r>
                </w:p>
              </w:tc>
              <w:tc>
                <w:tcPr>
                  <w:tcW w:w="535" w:type="pct"/>
                  <w:shd w:val="clear" w:color="auto" w:fill="FFFFFF"/>
                  <w:noWrap w:val="0"/>
                  <w:vAlign w:val="center"/>
                </w:tcPr>
                <w:p w14:paraId="062D913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深</w:t>
                  </w:r>
                </w:p>
              </w:tc>
              <w:tc>
                <w:tcPr>
                  <w:tcW w:w="643" w:type="pct"/>
                  <w:vMerge w:val="continue"/>
                  <w:shd w:val="clear" w:color="auto" w:fill="FFFFFF"/>
                  <w:noWrap w:val="0"/>
                  <w:vAlign w:val="center"/>
                </w:tcPr>
                <w:p w14:paraId="33D0DA2C">
                  <w:pPr>
                    <w:jc w:val="center"/>
                    <w:rPr>
                      <w:rFonts w:hint="eastAsia" w:ascii="宋体" w:hAnsi="宋体" w:cs="宋体"/>
                      <w:color w:val="000000"/>
                      <w:sz w:val="21"/>
                      <w:szCs w:val="21"/>
                      <w:highlight w:val="none"/>
                    </w:rPr>
                  </w:pPr>
                </w:p>
              </w:tc>
              <w:tc>
                <w:tcPr>
                  <w:tcW w:w="836" w:type="pct"/>
                  <w:vMerge w:val="continue"/>
                  <w:shd w:val="clear" w:color="auto" w:fill="FFFFFF"/>
                  <w:noWrap w:val="0"/>
                  <w:vAlign w:val="center"/>
                </w:tcPr>
                <w:p w14:paraId="1DC973D1">
                  <w:pPr>
                    <w:jc w:val="center"/>
                    <w:rPr>
                      <w:rFonts w:hint="eastAsia" w:ascii="宋体" w:hAnsi="宋体" w:cs="宋体"/>
                      <w:color w:val="000000"/>
                      <w:sz w:val="21"/>
                      <w:szCs w:val="21"/>
                      <w:highlight w:val="none"/>
                    </w:rPr>
                  </w:pPr>
                </w:p>
              </w:tc>
              <w:tc>
                <w:tcPr>
                  <w:tcW w:w="561" w:type="pct"/>
                  <w:vMerge w:val="continue"/>
                  <w:shd w:val="clear" w:color="auto" w:fill="FFFFFF"/>
                  <w:noWrap w:val="0"/>
                  <w:vAlign w:val="center"/>
                </w:tcPr>
                <w:p w14:paraId="5D393221">
                  <w:pPr>
                    <w:jc w:val="center"/>
                    <w:rPr>
                      <w:rFonts w:hint="eastAsia" w:ascii="宋体" w:hAnsi="宋体" w:cs="宋体"/>
                      <w:color w:val="000000"/>
                      <w:sz w:val="21"/>
                      <w:szCs w:val="21"/>
                      <w:highlight w:val="none"/>
                    </w:rPr>
                  </w:pPr>
                </w:p>
              </w:tc>
            </w:tr>
            <w:tr w14:paraId="0EBED1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79F11B2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w:t>
                  </w:r>
                </w:p>
              </w:tc>
              <w:tc>
                <w:tcPr>
                  <w:tcW w:w="1057" w:type="pct"/>
                  <w:shd w:val="clear" w:color="auto" w:fill="FFFFFF"/>
                  <w:noWrap w:val="0"/>
                  <w:vAlign w:val="center"/>
                </w:tcPr>
                <w:p w14:paraId="32035A4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汞</w:t>
                  </w:r>
                </w:p>
              </w:tc>
              <w:tc>
                <w:tcPr>
                  <w:tcW w:w="528" w:type="pct"/>
                  <w:shd w:val="clear" w:color="auto" w:fill="FFFFFF"/>
                  <w:noWrap w:val="0"/>
                  <w:vAlign w:val="center"/>
                </w:tcPr>
                <w:p w14:paraId="697DBA85">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0.316</w:t>
                  </w:r>
                </w:p>
              </w:tc>
              <w:tc>
                <w:tcPr>
                  <w:tcW w:w="528" w:type="pct"/>
                  <w:shd w:val="clear" w:color="auto" w:fill="FFFFFF"/>
                  <w:noWrap w:val="0"/>
                  <w:vAlign w:val="center"/>
                </w:tcPr>
                <w:p w14:paraId="3A069BE8">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0.069</w:t>
                  </w:r>
                </w:p>
              </w:tc>
              <w:tc>
                <w:tcPr>
                  <w:tcW w:w="535" w:type="pct"/>
                  <w:shd w:val="clear" w:color="auto" w:fill="FFFFFF"/>
                  <w:noWrap w:val="0"/>
                  <w:vAlign w:val="center"/>
                </w:tcPr>
                <w:p w14:paraId="0AF5F5F6">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0.022</w:t>
                  </w:r>
                </w:p>
              </w:tc>
              <w:tc>
                <w:tcPr>
                  <w:tcW w:w="643" w:type="pct"/>
                  <w:shd w:val="clear" w:color="auto" w:fill="FFFFFF"/>
                  <w:noWrap w:val="0"/>
                  <w:vAlign w:val="center"/>
                </w:tcPr>
                <w:p w14:paraId="0B29BAD6">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29AA8634">
                  <w:pPr>
                    <w:pStyle w:val="20"/>
                    <w:spacing w:before="17"/>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38</w:t>
                  </w:r>
                </w:p>
              </w:tc>
              <w:tc>
                <w:tcPr>
                  <w:tcW w:w="561" w:type="pct"/>
                  <w:shd w:val="clear" w:color="auto" w:fill="FFFFFF"/>
                  <w:noWrap w:val="0"/>
                  <w:vAlign w:val="center"/>
                </w:tcPr>
                <w:p w14:paraId="36B0D57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3006F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7E9F7240">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w:t>
                  </w:r>
                </w:p>
              </w:tc>
              <w:tc>
                <w:tcPr>
                  <w:tcW w:w="1057" w:type="pct"/>
                  <w:shd w:val="clear" w:color="auto" w:fill="FFFFFF"/>
                  <w:noWrap w:val="0"/>
                  <w:vAlign w:val="center"/>
                </w:tcPr>
                <w:p w14:paraId="364ABA9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砷</w:t>
                  </w:r>
                </w:p>
              </w:tc>
              <w:tc>
                <w:tcPr>
                  <w:tcW w:w="528" w:type="pct"/>
                  <w:shd w:val="clear" w:color="auto" w:fill="FFFFFF"/>
                  <w:noWrap w:val="0"/>
                  <w:vAlign w:val="center"/>
                </w:tcPr>
                <w:p w14:paraId="6AAB3E08">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13.9</w:t>
                  </w:r>
                </w:p>
              </w:tc>
              <w:tc>
                <w:tcPr>
                  <w:tcW w:w="528" w:type="pct"/>
                  <w:shd w:val="clear" w:color="auto" w:fill="FFFFFF"/>
                  <w:noWrap w:val="0"/>
                  <w:vAlign w:val="center"/>
                </w:tcPr>
                <w:p w14:paraId="3341AB34">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11.5</w:t>
                  </w:r>
                </w:p>
              </w:tc>
              <w:tc>
                <w:tcPr>
                  <w:tcW w:w="535" w:type="pct"/>
                  <w:shd w:val="clear" w:color="auto" w:fill="FFFFFF"/>
                  <w:noWrap w:val="0"/>
                  <w:vAlign w:val="center"/>
                </w:tcPr>
                <w:p w14:paraId="35E7C4B2">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9.13</w:t>
                  </w:r>
                </w:p>
              </w:tc>
              <w:tc>
                <w:tcPr>
                  <w:tcW w:w="643" w:type="pct"/>
                  <w:shd w:val="clear" w:color="auto" w:fill="FFFFFF"/>
                  <w:noWrap w:val="0"/>
                  <w:vAlign w:val="center"/>
                </w:tcPr>
                <w:p w14:paraId="0B00AE51">
                  <w:pPr>
                    <w:pStyle w:val="20"/>
                    <w:spacing w:before="1"/>
                    <w:ind w:left="223" w:right="213"/>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3458A9D9">
                  <w:pPr>
                    <w:pStyle w:val="20"/>
                    <w:spacing w:before="17"/>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60</w:t>
                  </w:r>
                </w:p>
              </w:tc>
              <w:tc>
                <w:tcPr>
                  <w:tcW w:w="561" w:type="pct"/>
                  <w:shd w:val="clear" w:color="auto" w:fill="FFFFFF"/>
                  <w:noWrap w:val="0"/>
                  <w:vAlign w:val="center"/>
                </w:tcPr>
                <w:p w14:paraId="6DD9B1E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7B480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48884A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w:t>
                  </w:r>
                </w:p>
              </w:tc>
              <w:tc>
                <w:tcPr>
                  <w:tcW w:w="1057" w:type="pct"/>
                  <w:shd w:val="clear" w:color="auto" w:fill="FFFFFF"/>
                  <w:noWrap w:val="0"/>
                  <w:vAlign w:val="center"/>
                </w:tcPr>
                <w:p w14:paraId="2BE7667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铜</w:t>
                  </w:r>
                </w:p>
              </w:tc>
              <w:tc>
                <w:tcPr>
                  <w:tcW w:w="528" w:type="pct"/>
                  <w:shd w:val="clear" w:color="auto" w:fill="FFFFFF"/>
                  <w:noWrap w:val="0"/>
                  <w:vAlign w:val="center"/>
                </w:tcPr>
                <w:p w14:paraId="20DD344F">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8</w:t>
                  </w:r>
                </w:p>
              </w:tc>
              <w:tc>
                <w:tcPr>
                  <w:tcW w:w="528" w:type="pct"/>
                  <w:shd w:val="clear" w:color="auto" w:fill="FFFFFF"/>
                  <w:noWrap w:val="0"/>
                  <w:vAlign w:val="center"/>
                </w:tcPr>
                <w:p w14:paraId="38EE912B">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15</w:t>
                  </w:r>
                </w:p>
              </w:tc>
              <w:tc>
                <w:tcPr>
                  <w:tcW w:w="535" w:type="pct"/>
                  <w:shd w:val="clear" w:color="auto" w:fill="FFFFFF"/>
                  <w:noWrap w:val="0"/>
                  <w:vAlign w:val="center"/>
                </w:tcPr>
                <w:p w14:paraId="192C94BD">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12</w:t>
                  </w:r>
                </w:p>
              </w:tc>
              <w:tc>
                <w:tcPr>
                  <w:tcW w:w="643" w:type="pct"/>
                  <w:shd w:val="clear" w:color="auto" w:fill="FFFFFF"/>
                  <w:noWrap w:val="0"/>
                  <w:vAlign w:val="center"/>
                </w:tcPr>
                <w:p w14:paraId="6FC63FC0">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0E73E7A0">
                  <w:pPr>
                    <w:pStyle w:val="20"/>
                    <w:spacing w:before="16"/>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18000</w:t>
                  </w:r>
                </w:p>
              </w:tc>
              <w:tc>
                <w:tcPr>
                  <w:tcW w:w="561" w:type="pct"/>
                  <w:shd w:val="clear" w:color="auto" w:fill="FFFFFF"/>
                  <w:noWrap w:val="0"/>
                  <w:vAlign w:val="center"/>
                </w:tcPr>
                <w:p w14:paraId="28A7E62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7444F6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36049CC9">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w:t>
                  </w:r>
                </w:p>
              </w:tc>
              <w:tc>
                <w:tcPr>
                  <w:tcW w:w="1057" w:type="pct"/>
                  <w:shd w:val="clear" w:color="auto" w:fill="FFFFFF"/>
                  <w:noWrap w:val="0"/>
                  <w:vAlign w:val="center"/>
                </w:tcPr>
                <w:p w14:paraId="2125E65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镍</w:t>
                  </w:r>
                </w:p>
              </w:tc>
              <w:tc>
                <w:tcPr>
                  <w:tcW w:w="528" w:type="pct"/>
                  <w:shd w:val="clear" w:color="auto" w:fill="FFFFFF"/>
                  <w:noWrap w:val="0"/>
                  <w:vAlign w:val="center"/>
                </w:tcPr>
                <w:p w14:paraId="656F586D">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14</w:t>
                  </w:r>
                </w:p>
              </w:tc>
              <w:tc>
                <w:tcPr>
                  <w:tcW w:w="528" w:type="pct"/>
                  <w:shd w:val="clear" w:color="auto" w:fill="FFFFFF"/>
                  <w:noWrap w:val="0"/>
                  <w:vAlign w:val="center"/>
                </w:tcPr>
                <w:p w14:paraId="7B5948A5">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19</w:t>
                  </w:r>
                </w:p>
              </w:tc>
              <w:tc>
                <w:tcPr>
                  <w:tcW w:w="535" w:type="pct"/>
                  <w:shd w:val="clear" w:color="auto" w:fill="FFFFFF"/>
                  <w:noWrap w:val="0"/>
                  <w:vAlign w:val="center"/>
                </w:tcPr>
                <w:p w14:paraId="0B18FF49">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17</w:t>
                  </w:r>
                </w:p>
              </w:tc>
              <w:tc>
                <w:tcPr>
                  <w:tcW w:w="643" w:type="pct"/>
                  <w:shd w:val="clear" w:color="auto" w:fill="FFFFFF"/>
                  <w:noWrap w:val="0"/>
                  <w:vAlign w:val="center"/>
                </w:tcPr>
                <w:p w14:paraId="63E20158">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2A0322AC">
                  <w:pPr>
                    <w:pStyle w:val="20"/>
                    <w:spacing w:before="17"/>
                    <w:ind w:left="347" w:right="341"/>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900</w:t>
                  </w:r>
                </w:p>
              </w:tc>
              <w:tc>
                <w:tcPr>
                  <w:tcW w:w="561" w:type="pct"/>
                  <w:shd w:val="clear" w:color="auto" w:fill="FFFFFF"/>
                  <w:noWrap w:val="0"/>
                  <w:vAlign w:val="center"/>
                </w:tcPr>
                <w:p w14:paraId="12E692B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6D9CEA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25F67686">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5</w:t>
                  </w:r>
                </w:p>
              </w:tc>
              <w:tc>
                <w:tcPr>
                  <w:tcW w:w="1057" w:type="pct"/>
                  <w:shd w:val="clear" w:color="auto" w:fill="FFFFFF"/>
                  <w:noWrap w:val="0"/>
                  <w:vAlign w:val="center"/>
                </w:tcPr>
                <w:p w14:paraId="4C746ED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铅</w:t>
                  </w:r>
                </w:p>
              </w:tc>
              <w:tc>
                <w:tcPr>
                  <w:tcW w:w="528" w:type="pct"/>
                  <w:shd w:val="clear" w:color="auto" w:fill="FFFFFF"/>
                  <w:noWrap w:val="0"/>
                  <w:vAlign w:val="center"/>
                </w:tcPr>
                <w:p w14:paraId="3982C698">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14.4</w:t>
                  </w:r>
                </w:p>
              </w:tc>
              <w:tc>
                <w:tcPr>
                  <w:tcW w:w="528" w:type="pct"/>
                  <w:shd w:val="clear" w:color="auto" w:fill="FFFFFF"/>
                  <w:noWrap w:val="0"/>
                  <w:vAlign w:val="center"/>
                </w:tcPr>
                <w:p w14:paraId="7E3D3ACE">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22.0</w:t>
                  </w:r>
                </w:p>
              </w:tc>
              <w:tc>
                <w:tcPr>
                  <w:tcW w:w="535" w:type="pct"/>
                  <w:shd w:val="clear" w:color="auto" w:fill="FFFFFF"/>
                  <w:noWrap w:val="0"/>
                  <w:vAlign w:val="center"/>
                </w:tcPr>
                <w:p w14:paraId="1E9ED266">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12.9</w:t>
                  </w:r>
                </w:p>
              </w:tc>
              <w:tc>
                <w:tcPr>
                  <w:tcW w:w="643" w:type="pct"/>
                  <w:shd w:val="clear" w:color="auto" w:fill="FFFFFF"/>
                  <w:noWrap w:val="0"/>
                  <w:vAlign w:val="center"/>
                </w:tcPr>
                <w:p w14:paraId="082C3064">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4C8188D1">
                  <w:pPr>
                    <w:pStyle w:val="20"/>
                    <w:spacing w:before="17"/>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800</w:t>
                  </w:r>
                </w:p>
              </w:tc>
              <w:tc>
                <w:tcPr>
                  <w:tcW w:w="561" w:type="pct"/>
                  <w:shd w:val="clear" w:color="auto" w:fill="FFFFFF"/>
                  <w:noWrap w:val="0"/>
                  <w:vAlign w:val="center"/>
                </w:tcPr>
                <w:p w14:paraId="38DEDA9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4A1A4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2ECE9E9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6</w:t>
                  </w:r>
                </w:p>
              </w:tc>
              <w:tc>
                <w:tcPr>
                  <w:tcW w:w="1057" w:type="pct"/>
                  <w:shd w:val="clear" w:color="auto" w:fill="FFFFFF"/>
                  <w:noWrap w:val="0"/>
                  <w:vAlign w:val="center"/>
                </w:tcPr>
                <w:p w14:paraId="3D0515F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镉</w:t>
                  </w:r>
                </w:p>
              </w:tc>
              <w:tc>
                <w:tcPr>
                  <w:tcW w:w="528" w:type="pct"/>
                  <w:shd w:val="clear" w:color="auto" w:fill="FFFFFF"/>
                  <w:noWrap w:val="0"/>
                  <w:vAlign w:val="center"/>
                </w:tcPr>
                <w:p w14:paraId="484E39D1">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0.08</w:t>
                  </w:r>
                </w:p>
              </w:tc>
              <w:tc>
                <w:tcPr>
                  <w:tcW w:w="528" w:type="pct"/>
                  <w:shd w:val="clear" w:color="auto" w:fill="FFFFFF"/>
                  <w:noWrap w:val="0"/>
                  <w:vAlign w:val="center"/>
                </w:tcPr>
                <w:p w14:paraId="62052063">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0.14</w:t>
                  </w:r>
                </w:p>
              </w:tc>
              <w:tc>
                <w:tcPr>
                  <w:tcW w:w="535" w:type="pct"/>
                  <w:shd w:val="clear" w:color="auto" w:fill="FFFFFF"/>
                  <w:noWrap w:val="0"/>
                  <w:vAlign w:val="center"/>
                </w:tcPr>
                <w:p w14:paraId="72EC3DA9">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0.10</w:t>
                  </w:r>
                </w:p>
              </w:tc>
              <w:tc>
                <w:tcPr>
                  <w:tcW w:w="643" w:type="pct"/>
                  <w:shd w:val="clear" w:color="auto" w:fill="FFFFFF"/>
                  <w:noWrap w:val="0"/>
                  <w:vAlign w:val="center"/>
                </w:tcPr>
                <w:p w14:paraId="784DA0E0">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15007328">
                  <w:pPr>
                    <w:pStyle w:val="20"/>
                    <w:spacing w:before="16"/>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65</w:t>
                  </w:r>
                </w:p>
              </w:tc>
              <w:tc>
                <w:tcPr>
                  <w:tcW w:w="561" w:type="pct"/>
                  <w:shd w:val="clear" w:color="auto" w:fill="FFFFFF"/>
                  <w:noWrap w:val="0"/>
                  <w:vAlign w:val="center"/>
                </w:tcPr>
                <w:p w14:paraId="2C45833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A489E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EBED8F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7</w:t>
                  </w:r>
                </w:p>
              </w:tc>
              <w:tc>
                <w:tcPr>
                  <w:tcW w:w="1057" w:type="pct"/>
                  <w:shd w:val="clear" w:color="auto" w:fill="FFFFFF"/>
                  <w:noWrap w:val="0"/>
                  <w:vAlign w:val="center"/>
                </w:tcPr>
                <w:p w14:paraId="54126B2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铬（六价）</w:t>
                  </w:r>
                </w:p>
              </w:tc>
              <w:tc>
                <w:tcPr>
                  <w:tcW w:w="528" w:type="pct"/>
                  <w:shd w:val="clear" w:color="auto" w:fill="FFFFFF"/>
                  <w:noWrap w:val="0"/>
                  <w:vAlign w:val="center"/>
                </w:tcPr>
                <w:p w14:paraId="4B85FC3D">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233BFC36">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45295666">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F151C68">
                  <w:pPr>
                    <w:pStyle w:val="20"/>
                    <w:spacing w:before="1"/>
                    <w:ind w:left="223" w:right="213"/>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73A09C76">
                  <w:pPr>
                    <w:pStyle w:val="20"/>
                    <w:spacing w:before="18"/>
                    <w:ind w:left="347" w:right="338"/>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rPr>
                    <w:t>5.7</w:t>
                  </w:r>
                </w:p>
              </w:tc>
              <w:tc>
                <w:tcPr>
                  <w:tcW w:w="561" w:type="pct"/>
                  <w:shd w:val="clear" w:color="auto" w:fill="FFFFFF"/>
                  <w:noWrap w:val="0"/>
                  <w:vAlign w:val="center"/>
                </w:tcPr>
                <w:p w14:paraId="7E35672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18C950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828FA1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8</w:t>
                  </w:r>
                </w:p>
              </w:tc>
              <w:tc>
                <w:tcPr>
                  <w:tcW w:w="1057" w:type="pct"/>
                  <w:shd w:val="clear" w:color="auto" w:fill="FFFFFF"/>
                  <w:noWrap w:val="0"/>
                  <w:vAlign w:val="center"/>
                </w:tcPr>
                <w:p w14:paraId="542F940D">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苯胺</w:t>
                  </w:r>
                </w:p>
              </w:tc>
              <w:tc>
                <w:tcPr>
                  <w:tcW w:w="528" w:type="pct"/>
                  <w:shd w:val="clear" w:color="auto" w:fill="FFFFFF"/>
                  <w:noWrap w:val="0"/>
                  <w:vAlign w:val="center"/>
                </w:tcPr>
                <w:p w14:paraId="5FE677A8">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525D1C61">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73B01CE">
                  <w:pPr>
                    <w:spacing w:before="1"/>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A28BA77">
                  <w:pPr>
                    <w:pStyle w:val="20"/>
                    <w:spacing w:before="1"/>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6B3A24E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260</w:t>
                  </w:r>
                </w:p>
              </w:tc>
              <w:tc>
                <w:tcPr>
                  <w:tcW w:w="561" w:type="pct"/>
                  <w:shd w:val="clear" w:color="auto" w:fill="FFFFFF"/>
                  <w:noWrap w:val="0"/>
                  <w:vAlign w:val="center"/>
                </w:tcPr>
                <w:p w14:paraId="4F50A06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0DE9CA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EB0E630">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9</w:t>
                  </w:r>
                </w:p>
              </w:tc>
              <w:tc>
                <w:tcPr>
                  <w:tcW w:w="1057" w:type="pct"/>
                  <w:shd w:val="clear" w:color="auto" w:fill="FFFFFF"/>
                  <w:noWrap w:val="0"/>
                  <w:vAlign w:val="center"/>
                </w:tcPr>
                <w:p w14:paraId="3B386F1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2-氯酚</w:t>
                  </w:r>
                </w:p>
              </w:tc>
              <w:tc>
                <w:tcPr>
                  <w:tcW w:w="528" w:type="pct"/>
                  <w:shd w:val="clear" w:color="auto" w:fill="FFFFFF"/>
                  <w:noWrap w:val="0"/>
                  <w:vAlign w:val="center"/>
                </w:tcPr>
                <w:p w14:paraId="7A43F66C">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7138496">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F362BC8">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08EA2B3">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3796A17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2256</w:t>
                  </w:r>
                </w:p>
              </w:tc>
              <w:tc>
                <w:tcPr>
                  <w:tcW w:w="561" w:type="pct"/>
                  <w:shd w:val="clear" w:color="auto" w:fill="FFFFFF"/>
                  <w:noWrap w:val="0"/>
                  <w:vAlign w:val="center"/>
                </w:tcPr>
                <w:p w14:paraId="105451F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0AD9FA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8F3240B">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10</w:t>
                  </w:r>
                </w:p>
              </w:tc>
              <w:tc>
                <w:tcPr>
                  <w:tcW w:w="1057" w:type="pct"/>
                  <w:shd w:val="clear" w:color="auto" w:fill="FFFFFF"/>
                  <w:noWrap w:val="0"/>
                  <w:vAlign w:val="center"/>
                </w:tcPr>
                <w:p w14:paraId="6007483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硝基苯</w:t>
                  </w:r>
                </w:p>
              </w:tc>
              <w:tc>
                <w:tcPr>
                  <w:tcW w:w="528" w:type="pct"/>
                  <w:shd w:val="clear" w:color="auto" w:fill="FFFFFF"/>
                  <w:noWrap w:val="0"/>
                  <w:vAlign w:val="center"/>
                </w:tcPr>
                <w:p w14:paraId="1A560A03">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B840176">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2E2854B">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6D5D519">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3EE6229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76</w:t>
                  </w:r>
                </w:p>
              </w:tc>
              <w:tc>
                <w:tcPr>
                  <w:tcW w:w="561" w:type="pct"/>
                  <w:shd w:val="clear" w:color="auto" w:fill="FFFFFF"/>
                  <w:noWrap w:val="0"/>
                  <w:vAlign w:val="center"/>
                </w:tcPr>
                <w:p w14:paraId="5FCEBBB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141BF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2BCE7D9">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11</w:t>
                  </w:r>
                </w:p>
              </w:tc>
              <w:tc>
                <w:tcPr>
                  <w:tcW w:w="1057" w:type="pct"/>
                  <w:shd w:val="clear" w:color="auto" w:fill="FFFFFF"/>
                  <w:noWrap w:val="0"/>
                  <w:vAlign w:val="center"/>
                </w:tcPr>
                <w:p w14:paraId="424772A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萘</w:t>
                  </w:r>
                </w:p>
              </w:tc>
              <w:tc>
                <w:tcPr>
                  <w:tcW w:w="528" w:type="pct"/>
                  <w:shd w:val="clear" w:color="auto" w:fill="FFFFFF"/>
                  <w:noWrap w:val="0"/>
                  <w:vAlign w:val="center"/>
                </w:tcPr>
                <w:p w14:paraId="26D27098">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367642D">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69B0CDBE">
                  <w:pPr>
                    <w:ind w:left="223" w:right="213"/>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4A4AF8A">
                  <w:pPr>
                    <w:pStyle w:val="20"/>
                    <w:ind w:left="223" w:right="213"/>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mg/kg</w:t>
                  </w:r>
                </w:p>
              </w:tc>
              <w:tc>
                <w:tcPr>
                  <w:tcW w:w="836" w:type="pct"/>
                  <w:shd w:val="clear" w:color="auto" w:fill="FFFFFF"/>
                  <w:noWrap w:val="0"/>
                  <w:vAlign w:val="center"/>
                </w:tcPr>
                <w:p w14:paraId="43D9E0A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70</w:t>
                  </w:r>
                </w:p>
              </w:tc>
              <w:tc>
                <w:tcPr>
                  <w:tcW w:w="561" w:type="pct"/>
                  <w:shd w:val="clear" w:color="auto" w:fill="FFFFFF"/>
                  <w:noWrap w:val="0"/>
                  <w:vAlign w:val="center"/>
                </w:tcPr>
                <w:p w14:paraId="1436371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54C875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19023EA">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12</w:t>
                  </w:r>
                </w:p>
              </w:tc>
              <w:tc>
                <w:tcPr>
                  <w:tcW w:w="1057" w:type="pct"/>
                  <w:shd w:val="clear" w:color="auto" w:fill="FFFFFF"/>
                  <w:noWrap w:val="0"/>
                  <w:vAlign w:val="center"/>
                </w:tcPr>
                <w:p w14:paraId="0C3F6FB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苯并(a)蒽</w:t>
                  </w:r>
                </w:p>
              </w:tc>
              <w:tc>
                <w:tcPr>
                  <w:tcW w:w="528" w:type="pct"/>
                  <w:shd w:val="clear" w:color="auto" w:fill="FFFFFF"/>
                  <w:noWrap w:val="0"/>
                  <w:vAlign w:val="center"/>
                </w:tcPr>
                <w:p w14:paraId="501A83A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C8C4A7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C652F7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5F1A70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BF2A92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w:t>
                  </w:r>
                </w:p>
              </w:tc>
              <w:tc>
                <w:tcPr>
                  <w:tcW w:w="561" w:type="pct"/>
                  <w:shd w:val="clear" w:color="auto" w:fill="FFFFFF"/>
                  <w:noWrap w:val="0"/>
                  <w:vAlign w:val="center"/>
                </w:tcPr>
                <w:p w14:paraId="6D82B79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4285DF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A7E7F90">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13</w:t>
                  </w:r>
                </w:p>
              </w:tc>
              <w:tc>
                <w:tcPr>
                  <w:tcW w:w="1057" w:type="pct"/>
                  <w:shd w:val="clear" w:color="auto" w:fill="FFFFFF"/>
                  <w:noWrap w:val="0"/>
                  <w:vAlign w:val="center"/>
                </w:tcPr>
                <w:p w14:paraId="41F9CF2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䓛</w:t>
                  </w:r>
                </w:p>
              </w:tc>
              <w:tc>
                <w:tcPr>
                  <w:tcW w:w="528" w:type="pct"/>
                  <w:shd w:val="clear" w:color="auto" w:fill="FFFFFF"/>
                  <w:noWrap w:val="0"/>
                  <w:vAlign w:val="center"/>
                </w:tcPr>
                <w:p w14:paraId="0320EF3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C71B3F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7C477EC">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14D2B1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0A9934A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1293</w:t>
                  </w:r>
                </w:p>
              </w:tc>
              <w:tc>
                <w:tcPr>
                  <w:tcW w:w="561" w:type="pct"/>
                  <w:shd w:val="clear" w:color="auto" w:fill="FFFFFF"/>
                  <w:noWrap w:val="0"/>
                  <w:vAlign w:val="center"/>
                </w:tcPr>
                <w:p w14:paraId="3A24AD8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10B0A0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4DE696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14</w:t>
                  </w:r>
                </w:p>
              </w:tc>
              <w:tc>
                <w:tcPr>
                  <w:tcW w:w="1057" w:type="pct"/>
                  <w:shd w:val="clear" w:color="auto" w:fill="FFFFFF"/>
                  <w:noWrap w:val="0"/>
                  <w:vAlign w:val="center"/>
                </w:tcPr>
                <w:p w14:paraId="53BB3E9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苯并(b)荧蒽</w:t>
                  </w:r>
                </w:p>
              </w:tc>
              <w:tc>
                <w:tcPr>
                  <w:tcW w:w="528" w:type="pct"/>
                  <w:shd w:val="clear" w:color="auto" w:fill="FFFFFF"/>
                  <w:noWrap w:val="0"/>
                  <w:vAlign w:val="center"/>
                </w:tcPr>
                <w:p w14:paraId="62D282E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02D0F8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DC7BC0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9535CB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562357E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w:t>
                  </w:r>
                </w:p>
              </w:tc>
              <w:tc>
                <w:tcPr>
                  <w:tcW w:w="561" w:type="pct"/>
                  <w:shd w:val="clear" w:color="auto" w:fill="FFFFFF"/>
                  <w:noWrap w:val="0"/>
                  <w:vAlign w:val="center"/>
                </w:tcPr>
                <w:p w14:paraId="2433CCD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79FE40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3034C265">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15</w:t>
                  </w:r>
                </w:p>
              </w:tc>
              <w:tc>
                <w:tcPr>
                  <w:tcW w:w="1057" w:type="pct"/>
                  <w:shd w:val="clear" w:color="auto" w:fill="FFFFFF"/>
                  <w:noWrap w:val="0"/>
                  <w:vAlign w:val="center"/>
                </w:tcPr>
                <w:p w14:paraId="5C192F1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苯并(k)荧蒽</w:t>
                  </w:r>
                </w:p>
              </w:tc>
              <w:tc>
                <w:tcPr>
                  <w:tcW w:w="528" w:type="pct"/>
                  <w:shd w:val="clear" w:color="auto" w:fill="FFFFFF"/>
                  <w:noWrap w:val="0"/>
                  <w:vAlign w:val="center"/>
                </w:tcPr>
                <w:p w14:paraId="1CD7787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DF7B2B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EEB5C6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27BC912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A20636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151</w:t>
                  </w:r>
                </w:p>
              </w:tc>
              <w:tc>
                <w:tcPr>
                  <w:tcW w:w="561" w:type="pct"/>
                  <w:shd w:val="clear" w:color="auto" w:fill="FFFFFF"/>
                  <w:noWrap w:val="0"/>
                  <w:vAlign w:val="center"/>
                </w:tcPr>
                <w:p w14:paraId="3B8ECDA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6BC795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520DFD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16</w:t>
                  </w:r>
                </w:p>
              </w:tc>
              <w:tc>
                <w:tcPr>
                  <w:tcW w:w="1057" w:type="pct"/>
                  <w:shd w:val="clear" w:color="auto" w:fill="FFFFFF"/>
                  <w:noWrap w:val="0"/>
                  <w:vAlign w:val="center"/>
                </w:tcPr>
                <w:p w14:paraId="3725386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苯并(a)芘</w:t>
                  </w:r>
                </w:p>
              </w:tc>
              <w:tc>
                <w:tcPr>
                  <w:tcW w:w="528" w:type="pct"/>
                  <w:shd w:val="clear" w:color="auto" w:fill="FFFFFF"/>
                  <w:noWrap w:val="0"/>
                  <w:vAlign w:val="center"/>
                </w:tcPr>
                <w:p w14:paraId="5F31B90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9A1AD7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53EB94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A20000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18CD85B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w:t>
                  </w:r>
                </w:p>
              </w:tc>
              <w:tc>
                <w:tcPr>
                  <w:tcW w:w="561" w:type="pct"/>
                  <w:shd w:val="clear" w:color="auto" w:fill="FFFFFF"/>
                  <w:noWrap w:val="0"/>
                  <w:vAlign w:val="center"/>
                </w:tcPr>
                <w:p w14:paraId="27482A6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2FAB95A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BC3B063">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17</w:t>
                  </w:r>
                </w:p>
              </w:tc>
              <w:tc>
                <w:tcPr>
                  <w:tcW w:w="1057" w:type="pct"/>
                  <w:shd w:val="clear" w:color="auto" w:fill="FFFFFF"/>
                  <w:noWrap w:val="0"/>
                  <w:vAlign w:val="center"/>
                </w:tcPr>
                <w:p w14:paraId="12C1C93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茚并(1,2,3-c,d)芘</w:t>
                  </w:r>
                </w:p>
              </w:tc>
              <w:tc>
                <w:tcPr>
                  <w:tcW w:w="528" w:type="pct"/>
                  <w:shd w:val="clear" w:color="auto" w:fill="FFFFFF"/>
                  <w:noWrap w:val="0"/>
                  <w:vAlign w:val="center"/>
                </w:tcPr>
                <w:p w14:paraId="17329B2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E5C06A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0258BC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472C16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78F9B3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w:t>
                  </w:r>
                </w:p>
              </w:tc>
              <w:tc>
                <w:tcPr>
                  <w:tcW w:w="561" w:type="pct"/>
                  <w:shd w:val="clear" w:color="auto" w:fill="FFFFFF"/>
                  <w:noWrap w:val="0"/>
                  <w:vAlign w:val="center"/>
                </w:tcPr>
                <w:p w14:paraId="5B71C21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01D8B0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32C3670E">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18</w:t>
                  </w:r>
                </w:p>
              </w:tc>
              <w:tc>
                <w:tcPr>
                  <w:tcW w:w="1057" w:type="pct"/>
                  <w:shd w:val="clear" w:color="auto" w:fill="FFFFFF"/>
                  <w:noWrap w:val="0"/>
                  <w:vAlign w:val="center"/>
                </w:tcPr>
                <w:p w14:paraId="6AEE3B5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二苯并(a,h)蒽</w:t>
                  </w:r>
                </w:p>
              </w:tc>
              <w:tc>
                <w:tcPr>
                  <w:tcW w:w="528" w:type="pct"/>
                  <w:shd w:val="clear" w:color="auto" w:fill="FFFFFF"/>
                  <w:noWrap w:val="0"/>
                  <w:vAlign w:val="center"/>
                </w:tcPr>
                <w:p w14:paraId="1AF5254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384A08C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B34E42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816FF0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586223B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1.5</w:t>
                  </w:r>
                </w:p>
              </w:tc>
              <w:tc>
                <w:tcPr>
                  <w:tcW w:w="561" w:type="pct"/>
                  <w:shd w:val="clear" w:color="auto" w:fill="FFFFFF"/>
                  <w:noWrap w:val="0"/>
                  <w:vAlign w:val="center"/>
                </w:tcPr>
                <w:p w14:paraId="0599E66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268AD7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86547D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19</w:t>
                  </w:r>
                </w:p>
              </w:tc>
              <w:tc>
                <w:tcPr>
                  <w:tcW w:w="1057" w:type="pct"/>
                  <w:shd w:val="clear" w:color="auto" w:fill="FFFFFF"/>
                  <w:noWrap w:val="0"/>
                  <w:vAlign w:val="center"/>
                </w:tcPr>
                <w:p w14:paraId="5665E80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氯甲烷</w:t>
                  </w:r>
                </w:p>
              </w:tc>
              <w:tc>
                <w:tcPr>
                  <w:tcW w:w="528" w:type="pct"/>
                  <w:shd w:val="clear" w:color="auto" w:fill="FFFFFF"/>
                  <w:noWrap w:val="0"/>
                  <w:vAlign w:val="center"/>
                </w:tcPr>
                <w:p w14:paraId="36E3ED6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277B58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E71660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9C0AA0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6513145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37</w:t>
                  </w:r>
                </w:p>
              </w:tc>
              <w:tc>
                <w:tcPr>
                  <w:tcW w:w="561" w:type="pct"/>
                  <w:shd w:val="clear" w:color="auto" w:fill="FFFFFF"/>
                  <w:noWrap w:val="0"/>
                  <w:vAlign w:val="center"/>
                </w:tcPr>
                <w:p w14:paraId="4FD8AF1C">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2B43CB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C78EF99">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20</w:t>
                  </w:r>
                </w:p>
              </w:tc>
              <w:tc>
                <w:tcPr>
                  <w:tcW w:w="1057" w:type="pct"/>
                  <w:shd w:val="clear" w:color="auto" w:fill="FFFFFF"/>
                  <w:noWrap w:val="0"/>
                  <w:vAlign w:val="center"/>
                </w:tcPr>
                <w:p w14:paraId="1117B21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氯乙烯</w:t>
                  </w:r>
                </w:p>
              </w:tc>
              <w:tc>
                <w:tcPr>
                  <w:tcW w:w="528" w:type="pct"/>
                  <w:shd w:val="clear" w:color="auto" w:fill="FFFFFF"/>
                  <w:noWrap w:val="0"/>
                  <w:vAlign w:val="center"/>
                </w:tcPr>
                <w:p w14:paraId="4C758DB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6DA876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A7308D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EE0386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254726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0.43</w:t>
                  </w:r>
                </w:p>
              </w:tc>
              <w:tc>
                <w:tcPr>
                  <w:tcW w:w="561" w:type="pct"/>
                  <w:shd w:val="clear" w:color="auto" w:fill="FFFFFF"/>
                  <w:noWrap w:val="0"/>
                  <w:vAlign w:val="center"/>
                </w:tcPr>
                <w:p w14:paraId="1C24BFE4">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4B8BAC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638FF00">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21</w:t>
                  </w:r>
                </w:p>
              </w:tc>
              <w:tc>
                <w:tcPr>
                  <w:tcW w:w="1057" w:type="pct"/>
                  <w:shd w:val="clear" w:color="auto" w:fill="FFFFFF"/>
                  <w:noWrap w:val="0"/>
                  <w:vAlign w:val="center"/>
                </w:tcPr>
                <w:p w14:paraId="2636ED6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1,1-二氯乙烯</w:t>
                  </w:r>
                </w:p>
              </w:tc>
              <w:tc>
                <w:tcPr>
                  <w:tcW w:w="528" w:type="pct"/>
                  <w:shd w:val="clear" w:color="auto" w:fill="FFFFFF"/>
                  <w:noWrap w:val="0"/>
                  <w:vAlign w:val="center"/>
                </w:tcPr>
                <w:p w14:paraId="36DC778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2B296C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22D82E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A45027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6B7757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66</w:t>
                  </w:r>
                </w:p>
              </w:tc>
              <w:tc>
                <w:tcPr>
                  <w:tcW w:w="561" w:type="pct"/>
                  <w:shd w:val="clear" w:color="auto" w:fill="FFFFFF"/>
                  <w:noWrap w:val="0"/>
                  <w:vAlign w:val="center"/>
                </w:tcPr>
                <w:p w14:paraId="66D423E3">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0501CA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3F43A22">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22</w:t>
                  </w:r>
                </w:p>
              </w:tc>
              <w:tc>
                <w:tcPr>
                  <w:tcW w:w="1057" w:type="pct"/>
                  <w:shd w:val="clear" w:color="auto" w:fill="FFFFFF"/>
                  <w:noWrap w:val="0"/>
                  <w:vAlign w:val="center"/>
                </w:tcPr>
                <w:p w14:paraId="6E4B567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二氯甲烷</w:t>
                  </w:r>
                </w:p>
              </w:tc>
              <w:tc>
                <w:tcPr>
                  <w:tcW w:w="528" w:type="pct"/>
                  <w:shd w:val="clear" w:color="auto" w:fill="FFFFFF"/>
                  <w:noWrap w:val="0"/>
                  <w:vAlign w:val="center"/>
                </w:tcPr>
                <w:p w14:paraId="5BB61AD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C3EF40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08D298C">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975404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3F2A3C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616</w:t>
                  </w:r>
                </w:p>
              </w:tc>
              <w:tc>
                <w:tcPr>
                  <w:tcW w:w="561" w:type="pct"/>
                  <w:shd w:val="clear" w:color="auto" w:fill="FFFFFF"/>
                  <w:noWrap w:val="0"/>
                  <w:vAlign w:val="center"/>
                </w:tcPr>
                <w:p w14:paraId="2DA759CF">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79AE35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B84A365">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23</w:t>
                  </w:r>
                </w:p>
              </w:tc>
              <w:tc>
                <w:tcPr>
                  <w:tcW w:w="1057" w:type="pct"/>
                  <w:shd w:val="clear" w:color="auto" w:fill="FFFFFF"/>
                  <w:noWrap w:val="0"/>
                  <w:vAlign w:val="center"/>
                </w:tcPr>
                <w:p w14:paraId="38D0D00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反-1,2-二氯乙烯</w:t>
                  </w:r>
                </w:p>
              </w:tc>
              <w:tc>
                <w:tcPr>
                  <w:tcW w:w="528" w:type="pct"/>
                  <w:shd w:val="clear" w:color="auto" w:fill="FFFFFF"/>
                  <w:noWrap w:val="0"/>
                  <w:vAlign w:val="center"/>
                </w:tcPr>
                <w:p w14:paraId="660C192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2C35F27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24647D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F826C6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FB9154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54</w:t>
                  </w:r>
                </w:p>
              </w:tc>
              <w:tc>
                <w:tcPr>
                  <w:tcW w:w="561" w:type="pct"/>
                  <w:shd w:val="clear" w:color="auto" w:fill="FFFFFF"/>
                  <w:noWrap w:val="0"/>
                  <w:vAlign w:val="center"/>
                </w:tcPr>
                <w:p w14:paraId="28F1204B">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5AB6EC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7302EBD4">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24</w:t>
                  </w:r>
                </w:p>
              </w:tc>
              <w:tc>
                <w:tcPr>
                  <w:tcW w:w="1057" w:type="pct"/>
                  <w:shd w:val="clear" w:color="auto" w:fill="FFFFFF"/>
                  <w:noWrap w:val="0"/>
                  <w:vAlign w:val="center"/>
                </w:tcPr>
                <w:p w14:paraId="2E9E67B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1,1-二氯乙烷</w:t>
                  </w:r>
                </w:p>
              </w:tc>
              <w:tc>
                <w:tcPr>
                  <w:tcW w:w="528" w:type="pct"/>
                  <w:shd w:val="clear" w:color="auto" w:fill="FFFFFF"/>
                  <w:noWrap w:val="0"/>
                  <w:vAlign w:val="center"/>
                </w:tcPr>
                <w:p w14:paraId="31A7957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3562016C">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3E8CEAF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EC9B43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A3B726C">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9</w:t>
                  </w:r>
                </w:p>
              </w:tc>
              <w:tc>
                <w:tcPr>
                  <w:tcW w:w="561" w:type="pct"/>
                  <w:shd w:val="clear" w:color="auto" w:fill="FFFFFF"/>
                  <w:noWrap w:val="0"/>
                  <w:vAlign w:val="center"/>
                </w:tcPr>
                <w:p w14:paraId="66694E6D">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45341B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6759ACF">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25</w:t>
                  </w:r>
                </w:p>
              </w:tc>
              <w:tc>
                <w:tcPr>
                  <w:tcW w:w="1057" w:type="pct"/>
                  <w:shd w:val="clear" w:color="auto" w:fill="FFFFFF"/>
                  <w:noWrap w:val="0"/>
                  <w:vAlign w:val="center"/>
                </w:tcPr>
                <w:p w14:paraId="52CD41D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顺-1,2-二氯乙烯</w:t>
                  </w:r>
                </w:p>
              </w:tc>
              <w:tc>
                <w:tcPr>
                  <w:tcW w:w="528" w:type="pct"/>
                  <w:shd w:val="clear" w:color="auto" w:fill="FFFFFF"/>
                  <w:noWrap w:val="0"/>
                  <w:vAlign w:val="center"/>
                </w:tcPr>
                <w:p w14:paraId="07BC616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909970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305D39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E44EA1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9B1838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596</w:t>
                  </w:r>
                </w:p>
              </w:tc>
              <w:tc>
                <w:tcPr>
                  <w:tcW w:w="561" w:type="pct"/>
                  <w:shd w:val="clear" w:color="auto" w:fill="FFFFFF"/>
                  <w:noWrap w:val="0"/>
                  <w:vAlign w:val="center"/>
                </w:tcPr>
                <w:p w14:paraId="6018E3AC">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1575AF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2F89E78">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26</w:t>
                  </w:r>
                </w:p>
              </w:tc>
              <w:tc>
                <w:tcPr>
                  <w:tcW w:w="1057" w:type="pct"/>
                  <w:shd w:val="clear" w:color="auto" w:fill="FFFFFF"/>
                  <w:noWrap w:val="0"/>
                  <w:vAlign w:val="center"/>
                </w:tcPr>
                <w:p w14:paraId="577FB5D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氯仿</w:t>
                  </w:r>
                </w:p>
              </w:tc>
              <w:tc>
                <w:tcPr>
                  <w:tcW w:w="528" w:type="pct"/>
                  <w:shd w:val="clear" w:color="auto" w:fill="FFFFFF"/>
                  <w:noWrap w:val="0"/>
                  <w:vAlign w:val="center"/>
                </w:tcPr>
                <w:p w14:paraId="2E9EA64C">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AB428C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68AA523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1C1C40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3DE1E1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0.9</w:t>
                  </w:r>
                </w:p>
              </w:tc>
              <w:tc>
                <w:tcPr>
                  <w:tcW w:w="561" w:type="pct"/>
                  <w:shd w:val="clear" w:color="auto" w:fill="FFFFFF"/>
                  <w:noWrap w:val="0"/>
                  <w:vAlign w:val="center"/>
                </w:tcPr>
                <w:p w14:paraId="2BEB181A">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6A4CDC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033C72B">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27</w:t>
                  </w:r>
                </w:p>
              </w:tc>
              <w:tc>
                <w:tcPr>
                  <w:tcW w:w="1057" w:type="pct"/>
                  <w:shd w:val="clear" w:color="auto" w:fill="FFFFFF"/>
                  <w:noWrap w:val="0"/>
                  <w:vAlign w:val="center"/>
                </w:tcPr>
                <w:p w14:paraId="7FBD43F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1,1,1-三氯乙烷</w:t>
                  </w:r>
                </w:p>
              </w:tc>
              <w:tc>
                <w:tcPr>
                  <w:tcW w:w="528" w:type="pct"/>
                  <w:shd w:val="clear" w:color="auto" w:fill="FFFFFF"/>
                  <w:noWrap w:val="0"/>
                  <w:vAlign w:val="center"/>
                </w:tcPr>
                <w:p w14:paraId="6014685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14F6A8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8F7128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166178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61C3C16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840</w:t>
                  </w:r>
                </w:p>
              </w:tc>
              <w:tc>
                <w:tcPr>
                  <w:tcW w:w="561" w:type="pct"/>
                  <w:shd w:val="clear" w:color="auto" w:fill="FFFFFF"/>
                  <w:noWrap w:val="0"/>
                  <w:vAlign w:val="center"/>
                </w:tcPr>
                <w:p w14:paraId="14B4B3AB">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109F66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4BE913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28</w:t>
                  </w:r>
                </w:p>
              </w:tc>
              <w:tc>
                <w:tcPr>
                  <w:tcW w:w="1057" w:type="pct"/>
                  <w:shd w:val="clear" w:color="auto" w:fill="FFFFFF"/>
                  <w:noWrap w:val="0"/>
                  <w:vAlign w:val="center"/>
                </w:tcPr>
                <w:p w14:paraId="0F7568A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四氯化碳</w:t>
                  </w:r>
                </w:p>
              </w:tc>
              <w:tc>
                <w:tcPr>
                  <w:tcW w:w="528" w:type="pct"/>
                  <w:shd w:val="clear" w:color="auto" w:fill="FFFFFF"/>
                  <w:noWrap w:val="0"/>
                  <w:vAlign w:val="center"/>
                </w:tcPr>
                <w:p w14:paraId="3028DED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14C95A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67D2251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3A05ED5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245EA2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2.8</w:t>
                  </w:r>
                </w:p>
              </w:tc>
              <w:tc>
                <w:tcPr>
                  <w:tcW w:w="561" w:type="pct"/>
                  <w:shd w:val="clear" w:color="auto" w:fill="FFFFFF"/>
                  <w:noWrap w:val="0"/>
                  <w:vAlign w:val="center"/>
                </w:tcPr>
                <w:p w14:paraId="02894D31">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6CB8BB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00DE8C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29</w:t>
                  </w:r>
                </w:p>
              </w:tc>
              <w:tc>
                <w:tcPr>
                  <w:tcW w:w="1057" w:type="pct"/>
                  <w:shd w:val="clear" w:color="auto" w:fill="FFFFFF"/>
                  <w:noWrap w:val="0"/>
                  <w:vAlign w:val="center"/>
                </w:tcPr>
                <w:p w14:paraId="3F4AE8E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w:t>
                  </w:r>
                </w:p>
              </w:tc>
              <w:tc>
                <w:tcPr>
                  <w:tcW w:w="528" w:type="pct"/>
                  <w:shd w:val="clear" w:color="auto" w:fill="FFFFFF"/>
                  <w:noWrap w:val="0"/>
                  <w:vAlign w:val="center"/>
                </w:tcPr>
                <w:p w14:paraId="425FCB1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3E32228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41FC39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116553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265A1F2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4</w:t>
                  </w:r>
                </w:p>
              </w:tc>
              <w:tc>
                <w:tcPr>
                  <w:tcW w:w="561" w:type="pct"/>
                  <w:shd w:val="clear" w:color="auto" w:fill="FFFFFF"/>
                  <w:noWrap w:val="0"/>
                  <w:vAlign w:val="center"/>
                </w:tcPr>
                <w:p w14:paraId="20E21C49">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1AAED5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EB42349">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30</w:t>
                  </w:r>
                </w:p>
              </w:tc>
              <w:tc>
                <w:tcPr>
                  <w:tcW w:w="1057" w:type="pct"/>
                  <w:shd w:val="clear" w:color="auto" w:fill="FFFFFF"/>
                  <w:noWrap w:val="0"/>
                  <w:vAlign w:val="center"/>
                </w:tcPr>
                <w:p w14:paraId="333B27F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1,2-二氯乙烷</w:t>
                  </w:r>
                </w:p>
              </w:tc>
              <w:tc>
                <w:tcPr>
                  <w:tcW w:w="528" w:type="pct"/>
                  <w:shd w:val="clear" w:color="auto" w:fill="FFFFFF"/>
                  <w:noWrap w:val="0"/>
                  <w:vAlign w:val="center"/>
                </w:tcPr>
                <w:p w14:paraId="11FFFFA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CD036B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7B82E7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2F85BD1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06FDA0B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w:t>
                  </w:r>
                </w:p>
              </w:tc>
              <w:tc>
                <w:tcPr>
                  <w:tcW w:w="561" w:type="pct"/>
                  <w:shd w:val="clear" w:color="auto" w:fill="FFFFFF"/>
                  <w:noWrap w:val="0"/>
                  <w:vAlign w:val="center"/>
                </w:tcPr>
                <w:p w14:paraId="27CB99C2">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7CA5CC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8164C0A">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31</w:t>
                  </w:r>
                </w:p>
              </w:tc>
              <w:tc>
                <w:tcPr>
                  <w:tcW w:w="1057" w:type="pct"/>
                  <w:shd w:val="clear" w:color="auto" w:fill="FFFFFF"/>
                  <w:noWrap w:val="0"/>
                  <w:vAlign w:val="center"/>
                </w:tcPr>
                <w:p w14:paraId="67181C0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三氯乙烯</w:t>
                  </w:r>
                </w:p>
              </w:tc>
              <w:tc>
                <w:tcPr>
                  <w:tcW w:w="528" w:type="pct"/>
                  <w:shd w:val="clear" w:color="auto" w:fill="FFFFFF"/>
                  <w:noWrap w:val="0"/>
                  <w:vAlign w:val="center"/>
                </w:tcPr>
                <w:p w14:paraId="5AA46F3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2979296">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1B4E07C">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36B513E">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5ED5D3A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2.8</w:t>
                  </w:r>
                </w:p>
              </w:tc>
              <w:tc>
                <w:tcPr>
                  <w:tcW w:w="561" w:type="pct"/>
                  <w:shd w:val="clear" w:color="auto" w:fill="FFFFFF"/>
                  <w:noWrap w:val="0"/>
                  <w:vAlign w:val="center"/>
                </w:tcPr>
                <w:p w14:paraId="56DE26AF">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02E87E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AFD252E">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32</w:t>
                  </w:r>
                </w:p>
              </w:tc>
              <w:tc>
                <w:tcPr>
                  <w:tcW w:w="1057" w:type="pct"/>
                  <w:shd w:val="clear" w:color="auto" w:fill="FFFFFF"/>
                  <w:noWrap w:val="0"/>
                  <w:vAlign w:val="center"/>
                </w:tcPr>
                <w:p w14:paraId="16D0E337">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1,2-二氯丙烷</w:t>
                  </w:r>
                </w:p>
              </w:tc>
              <w:tc>
                <w:tcPr>
                  <w:tcW w:w="528" w:type="pct"/>
                  <w:shd w:val="clear" w:color="auto" w:fill="FFFFFF"/>
                  <w:noWrap w:val="0"/>
                  <w:vAlign w:val="center"/>
                </w:tcPr>
                <w:p w14:paraId="7228BB4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1D5583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4936D9C3">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6A49AA6">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5F2032F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w:t>
                  </w:r>
                </w:p>
              </w:tc>
              <w:tc>
                <w:tcPr>
                  <w:tcW w:w="561" w:type="pct"/>
                  <w:shd w:val="clear" w:color="auto" w:fill="FFFFFF"/>
                  <w:noWrap w:val="0"/>
                  <w:vAlign w:val="center"/>
                </w:tcPr>
                <w:p w14:paraId="7FF3EA04">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3F571A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1584DEC">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33</w:t>
                  </w:r>
                </w:p>
              </w:tc>
              <w:tc>
                <w:tcPr>
                  <w:tcW w:w="1057" w:type="pct"/>
                  <w:shd w:val="clear" w:color="auto" w:fill="FFFFFF"/>
                  <w:noWrap w:val="0"/>
                  <w:vAlign w:val="center"/>
                </w:tcPr>
                <w:p w14:paraId="3475604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甲苯</w:t>
                  </w:r>
                </w:p>
              </w:tc>
              <w:tc>
                <w:tcPr>
                  <w:tcW w:w="528" w:type="pct"/>
                  <w:shd w:val="clear" w:color="auto" w:fill="FFFFFF"/>
                  <w:noWrap w:val="0"/>
                  <w:vAlign w:val="center"/>
                </w:tcPr>
                <w:p w14:paraId="402B65A9">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293D935D">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5DA2B9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7FA5D90">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27F52B0">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1200</w:t>
                  </w:r>
                </w:p>
              </w:tc>
              <w:tc>
                <w:tcPr>
                  <w:tcW w:w="561" w:type="pct"/>
                  <w:shd w:val="clear" w:color="auto" w:fill="FFFFFF"/>
                  <w:noWrap w:val="0"/>
                  <w:vAlign w:val="center"/>
                </w:tcPr>
                <w:p w14:paraId="1E627234">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7D360E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B097EDA">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34</w:t>
                  </w:r>
                </w:p>
              </w:tc>
              <w:tc>
                <w:tcPr>
                  <w:tcW w:w="1057" w:type="pct"/>
                  <w:shd w:val="clear" w:color="auto" w:fill="FFFFFF"/>
                  <w:noWrap w:val="0"/>
                  <w:vAlign w:val="center"/>
                </w:tcPr>
                <w:p w14:paraId="3C21330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1,1,2-三氯乙烷</w:t>
                  </w:r>
                </w:p>
              </w:tc>
              <w:tc>
                <w:tcPr>
                  <w:tcW w:w="528" w:type="pct"/>
                  <w:shd w:val="clear" w:color="auto" w:fill="FFFFFF"/>
                  <w:noWrap w:val="0"/>
                  <w:vAlign w:val="center"/>
                </w:tcPr>
                <w:p w14:paraId="0FA22B0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57CC15B4">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933ACB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185AE01">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12C7F84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2.8</w:t>
                  </w:r>
                </w:p>
              </w:tc>
              <w:tc>
                <w:tcPr>
                  <w:tcW w:w="561" w:type="pct"/>
                  <w:shd w:val="clear" w:color="auto" w:fill="FFFFFF"/>
                  <w:noWrap w:val="0"/>
                  <w:vAlign w:val="center"/>
                </w:tcPr>
                <w:p w14:paraId="7AB49CBE">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77E049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9C08E2B">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35</w:t>
                  </w:r>
                </w:p>
              </w:tc>
              <w:tc>
                <w:tcPr>
                  <w:tcW w:w="1057" w:type="pct"/>
                  <w:shd w:val="clear" w:color="auto" w:fill="FFFFFF"/>
                  <w:noWrap w:val="0"/>
                  <w:vAlign w:val="center"/>
                </w:tcPr>
                <w:p w14:paraId="56E70C8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四氯乙烯</w:t>
                  </w:r>
                </w:p>
              </w:tc>
              <w:tc>
                <w:tcPr>
                  <w:tcW w:w="528" w:type="pct"/>
                  <w:shd w:val="clear" w:color="auto" w:fill="FFFFFF"/>
                  <w:noWrap w:val="0"/>
                  <w:vAlign w:val="center"/>
                </w:tcPr>
                <w:p w14:paraId="71D1790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54B4A0A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C0E5764">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5B0F07E">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1441767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53</w:t>
                  </w:r>
                </w:p>
              </w:tc>
              <w:tc>
                <w:tcPr>
                  <w:tcW w:w="561" w:type="pct"/>
                  <w:shd w:val="clear" w:color="auto" w:fill="FFFFFF"/>
                  <w:noWrap w:val="0"/>
                  <w:vAlign w:val="center"/>
                </w:tcPr>
                <w:p w14:paraId="473CAACF">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1BB313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0F1E144">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36</w:t>
                  </w:r>
                </w:p>
              </w:tc>
              <w:tc>
                <w:tcPr>
                  <w:tcW w:w="1057" w:type="pct"/>
                  <w:shd w:val="clear" w:color="auto" w:fill="FFFFFF"/>
                  <w:noWrap w:val="0"/>
                  <w:vAlign w:val="center"/>
                </w:tcPr>
                <w:p w14:paraId="0D2ADB7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氯苯</w:t>
                  </w:r>
                </w:p>
              </w:tc>
              <w:tc>
                <w:tcPr>
                  <w:tcW w:w="528" w:type="pct"/>
                  <w:shd w:val="clear" w:color="auto" w:fill="FFFFFF"/>
                  <w:noWrap w:val="0"/>
                  <w:vAlign w:val="center"/>
                </w:tcPr>
                <w:p w14:paraId="7E3FC72D">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0E341AA">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57652E2">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7B940E4">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1B5614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270</w:t>
                  </w:r>
                </w:p>
              </w:tc>
              <w:tc>
                <w:tcPr>
                  <w:tcW w:w="561" w:type="pct"/>
                  <w:shd w:val="clear" w:color="auto" w:fill="FFFFFF"/>
                  <w:noWrap w:val="0"/>
                  <w:vAlign w:val="center"/>
                </w:tcPr>
                <w:p w14:paraId="4D196F22">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3072C1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7AF110B6">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37</w:t>
                  </w:r>
                </w:p>
              </w:tc>
              <w:tc>
                <w:tcPr>
                  <w:tcW w:w="1057" w:type="pct"/>
                  <w:shd w:val="clear" w:color="auto" w:fill="FFFFFF"/>
                  <w:noWrap w:val="0"/>
                  <w:vAlign w:val="center"/>
                </w:tcPr>
                <w:p w14:paraId="56A0C3F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1,1,1,2-四氯乙烷</w:t>
                  </w:r>
                </w:p>
              </w:tc>
              <w:tc>
                <w:tcPr>
                  <w:tcW w:w="528" w:type="pct"/>
                  <w:shd w:val="clear" w:color="auto" w:fill="FFFFFF"/>
                  <w:noWrap w:val="0"/>
                  <w:vAlign w:val="center"/>
                </w:tcPr>
                <w:p w14:paraId="1A6FF62E">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608EC69">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4763F75">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2909C77">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AE2781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10</w:t>
                  </w:r>
                </w:p>
              </w:tc>
              <w:tc>
                <w:tcPr>
                  <w:tcW w:w="561" w:type="pct"/>
                  <w:shd w:val="clear" w:color="auto" w:fill="FFFFFF"/>
                  <w:noWrap w:val="0"/>
                  <w:vAlign w:val="center"/>
                </w:tcPr>
                <w:p w14:paraId="4234F7B9">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16C744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D3682B4">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38</w:t>
                  </w:r>
                </w:p>
              </w:tc>
              <w:tc>
                <w:tcPr>
                  <w:tcW w:w="1057" w:type="pct"/>
                  <w:shd w:val="clear" w:color="auto" w:fill="FFFFFF"/>
                  <w:noWrap w:val="0"/>
                  <w:vAlign w:val="center"/>
                </w:tcPr>
                <w:p w14:paraId="01B7EBD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乙苯</w:t>
                  </w:r>
                </w:p>
              </w:tc>
              <w:tc>
                <w:tcPr>
                  <w:tcW w:w="528" w:type="pct"/>
                  <w:shd w:val="clear" w:color="auto" w:fill="FFFFFF"/>
                  <w:noWrap w:val="0"/>
                  <w:vAlign w:val="center"/>
                </w:tcPr>
                <w:p w14:paraId="79A5CFEF">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01A704A0">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FBD08A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2DF1A95F">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42245F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28</w:t>
                  </w:r>
                </w:p>
              </w:tc>
              <w:tc>
                <w:tcPr>
                  <w:tcW w:w="561" w:type="pct"/>
                  <w:shd w:val="clear" w:color="auto" w:fill="FFFFFF"/>
                  <w:noWrap w:val="0"/>
                  <w:vAlign w:val="center"/>
                </w:tcPr>
                <w:p w14:paraId="383831AE">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6D996E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5ED61B9D">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39</w:t>
                  </w:r>
                </w:p>
              </w:tc>
              <w:tc>
                <w:tcPr>
                  <w:tcW w:w="1057" w:type="pct"/>
                  <w:shd w:val="clear" w:color="auto" w:fill="FFFFFF"/>
                  <w:noWrap w:val="0"/>
                  <w:vAlign w:val="center"/>
                </w:tcPr>
                <w:p w14:paraId="2765B566">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间,对-二甲苯</w:t>
                  </w:r>
                </w:p>
              </w:tc>
              <w:tc>
                <w:tcPr>
                  <w:tcW w:w="528" w:type="pct"/>
                  <w:shd w:val="clear" w:color="auto" w:fill="FFFFFF"/>
                  <w:noWrap w:val="0"/>
                  <w:vAlign w:val="center"/>
                </w:tcPr>
                <w:p w14:paraId="0EF520FA">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9019802">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41372B66">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9D915F1">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BD6738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570</w:t>
                  </w:r>
                </w:p>
              </w:tc>
              <w:tc>
                <w:tcPr>
                  <w:tcW w:w="561" w:type="pct"/>
                  <w:shd w:val="clear" w:color="auto" w:fill="FFFFFF"/>
                  <w:noWrap w:val="0"/>
                  <w:vAlign w:val="center"/>
                </w:tcPr>
                <w:p w14:paraId="40C99D91">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359672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79D022CF">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40</w:t>
                  </w:r>
                </w:p>
              </w:tc>
              <w:tc>
                <w:tcPr>
                  <w:tcW w:w="1057" w:type="pct"/>
                  <w:shd w:val="clear" w:color="auto" w:fill="FFFFFF"/>
                  <w:noWrap w:val="0"/>
                  <w:vAlign w:val="center"/>
                </w:tcPr>
                <w:p w14:paraId="6B172A2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邻二甲苯</w:t>
                  </w:r>
                </w:p>
              </w:tc>
              <w:tc>
                <w:tcPr>
                  <w:tcW w:w="528" w:type="pct"/>
                  <w:shd w:val="clear" w:color="auto" w:fill="FFFFFF"/>
                  <w:noWrap w:val="0"/>
                  <w:vAlign w:val="center"/>
                </w:tcPr>
                <w:p w14:paraId="38F3FABE">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1415959">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0447FD3">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B815064">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EC727DB">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640</w:t>
                  </w:r>
                </w:p>
              </w:tc>
              <w:tc>
                <w:tcPr>
                  <w:tcW w:w="561" w:type="pct"/>
                  <w:shd w:val="clear" w:color="auto" w:fill="FFFFFF"/>
                  <w:noWrap w:val="0"/>
                  <w:vAlign w:val="center"/>
                </w:tcPr>
                <w:p w14:paraId="41D8ABCC">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6DF0CE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2C311A7">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41</w:t>
                  </w:r>
                </w:p>
              </w:tc>
              <w:tc>
                <w:tcPr>
                  <w:tcW w:w="1057" w:type="pct"/>
                  <w:shd w:val="clear" w:color="auto" w:fill="FFFFFF"/>
                  <w:noWrap w:val="0"/>
                  <w:vAlign w:val="center"/>
                </w:tcPr>
                <w:p w14:paraId="2A7F774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苯乙烯</w:t>
                  </w:r>
                </w:p>
              </w:tc>
              <w:tc>
                <w:tcPr>
                  <w:tcW w:w="528" w:type="pct"/>
                  <w:shd w:val="clear" w:color="auto" w:fill="FFFFFF"/>
                  <w:noWrap w:val="0"/>
                  <w:vAlign w:val="center"/>
                </w:tcPr>
                <w:p w14:paraId="5B6C0814">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3C540E6A">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D1C2A05">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E6DC21B">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863706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1290</w:t>
                  </w:r>
                </w:p>
              </w:tc>
              <w:tc>
                <w:tcPr>
                  <w:tcW w:w="561" w:type="pct"/>
                  <w:shd w:val="clear" w:color="auto" w:fill="FFFFFF"/>
                  <w:noWrap w:val="0"/>
                  <w:vAlign w:val="center"/>
                </w:tcPr>
                <w:p w14:paraId="06DBD6A5">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298E20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0872D58">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42</w:t>
                  </w:r>
                </w:p>
              </w:tc>
              <w:tc>
                <w:tcPr>
                  <w:tcW w:w="1057" w:type="pct"/>
                  <w:shd w:val="clear" w:color="auto" w:fill="FFFFFF"/>
                  <w:noWrap w:val="0"/>
                  <w:vAlign w:val="center"/>
                </w:tcPr>
                <w:p w14:paraId="4235277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1,1,2,2-四氯乙烷</w:t>
                  </w:r>
                </w:p>
              </w:tc>
              <w:tc>
                <w:tcPr>
                  <w:tcW w:w="528" w:type="pct"/>
                  <w:shd w:val="clear" w:color="auto" w:fill="FFFFFF"/>
                  <w:noWrap w:val="0"/>
                  <w:vAlign w:val="center"/>
                </w:tcPr>
                <w:p w14:paraId="507F598E">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3512A9D">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EBF838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128B27E5">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1EE2AD1A">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6.8</w:t>
                  </w:r>
                </w:p>
              </w:tc>
              <w:tc>
                <w:tcPr>
                  <w:tcW w:w="561" w:type="pct"/>
                  <w:shd w:val="clear" w:color="auto" w:fill="FFFFFF"/>
                  <w:noWrap w:val="0"/>
                  <w:vAlign w:val="center"/>
                </w:tcPr>
                <w:p w14:paraId="603D6E33">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0C9720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4DE97CDE">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43</w:t>
                  </w:r>
                </w:p>
              </w:tc>
              <w:tc>
                <w:tcPr>
                  <w:tcW w:w="1057" w:type="pct"/>
                  <w:shd w:val="clear" w:color="auto" w:fill="FFFFFF"/>
                  <w:noWrap w:val="0"/>
                  <w:vAlign w:val="center"/>
                </w:tcPr>
                <w:p w14:paraId="73D2F9C3">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1,2,3-三氯丙烷</w:t>
                  </w:r>
                </w:p>
              </w:tc>
              <w:tc>
                <w:tcPr>
                  <w:tcW w:w="528" w:type="pct"/>
                  <w:shd w:val="clear" w:color="auto" w:fill="FFFFFF"/>
                  <w:noWrap w:val="0"/>
                  <w:vAlign w:val="center"/>
                </w:tcPr>
                <w:p w14:paraId="5926E0A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DDCCA82">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0A336912">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061C440">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12EFF711">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0.5</w:t>
                  </w:r>
                </w:p>
              </w:tc>
              <w:tc>
                <w:tcPr>
                  <w:tcW w:w="561" w:type="pct"/>
                  <w:shd w:val="clear" w:color="auto" w:fill="FFFFFF"/>
                  <w:noWrap w:val="0"/>
                  <w:vAlign w:val="center"/>
                </w:tcPr>
                <w:p w14:paraId="49197331">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210D6E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054743BA">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44</w:t>
                  </w:r>
                </w:p>
              </w:tc>
              <w:tc>
                <w:tcPr>
                  <w:tcW w:w="1057" w:type="pct"/>
                  <w:shd w:val="clear" w:color="auto" w:fill="FFFFFF"/>
                  <w:noWrap w:val="0"/>
                  <w:vAlign w:val="center"/>
                </w:tcPr>
                <w:p w14:paraId="185F7BA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1,4-二氯苯</w:t>
                  </w:r>
                </w:p>
              </w:tc>
              <w:tc>
                <w:tcPr>
                  <w:tcW w:w="528" w:type="pct"/>
                  <w:shd w:val="clear" w:color="auto" w:fill="FFFFFF"/>
                  <w:noWrap w:val="0"/>
                  <w:vAlign w:val="center"/>
                </w:tcPr>
                <w:p w14:paraId="4D8EA9A0">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D0DC183">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5F38A6C3">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9F3B104">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0EC47CEE">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20</w:t>
                  </w:r>
                </w:p>
              </w:tc>
              <w:tc>
                <w:tcPr>
                  <w:tcW w:w="561" w:type="pct"/>
                  <w:shd w:val="clear" w:color="auto" w:fill="FFFFFF"/>
                  <w:noWrap w:val="0"/>
                  <w:vAlign w:val="center"/>
                </w:tcPr>
                <w:p w14:paraId="4793E019">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643271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CF159EE">
                  <w:pPr>
                    <w:widowControl/>
                    <w:jc w:val="center"/>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45</w:t>
                  </w:r>
                </w:p>
              </w:tc>
              <w:tc>
                <w:tcPr>
                  <w:tcW w:w="1057" w:type="pct"/>
                  <w:shd w:val="clear" w:color="auto" w:fill="FFFFFF"/>
                  <w:noWrap w:val="0"/>
                  <w:vAlign w:val="center"/>
                </w:tcPr>
                <w:p w14:paraId="1EF53868">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1,2-二氯苯</w:t>
                  </w:r>
                </w:p>
              </w:tc>
              <w:tc>
                <w:tcPr>
                  <w:tcW w:w="528" w:type="pct"/>
                  <w:shd w:val="clear" w:color="auto" w:fill="FFFFFF"/>
                  <w:noWrap w:val="0"/>
                  <w:vAlign w:val="center"/>
                </w:tcPr>
                <w:p w14:paraId="71D4E550">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06AC3F1">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1E99CC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79AA2DE8">
                  <w:pPr>
                    <w:widowControl/>
                    <w:jc w:val="center"/>
                    <w:textAlignment w:val="center"/>
                    <w:rPr>
                      <w:rFonts w:hint="eastAsia" w:ascii="宋体" w:hAnsi="宋体" w:cs="宋体"/>
                      <w:color w:val="000000"/>
                      <w:sz w:val="21"/>
                      <w:szCs w:val="21"/>
                      <w:highlight w:val="none"/>
                      <w:lang w:bidi="zh-CN"/>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358EEE49">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560</w:t>
                  </w:r>
                </w:p>
              </w:tc>
              <w:tc>
                <w:tcPr>
                  <w:tcW w:w="561" w:type="pct"/>
                  <w:shd w:val="clear" w:color="auto" w:fill="FFFFFF"/>
                  <w:noWrap w:val="0"/>
                  <w:vAlign w:val="center"/>
                </w:tcPr>
                <w:p w14:paraId="6C957108">
                  <w:pPr>
                    <w:jc w:val="center"/>
                    <w:rPr>
                      <w:rFonts w:hint="eastAsia" w:ascii="宋体" w:hAnsi="宋体" w:cs="宋体"/>
                      <w:color w:val="000000"/>
                      <w:sz w:val="21"/>
                      <w:szCs w:val="21"/>
                      <w:highlight w:val="none"/>
                      <w:lang w:val="zh-CN"/>
                    </w:rPr>
                  </w:pPr>
                  <w:r>
                    <w:rPr>
                      <w:rFonts w:hint="eastAsia" w:ascii="宋体" w:hAnsi="宋体" w:cs="宋体"/>
                      <w:color w:val="000000"/>
                      <w:sz w:val="21"/>
                      <w:szCs w:val="21"/>
                      <w:highlight w:val="none"/>
                    </w:rPr>
                    <w:t>达标</w:t>
                  </w:r>
                </w:p>
              </w:tc>
            </w:tr>
            <w:tr w14:paraId="33C37D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47BBEF4">
                  <w:pPr>
                    <w:widowControl/>
                    <w:jc w:val="center"/>
                    <w:textAlignment w:val="center"/>
                    <w:rPr>
                      <w:rFonts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46</w:t>
                  </w:r>
                </w:p>
              </w:tc>
              <w:tc>
                <w:tcPr>
                  <w:tcW w:w="1057" w:type="pct"/>
                  <w:shd w:val="clear" w:color="auto" w:fill="FFFFFF"/>
                  <w:noWrap w:val="0"/>
                  <w:vAlign w:val="center"/>
                </w:tcPr>
                <w:p w14:paraId="47A81031">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kern w:val="0"/>
                      <w:sz w:val="21"/>
                      <w:szCs w:val="21"/>
                      <w:highlight w:val="none"/>
                      <w:lang w:bidi="ar"/>
                    </w:rPr>
                    <w:t>2,4-二氯苯酚</w:t>
                  </w:r>
                </w:p>
              </w:tc>
              <w:tc>
                <w:tcPr>
                  <w:tcW w:w="528" w:type="pct"/>
                  <w:shd w:val="clear" w:color="auto" w:fill="FFFFFF"/>
                  <w:noWrap w:val="0"/>
                  <w:vAlign w:val="center"/>
                </w:tcPr>
                <w:p w14:paraId="0BC8B02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638043DF">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6F71FDB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5F7BCA7D">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838C83A">
                  <w:pPr>
                    <w:jc w:val="center"/>
                    <w:rPr>
                      <w:rFonts w:ascii="宋体" w:hAnsi="宋体" w:cs="宋体"/>
                      <w:color w:val="000000"/>
                      <w:sz w:val="21"/>
                      <w:szCs w:val="21"/>
                      <w:highlight w:val="none"/>
                    </w:rPr>
                  </w:pPr>
                  <w:r>
                    <w:rPr>
                      <w:rFonts w:hint="eastAsia" w:ascii="宋体" w:hAnsi="宋体" w:cs="宋体"/>
                      <w:color w:val="000000"/>
                      <w:sz w:val="21"/>
                      <w:szCs w:val="21"/>
                      <w:highlight w:val="none"/>
                    </w:rPr>
                    <w:t>843</w:t>
                  </w:r>
                </w:p>
              </w:tc>
              <w:tc>
                <w:tcPr>
                  <w:tcW w:w="561" w:type="pct"/>
                  <w:shd w:val="clear" w:color="auto" w:fill="FFFFFF"/>
                  <w:noWrap w:val="0"/>
                  <w:vAlign w:val="center"/>
                </w:tcPr>
                <w:p w14:paraId="0A7A7064">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2BBBA7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697EA4DE">
                  <w:pPr>
                    <w:widowControl/>
                    <w:jc w:val="center"/>
                    <w:textAlignment w:val="center"/>
                    <w:rPr>
                      <w:rFonts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47</w:t>
                  </w:r>
                </w:p>
              </w:tc>
              <w:tc>
                <w:tcPr>
                  <w:tcW w:w="1057" w:type="pct"/>
                  <w:shd w:val="clear" w:color="auto" w:fill="FFFFFF"/>
                  <w:noWrap w:val="0"/>
                  <w:vAlign w:val="center"/>
                </w:tcPr>
                <w:p w14:paraId="5FC528FD">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kern w:val="0"/>
                      <w:sz w:val="21"/>
                      <w:szCs w:val="21"/>
                      <w:highlight w:val="none"/>
                      <w:lang w:bidi="ar"/>
                    </w:rPr>
                    <w:t>2,4,6-三氯苯酚</w:t>
                  </w:r>
                </w:p>
              </w:tc>
              <w:tc>
                <w:tcPr>
                  <w:tcW w:w="528" w:type="pct"/>
                  <w:shd w:val="clear" w:color="auto" w:fill="FFFFFF"/>
                  <w:noWrap w:val="0"/>
                  <w:vAlign w:val="center"/>
                </w:tcPr>
                <w:p w14:paraId="2D7216F6">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70C177C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21EA0CB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3F36FF3">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DEAFEB2">
                  <w:pPr>
                    <w:jc w:val="center"/>
                    <w:rPr>
                      <w:rFonts w:ascii="宋体" w:hAnsi="宋体" w:cs="宋体"/>
                      <w:color w:val="000000"/>
                      <w:sz w:val="21"/>
                      <w:szCs w:val="21"/>
                      <w:highlight w:val="none"/>
                    </w:rPr>
                  </w:pPr>
                  <w:r>
                    <w:rPr>
                      <w:rFonts w:hint="eastAsia" w:ascii="宋体" w:hAnsi="宋体" w:cs="宋体"/>
                      <w:color w:val="000000"/>
                      <w:sz w:val="21"/>
                      <w:szCs w:val="21"/>
                      <w:highlight w:val="none"/>
                    </w:rPr>
                    <w:t>137</w:t>
                  </w:r>
                </w:p>
              </w:tc>
              <w:tc>
                <w:tcPr>
                  <w:tcW w:w="561" w:type="pct"/>
                  <w:shd w:val="clear" w:color="auto" w:fill="FFFFFF"/>
                  <w:noWrap w:val="0"/>
                  <w:vAlign w:val="center"/>
                </w:tcPr>
                <w:p w14:paraId="4C3F248F">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008E71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285C7C0">
                  <w:pPr>
                    <w:widowControl/>
                    <w:jc w:val="center"/>
                    <w:textAlignment w:val="center"/>
                    <w:rPr>
                      <w:rFonts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48</w:t>
                  </w:r>
                </w:p>
              </w:tc>
              <w:tc>
                <w:tcPr>
                  <w:tcW w:w="1057" w:type="pct"/>
                  <w:shd w:val="clear" w:color="auto" w:fill="FFFFFF"/>
                  <w:noWrap w:val="0"/>
                  <w:vAlign w:val="center"/>
                </w:tcPr>
                <w:p w14:paraId="755DC5B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kern w:val="0"/>
                      <w:sz w:val="21"/>
                      <w:szCs w:val="21"/>
                      <w:highlight w:val="none"/>
                      <w:lang w:bidi="ar"/>
                    </w:rPr>
                    <w:t>2,4-二硝基苯酚</w:t>
                  </w:r>
                </w:p>
              </w:tc>
              <w:tc>
                <w:tcPr>
                  <w:tcW w:w="528" w:type="pct"/>
                  <w:shd w:val="clear" w:color="auto" w:fill="FFFFFF"/>
                  <w:noWrap w:val="0"/>
                  <w:vAlign w:val="center"/>
                </w:tcPr>
                <w:p w14:paraId="50EDC05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1E6BBCF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67A39E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6E869EBA">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DEA90F5">
                  <w:pPr>
                    <w:jc w:val="center"/>
                    <w:rPr>
                      <w:rFonts w:ascii="宋体" w:hAnsi="宋体" w:cs="宋体"/>
                      <w:color w:val="000000"/>
                      <w:sz w:val="21"/>
                      <w:szCs w:val="21"/>
                      <w:highlight w:val="none"/>
                    </w:rPr>
                  </w:pPr>
                  <w:r>
                    <w:rPr>
                      <w:rFonts w:hint="eastAsia" w:ascii="宋体" w:hAnsi="宋体" w:cs="宋体"/>
                      <w:color w:val="000000"/>
                      <w:sz w:val="21"/>
                      <w:szCs w:val="21"/>
                      <w:highlight w:val="none"/>
                    </w:rPr>
                    <w:t>562</w:t>
                  </w:r>
                </w:p>
              </w:tc>
              <w:tc>
                <w:tcPr>
                  <w:tcW w:w="561" w:type="pct"/>
                  <w:shd w:val="clear" w:color="auto" w:fill="FFFFFF"/>
                  <w:noWrap w:val="0"/>
                  <w:vAlign w:val="center"/>
                </w:tcPr>
                <w:p w14:paraId="564005B2">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30E39E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2FD477D0">
                  <w:pPr>
                    <w:widowControl/>
                    <w:jc w:val="center"/>
                    <w:textAlignment w:val="center"/>
                    <w:rPr>
                      <w:rFonts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49</w:t>
                  </w:r>
                </w:p>
              </w:tc>
              <w:tc>
                <w:tcPr>
                  <w:tcW w:w="1057" w:type="pct"/>
                  <w:shd w:val="clear" w:color="auto" w:fill="FFFFFF"/>
                  <w:noWrap w:val="0"/>
                  <w:vAlign w:val="center"/>
                </w:tcPr>
                <w:p w14:paraId="48DEE8D9">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kern w:val="0"/>
                      <w:sz w:val="21"/>
                      <w:szCs w:val="21"/>
                      <w:highlight w:val="none"/>
                      <w:lang w:bidi="ar"/>
                    </w:rPr>
                    <w:t>五氯酚</w:t>
                  </w:r>
                </w:p>
              </w:tc>
              <w:tc>
                <w:tcPr>
                  <w:tcW w:w="528" w:type="pct"/>
                  <w:shd w:val="clear" w:color="auto" w:fill="FFFFFF"/>
                  <w:noWrap w:val="0"/>
                  <w:vAlign w:val="center"/>
                </w:tcPr>
                <w:p w14:paraId="71E3335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21239D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14A4F26F">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006A5AB7">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4821B4AF">
                  <w:pPr>
                    <w:jc w:val="center"/>
                    <w:rPr>
                      <w:rFonts w:ascii="宋体" w:hAnsi="宋体" w:cs="宋体"/>
                      <w:color w:val="000000"/>
                      <w:sz w:val="21"/>
                      <w:szCs w:val="21"/>
                      <w:highlight w:val="none"/>
                    </w:rPr>
                  </w:pPr>
                  <w:r>
                    <w:rPr>
                      <w:rFonts w:hint="eastAsia" w:ascii="宋体" w:hAnsi="宋体" w:cs="宋体"/>
                      <w:color w:val="000000"/>
                      <w:sz w:val="21"/>
                      <w:szCs w:val="21"/>
                      <w:highlight w:val="none"/>
                    </w:rPr>
                    <w:t>2.7</w:t>
                  </w:r>
                </w:p>
              </w:tc>
              <w:tc>
                <w:tcPr>
                  <w:tcW w:w="561" w:type="pct"/>
                  <w:shd w:val="clear" w:color="auto" w:fill="FFFFFF"/>
                  <w:noWrap w:val="0"/>
                  <w:vAlign w:val="center"/>
                </w:tcPr>
                <w:p w14:paraId="0BE783C5">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r w14:paraId="3C08AB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09" w:type="pct"/>
                  <w:shd w:val="clear" w:color="auto" w:fill="FFFFFF"/>
                  <w:noWrap w:val="0"/>
                  <w:vAlign w:val="center"/>
                </w:tcPr>
                <w:p w14:paraId="1DE97556">
                  <w:pPr>
                    <w:widowControl/>
                    <w:jc w:val="center"/>
                    <w:textAlignment w:val="center"/>
                    <w:rPr>
                      <w:rFonts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50</w:t>
                  </w:r>
                </w:p>
              </w:tc>
              <w:tc>
                <w:tcPr>
                  <w:tcW w:w="1057" w:type="pct"/>
                  <w:shd w:val="clear" w:color="auto" w:fill="FFFFFF"/>
                  <w:noWrap w:val="0"/>
                  <w:vAlign w:val="center"/>
                </w:tcPr>
                <w:p w14:paraId="4A89FAE8">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kern w:val="0"/>
                      <w:sz w:val="21"/>
                      <w:szCs w:val="21"/>
                      <w:highlight w:val="none"/>
                      <w:lang w:bidi="ar"/>
                    </w:rPr>
                    <w:t>氰化物</w:t>
                  </w:r>
                </w:p>
              </w:tc>
              <w:tc>
                <w:tcPr>
                  <w:tcW w:w="528" w:type="pct"/>
                  <w:shd w:val="clear" w:color="auto" w:fill="FFFFFF"/>
                  <w:noWrap w:val="0"/>
                  <w:vAlign w:val="center"/>
                </w:tcPr>
                <w:p w14:paraId="52082676">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28" w:type="pct"/>
                  <w:shd w:val="clear" w:color="auto" w:fill="FFFFFF"/>
                  <w:noWrap w:val="0"/>
                  <w:vAlign w:val="center"/>
                </w:tcPr>
                <w:p w14:paraId="4E0AC6C0">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535" w:type="pct"/>
                  <w:shd w:val="clear" w:color="auto" w:fill="FFFFFF"/>
                  <w:noWrap w:val="0"/>
                  <w:vAlign w:val="center"/>
                </w:tcPr>
                <w:p w14:paraId="788B9BD1">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ND</w:t>
                  </w:r>
                </w:p>
              </w:tc>
              <w:tc>
                <w:tcPr>
                  <w:tcW w:w="643" w:type="pct"/>
                  <w:shd w:val="clear" w:color="auto" w:fill="FFFFFF"/>
                  <w:noWrap w:val="0"/>
                  <w:vAlign w:val="center"/>
                </w:tcPr>
                <w:p w14:paraId="4702D3BB">
                  <w:pPr>
                    <w:widowControl/>
                    <w:jc w:val="center"/>
                    <w:textAlignment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mg/kg</w:t>
                  </w:r>
                </w:p>
              </w:tc>
              <w:tc>
                <w:tcPr>
                  <w:tcW w:w="836" w:type="pct"/>
                  <w:shd w:val="clear" w:color="auto" w:fill="FFFFFF"/>
                  <w:noWrap w:val="0"/>
                  <w:vAlign w:val="center"/>
                </w:tcPr>
                <w:p w14:paraId="7F5E56DB">
                  <w:pPr>
                    <w:jc w:val="center"/>
                    <w:rPr>
                      <w:rFonts w:ascii="宋体" w:hAnsi="宋体" w:cs="宋体"/>
                      <w:color w:val="000000"/>
                      <w:sz w:val="21"/>
                      <w:szCs w:val="21"/>
                      <w:highlight w:val="none"/>
                    </w:rPr>
                  </w:pPr>
                  <w:r>
                    <w:rPr>
                      <w:rFonts w:hint="eastAsia" w:ascii="宋体" w:hAnsi="宋体" w:cs="宋体"/>
                      <w:color w:val="000000"/>
                      <w:sz w:val="21"/>
                      <w:szCs w:val="21"/>
                      <w:highlight w:val="none"/>
                    </w:rPr>
                    <w:t>135</w:t>
                  </w:r>
                </w:p>
              </w:tc>
              <w:tc>
                <w:tcPr>
                  <w:tcW w:w="561" w:type="pct"/>
                  <w:shd w:val="clear" w:color="auto" w:fill="FFFFFF"/>
                  <w:noWrap w:val="0"/>
                  <w:vAlign w:val="center"/>
                </w:tcPr>
                <w:p w14:paraId="5C9D22AD">
                  <w:pPr>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达标</w:t>
                  </w:r>
                </w:p>
              </w:tc>
            </w:tr>
          </w:tbl>
          <w:p w14:paraId="5186F6A4">
            <w:pPr>
              <w:spacing w:line="360" w:lineRule="auto"/>
              <w:ind w:firstLine="480" w:firstLineChars="200"/>
              <w:rPr>
                <w:color w:val="000000"/>
                <w:sz w:val="24"/>
                <w:szCs w:val="24"/>
                <w:highlight w:val="none"/>
              </w:rPr>
            </w:pPr>
            <w:r>
              <w:rPr>
                <w:color w:val="000000"/>
                <w:sz w:val="24"/>
                <w:szCs w:val="24"/>
                <w:highlight w:val="none"/>
              </w:rPr>
              <w:t>由表中土壤环境质量现状监测结果可知，各监测因子的监测值均低于《土壤环境质量建设用地土壤污染风险管控标准（试行）》（GB36600-2018）中第二类用地标准限值（筛选值）</w:t>
            </w:r>
            <w:r>
              <w:rPr>
                <w:rFonts w:hint="eastAsia"/>
                <w:color w:val="000000"/>
                <w:sz w:val="24"/>
                <w:szCs w:val="24"/>
                <w:highlight w:val="none"/>
              </w:rPr>
              <w:t>。</w:t>
            </w:r>
          </w:p>
          <w:p w14:paraId="4B7CF5D6">
            <w:pPr>
              <w:autoSpaceDE w:val="0"/>
              <w:autoSpaceDN w:val="0"/>
              <w:adjustRightInd w:val="0"/>
              <w:spacing w:line="360" w:lineRule="auto"/>
              <w:ind w:firstLine="482" w:firstLineChars="200"/>
              <w:jc w:val="left"/>
              <w:textAlignment w:val="baseline"/>
              <w:rPr>
                <w:b/>
                <w:bCs/>
                <w:color w:val="000000"/>
                <w:sz w:val="24"/>
                <w:szCs w:val="24"/>
                <w:highlight w:val="none"/>
              </w:rPr>
            </w:pPr>
            <w:r>
              <w:rPr>
                <w:rFonts w:hint="eastAsia"/>
                <w:b/>
                <w:bCs/>
                <w:color w:val="000000"/>
                <w:sz w:val="24"/>
                <w:szCs w:val="24"/>
                <w:highlight w:val="none"/>
                <w:lang w:val="en-US" w:eastAsia="zh-CN"/>
              </w:rPr>
              <w:t>4</w:t>
            </w:r>
            <w:r>
              <w:rPr>
                <w:b/>
                <w:bCs/>
                <w:color w:val="000000"/>
                <w:sz w:val="24"/>
                <w:szCs w:val="24"/>
                <w:highlight w:val="none"/>
              </w:rPr>
              <w:t>、声环境</w:t>
            </w:r>
          </w:p>
          <w:p w14:paraId="07F3D100">
            <w:pPr>
              <w:pStyle w:val="34"/>
              <w:spacing w:line="360" w:lineRule="auto"/>
              <w:ind w:firstLine="480"/>
              <w:jc w:val="left"/>
              <w:rPr>
                <w:color w:val="000000"/>
                <w:highlight w:val="none"/>
              </w:rPr>
            </w:pPr>
            <w:r>
              <w:rPr>
                <w:rFonts w:hint="eastAsia"/>
                <w:color w:val="000000"/>
                <w:sz w:val="24"/>
                <w:szCs w:val="24"/>
                <w:highlight w:val="none"/>
              </w:rPr>
              <w:t>本项目厂界外周边50米范围内不存在声环境保护目标，不进行监测</w:t>
            </w:r>
            <w:r>
              <w:rPr>
                <w:rFonts w:hint="eastAsia"/>
                <w:color w:val="000000"/>
                <w:highlight w:val="none"/>
              </w:rPr>
              <w:t>。</w:t>
            </w:r>
          </w:p>
          <w:p w14:paraId="3817866F">
            <w:pPr>
              <w:pStyle w:val="2"/>
              <w:spacing w:line="360" w:lineRule="auto"/>
              <w:ind w:firstLine="482"/>
              <w:rPr>
                <w:b/>
                <w:color w:val="000000"/>
                <w:sz w:val="24"/>
                <w:highlight w:val="none"/>
              </w:rPr>
            </w:pPr>
            <w:r>
              <w:rPr>
                <w:rFonts w:hint="eastAsia"/>
                <w:b/>
                <w:color w:val="000000"/>
                <w:sz w:val="24"/>
                <w:highlight w:val="none"/>
                <w:lang w:val="en-US" w:eastAsia="zh-CN"/>
              </w:rPr>
              <w:t>5</w:t>
            </w:r>
            <w:r>
              <w:rPr>
                <w:b/>
                <w:color w:val="000000"/>
                <w:sz w:val="24"/>
                <w:highlight w:val="none"/>
              </w:rPr>
              <w:t>、生态环境现状</w:t>
            </w:r>
          </w:p>
          <w:p w14:paraId="62FDEB12">
            <w:pPr>
              <w:pStyle w:val="19"/>
              <w:ind w:firstLine="482"/>
              <w:rPr>
                <w:rFonts w:hint="eastAsia"/>
                <w:color w:val="000000"/>
                <w:kern w:val="0"/>
                <w:szCs w:val="21"/>
                <w:highlight w:val="none"/>
              </w:rPr>
            </w:pPr>
            <w:r>
              <w:rPr>
                <w:rFonts w:hint="eastAsia" w:cs="Times New Roman"/>
                <w:color w:val="000000"/>
                <w:highlight w:val="none"/>
                <w:lang w:eastAsia="zh-CN"/>
              </w:rPr>
              <w:t>本项目不新增占地，在</w:t>
            </w:r>
            <w:r>
              <w:rPr>
                <w:rFonts w:hint="eastAsia" w:cs="Times New Roman"/>
                <w:color w:val="000000"/>
                <w:highlight w:val="none"/>
              </w:rPr>
              <w:t>原</w:t>
            </w:r>
            <w:r>
              <w:rPr>
                <w:rFonts w:hint="eastAsia" w:cs="Times New Roman"/>
                <w:color w:val="000000"/>
                <w:highlight w:val="none"/>
                <w:lang w:eastAsia="zh-CN"/>
              </w:rPr>
              <w:t>有</w:t>
            </w:r>
            <w:r>
              <w:rPr>
                <w:rFonts w:hint="eastAsia" w:cs="Times New Roman"/>
                <w:color w:val="000000"/>
                <w:highlight w:val="none"/>
                <w:lang w:val="en-US" w:eastAsia="zh-CN"/>
              </w:rPr>
              <w:t>厂区</w:t>
            </w:r>
            <w:r>
              <w:rPr>
                <w:rFonts w:hint="eastAsia" w:cs="Times New Roman"/>
                <w:color w:val="000000"/>
                <w:highlight w:val="none"/>
                <w:lang w:eastAsia="zh-CN"/>
              </w:rPr>
              <w:t>占地范围内</w:t>
            </w:r>
            <w:r>
              <w:rPr>
                <w:rFonts w:hint="eastAsia" w:cs="Times New Roman"/>
                <w:color w:val="000000"/>
                <w:highlight w:val="none"/>
              </w:rPr>
              <w:t>，用地为工业用地，无新增用地，</w:t>
            </w:r>
            <w:r>
              <w:rPr>
                <w:rFonts w:cs="Times New Roman"/>
                <w:color w:val="000000"/>
                <w:highlight w:val="none"/>
              </w:rPr>
              <w:t>因此</w:t>
            </w:r>
            <w:r>
              <w:rPr>
                <w:rFonts w:hint="eastAsia" w:cs="Times New Roman"/>
                <w:color w:val="000000"/>
                <w:highlight w:val="none"/>
              </w:rPr>
              <w:t>不</w:t>
            </w:r>
            <w:r>
              <w:rPr>
                <w:rFonts w:cs="Times New Roman"/>
                <w:color w:val="000000"/>
                <w:highlight w:val="none"/>
              </w:rPr>
              <w:t>开展生态环境现状调查。</w:t>
            </w:r>
          </w:p>
        </w:tc>
      </w:tr>
      <w:tr w14:paraId="25026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4" w:type="dxa"/>
            <w:noWrap w:val="0"/>
            <w:vAlign w:val="center"/>
          </w:tcPr>
          <w:p w14:paraId="4E358117">
            <w:pPr>
              <w:adjustRightInd w:val="0"/>
              <w:snapToGrid w:val="0"/>
              <w:jc w:val="center"/>
              <w:rPr>
                <w:b/>
                <w:color w:val="000000"/>
                <w:kern w:val="0"/>
                <w:sz w:val="24"/>
                <w:highlight w:val="none"/>
              </w:rPr>
            </w:pPr>
            <w:r>
              <w:rPr>
                <w:b/>
                <w:color w:val="000000"/>
                <w:kern w:val="0"/>
                <w:sz w:val="24"/>
                <w:highlight w:val="none"/>
              </w:rPr>
              <w:t>环境</w:t>
            </w:r>
          </w:p>
          <w:p w14:paraId="5740AD85">
            <w:pPr>
              <w:adjustRightInd w:val="0"/>
              <w:snapToGrid w:val="0"/>
              <w:jc w:val="center"/>
              <w:rPr>
                <w:b/>
                <w:color w:val="000000"/>
                <w:kern w:val="0"/>
                <w:sz w:val="24"/>
                <w:highlight w:val="none"/>
              </w:rPr>
            </w:pPr>
            <w:r>
              <w:rPr>
                <w:b/>
                <w:color w:val="000000"/>
                <w:kern w:val="0"/>
                <w:sz w:val="24"/>
                <w:highlight w:val="none"/>
              </w:rPr>
              <w:t>保护</w:t>
            </w:r>
          </w:p>
          <w:p w14:paraId="246AFA55">
            <w:pPr>
              <w:adjustRightInd w:val="0"/>
              <w:snapToGrid w:val="0"/>
              <w:jc w:val="center"/>
              <w:rPr>
                <w:color w:val="000000"/>
                <w:kern w:val="0"/>
                <w:szCs w:val="21"/>
                <w:highlight w:val="none"/>
              </w:rPr>
            </w:pPr>
            <w:r>
              <w:rPr>
                <w:b/>
                <w:color w:val="000000"/>
                <w:kern w:val="0"/>
                <w:sz w:val="24"/>
                <w:highlight w:val="none"/>
              </w:rPr>
              <w:t>目标</w:t>
            </w:r>
          </w:p>
        </w:tc>
        <w:tc>
          <w:tcPr>
            <w:tcW w:w="8836" w:type="dxa"/>
            <w:noWrap w:val="0"/>
            <w:vAlign w:val="center"/>
          </w:tcPr>
          <w:p w14:paraId="4FF8E72A">
            <w:pPr>
              <w:jc w:val="left"/>
              <w:rPr>
                <w:b/>
                <w:color w:val="000000"/>
                <w:sz w:val="28"/>
                <w:szCs w:val="28"/>
                <w:highlight w:val="none"/>
              </w:rPr>
            </w:pPr>
            <w:r>
              <w:rPr>
                <w:b/>
                <w:color w:val="000000"/>
                <w:sz w:val="28"/>
                <w:szCs w:val="28"/>
                <w:highlight w:val="none"/>
              </w:rPr>
              <w:t>主要环境保护目标（列出名单及保护级别）：</w:t>
            </w:r>
          </w:p>
          <w:p w14:paraId="62689DA3">
            <w:pPr>
              <w:pStyle w:val="19"/>
              <w:rPr>
                <w:rFonts w:hint="default" w:eastAsia="宋体"/>
                <w:color w:val="000000"/>
                <w:highlight w:val="none"/>
                <w:lang w:val="en-US" w:eastAsia="zh-CN"/>
              </w:rPr>
            </w:pPr>
            <w:r>
              <w:rPr>
                <w:rFonts w:hint="eastAsia"/>
                <w:color w:val="000000"/>
                <w:highlight w:val="none"/>
                <w:lang w:val="en-US" w:eastAsia="zh-CN"/>
              </w:rPr>
              <w:t>根据</w:t>
            </w:r>
            <w:r>
              <w:rPr>
                <w:rFonts w:hint="eastAsia"/>
                <w:color w:val="000000"/>
                <w:highlight w:val="none"/>
              </w:rPr>
              <w:t>《建设项目环境影响报告表编制技术指南（污染影响类）（试行）</w:t>
            </w:r>
            <w:r>
              <w:rPr>
                <w:color w:val="000000"/>
                <w:kern w:val="2"/>
                <w:highlight w:val="none"/>
                <w:lang w:val="en-US" w:eastAsia="zh-CN"/>
              </w:rPr>
              <w:t>》</w:t>
            </w:r>
            <w:r>
              <w:rPr>
                <w:rFonts w:hint="eastAsia"/>
                <w:color w:val="000000"/>
                <w:highlight w:val="none"/>
                <w:lang w:val="en-US" w:eastAsia="zh-CN"/>
              </w:rPr>
              <w:t>中</w:t>
            </w:r>
            <w:r>
              <w:rPr>
                <w:rFonts w:hint="eastAsia"/>
                <w:color w:val="000000"/>
                <w:highlight w:val="none"/>
              </w:rPr>
              <w:t>关于环境保护目标的规定，</w:t>
            </w:r>
            <w:r>
              <w:rPr>
                <w:rFonts w:hint="eastAsia"/>
                <w:color w:val="000000"/>
                <w:highlight w:val="none"/>
                <w:lang w:val="en-US" w:eastAsia="zh-CN"/>
              </w:rPr>
              <w:t>本项目周边敏感目标情况如下：</w:t>
            </w:r>
          </w:p>
          <w:p w14:paraId="019996A7">
            <w:pPr>
              <w:pStyle w:val="19"/>
              <w:rPr>
                <w:color w:val="000000"/>
                <w:highlight w:val="none"/>
              </w:rPr>
            </w:pPr>
            <w:r>
              <w:rPr>
                <w:color w:val="000000"/>
                <w:highlight w:val="none"/>
              </w:rPr>
              <w:t>大气环境：厂界外500m范围</w:t>
            </w:r>
            <w:r>
              <w:rPr>
                <w:rFonts w:hint="eastAsia"/>
                <w:color w:val="000000"/>
                <w:highlight w:val="none"/>
                <w:lang w:val="en-US" w:eastAsia="zh-CN"/>
              </w:rPr>
              <w:t>无</w:t>
            </w:r>
            <w:r>
              <w:rPr>
                <w:color w:val="000000"/>
                <w:highlight w:val="none"/>
              </w:rPr>
              <w:t>自然保护区、风景名胜区、居住区、文化区和农村地区中人群较集中的区域；</w:t>
            </w:r>
          </w:p>
          <w:p w14:paraId="54F69823">
            <w:pPr>
              <w:pStyle w:val="19"/>
              <w:rPr>
                <w:color w:val="000000"/>
                <w:highlight w:val="none"/>
              </w:rPr>
            </w:pPr>
            <w:r>
              <w:rPr>
                <w:color w:val="000000"/>
                <w:highlight w:val="none"/>
              </w:rPr>
              <w:t>声环境：厂界外50m范围内</w:t>
            </w:r>
            <w:r>
              <w:rPr>
                <w:rFonts w:hint="eastAsia"/>
                <w:color w:val="000000"/>
                <w:highlight w:val="none"/>
                <w:lang w:val="en-US" w:eastAsia="zh-CN"/>
              </w:rPr>
              <w:t>无</w:t>
            </w:r>
            <w:r>
              <w:rPr>
                <w:color w:val="000000"/>
                <w:highlight w:val="none"/>
              </w:rPr>
              <w:t>声环境保护目标；</w:t>
            </w:r>
          </w:p>
          <w:p w14:paraId="486E8155">
            <w:pPr>
              <w:pStyle w:val="19"/>
              <w:rPr>
                <w:color w:val="000000"/>
                <w:highlight w:val="none"/>
              </w:rPr>
            </w:pPr>
            <w:r>
              <w:rPr>
                <w:color w:val="000000"/>
                <w:highlight w:val="none"/>
              </w:rPr>
              <w:t>地下水环境：厂界外500m范围内</w:t>
            </w:r>
            <w:r>
              <w:rPr>
                <w:rFonts w:hint="eastAsia"/>
                <w:color w:val="000000"/>
                <w:highlight w:val="none"/>
                <w:lang w:val="en-US" w:eastAsia="zh-CN"/>
              </w:rPr>
              <w:t>无</w:t>
            </w:r>
            <w:r>
              <w:rPr>
                <w:color w:val="000000"/>
                <w:highlight w:val="none"/>
              </w:rPr>
              <w:t>地下水集中式饮用水水源和热水、矿泉水、温泉等特殊地下水资源。</w:t>
            </w:r>
          </w:p>
          <w:p w14:paraId="7AEB3B4B">
            <w:pPr>
              <w:pStyle w:val="19"/>
              <w:rPr>
                <w:b/>
                <w:color w:val="000000"/>
                <w:highlight w:val="none"/>
              </w:rPr>
            </w:pPr>
            <w:r>
              <w:rPr>
                <w:rFonts w:hint="eastAsia"/>
                <w:color w:val="000000"/>
                <w:highlight w:val="none"/>
              </w:rPr>
              <w:t>生态环境：</w:t>
            </w:r>
            <w:r>
              <w:rPr>
                <w:color w:val="000000"/>
                <w:highlight w:val="none"/>
              </w:rPr>
              <w:t>根据</w:t>
            </w:r>
            <w:r>
              <w:rPr>
                <w:rFonts w:hint="eastAsia"/>
                <w:color w:val="000000"/>
                <w:highlight w:val="none"/>
              </w:rPr>
              <w:t>现场</w:t>
            </w:r>
            <w:r>
              <w:rPr>
                <w:color w:val="000000"/>
                <w:highlight w:val="none"/>
              </w:rPr>
              <w:t>调查，本项目</w:t>
            </w:r>
            <w:r>
              <w:rPr>
                <w:rFonts w:hint="eastAsia"/>
                <w:color w:val="000000"/>
                <w:highlight w:val="none"/>
              </w:rPr>
              <w:t>周边500m范围内无敏感目标。</w:t>
            </w:r>
          </w:p>
        </w:tc>
      </w:tr>
      <w:tr w14:paraId="4CFE0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44" w:type="dxa"/>
            <w:noWrap w:val="0"/>
            <w:tcMar>
              <w:left w:w="28" w:type="dxa"/>
              <w:right w:w="28" w:type="dxa"/>
            </w:tcMar>
            <w:vAlign w:val="center"/>
          </w:tcPr>
          <w:p w14:paraId="6825A22E">
            <w:pPr>
              <w:adjustRightInd w:val="0"/>
              <w:snapToGrid w:val="0"/>
              <w:jc w:val="center"/>
              <w:rPr>
                <w:b/>
                <w:color w:val="000000"/>
                <w:kern w:val="0"/>
                <w:sz w:val="24"/>
                <w:highlight w:val="none"/>
              </w:rPr>
            </w:pPr>
            <w:r>
              <w:rPr>
                <w:b/>
                <w:color w:val="000000"/>
                <w:kern w:val="0"/>
                <w:sz w:val="24"/>
                <w:highlight w:val="none"/>
              </w:rPr>
              <w:t>污</w:t>
            </w:r>
          </w:p>
          <w:p w14:paraId="548C8890">
            <w:pPr>
              <w:adjustRightInd w:val="0"/>
              <w:snapToGrid w:val="0"/>
              <w:jc w:val="center"/>
              <w:rPr>
                <w:b/>
                <w:color w:val="000000"/>
                <w:kern w:val="0"/>
                <w:sz w:val="24"/>
                <w:highlight w:val="none"/>
              </w:rPr>
            </w:pPr>
            <w:r>
              <w:rPr>
                <w:b/>
                <w:color w:val="000000"/>
                <w:kern w:val="0"/>
                <w:sz w:val="24"/>
                <w:highlight w:val="none"/>
              </w:rPr>
              <w:t>染</w:t>
            </w:r>
          </w:p>
          <w:p w14:paraId="03EEA3C1">
            <w:pPr>
              <w:adjustRightInd w:val="0"/>
              <w:snapToGrid w:val="0"/>
              <w:jc w:val="center"/>
              <w:rPr>
                <w:b/>
                <w:color w:val="000000"/>
                <w:kern w:val="0"/>
                <w:sz w:val="24"/>
                <w:highlight w:val="none"/>
              </w:rPr>
            </w:pPr>
            <w:r>
              <w:rPr>
                <w:b/>
                <w:color w:val="000000"/>
                <w:kern w:val="0"/>
                <w:sz w:val="24"/>
                <w:highlight w:val="none"/>
              </w:rPr>
              <w:t>物</w:t>
            </w:r>
          </w:p>
          <w:p w14:paraId="173194D4">
            <w:pPr>
              <w:adjustRightInd w:val="0"/>
              <w:snapToGrid w:val="0"/>
              <w:jc w:val="center"/>
              <w:rPr>
                <w:b/>
                <w:color w:val="000000"/>
                <w:kern w:val="0"/>
                <w:sz w:val="24"/>
                <w:highlight w:val="none"/>
              </w:rPr>
            </w:pPr>
            <w:r>
              <w:rPr>
                <w:b/>
                <w:color w:val="000000"/>
                <w:kern w:val="0"/>
                <w:sz w:val="24"/>
                <w:highlight w:val="none"/>
              </w:rPr>
              <w:t>排</w:t>
            </w:r>
          </w:p>
          <w:p w14:paraId="2C1D64D9">
            <w:pPr>
              <w:adjustRightInd w:val="0"/>
              <w:snapToGrid w:val="0"/>
              <w:jc w:val="center"/>
              <w:rPr>
                <w:b/>
                <w:color w:val="000000"/>
                <w:kern w:val="0"/>
                <w:sz w:val="24"/>
                <w:highlight w:val="none"/>
              </w:rPr>
            </w:pPr>
            <w:r>
              <w:rPr>
                <w:b/>
                <w:color w:val="000000"/>
                <w:kern w:val="0"/>
                <w:sz w:val="24"/>
                <w:highlight w:val="none"/>
              </w:rPr>
              <w:t>放</w:t>
            </w:r>
          </w:p>
          <w:p w14:paraId="252EA994">
            <w:pPr>
              <w:adjustRightInd w:val="0"/>
              <w:snapToGrid w:val="0"/>
              <w:jc w:val="center"/>
              <w:rPr>
                <w:b/>
                <w:color w:val="000000"/>
                <w:kern w:val="0"/>
                <w:sz w:val="24"/>
                <w:highlight w:val="none"/>
              </w:rPr>
            </w:pPr>
            <w:r>
              <w:rPr>
                <w:b/>
                <w:color w:val="000000"/>
                <w:kern w:val="0"/>
                <w:sz w:val="24"/>
                <w:highlight w:val="none"/>
              </w:rPr>
              <w:t>控</w:t>
            </w:r>
          </w:p>
          <w:p w14:paraId="6696A914">
            <w:pPr>
              <w:adjustRightInd w:val="0"/>
              <w:snapToGrid w:val="0"/>
              <w:jc w:val="center"/>
              <w:rPr>
                <w:b/>
                <w:color w:val="000000"/>
                <w:kern w:val="0"/>
                <w:sz w:val="24"/>
                <w:highlight w:val="none"/>
              </w:rPr>
            </w:pPr>
            <w:r>
              <w:rPr>
                <w:b/>
                <w:color w:val="000000"/>
                <w:kern w:val="0"/>
                <w:sz w:val="24"/>
                <w:highlight w:val="none"/>
              </w:rPr>
              <w:t>制</w:t>
            </w:r>
          </w:p>
          <w:p w14:paraId="2F1A1363">
            <w:pPr>
              <w:adjustRightInd w:val="0"/>
              <w:snapToGrid w:val="0"/>
              <w:jc w:val="center"/>
              <w:rPr>
                <w:b/>
                <w:color w:val="000000"/>
                <w:kern w:val="0"/>
                <w:sz w:val="24"/>
                <w:highlight w:val="none"/>
              </w:rPr>
            </w:pPr>
            <w:r>
              <w:rPr>
                <w:b/>
                <w:color w:val="000000"/>
                <w:kern w:val="0"/>
                <w:sz w:val="24"/>
                <w:highlight w:val="none"/>
              </w:rPr>
              <w:t>标</w:t>
            </w:r>
          </w:p>
          <w:p w14:paraId="0B2AF415">
            <w:pPr>
              <w:adjustRightInd w:val="0"/>
              <w:snapToGrid w:val="0"/>
              <w:jc w:val="center"/>
              <w:rPr>
                <w:color w:val="000000"/>
                <w:kern w:val="0"/>
                <w:szCs w:val="21"/>
                <w:highlight w:val="none"/>
              </w:rPr>
            </w:pPr>
            <w:r>
              <w:rPr>
                <w:b/>
                <w:color w:val="000000"/>
                <w:kern w:val="0"/>
                <w:sz w:val="24"/>
                <w:highlight w:val="none"/>
              </w:rPr>
              <w:t>准</w:t>
            </w:r>
          </w:p>
        </w:tc>
        <w:tc>
          <w:tcPr>
            <w:tcW w:w="8836" w:type="dxa"/>
            <w:noWrap w:val="0"/>
            <w:vAlign w:val="center"/>
          </w:tcPr>
          <w:p w14:paraId="0CF96E7E">
            <w:pPr>
              <w:keepNext/>
              <w:numPr>
                <w:ilvl w:val="0"/>
                <w:numId w:val="0"/>
              </w:numPr>
              <w:spacing w:line="360" w:lineRule="auto"/>
              <w:ind w:firstLine="480" w:firstLineChars="200"/>
              <w:rPr>
                <w:rFonts w:ascii="Times New Roman" w:cs="Times New Roman"/>
                <w:color w:val="000000"/>
                <w:sz w:val="24"/>
                <w:szCs w:val="24"/>
                <w:highlight w:val="none"/>
              </w:rPr>
            </w:pPr>
            <w:r>
              <w:rPr>
                <w:rFonts w:hint="eastAsia"/>
                <w:color w:val="000000"/>
                <w:sz w:val="24"/>
                <w:highlight w:val="none"/>
                <w:lang w:val="en-US" w:eastAsia="zh-CN"/>
              </w:rPr>
              <w:t>1、废气排放标准</w:t>
            </w:r>
          </w:p>
          <w:p w14:paraId="3397AAC6">
            <w:pPr>
              <w:keepNext/>
              <w:numPr>
                <w:ilvl w:val="0"/>
                <w:numId w:val="0"/>
              </w:numPr>
              <w:spacing w:line="360" w:lineRule="auto"/>
              <w:ind w:firstLine="480" w:firstLineChars="200"/>
              <w:rPr>
                <w:color w:val="000000"/>
                <w:sz w:val="24"/>
                <w:highlight w:val="none"/>
              </w:rPr>
            </w:pPr>
            <w:r>
              <w:rPr>
                <w:rFonts w:hint="eastAsia"/>
                <w:color w:val="000000"/>
                <w:sz w:val="24"/>
                <w:highlight w:val="none"/>
              </w:rPr>
              <w:t>施工扬尘</w:t>
            </w:r>
            <w:r>
              <w:rPr>
                <w:rFonts w:hint="eastAsia"/>
                <w:color w:val="000000"/>
                <w:sz w:val="24"/>
                <w:szCs w:val="24"/>
                <w:highlight w:val="none"/>
              </w:rPr>
              <w:t>排放执行《大气污染物综合排放标准》(GB16297-1996)表</w:t>
            </w:r>
            <w:r>
              <w:rPr>
                <w:color w:val="000000"/>
                <w:sz w:val="24"/>
                <w:szCs w:val="24"/>
                <w:highlight w:val="none"/>
              </w:rPr>
              <w:t>2</w:t>
            </w:r>
            <w:r>
              <w:rPr>
                <w:rFonts w:hint="eastAsia"/>
                <w:color w:val="000000"/>
                <w:sz w:val="24"/>
                <w:szCs w:val="24"/>
                <w:highlight w:val="none"/>
              </w:rPr>
              <w:t>中无组织排放监控浓度限值；</w:t>
            </w:r>
            <w:r>
              <w:rPr>
                <w:rFonts w:hint="eastAsia" w:ascii="Times New Roman" w:cs="Times New Roman"/>
                <w:color w:val="000000"/>
                <w:sz w:val="24"/>
                <w:szCs w:val="24"/>
                <w:highlight w:val="none"/>
              </w:rPr>
              <w:t>项目运行期产生的</w:t>
            </w:r>
            <w:r>
              <w:rPr>
                <w:rFonts w:ascii="TimesNewRomanPSMT" w:eastAsia="TimesNewRomanPSMT" w:cs="TimesNewRomanPSMT"/>
                <w:color w:val="000000"/>
                <w:sz w:val="24"/>
                <w:szCs w:val="24"/>
                <w:highlight w:val="none"/>
              </w:rPr>
              <w:t>H</w:t>
            </w:r>
            <w:r>
              <w:rPr>
                <w:rFonts w:ascii="TimesNewRomanPSMT" w:eastAsia="TimesNewRomanPSMT" w:cs="TimesNewRomanPSMT"/>
                <w:color w:val="000000"/>
                <w:sz w:val="24"/>
                <w:szCs w:val="24"/>
                <w:highlight w:val="none"/>
                <w:vertAlign w:val="subscript"/>
              </w:rPr>
              <w:t>2</w:t>
            </w:r>
            <w:r>
              <w:rPr>
                <w:rFonts w:ascii="TimesNewRomanPSMT" w:eastAsia="TimesNewRomanPSMT" w:cs="TimesNewRomanPSMT"/>
                <w:color w:val="000000"/>
                <w:sz w:val="24"/>
                <w:szCs w:val="24"/>
                <w:highlight w:val="none"/>
              </w:rPr>
              <w:t>S</w:t>
            </w:r>
            <w:r>
              <w:rPr>
                <w:rFonts w:hint="eastAsia"/>
                <w:color w:val="000000"/>
                <w:sz w:val="24"/>
                <w:szCs w:val="24"/>
                <w:highlight w:val="none"/>
              </w:rPr>
              <w:t>、</w:t>
            </w:r>
            <w:r>
              <w:rPr>
                <w:rFonts w:ascii="TimesNewRomanPSMT" w:eastAsia="TimesNewRomanPSMT" w:cs="TimesNewRomanPSMT"/>
                <w:color w:val="000000"/>
                <w:sz w:val="24"/>
                <w:szCs w:val="24"/>
                <w:highlight w:val="none"/>
              </w:rPr>
              <w:t>NH</w:t>
            </w:r>
            <w:r>
              <w:rPr>
                <w:rFonts w:ascii="TimesNewRomanPSMT" w:eastAsia="TimesNewRomanPSMT" w:cs="TimesNewRomanPSMT"/>
                <w:color w:val="000000"/>
                <w:sz w:val="24"/>
                <w:szCs w:val="24"/>
                <w:highlight w:val="none"/>
                <w:vertAlign w:val="subscript"/>
              </w:rPr>
              <w:t>3</w:t>
            </w:r>
            <w:r>
              <w:rPr>
                <w:rFonts w:hint="eastAsia"/>
                <w:color w:val="000000"/>
                <w:sz w:val="24"/>
                <w:szCs w:val="24"/>
                <w:highlight w:val="none"/>
              </w:rPr>
              <w:t>排放浓度执行《炼焦化学工业污染物排放标准》（GB16171-2012）表7中厂界浓度限值要求</w:t>
            </w:r>
            <w:r>
              <w:rPr>
                <w:rFonts w:hint="eastAsia"/>
                <w:color w:val="000000"/>
                <w:sz w:val="24"/>
                <w:szCs w:val="24"/>
                <w:highlight w:val="none"/>
                <w:lang w:val="en-US" w:eastAsia="zh-CN"/>
              </w:rPr>
              <w:t>。</w:t>
            </w:r>
            <w:r>
              <w:rPr>
                <w:rFonts w:ascii="Times New Roman" w:cs="Times New Roman"/>
                <w:color w:val="000000"/>
                <w:sz w:val="24"/>
                <w:szCs w:val="24"/>
                <w:highlight w:val="none"/>
              </w:rPr>
              <w:t>具体排放标准限值见表</w:t>
            </w:r>
            <w:r>
              <w:rPr>
                <w:rFonts w:hint="eastAsia" w:ascii="Times New Roman" w:cs="Times New Roman"/>
                <w:color w:val="000000"/>
                <w:sz w:val="24"/>
                <w:szCs w:val="24"/>
                <w:highlight w:val="none"/>
                <w:lang w:val="en-US" w:eastAsia="zh-CN"/>
              </w:rPr>
              <w:t>3-4、3-5</w:t>
            </w:r>
            <w:r>
              <w:rPr>
                <w:rFonts w:ascii="Times New Roman" w:cs="Times New Roman"/>
                <w:color w:val="000000"/>
                <w:sz w:val="24"/>
                <w:szCs w:val="24"/>
                <w:highlight w:val="none"/>
              </w:rPr>
              <w:t>。</w:t>
            </w:r>
          </w:p>
          <w:p w14:paraId="24C2C1FC">
            <w:pPr>
              <w:pStyle w:val="2"/>
              <w:ind w:firstLine="482"/>
              <w:jc w:val="center"/>
              <w:rPr>
                <w:b/>
                <w:color w:val="000000"/>
                <w:sz w:val="24"/>
                <w:highlight w:val="none"/>
              </w:rPr>
            </w:pPr>
            <w:r>
              <w:rPr>
                <w:rFonts w:hint="eastAsia"/>
                <w:b/>
                <w:color w:val="000000"/>
                <w:sz w:val="24"/>
                <w:highlight w:val="none"/>
              </w:rPr>
              <w:t>表</w:t>
            </w:r>
            <w:r>
              <w:rPr>
                <w:rFonts w:hint="eastAsia"/>
                <w:b/>
                <w:color w:val="000000"/>
                <w:sz w:val="24"/>
                <w:highlight w:val="none"/>
                <w:lang w:val="en-US" w:eastAsia="zh-CN"/>
              </w:rPr>
              <w:t>3-4</w:t>
            </w:r>
            <w:r>
              <w:rPr>
                <w:b/>
                <w:color w:val="000000"/>
                <w:sz w:val="24"/>
                <w:highlight w:val="none"/>
              </w:rPr>
              <w:t xml:space="preserve"> </w:t>
            </w:r>
            <w:r>
              <w:rPr>
                <w:rFonts w:hint="eastAsia"/>
                <w:b/>
                <w:color w:val="000000"/>
                <w:sz w:val="24"/>
                <w:highlight w:val="none"/>
              </w:rPr>
              <w:t>施工期大气污染物排放标准一览表</w:t>
            </w:r>
          </w:p>
          <w:tbl>
            <w:tblPr>
              <w:tblStyle w:val="13"/>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195"/>
              <w:gridCol w:w="1727"/>
              <w:gridCol w:w="3538"/>
            </w:tblGrid>
            <w:tr w14:paraId="23B1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8" w:type="dxa"/>
                  <w:vMerge w:val="restart"/>
                  <w:noWrap w:val="0"/>
                  <w:vAlign w:val="center"/>
                </w:tcPr>
                <w:p w14:paraId="495FF7A0">
                  <w:pPr>
                    <w:pStyle w:val="2"/>
                    <w:spacing w:line="240" w:lineRule="auto"/>
                    <w:ind w:firstLine="0"/>
                    <w:jc w:val="center"/>
                    <w:rPr>
                      <w:rFonts w:hint="eastAsia"/>
                      <w:b/>
                      <w:bCs/>
                      <w:color w:val="000000"/>
                      <w:sz w:val="21"/>
                      <w:szCs w:val="21"/>
                      <w:highlight w:val="none"/>
                    </w:rPr>
                  </w:pPr>
                  <w:r>
                    <w:rPr>
                      <w:rFonts w:hint="eastAsia"/>
                      <w:b/>
                      <w:bCs/>
                      <w:color w:val="000000"/>
                      <w:sz w:val="21"/>
                      <w:szCs w:val="21"/>
                      <w:highlight w:val="none"/>
                    </w:rPr>
                    <w:t>污染物</w:t>
                  </w:r>
                </w:p>
              </w:tc>
              <w:tc>
                <w:tcPr>
                  <w:tcW w:w="3922" w:type="dxa"/>
                  <w:gridSpan w:val="2"/>
                  <w:noWrap w:val="0"/>
                  <w:vAlign w:val="center"/>
                </w:tcPr>
                <w:p w14:paraId="2D915FA0">
                  <w:pPr>
                    <w:pStyle w:val="2"/>
                    <w:spacing w:line="240" w:lineRule="auto"/>
                    <w:ind w:firstLine="0"/>
                    <w:jc w:val="center"/>
                    <w:rPr>
                      <w:rFonts w:hint="eastAsia"/>
                      <w:b/>
                      <w:bCs/>
                      <w:color w:val="000000"/>
                      <w:sz w:val="21"/>
                      <w:szCs w:val="21"/>
                      <w:highlight w:val="none"/>
                    </w:rPr>
                  </w:pPr>
                  <w:r>
                    <w:rPr>
                      <w:rFonts w:hint="eastAsia"/>
                      <w:b/>
                      <w:bCs/>
                      <w:color w:val="000000"/>
                      <w:sz w:val="21"/>
                      <w:szCs w:val="21"/>
                      <w:highlight w:val="none"/>
                    </w:rPr>
                    <w:t>无组织监控浓度限值</w:t>
                  </w:r>
                </w:p>
              </w:tc>
              <w:tc>
                <w:tcPr>
                  <w:tcW w:w="3538" w:type="dxa"/>
                  <w:vMerge w:val="restart"/>
                  <w:noWrap w:val="0"/>
                  <w:vAlign w:val="center"/>
                </w:tcPr>
                <w:p w14:paraId="2A30E446">
                  <w:pPr>
                    <w:pStyle w:val="2"/>
                    <w:spacing w:line="240" w:lineRule="auto"/>
                    <w:ind w:firstLine="0"/>
                    <w:jc w:val="center"/>
                    <w:rPr>
                      <w:rFonts w:hint="eastAsia"/>
                      <w:b/>
                      <w:bCs/>
                      <w:color w:val="000000"/>
                      <w:sz w:val="21"/>
                      <w:szCs w:val="21"/>
                      <w:highlight w:val="none"/>
                    </w:rPr>
                  </w:pPr>
                  <w:r>
                    <w:rPr>
                      <w:rFonts w:hint="eastAsia"/>
                      <w:b/>
                      <w:bCs/>
                      <w:color w:val="000000"/>
                      <w:sz w:val="21"/>
                      <w:szCs w:val="21"/>
                      <w:highlight w:val="none"/>
                    </w:rPr>
                    <w:t>标准来源</w:t>
                  </w:r>
                </w:p>
              </w:tc>
            </w:tr>
            <w:tr w14:paraId="0BE0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8" w:type="dxa"/>
                  <w:vMerge w:val="continue"/>
                  <w:noWrap w:val="0"/>
                  <w:vAlign w:val="center"/>
                </w:tcPr>
                <w:p w14:paraId="3CF839BE">
                  <w:pPr>
                    <w:pStyle w:val="2"/>
                    <w:spacing w:line="240" w:lineRule="auto"/>
                    <w:ind w:firstLine="0"/>
                    <w:jc w:val="center"/>
                    <w:rPr>
                      <w:rFonts w:hint="eastAsia"/>
                      <w:b/>
                      <w:bCs/>
                      <w:color w:val="000000"/>
                      <w:sz w:val="21"/>
                      <w:szCs w:val="21"/>
                      <w:highlight w:val="none"/>
                    </w:rPr>
                  </w:pPr>
                </w:p>
              </w:tc>
              <w:tc>
                <w:tcPr>
                  <w:tcW w:w="2195" w:type="dxa"/>
                  <w:noWrap w:val="0"/>
                  <w:vAlign w:val="center"/>
                </w:tcPr>
                <w:p w14:paraId="47A572A9">
                  <w:pPr>
                    <w:pStyle w:val="2"/>
                    <w:spacing w:line="240" w:lineRule="auto"/>
                    <w:ind w:firstLine="0"/>
                    <w:jc w:val="center"/>
                    <w:rPr>
                      <w:rFonts w:hint="eastAsia"/>
                      <w:b/>
                      <w:bCs/>
                      <w:color w:val="000000"/>
                      <w:sz w:val="21"/>
                      <w:szCs w:val="21"/>
                      <w:highlight w:val="none"/>
                    </w:rPr>
                  </w:pPr>
                  <w:r>
                    <w:rPr>
                      <w:rFonts w:hint="eastAsia"/>
                      <w:b/>
                      <w:bCs/>
                      <w:color w:val="000000"/>
                      <w:sz w:val="21"/>
                      <w:szCs w:val="21"/>
                      <w:highlight w:val="none"/>
                    </w:rPr>
                    <w:t>监控点</w:t>
                  </w:r>
                </w:p>
              </w:tc>
              <w:tc>
                <w:tcPr>
                  <w:tcW w:w="1727" w:type="dxa"/>
                  <w:noWrap w:val="0"/>
                  <w:vAlign w:val="center"/>
                </w:tcPr>
                <w:p w14:paraId="0B11D3C6">
                  <w:pPr>
                    <w:pStyle w:val="2"/>
                    <w:spacing w:line="240" w:lineRule="auto"/>
                    <w:ind w:firstLine="0"/>
                    <w:jc w:val="center"/>
                    <w:rPr>
                      <w:rFonts w:hint="eastAsia"/>
                      <w:b/>
                      <w:bCs/>
                      <w:color w:val="000000"/>
                      <w:sz w:val="21"/>
                      <w:szCs w:val="21"/>
                      <w:highlight w:val="none"/>
                    </w:rPr>
                  </w:pPr>
                  <w:r>
                    <w:rPr>
                      <w:rFonts w:hint="eastAsia"/>
                      <w:b/>
                      <w:bCs/>
                      <w:color w:val="000000"/>
                      <w:sz w:val="21"/>
                      <w:szCs w:val="21"/>
                      <w:highlight w:val="none"/>
                    </w:rPr>
                    <w:t>浓度（mg/</w:t>
                  </w:r>
                  <w:r>
                    <w:rPr>
                      <w:rFonts w:hint="eastAsia"/>
                      <w:b/>
                      <w:bCs/>
                      <w:color w:val="000000"/>
                      <w:sz w:val="21"/>
                      <w:szCs w:val="21"/>
                      <w:highlight w:val="none"/>
                      <w:lang w:eastAsia="zh-CN"/>
                    </w:rPr>
                    <w:t>m³</w:t>
                  </w:r>
                  <w:r>
                    <w:rPr>
                      <w:rFonts w:hint="eastAsia"/>
                      <w:b/>
                      <w:bCs/>
                      <w:color w:val="000000"/>
                      <w:sz w:val="21"/>
                      <w:szCs w:val="21"/>
                      <w:highlight w:val="none"/>
                    </w:rPr>
                    <w:t>）</w:t>
                  </w:r>
                </w:p>
              </w:tc>
              <w:tc>
                <w:tcPr>
                  <w:tcW w:w="3538" w:type="dxa"/>
                  <w:vMerge w:val="continue"/>
                  <w:noWrap w:val="0"/>
                  <w:vAlign w:val="center"/>
                </w:tcPr>
                <w:p w14:paraId="14D99D1B">
                  <w:pPr>
                    <w:pStyle w:val="2"/>
                    <w:spacing w:line="240" w:lineRule="auto"/>
                    <w:ind w:firstLine="0"/>
                    <w:jc w:val="center"/>
                    <w:rPr>
                      <w:rFonts w:hint="eastAsia"/>
                      <w:b/>
                      <w:bCs/>
                      <w:color w:val="000000"/>
                      <w:sz w:val="21"/>
                      <w:szCs w:val="21"/>
                      <w:highlight w:val="none"/>
                    </w:rPr>
                  </w:pPr>
                </w:p>
              </w:tc>
            </w:tr>
            <w:tr w14:paraId="7480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8" w:type="dxa"/>
                  <w:noWrap w:val="0"/>
                  <w:vAlign w:val="center"/>
                </w:tcPr>
                <w:p w14:paraId="02ADF138">
                  <w:pPr>
                    <w:pStyle w:val="2"/>
                    <w:spacing w:line="240" w:lineRule="auto"/>
                    <w:ind w:firstLine="0"/>
                    <w:jc w:val="center"/>
                    <w:rPr>
                      <w:rFonts w:hint="eastAsia"/>
                      <w:color w:val="000000"/>
                      <w:sz w:val="21"/>
                      <w:szCs w:val="21"/>
                      <w:highlight w:val="none"/>
                    </w:rPr>
                  </w:pPr>
                  <w:r>
                    <w:rPr>
                      <w:rFonts w:hint="eastAsia"/>
                      <w:color w:val="000000"/>
                      <w:sz w:val="21"/>
                      <w:szCs w:val="21"/>
                      <w:highlight w:val="none"/>
                    </w:rPr>
                    <w:t>颗粒物</w:t>
                  </w:r>
                </w:p>
              </w:tc>
              <w:tc>
                <w:tcPr>
                  <w:tcW w:w="2195" w:type="dxa"/>
                  <w:noWrap w:val="0"/>
                  <w:vAlign w:val="center"/>
                </w:tcPr>
                <w:p w14:paraId="791E4BEC">
                  <w:pPr>
                    <w:pStyle w:val="2"/>
                    <w:spacing w:line="240" w:lineRule="auto"/>
                    <w:ind w:firstLine="0"/>
                    <w:jc w:val="center"/>
                    <w:rPr>
                      <w:rFonts w:hint="eastAsia"/>
                      <w:color w:val="000000"/>
                      <w:sz w:val="21"/>
                      <w:szCs w:val="21"/>
                      <w:highlight w:val="none"/>
                    </w:rPr>
                  </w:pPr>
                  <w:r>
                    <w:rPr>
                      <w:rFonts w:hint="eastAsia"/>
                      <w:color w:val="000000"/>
                      <w:sz w:val="21"/>
                      <w:szCs w:val="21"/>
                      <w:highlight w:val="none"/>
                    </w:rPr>
                    <w:t>周界外浓度最高点</w:t>
                  </w:r>
                </w:p>
              </w:tc>
              <w:tc>
                <w:tcPr>
                  <w:tcW w:w="1727" w:type="dxa"/>
                  <w:noWrap w:val="0"/>
                  <w:vAlign w:val="center"/>
                </w:tcPr>
                <w:p w14:paraId="37AB80A6">
                  <w:pPr>
                    <w:pStyle w:val="2"/>
                    <w:spacing w:line="240" w:lineRule="auto"/>
                    <w:ind w:firstLine="0"/>
                    <w:jc w:val="center"/>
                    <w:rPr>
                      <w:rFonts w:hint="eastAsia"/>
                      <w:color w:val="000000"/>
                      <w:sz w:val="21"/>
                      <w:szCs w:val="21"/>
                      <w:highlight w:val="none"/>
                    </w:rPr>
                  </w:pPr>
                  <w:r>
                    <w:rPr>
                      <w:rFonts w:hint="eastAsia"/>
                      <w:color w:val="000000"/>
                      <w:sz w:val="21"/>
                      <w:szCs w:val="21"/>
                      <w:highlight w:val="none"/>
                    </w:rPr>
                    <w:t>1</w:t>
                  </w:r>
                  <w:r>
                    <w:rPr>
                      <w:color w:val="000000"/>
                      <w:sz w:val="21"/>
                      <w:szCs w:val="21"/>
                      <w:highlight w:val="none"/>
                    </w:rPr>
                    <w:t>.0</w:t>
                  </w:r>
                </w:p>
              </w:tc>
              <w:tc>
                <w:tcPr>
                  <w:tcW w:w="3538" w:type="dxa"/>
                  <w:noWrap w:val="0"/>
                  <w:vAlign w:val="center"/>
                </w:tcPr>
                <w:p w14:paraId="24D523F3">
                  <w:pPr>
                    <w:pStyle w:val="2"/>
                    <w:spacing w:line="240" w:lineRule="auto"/>
                    <w:ind w:firstLine="0"/>
                    <w:jc w:val="center"/>
                    <w:rPr>
                      <w:rFonts w:hint="eastAsia"/>
                      <w:color w:val="000000"/>
                      <w:sz w:val="21"/>
                      <w:szCs w:val="21"/>
                      <w:highlight w:val="none"/>
                    </w:rPr>
                  </w:pPr>
                  <w:r>
                    <w:rPr>
                      <w:rFonts w:hint="eastAsia"/>
                      <w:color w:val="000000"/>
                      <w:sz w:val="21"/>
                      <w:szCs w:val="21"/>
                      <w:highlight w:val="none"/>
                    </w:rPr>
                    <w:t>《大气污染物综合排放标准》 （GB16297-1996）表</w:t>
                  </w:r>
                  <w:r>
                    <w:rPr>
                      <w:color w:val="000000"/>
                      <w:sz w:val="21"/>
                      <w:szCs w:val="21"/>
                      <w:highlight w:val="none"/>
                    </w:rPr>
                    <w:t>2</w:t>
                  </w:r>
                  <w:r>
                    <w:rPr>
                      <w:rFonts w:hint="eastAsia"/>
                      <w:color w:val="000000"/>
                      <w:sz w:val="21"/>
                      <w:szCs w:val="21"/>
                      <w:highlight w:val="none"/>
                    </w:rPr>
                    <w:t>无组织排放监控浓度限值</w:t>
                  </w:r>
                </w:p>
              </w:tc>
            </w:tr>
          </w:tbl>
          <w:p w14:paraId="1F72E79D">
            <w:pPr>
              <w:jc w:val="center"/>
              <w:rPr>
                <w:b/>
                <w:color w:val="000000"/>
                <w:kern w:val="0"/>
                <w:sz w:val="24"/>
                <w:highlight w:val="none"/>
              </w:rPr>
            </w:pPr>
            <w:r>
              <w:rPr>
                <w:b/>
                <w:color w:val="000000"/>
                <w:kern w:val="0"/>
                <w:sz w:val="24"/>
                <w:highlight w:val="none"/>
              </w:rPr>
              <w:t>表</w:t>
            </w:r>
            <w:r>
              <w:rPr>
                <w:rFonts w:hint="eastAsia"/>
                <w:b/>
                <w:color w:val="000000"/>
                <w:kern w:val="0"/>
                <w:sz w:val="24"/>
                <w:highlight w:val="none"/>
                <w:lang w:val="en-US" w:eastAsia="zh-CN"/>
              </w:rPr>
              <w:t>3-5</w:t>
            </w:r>
            <w:r>
              <w:rPr>
                <w:b/>
                <w:color w:val="000000"/>
                <w:kern w:val="0"/>
                <w:sz w:val="24"/>
                <w:highlight w:val="none"/>
              </w:rPr>
              <w:t xml:space="preserve">  </w:t>
            </w:r>
            <w:r>
              <w:rPr>
                <w:rFonts w:hint="eastAsia"/>
                <w:b/>
                <w:color w:val="000000"/>
                <w:kern w:val="0"/>
                <w:sz w:val="24"/>
                <w:highlight w:val="none"/>
                <w:lang w:eastAsia="zh-CN"/>
              </w:rPr>
              <w:t>运行期大气污染物排放标准一览表</w:t>
            </w:r>
          </w:p>
          <w:tbl>
            <w:tblPr>
              <w:tblStyle w:val="13"/>
              <w:tblW w:w="86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5"/>
              <w:gridCol w:w="7253"/>
            </w:tblGrid>
            <w:tr w14:paraId="1D23D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91" w:type="pct"/>
                  <w:noWrap w:val="0"/>
                  <w:vAlign w:val="center"/>
                </w:tcPr>
                <w:p w14:paraId="7675191B">
                  <w:pPr>
                    <w:pStyle w:val="32"/>
                    <w:spacing w:line="240" w:lineRule="auto"/>
                    <w:ind w:left="-31" w:right="-31"/>
                    <w:rPr>
                      <w:rFonts w:ascii="Times New Roman" w:hAnsi="Times New Roman"/>
                      <w:b/>
                      <w:color w:val="000000"/>
                      <w:sz w:val="21"/>
                      <w:szCs w:val="21"/>
                      <w:highlight w:val="none"/>
                    </w:rPr>
                  </w:pPr>
                  <w:r>
                    <w:rPr>
                      <w:rFonts w:ascii="Times New Roman" w:hAnsi="Times New Roman"/>
                      <w:b/>
                      <w:color w:val="000000"/>
                      <w:sz w:val="21"/>
                      <w:szCs w:val="21"/>
                      <w:highlight w:val="none"/>
                    </w:rPr>
                    <w:t>污染物</w:t>
                  </w:r>
                </w:p>
              </w:tc>
              <w:tc>
                <w:tcPr>
                  <w:tcW w:w="4208" w:type="pct"/>
                  <w:noWrap w:val="0"/>
                  <w:vAlign w:val="center"/>
                </w:tcPr>
                <w:p w14:paraId="4164C693">
                  <w:pPr>
                    <w:pStyle w:val="32"/>
                    <w:spacing w:line="240" w:lineRule="auto"/>
                    <w:ind w:left="-31" w:right="-31"/>
                    <w:rPr>
                      <w:rFonts w:hint="eastAsia" w:ascii="Times New Roman" w:hAnsi="Times New Roman"/>
                      <w:b/>
                      <w:color w:val="000000"/>
                      <w:sz w:val="21"/>
                      <w:szCs w:val="21"/>
                      <w:highlight w:val="none"/>
                    </w:rPr>
                  </w:pPr>
                  <w:r>
                    <w:rPr>
                      <w:rFonts w:hint="eastAsia" w:ascii="Times New Roman" w:hAnsi="Times New Roman"/>
                      <w:b/>
                      <w:color w:val="000000"/>
                      <w:sz w:val="21"/>
                      <w:szCs w:val="21"/>
                      <w:highlight w:val="none"/>
                    </w:rPr>
                    <w:t>厂界浓度限值要求</w:t>
                  </w:r>
                  <w:r>
                    <w:rPr>
                      <w:rFonts w:ascii="Times New Roman" w:hAnsi="Times New Roman"/>
                      <w:b/>
                      <w:color w:val="000000"/>
                      <w:sz w:val="21"/>
                      <w:szCs w:val="21"/>
                      <w:highlight w:val="none"/>
                    </w:rPr>
                    <w:t>(mg/</w:t>
                  </w:r>
                  <w:r>
                    <w:rPr>
                      <w:rFonts w:hint="eastAsia" w:ascii="Times New Roman" w:hAnsi="Times New Roman"/>
                      <w:b/>
                      <w:color w:val="000000"/>
                      <w:sz w:val="21"/>
                      <w:szCs w:val="21"/>
                      <w:highlight w:val="none"/>
                      <w:lang w:eastAsia="zh-CN"/>
                    </w:rPr>
                    <w:t>m³</w:t>
                  </w:r>
                  <w:r>
                    <w:rPr>
                      <w:rFonts w:ascii="Times New Roman" w:hAnsi="Times New Roman"/>
                      <w:b/>
                      <w:color w:val="000000"/>
                      <w:sz w:val="21"/>
                      <w:szCs w:val="21"/>
                      <w:highlight w:val="none"/>
                    </w:rPr>
                    <w:t>)</w:t>
                  </w:r>
                </w:p>
              </w:tc>
            </w:tr>
            <w:tr w14:paraId="65420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91" w:type="pct"/>
                  <w:noWrap w:val="0"/>
                  <w:vAlign w:val="center"/>
                </w:tcPr>
                <w:p w14:paraId="287A175A">
                  <w:pPr>
                    <w:pStyle w:val="32"/>
                    <w:spacing w:line="240" w:lineRule="auto"/>
                    <w:ind w:left="-31" w:right="-31"/>
                    <w:rPr>
                      <w:rFonts w:ascii="Times New Roman" w:hAnsi="Times New Roman"/>
                      <w:color w:val="000000"/>
                      <w:sz w:val="21"/>
                      <w:szCs w:val="21"/>
                      <w:highlight w:val="none"/>
                    </w:rPr>
                  </w:pPr>
                  <w:r>
                    <w:rPr>
                      <w:rFonts w:ascii="TimesNewRomanPSMT" w:eastAsia="TimesNewRomanPSMT" w:cs="TimesNewRomanPSMT"/>
                      <w:color w:val="000000"/>
                      <w:sz w:val="21"/>
                      <w:szCs w:val="21"/>
                      <w:highlight w:val="none"/>
                    </w:rPr>
                    <w:t>NH</w:t>
                  </w:r>
                  <w:r>
                    <w:rPr>
                      <w:rFonts w:ascii="TimesNewRomanPSMT" w:eastAsia="TimesNewRomanPSMT" w:cs="TimesNewRomanPSMT"/>
                      <w:color w:val="000000"/>
                      <w:sz w:val="21"/>
                      <w:szCs w:val="21"/>
                      <w:highlight w:val="none"/>
                      <w:vertAlign w:val="subscript"/>
                    </w:rPr>
                    <w:t>3</w:t>
                  </w:r>
                </w:p>
              </w:tc>
              <w:tc>
                <w:tcPr>
                  <w:tcW w:w="4208" w:type="pct"/>
                  <w:noWrap w:val="0"/>
                  <w:vAlign w:val="center"/>
                </w:tcPr>
                <w:p w14:paraId="282CB14B">
                  <w:pPr>
                    <w:pStyle w:val="32"/>
                    <w:spacing w:line="240" w:lineRule="auto"/>
                    <w:ind w:left="-31" w:right="-31"/>
                    <w:rPr>
                      <w:rFonts w:hint="default" w:ascii="Times New Roman" w:hAnsi="Times New Roman" w:eastAsia="宋体"/>
                      <w:color w:val="000000"/>
                      <w:sz w:val="21"/>
                      <w:szCs w:val="21"/>
                      <w:highlight w:val="none"/>
                      <w:lang w:val="en-US" w:eastAsia="zh-CN"/>
                    </w:rPr>
                  </w:pPr>
                  <w:r>
                    <w:rPr>
                      <w:rFonts w:hint="eastAsia" w:ascii="Times New Roman" w:hAnsi="Times New Roman"/>
                      <w:color w:val="000000"/>
                      <w:sz w:val="21"/>
                      <w:szCs w:val="21"/>
                      <w:highlight w:val="none"/>
                      <w:lang w:val="en-US" w:eastAsia="zh-CN"/>
                    </w:rPr>
                    <w:t>0.2</w:t>
                  </w:r>
                </w:p>
              </w:tc>
            </w:tr>
            <w:tr w14:paraId="06094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91" w:type="pct"/>
                  <w:noWrap w:val="0"/>
                  <w:vAlign w:val="center"/>
                </w:tcPr>
                <w:p w14:paraId="26022F9F">
                  <w:pPr>
                    <w:pStyle w:val="32"/>
                    <w:spacing w:line="240" w:lineRule="auto"/>
                    <w:ind w:left="-31" w:right="-31"/>
                    <w:rPr>
                      <w:rFonts w:ascii="Times New Roman" w:hAnsi="Times New Roman"/>
                      <w:color w:val="000000"/>
                      <w:sz w:val="21"/>
                      <w:szCs w:val="21"/>
                      <w:highlight w:val="none"/>
                    </w:rPr>
                  </w:pPr>
                  <w:r>
                    <w:rPr>
                      <w:rFonts w:ascii="TimesNewRomanPSMT" w:eastAsia="TimesNewRomanPSMT" w:cs="TimesNewRomanPSMT"/>
                      <w:color w:val="000000"/>
                      <w:sz w:val="21"/>
                      <w:szCs w:val="21"/>
                      <w:highlight w:val="none"/>
                    </w:rPr>
                    <w:t>H</w:t>
                  </w:r>
                  <w:r>
                    <w:rPr>
                      <w:rFonts w:ascii="TimesNewRomanPSMT" w:eastAsia="TimesNewRomanPSMT" w:cs="TimesNewRomanPSMT"/>
                      <w:color w:val="000000"/>
                      <w:sz w:val="21"/>
                      <w:szCs w:val="21"/>
                      <w:highlight w:val="none"/>
                      <w:vertAlign w:val="subscript"/>
                    </w:rPr>
                    <w:t>2</w:t>
                  </w:r>
                  <w:r>
                    <w:rPr>
                      <w:rFonts w:ascii="TimesNewRomanPSMT" w:eastAsia="TimesNewRomanPSMT" w:cs="TimesNewRomanPSMT"/>
                      <w:color w:val="000000"/>
                      <w:sz w:val="21"/>
                      <w:szCs w:val="21"/>
                      <w:highlight w:val="none"/>
                    </w:rPr>
                    <w:t>S</w:t>
                  </w:r>
                </w:p>
              </w:tc>
              <w:tc>
                <w:tcPr>
                  <w:tcW w:w="4208" w:type="pct"/>
                  <w:noWrap w:val="0"/>
                  <w:vAlign w:val="center"/>
                </w:tcPr>
                <w:p w14:paraId="173366D1">
                  <w:pPr>
                    <w:pStyle w:val="32"/>
                    <w:spacing w:line="240" w:lineRule="auto"/>
                    <w:ind w:left="-31" w:right="-31"/>
                    <w:rPr>
                      <w:rFonts w:hint="default" w:ascii="Times New Roman" w:hAnsi="Times New Roman" w:eastAsia="宋体"/>
                      <w:color w:val="000000"/>
                      <w:sz w:val="21"/>
                      <w:szCs w:val="21"/>
                      <w:highlight w:val="none"/>
                      <w:lang w:val="en-US" w:eastAsia="zh-CN"/>
                    </w:rPr>
                  </w:pPr>
                  <w:r>
                    <w:rPr>
                      <w:rFonts w:hint="eastAsia" w:ascii="Times New Roman" w:hAnsi="Times New Roman"/>
                      <w:color w:val="000000"/>
                      <w:sz w:val="21"/>
                      <w:szCs w:val="21"/>
                      <w:highlight w:val="none"/>
                      <w:lang w:val="en-US" w:eastAsia="zh-CN"/>
                    </w:rPr>
                    <w:t>0.01</w:t>
                  </w:r>
                </w:p>
              </w:tc>
            </w:tr>
            <w:tr w14:paraId="16A6B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91" w:type="pct"/>
                  <w:noWrap w:val="0"/>
                  <w:vAlign w:val="center"/>
                </w:tcPr>
                <w:p w14:paraId="189738A0">
                  <w:pPr>
                    <w:pStyle w:val="32"/>
                    <w:spacing w:line="240" w:lineRule="auto"/>
                    <w:ind w:left="-31" w:right="-31"/>
                    <w:rPr>
                      <w:rFonts w:ascii="TimesNewRomanPSMT" w:eastAsia="TimesNewRomanPSMT" w:cs="TimesNewRomanPSMT"/>
                      <w:color w:val="000000"/>
                      <w:sz w:val="21"/>
                      <w:szCs w:val="21"/>
                      <w:highlight w:val="none"/>
                    </w:rPr>
                  </w:pPr>
                  <w:r>
                    <w:rPr>
                      <w:rFonts w:ascii="Times New Roman" w:hAnsi="Times New Roman"/>
                      <w:b/>
                      <w:color w:val="000000"/>
                      <w:sz w:val="21"/>
                      <w:szCs w:val="21"/>
                      <w:highlight w:val="none"/>
                    </w:rPr>
                    <w:t>标准来源</w:t>
                  </w:r>
                </w:p>
              </w:tc>
              <w:tc>
                <w:tcPr>
                  <w:tcW w:w="4208" w:type="pct"/>
                  <w:noWrap w:val="0"/>
                  <w:vAlign w:val="center"/>
                </w:tcPr>
                <w:p w14:paraId="64B82F4F">
                  <w:pPr>
                    <w:pStyle w:val="32"/>
                    <w:spacing w:line="240" w:lineRule="auto"/>
                    <w:ind w:left="-31" w:right="-31"/>
                    <w:rPr>
                      <w:rFonts w:hint="default" w:ascii="Times New Roman" w:hAnsi="Times New Roman" w:eastAsia="宋体"/>
                      <w:color w:val="000000"/>
                      <w:sz w:val="21"/>
                      <w:szCs w:val="21"/>
                      <w:highlight w:val="none"/>
                      <w:lang w:val="en-US" w:eastAsia="zh-CN"/>
                    </w:rPr>
                  </w:pPr>
                  <w:r>
                    <w:rPr>
                      <w:rFonts w:hint="eastAsia" w:ascii="Times New Roman" w:hAnsi="Times New Roman"/>
                      <w:b/>
                      <w:color w:val="000000"/>
                      <w:sz w:val="21"/>
                      <w:szCs w:val="21"/>
                      <w:highlight w:val="none"/>
                    </w:rPr>
                    <w:t>《炼焦化学工业污染物排放标准》（GB16171-2012）表7</w:t>
                  </w:r>
                </w:p>
              </w:tc>
            </w:tr>
          </w:tbl>
          <w:p w14:paraId="365624C8">
            <w:pPr>
              <w:pStyle w:val="19"/>
              <w:rPr>
                <w:rFonts w:hint="default"/>
                <w:color w:val="000000"/>
                <w:highlight w:val="none"/>
                <w:lang w:val="en-US" w:eastAsia="zh-CN"/>
              </w:rPr>
            </w:pPr>
            <w:r>
              <w:rPr>
                <w:rFonts w:hint="eastAsia"/>
                <w:color w:val="000000"/>
                <w:highlight w:val="none"/>
                <w:lang w:val="en-US" w:eastAsia="zh-CN"/>
              </w:rPr>
              <w:t>2、废水排放标准</w:t>
            </w:r>
          </w:p>
          <w:p w14:paraId="2325AE8B">
            <w:pPr>
              <w:spacing w:line="360" w:lineRule="auto"/>
              <w:ind w:firstLine="480" w:firstLineChars="200"/>
              <w:rPr>
                <w:rFonts w:hint="eastAsia" w:ascii="宋体" w:hAnsi="宋体"/>
                <w:color w:val="000000"/>
                <w:highlight w:val="none"/>
              </w:rPr>
            </w:pPr>
            <w:r>
              <w:rPr>
                <w:rFonts w:hint="eastAsia"/>
                <w:color w:val="000000"/>
                <w:sz w:val="24"/>
                <w:highlight w:val="none"/>
              </w:rPr>
              <w:t>本项目现有生化处理</w:t>
            </w:r>
            <w:r>
              <w:rPr>
                <w:rFonts w:hint="eastAsia"/>
                <w:color w:val="000000"/>
                <w:sz w:val="24"/>
                <w:highlight w:val="none"/>
                <w:lang w:val="en-US" w:eastAsia="zh-CN"/>
              </w:rPr>
              <w:t>站改</w:t>
            </w:r>
            <w:r>
              <w:rPr>
                <w:rFonts w:hint="eastAsia"/>
                <w:color w:val="000000"/>
                <w:sz w:val="24"/>
                <w:szCs w:val="24"/>
                <w:highlight w:val="none"/>
                <w:lang w:val="en-US" w:eastAsia="zh-CN"/>
              </w:rPr>
              <w:t>造后，生化出水</w:t>
            </w:r>
            <w:r>
              <w:rPr>
                <w:rFonts w:hint="eastAsia"/>
                <w:color w:val="000000"/>
                <w:sz w:val="24"/>
                <w:szCs w:val="24"/>
                <w:highlight w:val="none"/>
              </w:rPr>
              <w:t>进入中水回用系统处理</w:t>
            </w:r>
            <w:r>
              <w:rPr>
                <w:rFonts w:hint="eastAsia"/>
                <w:color w:val="000000"/>
                <w:sz w:val="24"/>
                <w:szCs w:val="24"/>
                <w:highlight w:val="none"/>
                <w:lang w:eastAsia="zh-CN"/>
              </w:rPr>
              <w:t>。</w:t>
            </w:r>
            <w:r>
              <w:rPr>
                <w:rFonts w:hAnsi="宋体"/>
                <w:color w:val="000000"/>
                <w:sz w:val="24"/>
                <w:szCs w:val="24"/>
                <w:highlight w:val="none"/>
              </w:rPr>
              <w:t>生化污水站处理后的污水达至《炼焦化学工业污染物排放标准》（</w:t>
            </w:r>
            <w:r>
              <w:rPr>
                <w:color w:val="000000"/>
                <w:sz w:val="24"/>
                <w:szCs w:val="24"/>
                <w:highlight w:val="none"/>
              </w:rPr>
              <w:t>GB16171-2012</w:t>
            </w:r>
            <w:r>
              <w:rPr>
                <w:rFonts w:hAnsi="宋体"/>
                <w:color w:val="000000"/>
                <w:sz w:val="24"/>
                <w:szCs w:val="24"/>
                <w:highlight w:val="none"/>
              </w:rPr>
              <w:t>）</w:t>
            </w:r>
            <w:r>
              <w:rPr>
                <w:rFonts w:hAnsi="宋体"/>
                <w:bCs/>
                <w:color w:val="000000"/>
                <w:sz w:val="24"/>
                <w:szCs w:val="24"/>
                <w:highlight w:val="none"/>
              </w:rPr>
              <w:t>中表</w:t>
            </w:r>
            <w:r>
              <w:rPr>
                <w:rFonts w:hint="eastAsia"/>
                <w:bCs/>
                <w:color w:val="000000"/>
                <w:sz w:val="24"/>
                <w:szCs w:val="24"/>
                <w:highlight w:val="none"/>
              </w:rPr>
              <w:t>1、表3</w:t>
            </w:r>
            <w:r>
              <w:rPr>
                <w:rFonts w:hAnsi="宋体"/>
                <w:bCs/>
                <w:color w:val="000000"/>
                <w:sz w:val="24"/>
                <w:szCs w:val="24"/>
                <w:highlight w:val="none"/>
              </w:rPr>
              <w:t>新建企业污水污染物排放浓度限值（间接排放）</w:t>
            </w:r>
            <w:r>
              <w:rPr>
                <w:rFonts w:hint="eastAsia" w:hAnsi="宋体"/>
                <w:bCs/>
                <w:color w:val="000000"/>
                <w:sz w:val="24"/>
                <w:szCs w:val="24"/>
                <w:highlight w:val="none"/>
              </w:rPr>
              <w:t>及</w:t>
            </w:r>
            <w:r>
              <w:rPr>
                <w:rFonts w:hint="eastAsia" w:hAnsi="宋体"/>
                <w:color w:val="000000"/>
                <w:sz w:val="24"/>
                <w:szCs w:val="24"/>
                <w:highlight w:val="none"/>
              </w:rPr>
              <w:t>中水回用系统进水要求。中水回用水满足《工业循环冷却水处理设计规范》（GBT 50050-2017）</w:t>
            </w:r>
            <w:r>
              <w:rPr>
                <w:rFonts w:hint="eastAsia" w:hAnsi="宋体"/>
                <w:color w:val="000000"/>
                <w:sz w:val="24"/>
                <w:szCs w:val="24"/>
                <w:highlight w:val="none"/>
                <w:lang w:val="en-US" w:eastAsia="zh-CN"/>
              </w:rPr>
              <w:t>中</w:t>
            </w:r>
            <w:r>
              <w:rPr>
                <w:rFonts w:hint="eastAsia" w:hAnsi="宋体"/>
                <w:color w:val="000000"/>
                <w:sz w:val="24"/>
                <w:szCs w:val="24"/>
                <w:highlight w:val="none"/>
              </w:rPr>
              <w:t>再生水用于间冷开式循环冷却水系统补充水水质标准</w:t>
            </w:r>
            <w:r>
              <w:rPr>
                <w:rFonts w:hint="eastAsia"/>
                <w:color w:val="000000"/>
                <w:sz w:val="24"/>
                <w:szCs w:val="24"/>
                <w:highlight w:val="none"/>
              </w:rPr>
              <w:t>。</w:t>
            </w:r>
          </w:p>
          <w:p w14:paraId="0E4177AA">
            <w:pPr>
              <w:jc w:val="center"/>
              <w:rPr>
                <w:b/>
                <w:bCs/>
                <w:color w:val="000000"/>
                <w:highlight w:val="none"/>
              </w:rPr>
            </w:pPr>
            <w:r>
              <w:rPr>
                <w:b/>
                <w:bCs/>
                <w:color w:val="000000"/>
                <w:highlight w:val="none"/>
              </w:rPr>
              <w:t>表</w:t>
            </w:r>
            <w:r>
              <w:rPr>
                <w:rFonts w:hint="eastAsia"/>
                <w:b/>
                <w:bCs/>
                <w:color w:val="000000"/>
                <w:highlight w:val="none"/>
                <w:lang w:val="en-US" w:eastAsia="zh-CN"/>
              </w:rPr>
              <w:t>3-6</w:t>
            </w:r>
            <w:r>
              <w:rPr>
                <w:b/>
                <w:bCs/>
                <w:color w:val="000000"/>
                <w:highlight w:val="none"/>
              </w:rPr>
              <w:t xml:space="preserve"> 炼焦化学工业污染物排放标准</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6"/>
              <w:gridCol w:w="1446"/>
              <w:gridCol w:w="1767"/>
              <w:gridCol w:w="1767"/>
              <w:gridCol w:w="1127"/>
              <w:gridCol w:w="1127"/>
            </w:tblGrid>
            <w:tr w14:paraId="77DD1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vMerge w:val="restart"/>
                  <w:noWrap w:val="0"/>
                  <w:vAlign w:val="center"/>
                </w:tcPr>
                <w:p w14:paraId="02B68E88">
                  <w:pPr>
                    <w:jc w:val="center"/>
                    <w:rPr>
                      <w:color w:val="000000"/>
                      <w:sz w:val="21"/>
                      <w:szCs w:val="21"/>
                      <w:highlight w:val="none"/>
                    </w:rPr>
                  </w:pPr>
                  <w:r>
                    <w:rPr>
                      <w:color w:val="000000"/>
                      <w:sz w:val="21"/>
                      <w:szCs w:val="21"/>
                      <w:highlight w:val="none"/>
                    </w:rPr>
                    <w:t>序号</w:t>
                  </w:r>
                </w:p>
              </w:tc>
              <w:tc>
                <w:tcPr>
                  <w:tcW w:w="1446" w:type="dxa"/>
                  <w:vMerge w:val="restart"/>
                  <w:noWrap w:val="0"/>
                  <w:vAlign w:val="center"/>
                </w:tcPr>
                <w:p w14:paraId="07879539">
                  <w:pPr>
                    <w:jc w:val="center"/>
                    <w:rPr>
                      <w:color w:val="000000"/>
                      <w:sz w:val="21"/>
                      <w:szCs w:val="21"/>
                      <w:highlight w:val="none"/>
                    </w:rPr>
                  </w:pPr>
                  <w:r>
                    <w:rPr>
                      <w:color w:val="000000"/>
                      <w:sz w:val="21"/>
                      <w:szCs w:val="21"/>
                      <w:highlight w:val="none"/>
                    </w:rPr>
                    <w:t>污染物项目</w:t>
                  </w:r>
                </w:p>
              </w:tc>
              <w:tc>
                <w:tcPr>
                  <w:tcW w:w="3534" w:type="dxa"/>
                  <w:gridSpan w:val="2"/>
                  <w:noWrap w:val="0"/>
                  <w:vAlign w:val="center"/>
                </w:tcPr>
                <w:p w14:paraId="7973186B">
                  <w:pPr>
                    <w:jc w:val="center"/>
                    <w:rPr>
                      <w:color w:val="000000"/>
                      <w:sz w:val="21"/>
                      <w:szCs w:val="21"/>
                      <w:highlight w:val="none"/>
                    </w:rPr>
                  </w:pPr>
                  <w:r>
                    <w:rPr>
                      <w:color w:val="000000"/>
                      <w:sz w:val="21"/>
                      <w:szCs w:val="21"/>
                      <w:highlight w:val="none"/>
                    </w:rPr>
                    <w:t>限值</w:t>
                  </w:r>
                </w:p>
              </w:tc>
              <w:tc>
                <w:tcPr>
                  <w:tcW w:w="1127" w:type="dxa"/>
                  <w:vMerge w:val="restart"/>
                  <w:noWrap w:val="0"/>
                  <w:vAlign w:val="center"/>
                </w:tcPr>
                <w:p w14:paraId="25A189F8">
                  <w:pPr>
                    <w:jc w:val="center"/>
                    <w:rPr>
                      <w:color w:val="000000"/>
                      <w:sz w:val="21"/>
                      <w:szCs w:val="21"/>
                      <w:highlight w:val="none"/>
                    </w:rPr>
                  </w:pPr>
                  <w:r>
                    <w:rPr>
                      <w:color w:val="000000"/>
                      <w:sz w:val="21"/>
                      <w:szCs w:val="21"/>
                      <w:highlight w:val="none"/>
                    </w:rPr>
                    <w:t>污染物排放监控位置</w:t>
                  </w:r>
                </w:p>
              </w:tc>
              <w:tc>
                <w:tcPr>
                  <w:tcW w:w="1127" w:type="dxa"/>
                  <w:vMerge w:val="restart"/>
                  <w:noWrap w:val="0"/>
                  <w:vAlign w:val="center"/>
                </w:tcPr>
                <w:p w14:paraId="07C98F67">
                  <w:pPr>
                    <w:jc w:val="center"/>
                    <w:rPr>
                      <w:rFonts w:hint="eastAsia"/>
                      <w:color w:val="000000"/>
                      <w:sz w:val="21"/>
                      <w:szCs w:val="21"/>
                      <w:highlight w:val="none"/>
                    </w:rPr>
                  </w:pPr>
                  <w:r>
                    <w:rPr>
                      <w:rFonts w:hint="eastAsia"/>
                      <w:color w:val="000000"/>
                      <w:sz w:val="21"/>
                      <w:szCs w:val="21"/>
                      <w:highlight w:val="none"/>
                    </w:rPr>
                    <w:t>执行标准</w:t>
                  </w:r>
                </w:p>
              </w:tc>
            </w:tr>
            <w:tr w14:paraId="5167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jc w:val="center"/>
              </w:trPr>
              <w:tc>
                <w:tcPr>
                  <w:tcW w:w="1166" w:type="dxa"/>
                  <w:vMerge w:val="continue"/>
                  <w:noWrap w:val="0"/>
                  <w:vAlign w:val="center"/>
                </w:tcPr>
                <w:p w14:paraId="44B7E36E">
                  <w:pPr>
                    <w:jc w:val="center"/>
                    <w:rPr>
                      <w:color w:val="000000"/>
                      <w:sz w:val="21"/>
                      <w:szCs w:val="21"/>
                      <w:highlight w:val="none"/>
                    </w:rPr>
                  </w:pPr>
                </w:p>
              </w:tc>
              <w:tc>
                <w:tcPr>
                  <w:tcW w:w="1446" w:type="dxa"/>
                  <w:vMerge w:val="continue"/>
                  <w:noWrap w:val="0"/>
                  <w:vAlign w:val="center"/>
                </w:tcPr>
                <w:p w14:paraId="53B964AA">
                  <w:pPr>
                    <w:jc w:val="center"/>
                    <w:rPr>
                      <w:color w:val="000000"/>
                      <w:sz w:val="21"/>
                      <w:szCs w:val="21"/>
                      <w:highlight w:val="none"/>
                    </w:rPr>
                  </w:pPr>
                </w:p>
              </w:tc>
              <w:tc>
                <w:tcPr>
                  <w:tcW w:w="1767" w:type="dxa"/>
                  <w:noWrap w:val="0"/>
                  <w:vAlign w:val="center"/>
                </w:tcPr>
                <w:p w14:paraId="69B71285">
                  <w:pPr>
                    <w:jc w:val="center"/>
                    <w:rPr>
                      <w:color w:val="000000"/>
                      <w:sz w:val="21"/>
                      <w:szCs w:val="21"/>
                      <w:highlight w:val="none"/>
                    </w:rPr>
                  </w:pPr>
                  <w:r>
                    <w:rPr>
                      <w:color w:val="000000"/>
                      <w:sz w:val="21"/>
                      <w:szCs w:val="21"/>
                      <w:highlight w:val="none"/>
                    </w:rPr>
                    <w:t>直接排放</w:t>
                  </w:r>
                </w:p>
              </w:tc>
              <w:tc>
                <w:tcPr>
                  <w:tcW w:w="1767" w:type="dxa"/>
                  <w:noWrap w:val="0"/>
                  <w:vAlign w:val="center"/>
                </w:tcPr>
                <w:p w14:paraId="7FA325AA">
                  <w:pPr>
                    <w:jc w:val="center"/>
                    <w:rPr>
                      <w:color w:val="000000"/>
                      <w:sz w:val="21"/>
                      <w:szCs w:val="21"/>
                      <w:highlight w:val="none"/>
                    </w:rPr>
                  </w:pPr>
                  <w:r>
                    <w:rPr>
                      <w:color w:val="000000"/>
                      <w:sz w:val="21"/>
                      <w:szCs w:val="21"/>
                      <w:highlight w:val="none"/>
                    </w:rPr>
                    <w:t>间接排放</w:t>
                  </w:r>
                </w:p>
              </w:tc>
              <w:tc>
                <w:tcPr>
                  <w:tcW w:w="1127" w:type="dxa"/>
                  <w:vMerge w:val="continue"/>
                  <w:noWrap w:val="0"/>
                  <w:vAlign w:val="center"/>
                </w:tcPr>
                <w:p w14:paraId="223B407C">
                  <w:pPr>
                    <w:jc w:val="center"/>
                    <w:rPr>
                      <w:color w:val="000000"/>
                      <w:sz w:val="21"/>
                      <w:szCs w:val="21"/>
                      <w:highlight w:val="none"/>
                    </w:rPr>
                  </w:pPr>
                </w:p>
              </w:tc>
              <w:tc>
                <w:tcPr>
                  <w:tcW w:w="1127" w:type="dxa"/>
                  <w:vMerge w:val="continue"/>
                  <w:noWrap w:val="0"/>
                  <w:vAlign w:val="center"/>
                </w:tcPr>
                <w:p w14:paraId="5EA7A1CF">
                  <w:pPr>
                    <w:jc w:val="center"/>
                    <w:rPr>
                      <w:color w:val="000000"/>
                      <w:sz w:val="21"/>
                      <w:szCs w:val="21"/>
                      <w:highlight w:val="none"/>
                    </w:rPr>
                  </w:pPr>
                </w:p>
              </w:tc>
            </w:tr>
            <w:tr w14:paraId="4E949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59BF1F37">
                  <w:pPr>
                    <w:jc w:val="center"/>
                    <w:rPr>
                      <w:color w:val="000000"/>
                      <w:sz w:val="21"/>
                      <w:szCs w:val="21"/>
                      <w:highlight w:val="none"/>
                    </w:rPr>
                  </w:pPr>
                  <w:r>
                    <w:rPr>
                      <w:color w:val="000000"/>
                      <w:sz w:val="21"/>
                      <w:szCs w:val="21"/>
                      <w:highlight w:val="none"/>
                    </w:rPr>
                    <w:t>1</w:t>
                  </w:r>
                </w:p>
              </w:tc>
              <w:tc>
                <w:tcPr>
                  <w:tcW w:w="1446" w:type="dxa"/>
                  <w:noWrap w:val="0"/>
                  <w:vAlign w:val="center"/>
                </w:tcPr>
                <w:p w14:paraId="6C4D77A0">
                  <w:pPr>
                    <w:jc w:val="center"/>
                    <w:rPr>
                      <w:color w:val="000000"/>
                      <w:sz w:val="21"/>
                      <w:szCs w:val="21"/>
                      <w:highlight w:val="none"/>
                    </w:rPr>
                  </w:pPr>
                  <w:r>
                    <w:rPr>
                      <w:rFonts w:hint="eastAsia"/>
                      <w:color w:val="000000"/>
                      <w:sz w:val="21"/>
                      <w:szCs w:val="21"/>
                      <w:highlight w:val="none"/>
                    </w:rPr>
                    <w:t>p</w:t>
                  </w:r>
                  <w:r>
                    <w:rPr>
                      <w:color w:val="000000"/>
                      <w:sz w:val="21"/>
                      <w:szCs w:val="21"/>
                      <w:highlight w:val="none"/>
                    </w:rPr>
                    <w:t>H值</w:t>
                  </w:r>
                </w:p>
              </w:tc>
              <w:tc>
                <w:tcPr>
                  <w:tcW w:w="1767" w:type="dxa"/>
                  <w:noWrap w:val="0"/>
                  <w:vAlign w:val="center"/>
                </w:tcPr>
                <w:p w14:paraId="134695FD">
                  <w:pPr>
                    <w:jc w:val="center"/>
                    <w:rPr>
                      <w:color w:val="000000"/>
                      <w:sz w:val="21"/>
                      <w:szCs w:val="21"/>
                      <w:highlight w:val="none"/>
                    </w:rPr>
                  </w:pPr>
                  <w:r>
                    <w:rPr>
                      <w:color w:val="000000"/>
                      <w:sz w:val="21"/>
                      <w:szCs w:val="21"/>
                      <w:highlight w:val="none"/>
                    </w:rPr>
                    <w:t>6-9</w:t>
                  </w:r>
                </w:p>
              </w:tc>
              <w:tc>
                <w:tcPr>
                  <w:tcW w:w="1767" w:type="dxa"/>
                  <w:noWrap w:val="0"/>
                  <w:vAlign w:val="center"/>
                </w:tcPr>
                <w:p w14:paraId="4093BE00">
                  <w:pPr>
                    <w:jc w:val="center"/>
                    <w:rPr>
                      <w:color w:val="000000"/>
                      <w:sz w:val="21"/>
                      <w:szCs w:val="21"/>
                      <w:highlight w:val="none"/>
                    </w:rPr>
                  </w:pPr>
                  <w:r>
                    <w:rPr>
                      <w:color w:val="000000"/>
                      <w:sz w:val="21"/>
                      <w:szCs w:val="21"/>
                      <w:highlight w:val="none"/>
                    </w:rPr>
                    <w:t>6-9</w:t>
                  </w:r>
                </w:p>
              </w:tc>
              <w:tc>
                <w:tcPr>
                  <w:tcW w:w="1127" w:type="dxa"/>
                  <w:vMerge w:val="restart"/>
                  <w:noWrap w:val="0"/>
                  <w:vAlign w:val="center"/>
                </w:tcPr>
                <w:p w14:paraId="0139B0A2">
                  <w:pPr>
                    <w:jc w:val="center"/>
                    <w:rPr>
                      <w:color w:val="000000"/>
                      <w:sz w:val="21"/>
                      <w:szCs w:val="21"/>
                      <w:highlight w:val="none"/>
                    </w:rPr>
                  </w:pPr>
                  <w:r>
                    <w:rPr>
                      <w:color w:val="000000"/>
                      <w:sz w:val="21"/>
                      <w:szCs w:val="21"/>
                      <w:highlight w:val="none"/>
                    </w:rPr>
                    <w:t>独立焦化企业废水总排放口</w:t>
                  </w:r>
                </w:p>
              </w:tc>
              <w:tc>
                <w:tcPr>
                  <w:tcW w:w="1127" w:type="dxa"/>
                  <w:vMerge w:val="restart"/>
                  <w:noWrap w:val="0"/>
                  <w:vAlign w:val="center"/>
                </w:tcPr>
                <w:p w14:paraId="626167E2">
                  <w:pPr>
                    <w:jc w:val="center"/>
                    <w:rPr>
                      <w:color w:val="000000"/>
                      <w:sz w:val="21"/>
                      <w:szCs w:val="21"/>
                      <w:highlight w:val="none"/>
                    </w:rPr>
                  </w:pPr>
                  <w:r>
                    <w:rPr>
                      <w:rFonts w:hAnsi="宋体"/>
                      <w:color w:val="000000"/>
                      <w:sz w:val="21"/>
                      <w:szCs w:val="21"/>
                      <w:highlight w:val="none"/>
                    </w:rPr>
                    <w:t>《炼焦化学工业污染物排放标准》</w:t>
                  </w:r>
                  <w:r>
                    <w:rPr>
                      <w:rFonts w:hint="eastAsia"/>
                      <w:color w:val="000000"/>
                      <w:szCs w:val="21"/>
                      <w:highlight w:val="none"/>
                    </w:rPr>
                    <w:t>表</w:t>
                  </w:r>
                  <w:r>
                    <w:rPr>
                      <w:rFonts w:hint="eastAsia"/>
                      <w:color w:val="000000"/>
                      <w:szCs w:val="21"/>
                      <w:highlight w:val="none"/>
                      <w:lang w:val="en-US" w:eastAsia="zh-CN"/>
                    </w:rPr>
                    <w:t>2</w:t>
                  </w:r>
                </w:p>
              </w:tc>
            </w:tr>
            <w:tr w14:paraId="0FA81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66" w:type="dxa"/>
                  <w:noWrap w:val="0"/>
                  <w:vAlign w:val="center"/>
                </w:tcPr>
                <w:p w14:paraId="4387138A">
                  <w:pPr>
                    <w:jc w:val="center"/>
                    <w:rPr>
                      <w:color w:val="000000"/>
                      <w:sz w:val="21"/>
                      <w:szCs w:val="21"/>
                      <w:highlight w:val="none"/>
                    </w:rPr>
                  </w:pPr>
                  <w:r>
                    <w:rPr>
                      <w:color w:val="000000"/>
                      <w:sz w:val="21"/>
                      <w:szCs w:val="21"/>
                      <w:highlight w:val="none"/>
                    </w:rPr>
                    <w:t>2</w:t>
                  </w:r>
                </w:p>
              </w:tc>
              <w:tc>
                <w:tcPr>
                  <w:tcW w:w="1446" w:type="dxa"/>
                  <w:noWrap w:val="0"/>
                  <w:vAlign w:val="center"/>
                </w:tcPr>
                <w:p w14:paraId="54DC42A5">
                  <w:pPr>
                    <w:jc w:val="center"/>
                    <w:rPr>
                      <w:color w:val="000000"/>
                      <w:sz w:val="21"/>
                      <w:szCs w:val="21"/>
                      <w:highlight w:val="none"/>
                    </w:rPr>
                  </w:pPr>
                  <w:r>
                    <w:rPr>
                      <w:color w:val="000000"/>
                      <w:sz w:val="21"/>
                      <w:szCs w:val="21"/>
                      <w:highlight w:val="none"/>
                    </w:rPr>
                    <w:t>县浮物</w:t>
                  </w:r>
                </w:p>
              </w:tc>
              <w:tc>
                <w:tcPr>
                  <w:tcW w:w="1767" w:type="dxa"/>
                  <w:noWrap w:val="0"/>
                  <w:vAlign w:val="center"/>
                </w:tcPr>
                <w:p w14:paraId="4BBE62ED">
                  <w:pPr>
                    <w:jc w:val="center"/>
                    <w:rPr>
                      <w:color w:val="000000"/>
                      <w:sz w:val="21"/>
                      <w:szCs w:val="21"/>
                      <w:highlight w:val="none"/>
                    </w:rPr>
                  </w:pPr>
                  <w:r>
                    <w:rPr>
                      <w:rFonts w:hint="eastAsia"/>
                      <w:color w:val="000000"/>
                      <w:sz w:val="21"/>
                      <w:szCs w:val="21"/>
                      <w:highlight w:val="none"/>
                    </w:rPr>
                    <w:t>70</w:t>
                  </w:r>
                </w:p>
              </w:tc>
              <w:tc>
                <w:tcPr>
                  <w:tcW w:w="1767" w:type="dxa"/>
                  <w:noWrap w:val="0"/>
                  <w:vAlign w:val="center"/>
                </w:tcPr>
                <w:p w14:paraId="3170884B">
                  <w:pPr>
                    <w:jc w:val="center"/>
                    <w:rPr>
                      <w:color w:val="000000"/>
                      <w:sz w:val="21"/>
                      <w:szCs w:val="21"/>
                      <w:highlight w:val="none"/>
                    </w:rPr>
                  </w:pPr>
                  <w:r>
                    <w:rPr>
                      <w:color w:val="000000"/>
                      <w:sz w:val="21"/>
                      <w:szCs w:val="21"/>
                      <w:highlight w:val="none"/>
                    </w:rPr>
                    <w:t>70</w:t>
                  </w:r>
                </w:p>
              </w:tc>
              <w:tc>
                <w:tcPr>
                  <w:tcW w:w="1127" w:type="dxa"/>
                  <w:vMerge w:val="continue"/>
                  <w:noWrap w:val="0"/>
                  <w:vAlign w:val="center"/>
                </w:tcPr>
                <w:p w14:paraId="60A56CA1">
                  <w:pPr>
                    <w:jc w:val="center"/>
                    <w:rPr>
                      <w:color w:val="000000"/>
                      <w:sz w:val="21"/>
                      <w:szCs w:val="21"/>
                      <w:highlight w:val="none"/>
                    </w:rPr>
                  </w:pPr>
                </w:p>
              </w:tc>
              <w:tc>
                <w:tcPr>
                  <w:tcW w:w="1127" w:type="dxa"/>
                  <w:vMerge w:val="continue"/>
                  <w:noWrap w:val="0"/>
                  <w:vAlign w:val="center"/>
                </w:tcPr>
                <w:p w14:paraId="6395D967">
                  <w:pPr>
                    <w:jc w:val="center"/>
                    <w:rPr>
                      <w:color w:val="000000"/>
                      <w:sz w:val="21"/>
                      <w:szCs w:val="21"/>
                      <w:highlight w:val="none"/>
                    </w:rPr>
                  </w:pPr>
                </w:p>
              </w:tc>
            </w:tr>
            <w:tr w14:paraId="3DACF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554E1165">
                  <w:pPr>
                    <w:jc w:val="center"/>
                    <w:rPr>
                      <w:color w:val="000000"/>
                      <w:sz w:val="21"/>
                      <w:szCs w:val="21"/>
                      <w:highlight w:val="none"/>
                    </w:rPr>
                  </w:pPr>
                  <w:r>
                    <w:rPr>
                      <w:color w:val="000000"/>
                      <w:sz w:val="21"/>
                      <w:szCs w:val="21"/>
                      <w:highlight w:val="none"/>
                    </w:rPr>
                    <w:t>3</w:t>
                  </w:r>
                </w:p>
              </w:tc>
              <w:tc>
                <w:tcPr>
                  <w:tcW w:w="1446" w:type="dxa"/>
                  <w:noWrap w:val="0"/>
                  <w:vAlign w:val="center"/>
                </w:tcPr>
                <w:p w14:paraId="53D71A86">
                  <w:pPr>
                    <w:jc w:val="center"/>
                    <w:rPr>
                      <w:color w:val="000000"/>
                      <w:sz w:val="21"/>
                      <w:szCs w:val="21"/>
                      <w:highlight w:val="none"/>
                    </w:rPr>
                  </w:pPr>
                  <w:r>
                    <w:rPr>
                      <w:color w:val="000000"/>
                      <w:sz w:val="21"/>
                      <w:szCs w:val="21"/>
                      <w:highlight w:val="none"/>
                    </w:rPr>
                    <w:t>化学需氧量</w:t>
                  </w:r>
                </w:p>
              </w:tc>
              <w:tc>
                <w:tcPr>
                  <w:tcW w:w="1767" w:type="dxa"/>
                  <w:noWrap w:val="0"/>
                  <w:vAlign w:val="center"/>
                </w:tcPr>
                <w:p w14:paraId="5D1DA3AB">
                  <w:pPr>
                    <w:jc w:val="center"/>
                    <w:rPr>
                      <w:color w:val="000000"/>
                      <w:sz w:val="21"/>
                      <w:szCs w:val="21"/>
                      <w:highlight w:val="none"/>
                    </w:rPr>
                  </w:pPr>
                  <w:r>
                    <w:rPr>
                      <w:rFonts w:hint="eastAsia"/>
                      <w:color w:val="000000"/>
                      <w:sz w:val="21"/>
                      <w:szCs w:val="21"/>
                      <w:highlight w:val="none"/>
                    </w:rPr>
                    <w:t>100</w:t>
                  </w:r>
                </w:p>
              </w:tc>
              <w:tc>
                <w:tcPr>
                  <w:tcW w:w="1767" w:type="dxa"/>
                  <w:noWrap w:val="0"/>
                  <w:vAlign w:val="center"/>
                </w:tcPr>
                <w:p w14:paraId="3B5DE283">
                  <w:pPr>
                    <w:jc w:val="center"/>
                    <w:rPr>
                      <w:color w:val="000000"/>
                      <w:sz w:val="21"/>
                      <w:szCs w:val="21"/>
                      <w:highlight w:val="none"/>
                    </w:rPr>
                  </w:pPr>
                  <w:r>
                    <w:rPr>
                      <w:color w:val="000000"/>
                      <w:sz w:val="21"/>
                      <w:szCs w:val="21"/>
                      <w:highlight w:val="none"/>
                    </w:rPr>
                    <w:t>150</w:t>
                  </w:r>
                </w:p>
              </w:tc>
              <w:tc>
                <w:tcPr>
                  <w:tcW w:w="1127" w:type="dxa"/>
                  <w:vMerge w:val="continue"/>
                  <w:noWrap w:val="0"/>
                  <w:vAlign w:val="center"/>
                </w:tcPr>
                <w:p w14:paraId="64910D78">
                  <w:pPr>
                    <w:jc w:val="center"/>
                    <w:rPr>
                      <w:color w:val="000000"/>
                      <w:sz w:val="21"/>
                      <w:szCs w:val="21"/>
                      <w:highlight w:val="none"/>
                    </w:rPr>
                  </w:pPr>
                </w:p>
              </w:tc>
              <w:tc>
                <w:tcPr>
                  <w:tcW w:w="1127" w:type="dxa"/>
                  <w:vMerge w:val="continue"/>
                  <w:noWrap w:val="0"/>
                  <w:vAlign w:val="center"/>
                </w:tcPr>
                <w:p w14:paraId="41783252">
                  <w:pPr>
                    <w:jc w:val="center"/>
                    <w:rPr>
                      <w:color w:val="000000"/>
                      <w:sz w:val="21"/>
                      <w:szCs w:val="21"/>
                      <w:highlight w:val="none"/>
                    </w:rPr>
                  </w:pPr>
                </w:p>
              </w:tc>
            </w:tr>
            <w:tr w14:paraId="7BC0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527F3B3B">
                  <w:pPr>
                    <w:jc w:val="center"/>
                    <w:rPr>
                      <w:color w:val="000000"/>
                      <w:sz w:val="21"/>
                      <w:szCs w:val="21"/>
                      <w:highlight w:val="none"/>
                    </w:rPr>
                  </w:pPr>
                  <w:r>
                    <w:rPr>
                      <w:color w:val="000000"/>
                      <w:sz w:val="21"/>
                      <w:szCs w:val="21"/>
                      <w:highlight w:val="none"/>
                    </w:rPr>
                    <w:t>4</w:t>
                  </w:r>
                </w:p>
              </w:tc>
              <w:tc>
                <w:tcPr>
                  <w:tcW w:w="1446" w:type="dxa"/>
                  <w:noWrap w:val="0"/>
                  <w:vAlign w:val="center"/>
                </w:tcPr>
                <w:p w14:paraId="31D468F2">
                  <w:pPr>
                    <w:jc w:val="center"/>
                    <w:rPr>
                      <w:color w:val="000000"/>
                      <w:sz w:val="21"/>
                      <w:szCs w:val="21"/>
                      <w:highlight w:val="none"/>
                    </w:rPr>
                  </w:pPr>
                  <w:r>
                    <w:rPr>
                      <w:color w:val="000000"/>
                      <w:sz w:val="21"/>
                      <w:szCs w:val="21"/>
                      <w:highlight w:val="none"/>
                    </w:rPr>
                    <w:t>氨氮</w:t>
                  </w:r>
                </w:p>
              </w:tc>
              <w:tc>
                <w:tcPr>
                  <w:tcW w:w="1767" w:type="dxa"/>
                  <w:noWrap w:val="0"/>
                  <w:vAlign w:val="center"/>
                </w:tcPr>
                <w:p w14:paraId="18E2849F">
                  <w:pPr>
                    <w:jc w:val="center"/>
                    <w:rPr>
                      <w:color w:val="000000"/>
                      <w:sz w:val="21"/>
                      <w:szCs w:val="21"/>
                      <w:highlight w:val="none"/>
                    </w:rPr>
                  </w:pPr>
                  <w:r>
                    <w:rPr>
                      <w:rFonts w:hint="eastAsia"/>
                      <w:color w:val="000000"/>
                      <w:sz w:val="21"/>
                      <w:szCs w:val="21"/>
                      <w:highlight w:val="none"/>
                    </w:rPr>
                    <w:t>15</w:t>
                  </w:r>
                </w:p>
              </w:tc>
              <w:tc>
                <w:tcPr>
                  <w:tcW w:w="1767" w:type="dxa"/>
                  <w:noWrap w:val="0"/>
                  <w:vAlign w:val="center"/>
                </w:tcPr>
                <w:p w14:paraId="01606BF5">
                  <w:pPr>
                    <w:jc w:val="center"/>
                    <w:rPr>
                      <w:color w:val="000000"/>
                      <w:sz w:val="21"/>
                      <w:szCs w:val="21"/>
                      <w:highlight w:val="none"/>
                    </w:rPr>
                  </w:pPr>
                  <w:r>
                    <w:rPr>
                      <w:color w:val="000000"/>
                      <w:sz w:val="21"/>
                      <w:szCs w:val="21"/>
                      <w:highlight w:val="none"/>
                    </w:rPr>
                    <w:t>25</w:t>
                  </w:r>
                </w:p>
              </w:tc>
              <w:tc>
                <w:tcPr>
                  <w:tcW w:w="1127" w:type="dxa"/>
                  <w:vMerge w:val="continue"/>
                  <w:noWrap w:val="0"/>
                  <w:vAlign w:val="center"/>
                </w:tcPr>
                <w:p w14:paraId="1FAEED4C">
                  <w:pPr>
                    <w:jc w:val="center"/>
                    <w:rPr>
                      <w:color w:val="000000"/>
                      <w:sz w:val="21"/>
                      <w:szCs w:val="21"/>
                      <w:highlight w:val="none"/>
                    </w:rPr>
                  </w:pPr>
                </w:p>
              </w:tc>
              <w:tc>
                <w:tcPr>
                  <w:tcW w:w="1127" w:type="dxa"/>
                  <w:vMerge w:val="continue"/>
                  <w:noWrap w:val="0"/>
                  <w:vAlign w:val="center"/>
                </w:tcPr>
                <w:p w14:paraId="5A289E24">
                  <w:pPr>
                    <w:jc w:val="center"/>
                    <w:rPr>
                      <w:color w:val="000000"/>
                      <w:sz w:val="21"/>
                      <w:szCs w:val="21"/>
                      <w:highlight w:val="none"/>
                    </w:rPr>
                  </w:pPr>
                </w:p>
              </w:tc>
            </w:tr>
            <w:tr w14:paraId="5720A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64B423BE">
                  <w:pPr>
                    <w:jc w:val="center"/>
                    <w:rPr>
                      <w:color w:val="000000"/>
                      <w:sz w:val="21"/>
                      <w:szCs w:val="21"/>
                      <w:highlight w:val="none"/>
                    </w:rPr>
                  </w:pPr>
                  <w:r>
                    <w:rPr>
                      <w:color w:val="000000"/>
                      <w:sz w:val="21"/>
                      <w:szCs w:val="21"/>
                      <w:highlight w:val="none"/>
                    </w:rPr>
                    <w:t>5</w:t>
                  </w:r>
                </w:p>
              </w:tc>
              <w:tc>
                <w:tcPr>
                  <w:tcW w:w="1446" w:type="dxa"/>
                  <w:noWrap w:val="0"/>
                  <w:vAlign w:val="center"/>
                </w:tcPr>
                <w:p w14:paraId="0B332257">
                  <w:pPr>
                    <w:jc w:val="center"/>
                    <w:rPr>
                      <w:color w:val="000000"/>
                      <w:sz w:val="21"/>
                      <w:szCs w:val="21"/>
                      <w:highlight w:val="none"/>
                    </w:rPr>
                  </w:pPr>
                  <w:r>
                    <w:rPr>
                      <w:color w:val="000000"/>
                      <w:sz w:val="21"/>
                      <w:szCs w:val="21"/>
                      <w:highlight w:val="none"/>
                    </w:rPr>
                    <w:t>挥发酚</w:t>
                  </w:r>
                </w:p>
              </w:tc>
              <w:tc>
                <w:tcPr>
                  <w:tcW w:w="1767" w:type="dxa"/>
                  <w:noWrap w:val="0"/>
                  <w:vAlign w:val="center"/>
                </w:tcPr>
                <w:p w14:paraId="726B94BF">
                  <w:pPr>
                    <w:jc w:val="center"/>
                    <w:rPr>
                      <w:color w:val="000000"/>
                      <w:sz w:val="21"/>
                      <w:szCs w:val="21"/>
                      <w:highlight w:val="none"/>
                    </w:rPr>
                  </w:pPr>
                  <w:r>
                    <w:rPr>
                      <w:rFonts w:hint="eastAsia"/>
                      <w:color w:val="000000"/>
                      <w:sz w:val="21"/>
                      <w:szCs w:val="21"/>
                      <w:highlight w:val="none"/>
                    </w:rPr>
                    <w:t>0.50</w:t>
                  </w:r>
                </w:p>
              </w:tc>
              <w:tc>
                <w:tcPr>
                  <w:tcW w:w="1767" w:type="dxa"/>
                  <w:noWrap w:val="0"/>
                  <w:vAlign w:val="center"/>
                </w:tcPr>
                <w:p w14:paraId="2DA9EE08">
                  <w:pPr>
                    <w:jc w:val="center"/>
                    <w:rPr>
                      <w:color w:val="000000"/>
                      <w:sz w:val="21"/>
                      <w:szCs w:val="21"/>
                      <w:highlight w:val="none"/>
                    </w:rPr>
                  </w:pPr>
                  <w:r>
                    <w:rPr>
                      <w:rFonts w:hint="eastAsia"/>
                      <w:color w:val="000000"/>
                      <w:sz w:val="21"/>
                      <w:szCs w:val="21"/>
                      <w:highlight w:val="none"/>
                    </w:rPr>
                    <w:t>0.</w:t>
                  </w:r>
                  <w:r>
                    <w:rPr>
                      <w:rFonts w:hint="eastAsia"/>
                      <w:color w:val="000000"/>
                      <w:sz w:val="21"/>
                      <w:szCs w:val="21"/>
                      <w:highlight w:val="none"/>
                      <w:lang w:val="en-US" w:eastAsia="zh-CN"/>
                    </w:rPr>
                    <w:t>3</w:t>
                  </w:r>
                  <w:r>
                    <w:rPr>
                      <w:rFonts w:hint="eastAsia"/>
                      <w:color w:val="000000"/>
                      <w:sz w:val="21"/>
                      <w:szCs w:val="21"/>
                      <w:highlight w:val="none"/>
                    </w:rPr>
                    <w:t>0</w:t>
                  </w:r>
                </w:p>
              </w:tc>
              <w:tc>
                <w:tcPr>
                  <w:tcW w:w="1127" w:type="dxa"/>
                  <w:vMerge w:val="continue"/>
                  <w:noWrap w:val="0"/>
                  <w:vAlign w:val="center"/>
                </w:tcPr>
                <w:p w14:paraId="0CEC2B17">
                  <w:pPr>
                    <w:jc w:val="center"/>
                    <w:rPr>
                      <w:color w:val="000000"/>
                      <w:sz w:val="21"/>
                      <w:szCs w:val="21"/>
                      <w:highlight w:val="none"/>
                    </w:rPr>
                  </w:pPr>
                </w:p>
              </w:tc>
              <w:tc>
                <w:tcPr>
                  <w:tcW w:w="1127" w:type="dxa"/>
                  <w:vMerge w:val="continue"/>
                  <w:noWrap w:val="0"/>
                  <w:vAlign w:val="center"/>
                </w:tcPr>
                <w:p w14:paraId="592801B7">
                  <w:pPr>
                    <w:jc w:val="center"/>
                    <w:rPr>
                      <w:color w:val="000000"/>
                      <w:sz w:val="21"/>
                      <w:szCs w:val="21"/>
                      <w:highlight w:val="none"/>
                    </w:rPr>
                  </w:pPr>
                </w:p>
              </w:tc>
            </w:tr>
            <w:tr w14:paraId="0BB65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68FCD921">
                  <w:pPr>
                    <w:jc w:val="center"/>
                    <w:rPr>
                      <w:color w:val="000000"/>
                      <w:sz w:val="21"/>
                      <w:szCs w:val="21"/>
                      <w:highlight w:val="none"/>
                    </w:rPr>
                  </w:pPr>
                  <w:r>
                    <w:rPr>
                      <w:color w:val="000000"/>
                      <w:sz w:val="21"/>
                      <w:szCs w:val="21"/>
                      <w:highlight w:val="none"/>
                    </w:rPr>
                    <w:t>6</w:t>
                  </w:r>
                </w:p>
              </w:tc>
              <w:tc>
                <w:tcPr>
                  <w:tcW w:w="1446" w:type="dxa"/>
                  <w:noWrap w:val="0"/>
                  <w:vAlign w:val="center"/>
                </w:tcPr>
                <w:p w14:paraId="0CB4AF4F">
                  <w:pPr>
                    <w:jc w:val="center"/>
                    <w:rPr>
                      <w:color w:val="000000"/>
                      <w:sz w:val="21"/>
                      <w:szCs w:val="21"/>
                      <w:highlight w:val="none"/>
                    </w:rPr>
                  </w:pPr>
                  <w:r>
                    <w:rPr>
                      <w:color w:val="000000"/>
                      <w:sz w:val="21"/>
                      <w:szCs w:val="21"/>
                      <w:highlight w:val="none"/>
                    </w:rPr>
                    <w:t>氰化物</w:t>
                  </w:r>
                </w:p>
              </w:tc>
              <w:tc>
                <w:tcPr>
                  <w:tcW w:w="1767" w:type="dxa"/>
                  <w:noWrap w:val="0"/>
                  <w:vAlign w:val="center"/>
                </w:tcPr>
                <w:p w14:paraId="12EC61B4">
                  <w:pPr>
                    <w:jc w:val="center"/>
                    <w:rPr>
                      <w:color w:val="000000"/>
                      <w:sz w:val="21"/>
                      <w:szCs w:val="21"/>
                      <w:highlight w:val="none"/>
                    </w:rPr>
                  </w:pPr>
                  <w:r>
                    <w:rPr>
                      <w:color w:val="000000"/>
                      <w:sz w:val="21"/>
                      <w:szCs w:val="21"/>
                      <w:highlight w:val="none"/>
                    </w:rPr>
                    <w:t>0.20</w:t>
                  </w:r>
                </w:p>
              </w:tc>
              <w:tc>
                <w:tcPr>
                  <w:tcW w:w="1767" w:type="dxa"/>
                  <w:noWrap w:val="0"/>
                  <w:vAlign w:val="center"/>
                </w:tcPr>
                <w:p w14:paraId="0BFBCE35">
                  <w:pPr>
                    <w:jc w:val="center"/>
                    <w:rPr>
                      <w:color w:val="000000"/>
                      <w:sz w:val="21"/>
                      <w:szCs w:val="21"/>
                      <w:highlight w:val="none"/>
                    </w:rPr>
                  </w:pPr>
                  <w:r>
                    <w:rPr>
                      <w:color w:val="000000"/>
                      <w:sz w:val="21"/>
                      <w:szCs w:val="21"/>
                      <w:highlight w:val="none"/>
                    </w:rPr>
                    <w:t>0.20</w:t>
                  </w:r>
                </w:p>
              </w:tc>
              <w:tc>
                <w:tcPr>
                  <w:tcW w:w="1127" w:type="dxa"/>
                  <w:vMerge w:val="continue"/>
                  <w:noWrap w:val="0"/>
                  <w:vAlign w:val="center"/>
                </w:tcPr>
                <w:p w14:paraId="0C945388">
                  <w:pPr>
                    <w:jc w:val="center"/>
                    <w:rPr>
                      <w:color w:val="000000"/>
                      <w:sz w:val="21"/>
                      <w:szCs w:val="21"/>
                      <w:highlight w:val="none"/>
                    </w:rPr>
                  </w:pPr>
                </w:p>
              </w:tc>
              <w:tc>
                <w:tcPr>
                  <w:tcW w:w="1127" w:type="dxa"/>
                  <w:vMerge w:val="continue"/>
                  <w:noWrap w:val="0"/>
                  <w:vAlign w:val="center"/>
                </w:tcPr>
                <w:p w14:paraId="14869C9B">
                  <w:pPr>
                    <w:jc w:val="center"/>
                    <w:rPr>
                      <w:color w:val="000000"/>
                      <w:sz w:val="21"/>
                      <w:szCs w:val="21"/>
                      <w:highlight w:val="none"/>
                    </w:rPr>
                  </w:pPr>
                </w:p>
              </w:tc>
            </w:tr>
            <w:tr w14:paraId="19DAF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66" w:type="dxa"/>
                  <w:noWrap w:val="0"/>
                  <w:vAlign w:val="center"/>
                </w:tcPr>
                <w:p w14:paraId="0FB27B55">
                  <w:pPr>
                    <w:jc w:val="center"/>
                    <w:rPr>
                      <w:color w:val="000000"/>
                      <w:sz w:val="21"/>
                      <w:szCs w:val="21"/>
                      <w:highlight w:val="none"/>
                    </w:rPr>
                  </w:pPr>
                  <w:r>
                    <w:rPr>
                      <w:color w:val="000000"/>
                      <w:sz w:val="21"/>
                      <w:szCs w:val="21"/>
                      <w:highlight w:val="none"/>
                    </w:rPr>
                    <w:t>7</w:t>
                  </w:r>
                </w:p>
              </w:tc>
              <w:tc>
                <w:tcPr>
                  <w:tcW w:w="1446" w:type="dxa"/>
                  <w:noWrap w:val="0"/>
                  <w:vAlign w:val="center"/>
                </w:tcPr>
                <w:p w14:paraId="66F7758F">
                  <w:pPr>
                    <w:jc w:val="center"/>
                    <w:rPr>
                      <w:color w:val="000000"/>
                      <w:sz w:val="21"/>
                      <w:szCs w:val="21"/>
                      <w:highlight w:val="none"/>
                    </w:rPr>
                  </w:pPr>
                  <w:r>
                    <w:rPr>
                      <w:color w:val="000000"/>
                      <w:sz w:val="21"/>
                      <w:szCs w:val="21"/>
                      <w:highlight w:val="none"/>
                    </w:rPr>
                    <w:t>BOD</w:t>
                  </w:r>
                  <w:r>
                    <w:rPr>
                      <w:color w:val="000000"/>
                      <w:sz w:val="21"/>
                      <w:szCs w:val="21"/>
                      <w:highlight w:val="none"/>
                      <w:vertAlign w:val="subscript"/>
                    </w:rPr>
                    <w:t>5</w:t>
                  </w:r>
                </w:p>
              </w:tc>
              <w:tc>
                <w:tcPr>
                  <w:tcW w:w="1767" w:type="dxa"/>
                  <w:noWrap w:val="0"/>
                  <w:vAlign w:val="center"/>
                </w:tcPr>
                <w:p w14:paraId="4359D742">
                  <w:pPr>
                    <w:jc w:val="center"/>
                    <w:rPr>
                      <w:color w:val="000000"/>
                      <w:sz w:val="21"/>
                      <w:szCs w:val="21"/>
                      <w:highlight w:val="none"/>
                    </w:rPr>
                  </w:pPr>
                  <w:r>
                    <w:rPr>
                      <w:rFonts w:hint="eastAsia"/>
                      <w:color w:val="000000"/>
                      <w:sz w:val="21"/>
                      <w:szCs w:val="21"/>
                      <w:highlight w:val="none"/>
                    </w:rPr>
                    <w:t>10</w:t>
                  </w:r>
                </w:p>
              </w:tc>
              <w:tc>
                <w:tcPr>
                  <w:tcW w:w="1767" w:type="dxa"/>
                  <w:noWrap w:val="0"/>
                  <w:vAlign w:val="center"/>
                </w:tcPr>
                <w:p w14:paraId="661B83FA">
                  <w:pPr>
                    <w:jc w:val="center"/>
                    <w:rPr>
                      <w:color w:val="000000"/>
                      <w:sz w:val="21"/>
                      <w:szCs w:val="21"/>
                      <w:highlight w:val="none"/>
                    </w:rPr>
                  </w:pPr>
                  <w:r>
                    <w:rPr>
                      <w:rFonts w:hint="eastAsia"/>
                      <w:color w:val="000000"/>
                      <w:sz w:val="21"/>
                      <w:szCs w:val="21"/>
                      <w:highlight w:val="none"/>
                    </w:rPr>
                    <w:t>2</w:t>
                  </w:r>
                  <w:r>
                    <w:rPr>
                      <w:color w:val="000000"/>
                      <w:sz w:val="21"/>
                      <w:szCs w:val="21"/>
                      <w:highlight w:val="none"/>
                    </w:rPr>
                    <w:t>0</w:t>
                  </w:r>
                </w:p>
              </w:tc>
              <w:tc>
                <w:tcPr>
                  <w:tcW w:w="1127" w:type="dxa"/>
                  <w:vMerge w:val="continue"/>
                  <w:noWrap w:val="0"/>
                  <w:vAlign w:val="center"/>
                </w:tcPr>
                <w:p w14:paraId="47A485B8">
                  <w:pPr>
                    <w:jc w:val="center"/>
                    <w:rPr>
                      <w:color w:val="000000"/>
                      <w:sz w:val="21"/>
                      <w:szCs w:val="21"/>
                      <w:highlight w:val="none"/>
                    </w:rPr>
                  </w:pPr>
                </w:p>
              </w:tc>
              <w:tc>
                <w:tcPr>
                  <w:tcW w:w="1127" w:type="dxa"/>
                  <w:vMerge w:val="restart"/>
                  <w:noWrap w:val="0"/>
                  <w:vAlign w:val="center"/>
                </w:tcPr>
                <w:p w14:paraId="286AD4B2">
                  <w:pPr>
                    <w:jc w:val="center"/>
                    <w:rPr>
                      <w:color w:val="000000"/>
                      <w:sz w:val="21"/>
                      <w:szCs w:val="21"/>
                      <w:highlight w:val="none"/>
                    </w:rPr>
                  </w:pPr>
                  <w:r>
                    <w:rPr>
                      <w:rFonts w:hint="eastAsia"/>
                      <w:color w:val="000000"/>
                      <w:sz w:val="21"/>
                      <w:szCs w:val="21"/>
                      <w:highlight w:val="none"/>
                    </w:rPr>
                    <w:t>《炼焦化学工业污染物排放标准》表3</w:t>
                  </w:r>
                </w:p>
              </w:tc>
            </w:tr>
            <w:tr w14:paraId="64A5E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77DC7EDC">
                  <w:pPr>
                    <w:jc w:val="center"/>
                    <w:rPr>
                      <w:color w:val="000000"/>
                      <w:sz w:val="21"/>
                      <w:szCs w:val="21"/>
                      <w:highlight w:val="none"/>
                    </w:rPr>
                  </w:pPr>
                  <w:r>
                    <w:rPr>
                      <w:color w:val="000000"/>
                      <w:sz w:val="21"/>
                      <w:szCs w:val="21"/>
                      <w:highlight w:val="none"/>
                    </w:rPr>
                    <w:t>8</w:t>
                  </w:r>
                </w:p>
              </w:tc>
              <w:tc>
                <w:tcPr>
                  <w:tcW w:w="1446" w:type="dxa"/>
                  <w:noWrap w:val="0"/>
                  <w:vAlign w:val="center"/>
                </w:tcPr>
                <w:p w14:paraId="3865DC76">
                  <w:pPr>
                    <w:jc w:val="center"/>
                    <w:rPr>
                      <w:color w:val="000000"/>
                      <w:sz w:val="21"/>
                      <w:szCs w:val="21"/>
                      <w:highlight w:val="none"/>
                    </w:rPr>
                  </w:pPr>
                  <w:r>
                    <w:rPr>
                      <w:color w:val="000000"/>
                      <w:sz w:val="21"/>
                      <w:szCs w:val="21"/>
                      <w:highlight w:val="none"/>
                    </w:rPr>
                    <w:t>总氮</w:t>
                  </w:r>
                </w:p>
              </w:tc>
              <w:tc>
                <w:tcPr>
                  <w:tcW w:w="1767" w:type="dxa"/>
                  <w:noWrap w:val="0"/>
                  <w:vAlign w:val="center"/>
                </w:tcPr>
                <w:p w14:paraId="68470FEF">
                  <w:pPr>
                    <w:jc w:val="center"/>
                    <w:rPr>
                      <w:color w:val="000000"/>
                      <w:sz w:val="21"/>
                      <w:szCs w:val="21"/>
                      <w:highlight w:val="none"/>
                    </w:rPr>
                  </w:pPr>
                  <w:r>
                    <w:rPr>
                      <w:rFonts w:hint="eastAsia"/>
                      <w:color w:val="000000"/>
                      <w:sz w:val="21"/>
                      <w:szCs w:val="21"/>
                      <w:highlight w:val="none"/>
                    </w:rPr>
                    <w:t>10</w:t>
                  </w:r>
                </w:p>
              </w:tc>
              <w:tc>
                <w:tcPr>
                  <w:tcW w:w="1767" w:type="dxa"/>
                  <w:noWrap w:val="0"/>
                  <w:vAlign w:val="center"/>
                </w:tcPr>
                <w:p w14:paraId="2AB98D64">
                  <w:pPr>
                    <w:jc w:val="center"/>
                    <w:rPr>
                      <w:color w:val="000000"/>
                      <w:sz w:val="21"/>
                      <w:szCs w:val="21"/>
                      <w:highlight w:val="none"/>
                    </w:rPr>
                  </w:pPr>
                  <w:r>
                    <w:rPr>
                      <w:rFonts w:hint="eastAsia"/>
                      <w:color w:val="000000"/>
                      <w:sz w:val="21"/>
                      <w:szCs w:val="21"/>
                      <w:highlight w:val="none"/>
                    </w:rPr>
                    <w:t>25</w:t>
                  </w:r>
                </w:p>
              </w:tc>
              <w:tc>
                <w:tcPr>
                  <w:tcW w:w="1127" w:type="dxa"/>
                  <w:vMerge w:val="continue"/>
                  <w:noWrap w:val="0"/>
                  <w:vAlign w:val="center"/>
                </w:tcPr>
                <w:p w14:paraId="0CD8F7D8">
                  <w:pPr>
                    <w:jc w:val="center"/>
                    <w:rPr>
                      <w:color w:val="000000"/>
                      <w:sz w:val="21"/>
                      <w:szCs w:val="21"/>
                      <w:highlight w:val="none"/>
                    </w:rPr>
                  </w:pPr>
                </w:p>
              </w:tc>
              <w:tc>
                <w:tcPr>
                  <w:tcW w:w="1127" w:type="dxa"/>
                  <w:vMerge w:val="continue"/>
                  <w:noWrap w:val="0"/>
                  <w:vAlign w:val="center"/>
                </w:tcPr>
                <w:p w14:paraId="5EC7188D">
                  <w:pPr>
                    <w:jc w:val="center"/>
                    <w:rPr>
                      <w:color w:val="000000"/>
                      <w:sz w:val="21"/>
                      <w:szCs w:val="21"/>
                      <w:highlight w:val="none"/>
                    </w:rPr>
                  </w:pPr>
                </w:p>
              </w:tc>
            </w:tr>
            <w:tr w14:paraId="48D37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1E0F3EB2">
                  <w:pPr>
                    <w:jc w:val="center"/>
                    <w:rPr>
                      <w:color w:val="000000"/>
                      <w:sz w:val="21"/>
                      <w:szCs w:val="21"/>
                      <w:highlight w:val="none"/>
                    </w:rPr>
                  </w:pPr>
                  <w:r>
                    <w:rPr>
                      <w:rFonts w:hint="eastAsia"/>
                      <w:color w:val="000000"/>
                      <w:sz w:val="21"/>
                      <w:szCs w:val="21"/>
                      <w:highlight w:val="none"/>
                    </w:rPr>
                    <w:t>9</w:t>
                  </w:r>
                </w:p>
              </w:tc>
              <w:tc>
                <w:tcPr>
                  <w:tcW w:w="1446" w:type="dxa"/>
                  <w:noWrap w:val="0"/>
                  <w:vAlign w:val="center"/>
                </w:tcPr>
                <w:p w14:paraId="268F07C9">
                  <w:pPr>
                    <w:jc w:val="center"/>
                    <w:rPr>
                      <w:color w:val="000000"/>
                      <w:sz w:val="21"/>
                      <w:szCs w:val="21"/>
                      <w:highlight w:val="none"/>
                    </w:rPr>
                  </w:pPr>
                  <w:r>
                    <w:rPr>
                      <w:color w:val="000000"/>
                      <w:sz w:val="21"/>
                      <w:szCs w:val="21"/>
                      <w:highlight w:val="none"/>
                    </w:rPr>
                    <w:t>总磷</w:t>
                  </w:r>
                </w:p>
              </w:tc>
              <w:tc>
                <w:tcPr>
                  <w:tcW w:w="1767" w:type="dxa"/>
                  <w:noWrap w:val="0"/>
                  <w:vAlign w:val="center"/>
                </w:tcPr>
                <w:p w14:paraId="57941DD6">
                  <w:pPr>
                    <w:jc w:val="center"/>
                    <w:rPr>
                      <w:color w:val="000000"/>
                      <w:sz w:val="21"/>
                      <w:szCs w:val="21"/>
                      <w:highlight w:val="none"/>
                    </w:rPr>
                  </w:pPr>
                  <w:r>
                    <w:rPr>
                      <w:rFonts w:hint="eastAsia"/>
                      <w:color w:val="000000"/>
                      <w:sz w:val="21"/>
                      <w:szCs w:val="21"/>
                      <w:highlight w:val="none"/>
                    </w:rPr>
                    <w:t>0.5</w:t>
                  </w:r>
                </w:p>
              </w:tc>
              <w:tc>
                <w:tcPr>
                  <w:tcW w:w="1767" w:type="dxa"/>
                  <w:noWrap w:val="0"/>
                  <w:vAlign w:val="center"/>
                </w:tcPr>
                <w:p w14:paraId="454F56AF">
                  <w:pPr>
                    <w:jc w:val="center"/>
                    <w:rPr>
                      <w:color w:val="000000"/>
                      <w:sz w:val="21"/>
                      <w:szCs w:val="21"/>
                      <w:highlight w:val="none"/>
                    </w:rPr>
                  </w:pPr>
                  <w:r>
                    <w:rPr>
                      <w:rFonts w:hint="eastAsia"/>
                      <w:color w:val="000000"/>
                      <w:sz w:val="21"/>
                      <w:szCs w:val="21"/>
                      <w:highlight w:val="none"/>
                    </w:rPr>
                    <w:t>1.0</w:t>
                  </w:r>
                </w:p>
              </w:tc>
              <w:tc>
                <w:tcPr>
                  <w:tcW w:w="1127" w:type="dxa"/>
                  <w:vMerge w:val="continue"/>
                  <w:noWrap w:val="0"/>
                  <w:vAlign w:val="center"/>
                </w:tcPr>
                <w:p w14:paraId="40C79A2A">
                  <w:pPr>
                    <w:jc w:val="center"/>
                    <w:rPr>
                      <w:color w:val="000000"/>
                      <w:sz w:val="21"/>
                      <w:szCs w:val="21"/>
                      <w:highlight w:val="none"/>
                    </w:rPr>
                  </w:pPr>
                </w:p>
              </w:tc>
              <w:tc>
                <w:tcPr>
                  <w:tcW w:w="1127" w:type="dxa"/>
                  <w:vMerge w:val="continue"/>
                  <w:noWrap w:val="0"/>
                  <w:vAlign w:val="center"/>
                </w:tcPr>
                <w:p w14:paraId="110F36B7">
                  <w:pPr>
                    <w:jc w:val="center"/>
                    <w:rPr>
                      <w:color w:val="000000"/>
                      <w:sz w:val="21"/>
                      <w:szCs w:val="21"/>
                      <w:highlight w:val="none"/>
                    </w:rPr>
                  </w:pPr>
                </w:p>
              </w:tc>
            </w:tr>
            <w:tr w14:paraId="0A399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66" w:type="dxa"/>
                  <w:noWrap w:val="0"/>
                  <w:vAlign w:val="center"/>
                </w:tcPr>
                <w:p w14:paraId="6B22D8FF">
                  <w:pPr>
                    <w:jc w:val="center"/>
                    <w:rPr>
                      <w:color w:val="000000"/>
                      <w:sz w:val="21"/>
                      <w:szCs w:val="21"/>
                      <w:highlight w:val="none"/>
                    </w:rPr>
                  </w:pPr>
                  <w:r>
                    <w:rPr>
                      <w:color w:val="000000"/>
                      <w:sz w:val="21"/>
                      <w:szCs w:val="21"/>
                      <w:highlight w:val="none"/>
                    </w:rPr>
                    <w:t>10</w:t>
                  </w:r>
                </w:p>
              </w:tc>
              <w:tc>
                <w:tcPr>
                  <w:tcW w:w="1446" w:type="dxa"/>
                  <w:noWrap w:val="0"/>
                  <w:vAlign w:val="center"/>
                </w:tcPr>
                <w:p w14:paraId="0FE39DD2">
                  <w:pPr>
                    <w:jc w:val="center"/>
                    <w:rPr>
                      <w:color w:val="000000"/>
                      <w:sz w:val="21"/>
                      <w:szCs w:val="21"/>
                      <w:highlight w:val="none"/>
                    </w:rPr>
                  </w:pPr>
                  <w:r>
                    <w:rPr>
                      <w:color w:val="000000"/>
                      <w:sz w:val="21"/>
                      <w:szCs w:val="21"/>
                      <w:highlight w:val="none"/>
                    </w:rPr>
                    <w:t>石油类</w:t>
                  </w:r>
                </w:p>
              </w:tc>
              <w:tc>
                <w:tcPr>
                  <w:tcW w:w="1767" w:type="dxa"/>
                  <w:noWrap w:val="0"/>
                  <w:vAlign w:val="center"/>
                </w:tcPr>
                <w:p w14:paraId="2613BA66">
                  <w:pPr>
                    <w:jc w:val="center"/>
                    <w:rPr>
                      <w:color w:val="000000"/>
                      <w:sz w:val="21"/>
                      <w:szCs w:val="21"/>
                      <w:highlight w:val="none"/>
                    </w:rPr>
                  </w:pPr>
                  <w:r>
                    <w:rPr>
                      <w:rFonts w:hint="eastAsia"/>
                      <w:color w:val="000000"/>
                      <w:sz w:val="21"/>
                      <w:szCs w:val="21"/>
                      <w:highlight w:val="none"/>
                    </w:rPr>
                    <w:t>1.0</w:t>
                  </w:r>
                </w:p>
              </w:tc>
              <w:tc>
                <w:tcPr>
                  <w:tcW w:w="1767" w:type="dxa"/>
                  <w:noWrap w:val="0"/>
                  <w:vAlign w:val="center"/>
                </w:tcPr>
                <w:p w14:paraId="23ED7C8B">
                  <w:pPr>
                    <w:jc w:val="center"/>
                    <w:rPr>
                      <w:color w:val="000000"/>
                      <w:sz w:val="21"/>
                      <w:szCs w:val="21"/>
                      <w:highlight w:val="none"/>
                    </w:rPr>
                  </w:pPr>
                  <w:r>
                    <w:rPr>
                      <w:rFonts w:hint="eastAsia"/>
                      <w:color w:val="000000"/>
                      <w:sz w:val="21"/>
                      <w:szCs w:val="21"/>
                      <w:highlight w:val="none"/>
                    </w:rPr>
                    <w:t>1.0</w:t>
                  </w:r>
                </w:p>
              </w:tc>
              <w:tc>
                <w:tcPr>
                  <w:tcW w:w="1127" w:type="dxa"/>
                  <w:vMerge w:val="continue"/>
                  <w:noWrap w:val="0"/>
                  <w:vAlign w:val="center"/>
                </w:tcPr>
                <w:p w14:paraId="13E93B9C">
                  <w:pPr>
                    <w:jc w:val="center"/>
                    <w:rPr>
                      <w:color w:val="000000"/>
                      <w:sz w:val="21"/>
                      <w:szCs w:val="21"/>
                      <w:highlight w:val="none"/>
                    </w:rPr>
                  </w:pPr>
                </w:p>
              </w:tc>
              <w:tc>
                <w:tcPr>
                  <w:tcW w:w="1127" w:type="dxa"/>
                  <w:vMerge w:val="continue"/>
                  <w:noWrap w:val="0"/>
                  <w:vAlign w:val="center"/>
                </w:tcPr>
                <w:p w14:paraId="0E3C2A30">
                  <w:pPr>
                    <w:jc w:val="center"/>
                    <w:rPr>
                      <w:color w:val="000000"/>
                      <w:sz w:val="21"/>
                      <w:szCs w:val="21"/>
                      <w:highlight w:val="none"/>
                    </w:rPr>
                  </w:pPr>
                </w:p>
              </w:tc>
            </w:tr>
            <w:tr w14:paraId="5748E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66" w:type="dxa"/>
                  <w:noWrap w:val="0"/>
                  <w:vAlign w:val="center"/>
                </w:tcPr>
                <w:p w14:paraId="14B1EBC0">
                  <w:pPr>
                    <w:jc w:val="center"/>
                    <w:rPr>
                      <w:color w:val="000000"/>
                      <w:sz w:val="21"/>
                      <w:szCs w:val="21"/>
                      <w:highlight w:val="none"/>
                    </w:rPr>
                  </w:pPr>
                  <w:r>
                    <w:rPr>
                      <w:rFonts w:hint="eastAsia"/>
                      <w:color w:val="000000"/>
                      <w:sz w:val="21"/>
                      <w:szCs w:val="21"/>
                      <w:highlight w:val="none"/>
                    </w:rPr>
                    <w:t>11</w:t>
                  </w:r>
                </w:p>
              </w:tc>
              <w:tc>
                <w:tcPr>
                  <w:tcW w:w="1446" w:type="dxa"/>
                  <w:noWrap w:val="0"/>
                  <w:vAlign w:val="center"/>
                </w:tcPr>
                <w:p w14:paraId="792018DE">
                  <w:pPr>
                    <w:jc w:val="center"/>
                    <w:rPr>
                      <w:color w:val="000000"/>
                      <w:sz w:val="21"/>
                      <w:szCs w:val="21"/>
                      <w:highlight w:val="none"/>
                    </w:rPr>
                  </w:pPr>
                  <w:r>
                    <w:rPr>
                      <w:color w:val="000000"/>
                      <w:sz w:val="21"/>
                      <w:szCs w:val="21"/>
                      <w:highlight w:val="none"/>
                    </w:rPr>
                    <w:t>硫化物</w:t>
                  </w:r>
                </w:p>
              </w:tc>
              <w:tc>
                <w:tcPr>
                  <w:tcW w:w="1767" w:type="dxa"/>
                  <w:noWrap w:val="0"/>
                  <w:vAlign w:val="center"/>
                </w:tcPr>
                <w:p w14:paraId="75C50930">
                  <w:pPr>
                    <w:jc w:val="center"/>
                    <w:rPr>
                      <w:color w:val="000000"/>
                      <w:sz w:val="21"/>
                      <w:szCs w:val="21"/>
                      <w:highlight w:val="none"/>
                    </w:rPr>
                  </w:pPr>
                  <w:r>
                    <w:rPr>
                      <w:color w:val="000000"/>
                      <w:sz w:val="21"/>
                      <w:szCs w:val="21"/>
                      <w:highlight w:val="none"/>
                    </w:rPr>
                    <w:t>0.</w:t>
                  </w:r>
                  <w:r>
                    <w:rPr>
                      <w:rFonts w:hint="eastAsia"/>
                      <w:color w:val="000000"/>
                      <w:sz w:val="21"/>
                      <w:szCs w:val="21"/>
                      <w:highlight w:val="none"/>
                    </w:rPr>
                    <w:t>2</w:t>
                  </w:r>
                  <w:r>
                    <w:rPr>
                      <w:color w:val="000000"/>
                      <w:sz w:val="21"/>
                      <w:szCs w:val="21"/>
                      <w:highlight w:val="none"/>
                    </w:rPr>
                    <w:t>0</w:t>
                  </w:r>
                </w:p>
              </w:tc>
              <w:tc>
                <w:tcPr>
                  <w:tcW w:w="1767" w:type="dxa"/>
                  <w:noWrap w:val="0"/>
                  <w:vAlign w:val="center"/>
                </w:tcPr>
                <w:p w14:paraId="3DA38CB2">
                  <w:pPr>
                    <w:jc w:val="center"/>
                    <w:rPr>
                      <w:color w:val="000000"/>
                      <w:sz w:val="21"/>
                      <w:szCs w:val="21"/>
                      <w:highlight w:val="none"/>
                    </w:rPr>
                  </w:pPr>
                  <w:r>
                    <w:rPr>
                      <w:color w:val="000000"/>
                      <w:sz w:val="21"/>
                      <w:szCs w:val="21"/>
                      <w:highlight w:val="none"/>
                    </w:rPr>
                    <w:t>0.</w:t>
                  </w:r>
                  <w:r>
                    <w:rPr>
                      <w:rFonts w:hint="eastAsia"/>
                      <w:color w:val="000000"/>
                      <w:sz w:val="21"/>
                      <w:szCs w:val="21"/>
                      <w:highlight w:val="none"/>
                    </w:rPr>
                    <w:t>2</w:t>
                  </w:r>
                  <w:r>
                    <w:rPr>
                      <w:color w:val="000000"/>
                      <w:sz w:val="21"/>
                      <w:szCs w:val="21"/>
                      <w:highlight w:val="none"/>
                    </w:rPr>
                    <w:t>0</w:t>
                  </w:r>
                </w:p>
              </w:tc>
              <w:tc>
                <w:tcPr>
                  <w:tcW w:w="1127" w:type="dxa"/>
                  <w:vMerge w:val="continue"/>
                  <w:noWrap w:val="0"/>
                  <w:vAlign w:val="center"/>
                </w:tcPr>
                <w:p w14:paraId="51DD2E85">
                  <w:pPr>
                    <w:jc w:val="center"/>
                    <w:rPr>
                      <w:color w:val="000000"/>
                      <w:sz w:val="21"/>
                      <w:szCs w:val="21"/>
                      <w:highlight w:val="none"/>
                    </w:rPr>
                  </w:pPr>
                </w:p>
              </w:tc>
              <w:tc>
                <w:tcPr>
                  <w:tcW w:w="1127" w:type="dxa"/>
                  <w:vMerge w:val="continue"/>
                  <w:noWrap w:val="0"/>
                  <w:vAlign w:val="center"/>
                </w:tcPr>
                <w:p w14:paraId="6AE1160C">
                  <w:pPr>
                    <w:jc w:val="center"/>
                    <w:rPr>
                      <w:color w:val="000000"/>
                      <w:sz w:val="21"/>
                      <w:szCs w:val="21"/>
                      <w:highlight w:val="none"/>
                    </w:rPr>
                  </w:pPr>
                </w:p>
              </w:tc>
            </w:tr>
            <w:tr w14:paraId="4A9F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66" w:type="dxa"/>
                  <w:noWrap w:val="0"/>
                  <w:vAlign w:val="center"/>
                </w:tcPr>
                <w:p w14:paraId="6A01E2B2">
                  <w:pPr>
                    <w:jc w:val="center"/>
                    <w:rPr>
                      <w:color w:val="000000"/>
                      <w:sz w:val="21"/>
                      <w:szCs w:val="21"/>
                      <w:highlight w:val="none"/>
                    </w:rPr>
                  </w:pPr>
                  <w:r>
                    <w:rPr>
                      <w:rFonts w:hint="eastAsia"/>
                      <w:color w:val="000000"/>
                      <w:sz w:val="21"/>
                      <w:szCs w:val="21"/>
                      <w:highlight w:val="none"/>
                    </w:rPr>
                    <w:t>12</w:t>
                  </w:r>
                </w:p>
              </w:tc>
              <w:tc>
                <w:tcPr>
                  <w:tcW w:w="1446" w:type="dxa"/>
                  <w:noWrap w:val="0"/>
                  <w:vAlign w:val="center"/>
                </w:tcPr>
                <w:p w14:paraId="315840DD">
                  <w:pPr>
                    <w:jc w:val="center"/>
                    <w:rPr>
                      <w:color w:val="000000"/>
                      <w:sz w:val="21"/>
                      <w:szCs w:val="21"/>
                      <w:highlight w:val="none"/>
                    </w:rPr>
                  </w:pPr>
                  <w:r>
                    <w:rPr>
                      <w:color w:val="000000"/>
                      <w:sz w:val="21"/>
                      <w:szCs w:val="21"/>
                      <w:highlight w:val="none"/>
                    </w:rPr>
                    <w:t>苯</w:t>
                  </w:r>
                </w:p>
              </w:tc>
              <w:tc>
                <w:tcPr>
                  <w:tcW w:w="1767" w:type="dxa"/>
                  <w:noWrap w:val="0"/>
                  <w:vAlign w:val="center"/>
                </w:tcPr>
                <w:p w14:paraId="322E7AFE">
                  <w:pPr>
                    <w:jc w:val="center"/>
                    <w:rPr>
                      <w:color w:val="000000"/>
                      <w:sz w:val="21"/>
                      <w:szCs w:val="21"/>
                      <w:highlight w:val="none"/>
                    </w:rPr>
                  </w:pPr>
                  <w:r>
                    <w:rPr>
                      <w:color w:val="000000"/>
                      <w:sz w:val="21"/>
                      <w:szCs w:val="21"/>
                      <w:highlight w:val="none"/>
                    </w:rPr>
                    <w:t>0.10</w:t>
                  </w:r>
                </w:p>
              </w:tc>
              <w:tc>
                <w:tcPr>
                  <w:tcW w:w="1767" w:type="dxa"/>
                  <w:noWrap w:val="0"/>
                  <w:vAlign w:val="center"/>
                </w:tcPr>
                <w:p w14:paraId="48CAB31D">
                  <w:pPr>
                    <w:jc w:val="center"/>
                    <w:rPr>
                      <w:color w:val="000000"/>
                      <w:sz w:val="21"/>
                      <w:szCs w:val="21"/>
                      <w:highlight w:val="none"/>
                    </w:rPr>
                  </w:pPr>
                  <w:r>
                    <w:rPr>
                      <w:color w:val="000000"/>
                      <w:sz w:val="21"/>
                      <w:szCs w:val="21"/>
                      <w:highlight w:val="none"/>
                    </w:rPr>
                    <w:t>0.10</w:t>
                  </w:r>
                </w:p>
              </w:tc>
              <w:tc>
                <w:tcPr>
                  <w:tcW w:w="1127" w:type="dxa"/>
                  <w:vMerge w:val="continue"/>
                  <w:noWrap w:val="0"/>
                  <w:vAlign w:val="center"/>
                </w:tcPr>
                <w:p w14:paraId="7782263B">
                  <w:pPr>
                    <w:jc w:val="center"/>
                    <w:rPr>
                      <w:color w:val="000000"/>
                      <w:sz w:val="21"/>
                      <w:szCs w:val="21"/>
                      <w:highlight w:val="none"/>
                    </w:rPr>
                  </w:pPr>
                </w:p>
              </w:tc>
              <w:tc>
                <w:tcPr>
                  <w:tcW w:w="1127" w:type="dxa"/>
                  <w:vMerge w:val="continue"/>
                  <w:noWrap w:val="0"/>
                  <w:vAlign w:val="center"/>
                </w:tcPr>
                <w:p w14:paraId="2978D8CF">
                  <w:pPr>
                    <w:jc w:val="center"/>
                    <w:rPr>
                      <w:color w:val="000000"/>
                      <w:sz w:val="21"/>
                      <w:szCs w:val="21"/>
                      <w:highlight w:val="none"/>
                    </w:rPr>
                  </w:pPr>
                </w:p>
              </w:tc>
            </w:tr>
          </w:tbl>
          <w:p w14:paraId="082C7208">
            <w:pPr>
              <w:pStyle w:val="4"/>
              <w:tabs>
                <w:tab w:val="left" w:pos="3057"/>
                <w:tab w:val="left" w:pos="7377"/>
              </w:tabs>
              <w:spacing w:before="2"/>
              <w:ind w:firstLine="0" w:firstLineChars="0"/>
              <w:jc w:val="center"/>
              <w:rPr>
                <w:rFonts w:hint="eastAsia"/>
                <w:color w:val="000000"/>
                <w:highlight w:val="none"/>
              </w:rPr>
            </w:pPr>
            <w:r>
              <w:rPr>
                <w:rFonts w:hint="eastAsia" w:ascii="Times New Roman" w:hAnsi="Times New Roman" w:eastAsia="宋体" w:cs="Times New Roman"/>
                <w:b/>
                <w:bCs/>
                <w:color w:val="000000"/>
                <w:highlight w:val="none"/>
                <w:lang w:val="en-US" w:eastAsia="zh-CN"/>
              </w:rPr>
              <w:t xml:space="preserve">                          </w:t>
            </w:r>
            <w:r>
              <w:rPr>
                <w:rFonts w:hint="eastAsia" w:ascii="Times New Roman" w:hAnsi="Times New Roman" w:eastAsia="宋体" w:cs="Times New Roman"/>
                <w:b/>
                <w:bCs/>
                <w:color w:val="000000"/>
                <w:sz w:val="21"/>
                <w:szCs w:val="21"/>
                <w:highlight w:val="none"/>
                <w:lang w:val="en-US" w:eastAsia="zh-CN"/>
              </w:rPr>
              <w:t xml:space="preserve">  </w:t>
            </w:r>
            <w:r>
              <w:rPr>
                <w:rFonts w:ascii="Times New Roman" w:hAnsi="Times New Roman" w:eastAsia="宋体" w:cs="Times New Roman"/>
                <w:b/>
                <w:bCs/>
                <w:color w:val="000000"/>
                <w:sz w:val="21"/>
                <w:szCs w:val="21"/>
                <w:highlight w:val="none"/>
              </w:rPr>
              <w:t>表</w:t>
            </w:r>
            <w:r>
              <w:rPr>
                <w:rFonts w:hint="eastAsia" w:ascii="Times New Roman" w:hAnsi="Times New Roman" w:eastAsia="宋体" w:cs="Times New Roman"/>
                <w:b/>
                <w:bCs/>
                <w:color w:val="000000"/>
                <w:sz w:val="21"/>
                <w:szCs w:val="21"/>
                <w:highlight w:val="none"/>
                <w:lang w:val="en-US" w:eastAsia="zh-CN"/>
              </w:rPr>
              <w:t>3-7</w:t>
            </w:r>
            <w:r>
              <w:rPr>
                <w:rFonts w:hint="eastAsia" w:ascii="Times New Roman" w:hAnsi="Times New Roman" w:eastAsia="宋体" w:cs="Times New Roman"/>
                <w:b/>
                <w:bCs/>
                <w:color w:val="000000"/>
                <w:sz w:val="21"/>
                <w:szCs w:val="21"/>
                <w:highlight w:val="none"/>
              </w:rPr>
              <w:t xml:space="preserve"> </w:t>
            </w:r>
            <w:r>
              <w:rPr>
                <w:rFonts w:hint="eastAsia" w:ascii="Times New Roman" w:hAnsi="Times New Roman" w:eastAsia="宋体" w:cs="Times New Roman"/>
                <w:b/>
                <w:bCs/>
                <w:color w:val="000000"/>
                <w:sz w:val="21"/>
                <w:szCs w:val="21"/>
                <w:highlight w:val="none"/>
                <w:lang w:val="en-US" w:eastAsia="zh-CN"/>
              </w:rPr>
              <w:t>中</w:t>
            </w:r>
            <w:r>
              <w:rPr>
                <w:rFonts w:ascii="Times New Roman" w:hAnsi="Times New Roman" w:eastAsia="宋体" w:cs="Times New Roman"/>
                <w:b/>
                <w:bCs/>
                <w:color w:val="000000"/>
                <w:sz w:val="21"/>
                <w:szCs w:val="21"/>
                <w:highlight w:val="none"/>
              </w:rPr>
              <w:t>水回</w:t>
            </w:r>
            <w:r>
              <w:rPr>
                <w:b/>
                <w:bCs/>
                <w:color w:val="000000"/>
                <w:sz w:val="21"/>
                <w:szCs w:val="21"/>
                <w:highlight w:val="none"/>
              </w:rPr>
              <w:t>用标准一览表</w:t>
            </w:r>
            <w:r>
              <w:rPr>
                <w:rFonts w:hint="eastAsia"/>
                <w:b/>
                <w:bCs/>
                <w:color w:val="000000"/>
                <w:sz w:val="21"/>
                <w:szCs w:val="21"/>
                <w:highlight w:val="none"/>
              </w:rPr>
              <w:t xml:space="preserve">    </w:t>
            </w:r>
            <w:r>
              <w:rPr>
                <w:rFonts w:hint="eastAsia"/>
                <w:b/>
                <w:bCs/>
                <w:color w:val="000000"/>
                <w:sz w:val="21"/>
                <w:szCs w:val="21"/>
                <w:highlight w:val="none"/>
                <w:lang w:val="en-US" w:eastAsia="zh-CN"/>
              </w:rPr>
              <w:t xml:space="preserve">       </w:t>
            </w:r>
            <w:r>
              <w:rPr>
                <w:rFonts w:hint="eastAsia"/>
                <w:b/>
                <w:bCs/>
                <w:color w:val="000000"/>
                <w:sz w:val="21"/>
                <w:szCs w:val="21"/>
                <w:highlight w:val="none"/>
              </w:rPr>
              <w:t xml:space="preserve">  </w:t>
            </w:r>
            <w:r>
              <w:rPr>
                <w:b/>
                <w:bCs/>
                <w:color w:val="000000"/>
                <w:sz w:val="21"/>
                <w:szCs w:val="21"/>
                <w:highlight w:val="none"/>
              </w:rPr>
              <w:t>单位：</w:t>
            </w:r>
            <w:r>
              <w:rPr>
                <w:rFonts w:eastAsia="Times New Roman"/>
                <w:b/>
                <w:bCs/>
                <w:color w:val="000000"/>
                <w:sz w:val="21"/>
                <w:szCs w:val="21"/>
                <w:highlight w:val="none"/>
              </w:rPr>
              <w:t>mg/</w:t>
            </w:r>
            <w:r>
              <w:rPr>
                <w:rFonts w:eastAsia="Times New Roman"/>
                <w:b/>
                <w:bCs/>
                <w:color w:val="000000"/>
                <w:highlight w:val="none"/>
              </w:rPr>
              <w:t>L</w:t>
            </w:r>
          </w:p>
          <w:tbl>
            <w:tblPr>
              <w:tblStyle w:val="13"/>
              <w:tblW w:w="8353" w:type="dxa"/>
              <w:jc w:val="center"/>
              <w:tblLayout w:type="fixed"/>
              <w:tblCellMar>
                <w:top w:w="0" w:type="dxa"/>
                <w:left w:w="10" w:type="dxa"/>
                <w:bottom w:w="0" w:type="dxa"/>
                <w:right w:w="10" w:type="dxa"/>
              </w:tblCellMar>
            </w:tblPr>
            <w:tblGrid>
              <w:gridCol w:w="1620"/>
              <w:gridCol w:w="2822"/>
              <w:gridCol w:w="1058"/>
              <w:gridCol w:w="1405"/>
              <w:gridCol w:w="1448"/>
            </w:tblGrid>
            <w:tr w14:paraId="2C24AFCA">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3C320402">
                  <w:pPr>
                    <w:jc w:val="center"/>
                    <w:rPr>
                      <w:color w:val="000000"/>
                      <w:sz w:val="21"/>
                      <w:szCs w:val="21"/>
                      <w:highlight w:val="none"/>
                    </w:rPr>
                  </w:pPr>
                  <w:r>
                    <w:rPr>
                      <w:color w:val="000000"/>
                      <w:sz w:val="21"/>
                      <w:szCs w:val="21"/>
                      <w:highlight w:val="none"/>
                      <w:lang w:val="zh-TW" w:eastAsia="zh-TW"/>
                    </w:rPr>
                    <w:t>序号</w:t>
                  </w:r>
                </w:p>
              </w:tc>
              <w:tc>
                <w:tcPr>
                  <w:tcW w:w="2822" w:type="dxa"/>
                  <w:tcBorders>
                    <w:top w:val="single" w:color="auto" w:sz="4" w:space="0"/>
                    <w:left w:val="single" w:color="auto" w:sz="4" w:space="0"/>
                  </w:tcBorders>
                  <w:shd w:val="clear" w:color="auto" w:fill="FFFFFF"/>
                  <w:noWrap w:val="0"/>
                  <w:vAlign w:val="center"/>
                </w:tcPr>
                <w:p w14:paraId="34923587">
                  <w:pPr>
                    <w:jc w:val="center"/>
                    <w:rPr>
                      <w:color w:val="000000"/>
                      <w:sz w:val="21"/>
                      <w:szCs w:val="21"/>
                      <w:highlight w:val="none"/>
                    </w:rPr>
                  </w:pPr>
                  <w:r>
                    <w:rPr>
                      <w:color w:val="000000"/>
                      <w:sz w:val="21"/>
                      <w:szCs w:val="21"/>
                      <w:highlight w:val="none"/>
                      <w:lang w:val="zh-TW" w:eastAsia="zh-TW"/>
                    </w:rPr>
                    <w:t>项目</w:t>
                  </w:r>
                </w:p>
              </w:tc>
              <w:tc>
                <w:tcPr>
                  <w:tcW w:w="1058" w:type="dxa"/>
                  <w:tcBorders>
                    <w:top w:val="single" w:color="auto" w:sz="4" w:space="0"/>
                    <w:left w:val="single" w:color="auto" w:sz="4" w:space="0"/>
                  </w:tcBorders>
                  <w:shd w:val="clear" w:color="auto" w:fill="FFFFFF"/>
                  <w:noWrap w:val="0"/>
                  <w:vAlign w:val="center"/>
                </w:tcPr>
                <w:p w14:paraId="2C9FACB5">
                  <w:pPr>
                    <w:jc w:val="center"/>
                    <w:rPr>
                      <w:color w:val="000000"/>
                      <w:sz w:val="21"/>
                      <w:szCs w:val="21"/>
                      <w:highlight w:val="none"/>
                    </w:rPr>
                  </w:pPr>
                  <w:r>
                    <w:rPr>
                      <w:color w:val="000000"/>
                      <w:sz w:val="21"/>
                      <w:szCs w:val="21"/>
                      <w:highlight w:val="none"/>
                      <w:lang w:val="zh-TW" w:eastAsia="zh-TW"/>
                    </w:rPr>
                    <w:t>单位</w:t>
                  </w:r>
                </w:p>
              </w:tc>
              <w:tc>
                <w:tcPr>
                  <w:tcW w:w="1405" w:type="dxa"/>
                  <w:tcBorders>
                    <w:top w:val="single" w:color="auto" w:sz="4" w:space="0"/>
                    <w:left w:val="single" w:color="auto" w:sz="4" w:space="0"/>
                  </w:tcBorders>
                  <w:shd w:val="clear" w:color="auto" w:fill="FFFFFF"/>
                  <w:noWrap w:val="0"/>
                  <w:vAlign w:val="center"/>
                </w:tcPr>
                <w:p w14:paraId="4B6E11D5">
                  <w:pPr>
                    <w:jc w:val="center"/>
                    <w:rPr>
                      <w:color w:val="000000"/>
                      <w:sz w:val="21"/>
                      <w:szCs w:val="21"/>
                      <w:highlight w:val="none"/>
                      <w:lang w:val="zh-TW" w:eastAsia="zh-TW"/>
                    </w:rPr>
                  </w:pPr>
                  <w:r>
                    <w:rPr>
                      <w:rFonts w:hint="eastAsia"/>
                      <w:color w:val="000000"/>
                      <w:sz w:val="21"/>
                      <w:szCs w:val="21"/>
                      <w:highlight w:val="none"/>
                      <w:lang w:val="en-US" w:eastAsia="zh-CN"/>
                    </w:rPr>
                    <w:t>进</w:t>
                  </w:r>
                  <w:r>
                    <w:rPr>
                      <w:color w:val="000000"/>
                      <w:sz w:val="21"/>
                      <w:szCs w:val="21"/>
                      <w:highlight w:val="none"/>
                      <w:lang w:val="zh-TW" w:eastAsia="zh-TW"/>
                    </w:rPr>
                    <w:t>水水质</w:t>
                  </w:r>
                </w:p>
              </w:tc>
              <w:tc>
                <w:tcPr>
                  <w:tcW w:w="1448" w:type="dxa"/>
                  <w:tcBorders>
                    <w:top w:val="single" w:color="auto" w:sz="4" w:space="0"/>
                    <w:left w:val="single" w:color="auto" w:sz="4" w:space="0"/>
                    <w:right w:val="single" w:color="auto" w:sz="4" w:space="0"/>
                  </w:tcBorders>
                  <w:shd w:val="clear" w:color="auto" w:fill="FFFFFF"/>
                  <w:noWrap w:val="0"/>
                  <w:vAlign w:val="center"/>
                </w:tcPr>
                <w:p w14:paraId="473404AE">
                  <w:pPr>
                    <w:jc w:val="center"/>
                    <w:rPr>
                      <w:color w:val="000000"/>
                      <w:sz w:val="21"/>
                      <w:szCs w:val="21"/>
                      <w:highlight w:val="none"/>
                    </w:rPr>
                  </w:pPr>
                  <w:r>
                    <w:rPr>
                      <w:color w:val="000000"/>
                      <w:sz w:val="21"/>
                      <w:szCs w:val="21"/>
                      <w:highlight w:val="none"/>
                      <w:lang w:val="zh-TW" w:eastAsia="zh-TW"/>
                    </w:rPr>
                    <w:t>出水水质</w:t>
                  </w:r>
                </w:p>
              </w:tc>
            </w:tr>
            <w:tr w14:paraId="027BA1B8">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7F7D7102">
                  <w:pPr>
                    <w:jc w:val="center"/>
                    <w:rPr>
                      <w:color w:val="000000"/>
                      <w:sz w:val="21"/>
                      <w:szCs w:val="21"/>
                      <w:highlight w:val="none"/>
                    </w:rPr>
                  </w:pPr>
                  <w:r>
                    <w:rPr>
                      <w:color w:val="000000"/>
                      <w:sz w:val="21"/>
                      <w:szCs w:val="21"/>
                      <w:highlight w:val="none"/>
                      <w:lang w:eastAsia="en-US"/>
                    </w:rPr>
                    <w:t>1</w:t>
                  </w:r>
                </w:p>
              </w:tc>
              <w:tc>
                <w:tcPr>
                  <w:tcW w:w="2822" w:type="dxa"/>
                  <w:tcBorders>
                    <w:top w:val="single" w:color="auto" w:sz="4" w:space="0"/>
                    <w:left w:val="single" w:color="auto" w:sz="4" w:space="0"/>
                  </w:tcBorders>
                  <w:shd w:val="clear" w:color="auto" w:fill="FFFFFF"/>
                  <w:noWrap w:val="0"/>
                  <w:vAlign w:val="center"/>
                </w:tcPr>
                <w:p w14:paraId="54CFEF61">
                  <w:pPr>
                    <w:jc w:val="center"/>
                    <w:rPr>
                      <w:color w:val="000000"/>
                      <w:sz w:val="21"/>
                      <w:szCs w:val="21"/>
                      <w:highlight w:val="none"/>
                    </w:rPr>
                  </w:pPr>
                  <w:r>
                    <w:rPr>
                      <w:color w:val="000000"/>
                      <w:sz w:val="21"/>
                      <w:szCs w:val="21"/>
                      <w:highlight w:val="none"/>
                      <w:lang w:eastAsia="en-US"/>
                    </w:rPr>
                    <w:t>pH</w:t>
                  </w:r>
                </w:p>
              </w:tc>
              <w:tc>
                <w:tcPr>
                  <w:tcW w:w="1058" w:type="dxa"/>
                  <w:tcBorders>
                    <w:top w:val="single" w:color="auto" w:sz="4" w:space="0"/>
                    <w:left w:val="single" w:color="auto" w:sz="4" w:space="0"/>
                  </w:tcBorders>
                  <w:shd w:val="clear" w:color="auto" w:fill="FFFFFF"/>
                  <w:noWrap w:val="0"/>
                  <w:vAlign w:val="center"/>
                </w:tcPr>
                <w:p w14:paraId="1BBF82E4">
                  <w:pPr>
                    <w:jc w:val="center"/>
                    <w:rPr>
                      <w:color w:val="000000"/>
                      <w:sz w:val="21"/>
                      <w:szCs w:val="21"/>
                      <w:highlight w:val="none"/>
                    </w:rPr>
                  </w:pPr>
                  <w:r>
                    <w:rPr>
                      <w:color w:val="000000"/>
                      <w:sz w:val="21"/>
                      <w:szCs w:val="21"/>
                      <w:highlight w:val="none"/>
                      <w:lang w:val="zh-TW" w:eastAsia="zh-TW"/>
                    </w:rPr>
                    <w:t>—</w:t>
                  </w:r>
                </w:p>
              </w:tc>
              <w:tc>
                <w:tcPr>
                  <w:tcW w:w="1405" w:type="dxa"/>
                  <w:tcBorders>
                    <w:top w:val="single" w:color="auto" w:sz="4" w:space="0"/>
                    <w:left w:val="single" w:color="auto" w:sz="4" w:space="0"/>
                  </w:tcBorders>
                  <w:shd w:val="clear" w:color="auto" w:fill="FFFFFF"/>
                  <w:noWrap w:val="0"/>
                  <w:vAlign w:val="center"/>
                </w:tcPr>
                <w:p w14:paraId="300A4DF4">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6-9</w:t>
                  </w:r>
                </w:p>
              </w:tc>
              <w:tc>
                <w:tcPr>
                  <w:tcW w:w="1448" w:type="dxa"/>
                  <w:tcBorders>
                    <w:top w:val="single" w:color="auto" w:sz="4" w:space="0"/>
                    <w:left w:val="single" w:color="auto" w:sz="4" w:space="0"/>
                    <w:right w:val="single" w:color="auto" w:sz="4" w:space="0"/>
                  </w:tcBorders>
                  <w:shd w:val="clear" w:color="auto" w:fill="FFFFFF"/>
                  <w:noWrap w:val="0"/>
                  <w:vAlign w:val="center"/>
                </w:tcPr>
                <w:p w14:paraId="3F0D327A">
                  <w:pPr>
                    <w:jc w:val="center"/>
                    <w:rPr>
                      <w:color w:val="000000"/>
                      <w:sz w:val="21"/>
                      <w:szCs w:val="21"/>
                      <w:highlight w:val="none"/>
                    </w:rPr>
                  </w:pPr>
                  <w:r>
                    <w:rPr>
                      <w:color w:val="000000"/>
                      <w:sz w:val="21"/>
                      <w:szCs w:val="21"/>
                      <w:highlight w:val="none"/>
                      <w:lang w:eastAsia="en-US"/>
                    </w:rPr>
                    <w:t>6-9</w:t>
                  </w:r>
                </w:p>
              </w:tc>
            </w:tr>
            <w:tr w14:paraId="6DB9E81A">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3326C8B1">
                  <w:pPr>
                    <w:jc w:val="center"/>
                    <w:rPr>
                      <w:color w:val="000000"/>
                      <w:sz w:val="21"/>
                      <w:szCs w:val="21"/>
                      <w:highlight w:val="none"/>
                    </w:rPr>
                  </w:pPr>
                  <w:r>
                    <w:rPr>
                      <w:color w:val="000000"/>
                      <w:sz w:val="21"/>
                      <w:szCs w:val="21"/>
                      <w:highlight w:val="none"/>
                      <w:lang w:eastAsia="en-US"/>
                    </w:rPr>
                    <w:t>2</w:t>
                  </w:r>
                </w:p>
              </w:tc>
              <w:tc>
                <w:tcPr>
                  <w:tcW w:w="2822" w:type="dxa"/>
                  <w:tcBorders>
                    <w:top w:val="single" w:color="auto" w:sz="4" w:space="0"/>
                    <w:left w:val="single" w:color="auto" w:sz="4" w:space="0"/>
                  </w:tcBorders>
                  <w:shd w:val="clear" w:color="auto" w:fill="FFFFFF"/>
                  <w:noWrap w:val="0"/>
                  <w:vAlign w:val="center"/>
                </w:tcPr>
                <w:p w14:paraId="06AC9AA7">
                  <w:pPr>
                    <w:jc w:val="center"/>
                    <w:rPr>
                      <w:color w:val="000000"/>
                      <w:sz w:val="21"/>
                      <w:szCs w:val="21"/>
                      <w:highlight w:val="none"/>
                    </w:rPr>
                  </w:pPr>
                  <w:r>
                    <w:rPr>
                      <w:color w:val="000000"/>
                      <w:sz w:val="21"/>
                      <w:szCs w:val="21"/>
                      <w:highlight w:val="none"/>
                      <w:lang w:val="zh-TW" w:eastAsia="zh-TW"/>
                    </w:rPr>
                    <w:t>悬浮物</w:t>
                  </w:r>
                </w:p>
              </w:tc>
              <w:tc>
                <w:tcPr>
                  <w:tcW w:w="1058" w:type="dxa"/>
                  <w:tcBorders>
                    <w:top w:val="single" w:color="auto" w:sz="4" w:space="0"/>
                    <w:left w:val="single" w:color="auto" w:sz="4" w:space="0"/>
                  </w:tcBorders>
                  <w:shd w:val="clear" w:color="auto" w:fill="FFFFFF"/>
                  <w:noWrap w:val="0"/>
                  <w:vAlign w:val="center"/>
                </w:tcPr>
                <w:p w14:paraId="5928399B">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376F9CBE">
                  <w:pPr>
                    <w:jc w:val="center"/>
                    <w:rPr>
                      <w:rFonts w:hint="default" w:eastAsia="宋体"/>
                      <w:color w:val="000000"/>
                      <w:sz w:val="21"/>
                      <w:szCs w:val="21"/>
                      <w:highlight w:val="none"/>
                      <w:lang w:val="en-US" w:eastAsia="zh-CN"/>
                    </w:rPr>
                  </w:pPr>
                  <w:r>
                    <w:rPr>
                      <w:rFonts w:hint="eastAsia"/>
                      <w:color w:val="000000"/>
                      <w:sz w:val="21"/>
                      <w:szCs w:val="21"/>
                      <w:highlight w:val="none"/>
                    </w:rPr>
                    <w:t>≤</w:t>
                  </w:r>
                  <w:r>
                    <w:rPr>
                      <w:rFonts w:hint="eastAsia"/>
                      <w:color w:val="000000"/>
                      <w:sz w:val="21"/>
                      <w:szCs w:val="21"/>
                      <w:highlight w:val="none"/>
                      <w:lang w:val="en-US" w:eastAsia="zh-CN"/>
                    </w:rPr>
                    <w:t>200</w:t>
                  </w:r>
                </w:p>
              </w:tc>
              <w:tc>
                <w:tcPr>
                  <w:tcW w:w="1448" w:type="dxa"/>
                  <w:tcBorders>
                    <w:top w:val="single" w:color="auto" w:sz="4" w:space="0"/>
                    <w:left w:val="single" w:color="auto" w:sz="4" w:space="0"/>
                    <w:right w:val="single" w:color="auto" w:sz="4" w:space="0"/>
                  </w:tcBorders>
                  <w:shd w:val="clear" w:color="auto" w:fill="FFFFFF"/>
                  <w:noWrap w:val="0"/>
                  <w:vAlign w:val="center"/>
                </w:tcPr>
                <w:p w14:paraId="097C1A9C">
                  <w:pPr>
                    <w:jc w:val="center"/>
                    <w:rPr>
                      <w:color w:val="000000"/>
                      <w:sz w:val="21"/>
                      <w:szCs w:val="21"/>
                      <w:highlight w:val="none"/>
                    </w:rPr>
                  </w:pPr>
                  <w:r>
                    <w:rPr>
                      <w:rFonts w:hint="eastAsia"/>
                      <w:color w:val="000000"/>
                      <w:sz w:val="21"/>
                      <w:szCs w:val="21"/>
                      <w:highlight w:val="none"/>
                    </w:rPr>
                    <w:t>≤1</w:t>
                  </w:r>
                  <w:r>
                    <w:rPr>
                      <w:color w:val="000000"/>
                      <w:sz w:val="21"/>
                      <w:szCs w:val="21"/>
                      <w:highlight w:val="none"/>
                      <w:lang w:eastAsia="en-US"/>
                    </w:rPr>
                    <w:t>0</w:t>
                  </w:r>
                </w:p>
              </w:tc>
            </w:tr>
            <w:tr w14:paraId="5990BFA6">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5B769024">
                  <w:pPr>
                    <w:jc w:val="center"/>
                    <w:rPr>
                      <w:color w:val="000000"/>
                      <w:sz w:val="21"/>
                      <w:szCs w:val="21"/>
                      <w:highlight w:val="none"/>
                    </w:rPr>
                  </w:pPr>
                  <w:r>
                    <w:rPr>
                      <w:color w:val="000000"/>
                      <w:sz w:val="21"/>
                      <w:szCs w:val="21"/>
                      <w:highlight w:val="none"/>
                      <w:lang w:eastAsia="en-US"/>
                    </w:rPr>
                    <w:t>3</w:t>
                  </w:r>
                </w:p>
              </w:tc>
              <w:tc>
                <w:tcPr>
                  <w:tcW w:w="2822" w:type="dxa"/>
                  <w:tcBorders>
                    <w:top w:val="single" w:color="auto" w:sz="4" w:space="0"/>
                    <w:left w:val="single" w:color="auto" w:sz="4" w:space="0"/>
                  </w:tcBorders>
                  <w:shd w:val="clear" w:color="auto" w:fill="FFFFFF"/>
                  <w:noWrap w:val="0"/>
                  <w:vAlign w:val="center"/>
                </w:tcPr>
                <w:p w14:paraId="5123DEFC">
                  <w:pPr>
                    <w:jc w:val="center"/>
                    <w:rPr>
                      <w:rFonts w:hint="eastAsia" w:eastAsia="宋体"/>
                      <w:color w:val="000000"/>
                      <w:sz w:val="21"/>
                      <w:szCs w:val="21"/>
                      <w:highlight w:val="none"/>
                      <w:lang w:eastAsia="zh-CN"/>
                    </w:rPr>
                  </w:pPr>
                  <w:r>
                    <w:rPr>
                      <w:color w:val="000000"/>
                      <w:sz w:val="21"/>
                      <w:szCs w:val="21"/>
                      <w:highlight w:val="none"/>
                      <w:lang w:eastAsia="en-US"/>
                    </w:rPr>
                    <w:t>CODc</w:t>
                  </w:r>
                  <w:r>
                    <w:rPr>
                      <w:rFonts w:hint="eastAsia"/>
                      <w:color w:val="000000"/>
                      <w:sz w:val="21"/>
                      <w:szCs w:val="21"/>
                      <w:highlight w:val="none"/>
                      <w:lang w:val="en-US" w:eastAsia="zh-CN"/>
                    </w:rPr>
                    <w:t>r</w:t>
                  </w:r>
                </w:p>
              </w:tc>
              <w:tc>
                <w:tcPr>
                  <w:tcW w:w="1058" w:type="dxa"/>
                  <w:tcBorders>
                    <w:top w:val="single" w:color="auto" w:sz="4" w:space="0"/>
                    <w:left w:val="single" w:color="auto" w:sz="4" w:space="0"/>
                  </w:tcBorders>
                  <w:shd w:val="clear" w:color="auto" w:fill="FFFFFF"/>
                  <w:noWrap w:val="0"/>
                  <w:vAlign w:val="center"/>
                </w:tcPr>
                <w:p w14:paraId="0F022E77">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27E622B4">
                  <w:pPr>
                    <w:jc w:val="center"/>
                    <w:rPr>
                      <w:rFonts w:hint="default" w:eastAsia="宋体"/>
                      <w:color w:val="000000"/>
                      <w:sz w:val="21"/>
                      <w:szCs w:val="21"/>
                      <w:highlight w:val="none"/>
                      <w:lang w:val="en-US" w:eastAsia="zh-CN"/>
                    </w:rPr>
                  </w:pPr>
                  <w:r>
                    <w:rPr>
                      <w:rFonts w:hint="eastAsia"/>
                      <w:color w:val="000000"/>
                      <w:sz w:val="21"/>
                      <w:szCs w:val="21"/>
                      <w:highlight w:val="none"/>
                    </w:rPr>
                    <w:t>≤</w:t>
                  </w:r>
                  <w:r>
                    <w:rPr>
                      <w:rFonts w:hint="eastAsia"/>
                      <w:color w:val="000000"/>
                      <w:sz w:val="21"/>
                      <w:szCs w:val="21"/>
                      <w:highlight w:val="none"/>
                      <w:lang w:val="en-US" w:eastAsia="zh-CN"/>
                    </w:rPr>
                    <w:t>100</w:t>
                  </w:r>
                </w:p>
              </w:tc>
              <w:tc>
                <w:tcPr>
                  <w:tcW w:w="1448" w:type="dxa"/>
                  <w:tcBorders>
                    <w:top w:val="single" w:color="auto" w:sz="4" w:space="0"/>
                    <w:left w:val="single" w:color="auto" w:sz="4" w:space="0"/>
                    <w:right w:val="single" w:color="auto" w:sz="4" w:space="0"/>
                  </w:tcBorders>
                  <w:shd w:val="clear" w:color="auto" w:fill="FFFFFF"/>
                  <w:noWrap w:val="0"/>
                  <w:vAlign w:val="center"/>
                </w:tcPr>
                <w:p w14:paraId="114E024E">
                  <w:pPr>
                    <w:jc w:val="center"/>
                    <w:rPr>
                      <w:color w:val="000000"/>
                      <w:sz w:val="21"/>
                      <w:szCs w:val="21"/>
                      <w:highlight w:val="none"/>
                    </w:rPr>
                  </w:pPr>
                  <w:r>
                    <w:rPr>
                      <w:rFonts w:hint="eastAsia"/>
                      <w:color w:val="000000"/>
                      <w:sz w:val="21"/>
                      <w:szCs w:val="21"/>
                      <w:highlight w:val="none"/>
                    </w:rPr>
                    <w:t>≤</w:t>
                  </w:r>
                  <w:r>
                    <w:rPr>
                      <w:color w:val="000000"/>
                      <w:sz w:val="21"/>
                      <w:szCs w:val="21"/>
                      <w:highlight w:val="none"/>
                      <w:lang w:eastAsia="en-US"/>
                    </w:rPr>
                    <w:t>60</w:t>
                  </w:r>
                </w:p>
              </w:tc>
            </w:tr>
            <w:tr w14:paraId="2EEFBF2F">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22F1A2AE">
                  <w:pPr>
                    <w:jc w:val="center"/>
                    <w:rPr>
                      <w:color w:val="000000"/>
                      <w:sz w:val="21"/>
                      <w:szCs w:val="21"/>
                      <w:highlight w:val="none"/>
                    </w:rPr>
                  </w:pPr>
                  <w:r>
                    <w:rPr>
                      <w:color w:val="000000"/>
                      <w:sz w:val="21"/>
                      <w:szCs w:val="21"/>
                      <w:highlight w:val="none"/>
                      <w:lang w:eastAsia="en-US"/>
                    </w:rPr>
                    <w:t>4</w:t>
                  </w:r>
                </w:p>
              </w:tc>
              <w:tc>
                <w:tcPr>
                  <w:tcW w:w="2822" w:type="dxa"/>
                  <w:tcBorders>
                    <w:top w:val="single" w:color="auto" w:sz="4" w:space="0"/>
                    <w:left w:val="single" w:color="auto" w:sz="4" w:space="0"/>
                  </w:tcBorders>
                  <w:shd w:val="clear" w:color="auto" w:fill="FFFFFF"/>
                  <w:noWrap w:val="0"/>
                  <w:vAlign w:val="center"/>
                </w:tcPr>
                <w:p w14:paraId="1D369348">
                  <w:pPr>
                    <w:jc w:val="center"/>
                    <w:rPr>
                      <w:color w:val="000000"/>
                      <w:sz w:val="21"/>
                      <w:szCs w:val="21"/>
                      <w:highlight w:val="none"/>
                    </w:rPr>
                  </w:pPr>
                  <w:r>
                    <w:rPr>
                      <w:color w:val="000000"/>
                      <w:sz w:val="21"/>
                      <w:szCs w:val="21"/>
                      <w:highlight w:val="none"/>
                      <w:lang w:eastAsia="en-US"/>
                    </w:rPr>
                    <w:t>B</w:t>
                  </w:r>
                  <w:r>
                    <w:rPr>
                      <w:rFonts w:hint="eastAsia"/>
                      <w:color w:val="000000"/>
                      <w:sz w:val="21"/>
                      <w:szCs w:val="21"/>
                      <w:highlight w:val="none"/>
                      <w:lang w:val="en-US" w:eastAsia="zh-CN"/>
                    </w:rPr>
                    <w:t>O</w:t>
                  </w:r>
                  <w:r>
                    <w:rPr>
                      <w:color w:val="000000"/>
                      <w:sz w:val="21"/>
                      <w:szCs w:val="21"/>
                      <w:highlight w:val="none"/>
                      <w:lang w:eastAsia="en-US"/>
                    </w:rPr>
                    <w:t>D</w:t>
                  </w:r>
                  <w:r>
                    <w:rPr>
                      <w:color w:val="000000"/>
                      <w:sz w:val="21"/>
                      <w:szCs w:val="21"/>
                      <w:highlight w:val="none"/>
                      <w:vertAlign w:val="subscript"/>
                      <w:lang w:eastAsia="en-US"/>
                    </w:rPr>
                    <w:t>5</w:t>
                  </w:r>
                </w:p>
              </w:tc>
              <w:tc>
                <w:tcPr>
                  <w:tcW w:w="1058" w:type="dxa"/>
                  <w:tcBorders>
                    <w:top w:val="single" w:color="auto" w:sz="4" w:space="0"/>
                    <w:left w:val="single" w:color="auto" w:sz="4" w:space="0"/>
                  </w:tcBorders>
                  <w:shd w:val="clear" w:color="auto" w:fill="FFFFFF"/>
                  <w:noWrap w:val="0"/>
                  <w:vAlign w:val="center"/>
                </w:tcPr>
                <w:p w14:paraId="5A37788D">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19065F83">
                  <w:pPr>
                    <w:jc w:val="center"/>
                    <w:rPr>
                      <w:color w:val="000000"/>
                      <w:sz w:val="21"/>
                      <w:szCs w:val="21"/>
                      <w:highlight w:val="none"/>
                      <w:lang w:eastAsia="en-US"/>
                    </w:rPr>
                  </w:pPr>
                  <w:r>
                    <w:rPr>
                      <w:rFonts w:hint="eastAsia"/>
                      <w:color w:val="000000"/>
                      <w:sz w:val="21"/>
                      <w:szCs w:val="21"/>
                      <w:highlight w:val="none"/>
                    </w:rPr>
                    <w:t>≤</w:t>
                  </w:r>
                  <w:r>
                    <w:rPr>
                      <w:rFonts w:hint="eastAsia"/>
                      <w:color w:val="000000"/>
                      <w:sz w:val="21"/>
                      <w:szCs w:val="21"/>
                      <w:highlight w:val="none"/>
                      <w:lang w:val="en-US" w:eastAsia="zh-CN"/>
                    </w:rPr>
                    <w:t>2</w:t>
                  </w:r>
                  <w:r>
                    <w:rPr>
                      <w:color w:val="000000"/>
                      <w:sz w:val="21"/>
                      <w:szCs w:val="21"/>
                      <w:highlight w:val="none"/>
                      <w:lang w:eastAsia="en-US"/>
                    </w:rPr>
                    <w:t>0</w:t>
                  </w:r>
                </w:p>
              </w:tc>
              <w:tc>
                <w:tcPr>
                  <w:tcW w:w="1448" w:type="dxa"/>
                  <w:tcBorders>
                    <w:top w:val="single" w:color="auto" w:sz="4" w:space="0"/>
                    <w:left w:val="single" w:color="auto" w:sz="4" w:space="0"/>
                    <w:right w:val="single" w:color="auto" w:sz="4" w:space="0"/>
                  </w:tcBorders>
                  <w:shd w:val="clear" w:color="auto" w:fill="FFFFFF"/>
                  <w:noWrap w:val="0"/>
                  <w:vAlign w:val="center"/>
                </w:tcPr>
                <w:p w14:paraId="74EEE82D">
                  <w:pPr>
                    <w:jc w:val="center"/>
                    <w:rPr>
                      <w:color w:val="000000"/>
                      <w:sz w:val="21"/>
                      <w:szCs w:val="21"/>
                      <w:highlight w:val="none"/>
                    </w:rPr>
                  </w:pPr>
                  <w:r>
                    <w:rPr>
                      <w:rFonts w:hint="eastAsia"/>
                      <w:color w:val="000000"/>
                      <w:sz w:val="21"/>
                      <w:szCs w:val="21"/>
                      <w:highlight w:val="none"/>
                    </w:rPr>
                    <w:t>≤</w:t>
                  </w:r>
                  <w:r>
                    <w:rPr>
                      <w:color w:val="000000"/>
                      <w:sz w:val="21"/>
                      <w:szCs w:val="21"/>
                      <w:highlight w:val="none"/>
                      <w:lang w:eastAsia="en-US"/>
                    </w:rPr>
                    <w:t>10</w:t>
                  </w:r>
                </w:p>
              </w:tc>
            </w:tr>
            <w:tr w14:paraId="0DD9987B">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089214F1">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5</w:t>
                  </w:r>
                </w:p>
              </w:tc>
              <w:tc>
                <w:tcPr>
                  <w:tcW w:w="2822" w:type="dxa"/>
                  <w:tcBorders>
                    <w:top w:val="single" w:color="auto" w:sz="4" w:space="0"/>
                    <w:left w:val="single" w:color="auto" w:sz="4" w:space="0"/>
                  </w:tcBorders>
                  <w:shd w:val="clear" w:color="auto" w:fill="FFFFFF"/>
                  <w:noWrap w:val="0"/>
                  <w:vAlign w:val="center"/>
                </w:tcPr>
                <w:p w14:paraId="3639BFD6">
                  <w:pPr>
                    <w:jc w:val="center"/>
                    <w:rPr>
                      <w:color w:val="000000"/>
                      <w:sz w:val="21"/>
                      <w:szCs w:val="21"/>
                      <w:highlight w:val="none"/>
                    </w:rPr>
                  </w:pPr>
                  <w:r>
                    <w:rPr>
                      <w:rFonts w:hint="eastAsia"/>
                      <w:color w:val="000000"/>
                      <w:sz w:val="21"/>
                      <w:szCs w:val="21"/>
                      <w:highlight w:val="none"/>
                      <w:lang w:val="zh-TW"/>
                    </w:rPr>
                    <w:t>钙</w:t>
                  </w:r>
                  <w:r>
                    <w:rPr>
                      <w:color w:val="000000"/>
                      <w:sz w:val="21"/>
                      <w:szCs w:val="21"/>
                      <w:highlight w:val="none"/>
                      <w:lang w:val="zh-TW" w:eastAsia="zh-TW"/>
                    </w:rPr>
                    <w:t>硬度(以</w:t>
                  </w:r>
                  <w:r>
                    <w:rPr>
                      <w:color w:val="000000"/>
                      <w:sz w:val="21"/>
                      <w:szCs w:val="21"/>
                      <w:highlight w:val="none"/>
                      <w:lang w:eastAsia="en-US"/>
                    </w:rPr>
                    <w:t>CaC</w:t>
                  </w:r>
                  <w:r>
                    <w:rPr>
                      <w:rFonts w:hint="eastAsia"/>
                      <w:color w:val="000000"/>
                      <w:sz w:val="21"/>
                      <w:szCs w:val="21"/>
                      <w:highlight w:val="none"/>
                    </w:rPr>
                    <w:t>O</w:t>
                  </w:r>
                  <w:r>
                    <w:rPr>
                      <w:rFonts w:hint="eastAsia"/>
                      <w:color w:val="000000"/>
                      <w:sz w:val="21"/>
                      <w:szCs w:val="21"/>
                      <w:highlight w:val="none"/>
                      <w:vertAlign w:val="subscript"/>
                    </w:rPr>
                    <w:t>3</w:t>
                  </w:r>
                  <w:r>
                    <w:rPr>
                      <w:rFonts w:hint="eastAsia"/>
                      <w:color w:val="000000"/>
                      <w:sz w:val="21"/>
                      <w:szCs w:val="21"/>
                      <w:highlight w:val="none"/>
                    </w:rPr>
                    <w:t>计</w:t>
                  </w:r>
                  <w:r>
                    <w:rPr>
                      <w:color w:val="000000"/>
                      <w:sz w:val="21"/>
                      <w:szCs w:val="21"/>
                      <w:highlight w:val="none"/>
                      <w:lang w:eastAsia="en-US"/>
                    </w:rPr>
                    <w:t>)</w:t>
                  </w:r>
                </w:p>
              </w:tc>
              <w:tc>
                <w:tcPr>
                  <w:tcW w:w="1058" w:type="dxa"/>
                  <w:tcBorders>
                    <w:top w:val="single" w:color="auto" w:sz="4" w:space="0"/>
                    <w:left w:val="single" w:color="auto" w:sz="4" w:space="0"/>
                  </w:tcBorders>
                  <w:shd w:val="clear" w:color="auto" w:fill="FFFFFF"/>
                  <w:noWrap w:val="0"/>
                  <w:vAlign w:val="center"/>
                </w:tcPr>
                <w:p w14:paraId="76FE814E">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0A90D68B">
                  <w:pPr>
                    <w:jc w:val="center"/>
                    <w:rPr>
                      <w:color w:val="000000"/>
                      <w:sz w:val="21"/>
                      <w:szCs w:val="21"/>
                      <w:highlight w:val="none"/>
                      <w:lang w:eastAsia="en-US"/>
                    </w:rPr>
                  </w:pPr>
                  <w:r>
                    <w:rPr>
                      <w:rFonts w:hint="eastAsia"/>
                      <w:color w:val="000000"/>
                      <w:sz w:val="21"/>
                      <w:szCs w:val="21"/>
                      <w:highlight w:val="none"/>
                    </w:rPr>
                    <w:t>≤</w:t>
                  </w:r>
                  <w:r>
                    <w:rPr>
                      <w:rFonts w:hint="eastAsia"/>
                      <w:color w:val="000000"/>
                      <w:sz w:val="21"/>
                      <w:szCs w:val="21"/>
                      <w:highlight w:val="none"/>
                      <w:lang w:val="en-US" w:eastAsia="zh-CN"/>
                    </w:rPr>
                    <w:t>150</w:t>
                  </w:r>
                  <w:r>
                    <w:rPr>
                      <w:color w:val="000000"/>
                      <w:sz w:val="21"/>
                      <w:szCs w:val="21"/>
                      <w:highlight w:val="none"/>
                      <w:lang w:eastAsia="en-US"/>
                    </w:rPr>
                    <w:t>0</w:t>
                  </w:r>
                </w:p>
              </w:tc>
              <w:tc>
                <w:tcPr>
                  <w:tcW w:w="1448" w:type="dxa"/>
                  <w:tcBorders>
                    <w:top w:val="single" w:color="auto" w:sz="4" w:space="0"/>
                    <w:left w:val="single" w:color="auto" w:sz="4" w:space="0"/>
                    <w:right w:val="single" w:color="auto" w:sz="4" w:space="0"/>
                  </w:tcBorders>
                  <w:shd w:val="clear" w:color="auto" w:fill="FFFFFF"/>
                  <w:noWrap w:val="0"/>
                  <w:vAlign w:val="center"/>
                </w:tcPr>
                <w:p w14:paraId="7D4912C6">
                  <w:pPr>
                    <w:jc w:val="center"/>
                    <w:rPr>
                      <w:color w:val="000000"/>
                      <w:sz w:val="21"/>
                      <w:szCs w:val="21"/>
                      <w:highlight w:val="none"/>
                    </w:rPr>
                  </w:pPr>
                  <w:r>
                    <w:rPr>
                      <w:rFonts w:hint="eastAsia"/>
                      <w:color w:val="000000"/>
                      <w:sz w:val="21"/>
                      <w:szCs w:val="21"/>
                      <w:highlight w:val="none"/>
                    </w:rPr>
                    <w:t>≤25</w:t>
                  </w:r>
                  <w:r>
                    <w:rPr>
                      <w:color w:val="000000"/>
                      <w:sz w:val="21"/>
                      <w:szCs w:val="21"/>
                      <w:highlight w:val="none"/>
                      <w:lang w:eastAsia="en-US"/>
                    </w:rPr>
                    <w:t>0</w:t>
                  </w:r>
                </w:p>
              </w:tc>
            </w:tr>
            <w:tr w14:paraId="0D7B253F">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14EB40D9">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6</w:t>
                  </w:r>
                </w:p>
              </w:tc>
              <w:tc>
                <w:tcPr>
                  <w:tcW w:w="2822" w:type="dxa"/>
                  <w:tcBorders>
                    <w:top w:val="single" w:color="auto" w:sz="4" w:space="0"/>
                    <w:left w:val="single" w:color="auto" w:sz="4" w:space="0"/>
                  </w:tcBorders>
                  <w:shd w:val="clear" w:color="auto" w:fill="FFFFFF"/>
                  <w:noWrap w:val="0"/>
                  <w:vAlign w:val="center"/>
                </w:tcPr>
                <w:p w14:paraId="2ADDC8C6">
                  <w:pPr>
                    <w:jc w:val="center"/>
                    <w:rPr>
                      <w:color w:val="000000"/>
                      <w:sz w:val="21"/>
                      <w:szCs w:val="21"/>
                      <w:highlight w:val="none"/>
                    </w:rPr>
                  </w:pPr>
                  <w:r>
                    <w:rPr>
                      <w:color w:val="000000"/>
                      <w:sz w:val="21"/>
                      <w:szCs w:val="21"/>
                      <w:highlight w:val="none"/>
                      <w:lang w:val="zh-TW" w:eastAsia="zh-TW"/>
                    </w:rPr>
                    <w:t>氨氮</w:t>
                  </w:r>
                </w:p>
              </w:tc>
              <w:tc>
                <w:tcPr>
                  <w:tcW w:w="1058" w:type="dxa"/>
                  <w:tcBorders>
                    <w:top w:val="single" w:color="auto" w:sz="4" w:space="0"/>
                    <w:left w:val="single" w:color="auto" w:sz="4" w:space="0"/>
                  </w:tcBorders>
                  <w:shd w:val="clear" w:color="auto" w:fill="FFFFFF"/>
                  <w:noWrap w:val="0"/>
                  <w:vAlign w:val="center"/>
                </w:tcPr>
                <w:p w14:paraId="19E5F57D">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32CD08FC">
                  <w:pPr>
                    <w:jc w:val="center"/>
                    <w:rPr>
                      <w:rFonts w:hint="default" w:eastAsia="宋体"/>
                      <w:color w:val="000000"/>
                      <w:sz w:val="21"/>
                      <w:szCs w:val="21"/>
                      <w:highlight w:val="none"/>
                      <w:lang w:val="en-US" w:eastAsia="zh-CN"/>
                    </w:rPr>
                  </w:pPr>
                  <w:r>
                    <w:rPr>
                      <w:rFonts w:hint="eastAsia"/>
                      <w:color w:val="000000"/>
                      <w:sz w:val="21"/>
                      <w:szCs w:val="21"/>
                      <w:highlight w:val="none"/>
                    </w:rPr>
                    <w:t>≤</w:t>
                  </w:r>
                  <w:r>
                    <w:rPr>
                      <w:rFonts w:hint="eastAsia"/>
                      <w:color w:val="000000"/>
                      <w:sz w:val="21"/>
                      <w:szCs w:val="21"/>
                      <w:highlight w:val="none"/>
                      <w:lang w:val="en-US" w:eastAsia="zh-CN"/>
                    </w:rPr>
                    <w:t>3</w:t>
                  </w:r>
                </w:p>
              </w:tc>
              <w:tc>
                <w:tcPr>
                  <w:tcW w:w="1448" w:type="dxa"/>
                  <w:tcBorders>
                    <w:top w:val="single" w:color="auto" w:sz="4" w:space="0"/>
                    <w:left w:val="single" w:color="auto" w:sz="4" w:space="0"/>
                    <w:right w:val="single" w:color="auto" w:sz="4" w:space="0"/>
                  </w:tcBorders>
                  <w:shd w:val="clear" w:color="auto" w:fill="FFFFFF"/>
                  <w:noWrap w:val="0"/>
                  <w:vAlign w:val="center"/>
                </w:tcPr>
                <w:p w14:paraId="1A7098DB">
                  <w:pPr>
                    <w:jc w:val="center"/>
                    <w:rPr>
                      <w:color w:val="000000"/>
                      <w:sz w:val="21"/>
                      <w:szCs w:val="21"/>
                      <w:highlight w:val="none"/>
                    </w:rPr>
                  </w:pPr>
                  <w:r>
                    <w:rPr>
                      <w:rFonts w:hint="eastAsia"/>
                      <w:color w:val="000000"/>
                      <w:sz w:val="21"/>
                      <w:szCs w:val="21"/>
                      <w:highlight w:val="none"/>
                    </w:rPr>
                    <w:t>≤</w:t>
                  </w:r>
                  <w:r>
                    <w:rPr>
                      <w:color w:val="000000"/>
                      <w:sz w:val="21"/>
                      <w:szCs w:val="21"/>
                      <w:highlight w:val="none"/>
                      <w:lang w:eastAsia="en-US"/>
                    </w:rPr>
                    <w:t>5</w:t>
                  </w:r>
                </w:p>
              </w:tc>
            </w:tr>
            <w:tr w14:paraId="073094F0">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064CE20D">
                  <w:pPr>
                    <w:jc w:val="center"/>
                    <w:rPr>
                      <w:color w:val="000000"/>
                      <w:kern w:val="2"/>
                      <w:sz w:val="21"/>
                      <w:szCs w:val="21"/>
                      <w:highlight w:val="none"/>
                      <w:lang w:val="en-US" w:eastAsia="zh-CN" w:bidi="ar-SA"/>
                    </w:rPr>
                  </w:pPr>
                  <w:r>
                    <w:rPr>
                      <w:color w:val="000000"/>
                      <w:sz w:val="21"/>
                      <w:szCs w:val="21"/>
                      <w:highlight w:val="none"/>
                      <w:lang w:val="zh-TW" w:eastAsia="zh-TW"/>
                    </w:rPr>
                    <w:t>7</w:t>
                  </w:r>
                </w:p>
              </w:tc>
              <w:tc>
                <w:tcPr>
                  <w:tcW w:w="2822" w:type="dxa"/>
                  <w:tcBorders>
                    <w:top w:val="single" w:color="auto" w:sz="4" w:space="0"/>
                    <w:left w:val="single" w:color="auto" w:sz="4" w:space="0"/>
                  </w:tcBorders>
                  <w:shd w:val="clear" w:color="auto" w:fill="FFFFFF"/>
                  <w:noWrap w:val="0"/>
                  <w:vAlign w:val="center"/>
                </w:tcPr>
                <w:p w14:paraId="08C6D64F">
                  <w:pPr>
                    <w:jc w:val="center"/>
                    <w:rPr>
                      <w:color w:val="000000"/>
                      <w:sz w:val="21"/>
                      <w:szCs w:val="21"/>
                      <w:highlight w:val="none"/>
                    </w:rPr>
                  </w:pPr>
                  <w:r>
                    <w:rPr>
                      <w:color w:val="000000"/>
                      <w:sz w:val="21"/>
                      <w:szCs w:val="21"/>
                      <w:highlight w:val="none"/>
                      <w:lang w:val="zh-TW" w:eastAsia="zh-TW"/>
                    </w:rPr>
                    <w:t>硫化物</w:t>
                  </w:r>
                </w:p>
              </w:tc>
              <w:tc>
                <w:tcPr>
                  <w:tcW w:w="1058" w:type="dxa"/>
                  <w:tcBorders>
                    <w:top w:val="single" w:color="auto" w:sz="4" w:space="0"/>
                    <w:left w:val="single" w:color="auto" w:sz="4" w:space="0"/>
                  </w:tcBorders>
                  <w:shd w:val="clear" w:color="auto" w:fill="FFFFFF"/>
                  <w:noWrap w:val="0"/>
                  <w:vAlign w:val="center"/>
                </w:tcPr>
                <w:p w14:paraId="765A461A">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2FD842CF">
                  <w:pPr>
                    <w:jc w:val="center"/>
                    <w:rPr>
                      <w:rFonts w:hint="eastAsia" w:eastAsia="宋体"/>
                      <w:color w:val="000000"/>
                      <w:sz w:val="21"/>
                      <w:szCs w:val="21"/>
                      <w:highlight w:val="none"/>
                      <w:lang w:val="en-US" w:eastAsia="zh-CN"/>
                    </w:rPr>
                  </w:pPr>
                  <w:r>
                    <w:rPr>
                      <w:rFonts w:hint="eastAsia"/>
                      <w:color w:val="000000"/>
                      <w:sz w:val="21"/>
                      <w:szCs w:val="21"/>
                      <w:highlight w:val="none"/>
                    </w:rPr>
                    <w:t>≤0.</w:t>
                  </w:r>
                  <w:r>
                    <w:rPr>
                      <w:rFonts w:hint="eastAsia"/>
                      <w:color w:val="000000"/>
                      <w:sz w:val="21"/>
                      <w:szCs w:val="21"/>
                      <w:highlight w:val="none"/>
                      <w:lang w:val="en-US" w:eastAsia="zh-CN"/>
                    </w:rPr>
                    <w:t>2</w:t>
                  </w:r>
                </w:p>
              </w:tc>
              <w:tc>
                <w:tcPr>
                  <w:tcW w:w="1448" w:type="dxa"/>
                  <w:tcBorders>
                    <w:top w:val="single" w:color="auto" w:sz="4" w:space="0"/>
                    <w:left w:val="single" w:color="auto" w:sz="4" w:space="0"/>
                    <w:right w:val="single" w:color="auto" w:sz="4" w:space="0"/>
                  </w:tcBorders>
                  <w:shd w:val="clear" w:color="auto" w:fill="FFFFFF"/>
                  <w:noWrap w:val="0"/>
                  <w:vAlign w:val="center"/>
                </w:tcPr>
                <w:p w14:paraId="30F2532F">
                  <w:pPr>
                    <w:jc w:val="center"/>
                    <w:rPr>
                      <w:color w:val="000000"/>
                      <w:sz w:val="21"/>
                      <w:szCs w:val="21"/>
                      <w:highlight w:val="none"/>
                    </w:rPr>
                  </w:pPr>
                  <w:r>
                    <w:rPr>
                      <w:rFonts w:hint="eastAsia"/>
                      <w:color w:val="000000"/>
                      <w:sz w:val="21"/>
                      <w:szCs w:val="21"/>
                      <w:highlight w:val="none"/>
                    </w:rPr>
                    <w:t>≤0.</w:t>
                  </w:r>
                  <w:r>
                    <w:rPr>
                      <w:color w:val="000000"/>
                      <w:sz w:val="21"/>
                      <w:szCs w:val="21"/>
                      <w:highlight w:val="none"/>
                      <w:lang w:eastAsia="en-US"/>
                    </w:rPr>
                    <w:t>1</w:t>
                  </w:r>
                </w:p>
              </w:tc>
            </w:tr>
            <w:tr w14:paraId="48400952">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24515896">
                  <w:pPr>
                    <w:jc w:val="center"/>
                    <w:rPr>
                      <w:color w:val="000000"/>
                      <w:kern w:val="2"/>
                      <w:sz w:val="21"/>
                      <w:szCs w:val="21"/>
                      <w:highlight w:val="none"/>
                      <w:lang w:val="en-US" w:eastAsia="zh-CN" w:bidi="ar-SA"/>
                    </w:rPr>
                  </w:pPr>
                  <w:r>
                    <w:rPr>
                      <w:color w:val="000000"/>
                      <w:sz w:val="21"/>
                      <w:szCs w:val="21"/>
                      <w:highlight w:val="none"/>
                      <w:lang w:val="zh-TW" w:eastAsia="zh-TW"/>
                    </w:rPr>
                    <w:t>8</w:t>
                  </w:r>
                </w:p>
              </w:tc>
              <w:tc>
                <w:tcPr>
                  <w:tcW w:w="2822" w:type="dxa"/>
                  <w:tcBorders>
                    <w:top w:val="single" w:color="auto" w:sz="4" w:space="0"/>
                    <w:left w:val="single" w:color="auto" w:sz="4" w:space="0"/>
                  </w:tcBorders>
                  <w:shd w:val="clear" w:color="auto" w:fill="FFFFFF"/>
                  <w:noWrap w:val="0"/>
                  <w:vAlign w:val="center"/>
                </w:tcPr>
                <w:p w14:paraId="22FED81B">
                  <w:pPr>
                    <w:jc w:val="center"/>
                    <w:rPr>
                      <w:color w:val="000000"/>
                      <w:sz w:val="21"/>
                      <w:szCs w:val="21"/>
                      <w:highlight w:val="none"/>
                    </w:rPr>
                  </w:pPr>
                  <w:r>
                    <w:rPr>
                      <w:color w:val="000000"/>
                      <w:sz w:val="21"/>
                      <w:szCs w:val="21"/>
                      <w:highlight w:val="none"/>
                      <w:lang w:val="zh-TW" w:eastAsia="zh-TW"/>
                    </w:rPr>
                    <w:t>总磷(以</w:t>
                  </w:r>
                  <w:r>
                    <w:rPr>
                      <w:color w:val="000000"/>
                      <w:sz w:val="21"/>
                      <w:szCs w:val="21"/>
                      <w:highlight w:val="none"/>
                      <w:lang w:eastAsia="en-US"/>
                    </w:rPr>
                    <w:t>P</w:t>
                  </w:r>
                  <w:r>
                    <w:rPr>
                      <w:color w:val="000000"/>
                      <w:sz w:val="21"/>
                      <w:szCs w:val="21"/>
                      <w:highlight w:val="none"/>
                      <w:lang w:val="zh-TW" w:eastAsia="zh-TW"/>
                    </w:rPr>
                    <w:t>计)</w:t>
                  </w:r>
                </w:p>
              </w:tc>
              <w:tc>
                <w:tcPr>
                  <w:tcW w:w="1058" w:type="dxa"/>
                  <w:tcBorders>
                    <w:top w:val="single" w:color="auto" w:sz="4" w:space="0"/>
                    <w:left w:val="single" w:color="auto" w:sz="4" w:space="0"/>
                  </w:tcBorders>
                  <w:shd w:val="clear" w:color="auto" w:fill="FFFFFF"/>
                  <w:noWrap w:val="0"/>
                  <w:vAlign w:val="center"/>
                </w:tcPr>
                <w:p w14:paraId="3159951D">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5F7F66B1">
                  <w:pPr>
                    <w:jc w:val="center"/>
                    <w:rPr>
                      <w:color w:val="000000"/>
                      <w:sz w:val="21"/>
                      <w:szCs w:val="21"/>
                      <w:highlight w:val="none"/>
                      <w:lang w:eastAsia="en-US"/>
                    </w:rPr>
                  </w:pPr>
                  <w:r>
                    <w:rPr>
                      <w:rFonts w:hint="eastAsia"/>
                      <w:color w:val="000000"/>
                      <w:sz w:val="21"/>
                      <w:szCs w:val="21"/>
                      <w:highlight w:val="none"/>
                    </w:rPr>
                    <w:t>≤</w:t>
                  </w:r>
                  <w:r>
                    <w:rPr>
                      <w:rFonts w:hint="eastAsia"/>
                      <w:color w:val="000000"/>
                      <w:sz w:val="21"/>
                      <w:szCs w:val="21"/>
                      <w:highlight w:val="none"/>
                      <w:lang w:val="en-US" w:eastAsia="zh-CN"/>
                    </w:rPr>
                    <w:t>2</w:t>
                  </w:r>
                  <w:r>
                    <w:rPr>
                      <w:rFonts w:hint="eastAsia"/>
                      <w:color w:val="000000"/>
                      <w:sz w:val="21"/>
                      <w:szCs w:val="21"/>
                      <w:highlight w:val="none"/>
                    </w:rPr>
                    <w:t>.0</w:t>
                  </w:r>
                </w:p>
              </w:tc>
              <w:tc>
                <w:tcPr>
                  <w:tcW w:w="1448" w:type="dxa"/>
                  <w:tcBorders>
                    <w:top w:val="single" w:color="auto" w:sz="4" w:space="0"/>
                    <w:left w:val="single" w:color="auto" w:sz="4" w:space="0"/>
                    <w:right w:val="single" w:color="auto" w:sz="4" w:space="0"/>
                  </w:tcBorders>
                  <w:shd w:val="clear" w:color="auto" w:fill="FFFFFF"/>
                  <w:noWrap w:val="0"/>
                  <w:vAlign w:val="center"/>
                </w:tcPr>
                <w:p w14:paraId="42C83F4D">
                  <w:pPr>
                    <w:jc w:val="center"/>
                    <w:rPr>
                      <w:color w:val="000000"/>
                      <w:sz w:val="21"/>
                      <w:szCs w:val="21"/>
                      <w:highlight w:val="none"/>
                    </w:rPr>
                  </w:pPr>
                  <w:r>
                    <w:rPr>
                      <w:rFonts w:hint="eastAsia"/>
                      <w:color w:val="000000"/>
                      <w:sz w:val="21"/>
                      <w:szCs w:val="21"/>
                      <w:highlight w:val="none"/>
                    </w:rPr>
                    <w:t>≤1.0</w:t>
                  </w:r>
                </w:p>
              </w:tc>
            </w:tr>
            <w:tr w14:paraId="3048D91E">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tcBorders>
                  <w:shd w:val="clear" w:color="auto" w:fill="FFFFFF"/>
                  <w:noWrap w:val="0"/>
                  <w:vAlign w:val="center"/>
                </w:tcPr>
                <w:p w14:paraId="55C098D2">
                  <w:pPr>
                    <w:jc w:val="center"/>
                    <w:rPr>
                      <w:color w:val="000000"/>
                      <w:kern w:val="2"/>
                      <w:sz w:val="21"/>
                      <w:szCs w:val="21"/>
                      <w:highlight w:val="none"/>
                      <w:lang w:val="en-US" w:eastAsia="zh-CN" w:bidi="ar-SA"/>
                    </w:rPr>
                  </w:pPr>
                  <w:r>
                    <w:rPr>
                      <w:color w:val="000000"/>
                      <w:sz w:val="21"/>
                      <w:szCs w:val="21"/>
                      <w:highlight w:val="none"/>
                      <w:lang w:val="zh-TW" w:eastAsia="zh-TW"/>
                    </w:rPr>
                    <w:t>9</w:t>
                  </w:r>
                </w:p>
              </w:tc>
              <w:tc>
                <w:tcPr>
                  <w:tcW w:w="2822" w:type="dxa"/>
                  <w:tcBorders>
                    <w:top w:val="single" w:color="auto" w:sz="4" w:space="0"/>
                    <w:left w:val="single" w:color="auto" w:sz="4" w:space="0"/>
                  </w:tcBorders>
                  <w:shd w:val="clear" w:color="auto" w:fill="FFFFFF"/>
                  <w:noWrap w:val="0"/>
                  <w:vAlign w:val="center"/>
                </w:tcPr>
                <w:p w14:paraId="6AA1C3E2">
                  <w:pPr>
                    <w:jc w:val="center"/>
                    <w:rPr>
                      <w:color w:val="000000"/>
                      <w:sz w:val="21"/>
                      <w:szCs w:val="21"/>
                      <w:highlight w:val="none"/>
                    </w:rPr>
                  </w:pPr>
                  <w:r>
                    <w:rPr>
                      <w:color w:val="000000"/>
                      <w:sz w:val="21"/>
                      <w:szCs w:val="21"/>
                      <w:highlight w:val="none"/>
                      <w:lang w:val="zh-TW" w:eastAsia="zh-TW"/>
                    </w:rPr>
                    <w:t>氯离子</w:t>
                  </w:r>
                </w:p>
              </w:tc>
              <w:tc>
                <w:tcPr>
                  <w:tcW w:w="1058" w:type="dxa"/>
                  <w:tcBorders>
                    <w:top w:val="single" w:color="auto" w:sz="4" w:space="0"/>
                    <w:left w:val="single" w:color="auto" w:sz="4" w:space="0"/>
                  </w:tcBorders>
                  <w:shd w:val="clear" w:color="auto" w:fill="FFFFFF"/>
                  <w:noWrap w:val="0"/>
                  <w:vAlign w:val="center"/>
                </w:tcPr>
                <w:p w14:paraId="22D76834">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tcBorders>
                  <w:shd w:val="clear" w:color="auto" w:fill="FFFFFF"/>
                  <w:noWrap w:val="0"/>
                  <w:vAlign w:val="center"/>
                </w:tcPr>
                <w:p w14:paraId="2A74096D">
                  <w:pPr>
                    <w:jc w:val="center"/>
                    <w:rPr>
                      <w:color w:val="000000"/>
                      <w:sz w:val="21"/>
                      <w:szCs w:val="21"/>
                      <w:highlight w:val="none"/>
                      <w:lang w:eastAsia="en-US"/>
                    </w:rPr>
                  </w:pPr>
                  <w:r>
                    <w:rPr>
                      <w:rFonts w:hint="eastAsia"/>
                      <w:color w:val="000000"/>
                      <w:sz w:val="21"/>
                      <w:szCs w:val="21"/>
                      <w:highlight w:val="none"/>
                    </w:rPr>
                    <w:t>≤</w:t>
                  </w:r>
                  <w:r>
                    <w:rPr>
                      <w:rFonts w:hint="eastAsia"/>
                      <w:color w:val="000000"/>
                      <w:sz w:val="21"/>
                      <w:szCs w:val="21"/>
                      <w:highlight w:val="none"/>
                      <w:lang w:val="en-US" w:eastAsia="zh-CN"/>
                    </w:rPr>
                    <w:t>300</w:t>
                  </w:r>
                  <w:r>
                    <w:rPr>
                      <w:color w:val="000000"/>
                      <w:sz w:val="21"/>
                      <w:szCs w:val="21"/>
                      <w:highlight w:val="none"/>
                      <w:lang w:eastAsia="en-US"/>
                    </w:rPr>
                    <w:t>0</w:t>
                  </w:r>
                </w:p>
              </w:tc>
              <w:tc>
                <w:tcPr>
                  <w:tcW w:w="1448" w:type="dxa"/>
                  <w:tcBorders>
                    <w:top w:val="single" w:color="auto" w:sz="4" w:space="0"/>
                    <w:left w:val="single" w:color="auto" w:sz="4" w:space="0"/>
                    <w:right w:val="single" w:color="auto" w:sz="4" w:space="0"/>
                  </w:tcBorders>
                  <w:shd w:val="clear" w:color="auto" w:fill="FFFFFF"/>
                  <w:noWrap w:val="0"/>
                  <w:vAlign w:val="center"/>
                </w:tcPr>
                <w:p w14:paraId="33C53C25">
                  <w:pPr>
                    <w:jc w:val="center"/>
                    <w:rPr>
                      <w:color w:val="000000"/>
                      <w:sz w:val="21"/>
                      <w:szCs w:val="21"/>
                      <w:highlight w:val="none"/>
                    </w:rPr>
                  </w:pPr>
                  <w:r>
                    <w:rPr>
                      <w:rFonts w:hint="eastAsia"/>
                      <w:color w:val="000000"/>
                      <w:sz w:val="21"/>
                      <w:szCs w:val="21"/>
                      <w:highlight w:val="none"/>
                    </w:rPr>
                    <w:t>≤</w:t>
                  </w:r>
                  <w:r>
                    <w:rPr>
                      <w:color w:val="000000"/>
                      <w:sz w:val="21"/>
                      <w:szCs w:val="21"/>
                      <w:highlight w:val="none"/>
                      <w:lang w:eastAsia="en-US"/>
                    </w:rPr>
                    <w:t>250</w:t>
                  </w:r>
                </w:p>
              </w:tc>
            </w:tr>
            <w:tr w14:paraId="343D39F3">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bottom w:val="single" w:color="auto" w:sz="4" w:space="0"/>
                  </w:tcBorders>
                  <w:shd w:val="clear" w:color="auto" w:fill="FFFFFF"/>
                  <w:noWrap w:val="0"/>
                  <w:vAlign w:val="center"/>
                </w:tcPr>
                <w:p w14:paraId="2672D7A4">
                  <w:pPr>
                    <w:jc w:val="center"/>
                    <w:rPr>
                      <w:color w:val="000000"/>
                      <w:kern w:val="2"/>
                      <w:sz w:val="21"/>
                      <w:szCs w:val="21"/>
                      <w:highlight w:val="none"/>
                      <w:lang w:val="en-US" w:eastAsia="zh-CN" w:bidi="ar-SA"/>
                    </w:rPr>
                  </w:pPr>
                  <w:r>
                    <w:rPr>
                      <w:color w:val="000000"/>
                      <w:sz w:val="21"/>
                      <w:szCs w:val="21"/>
                      <w:highlight w:val="none"/>
                      <w:lang w:val="zh-TW" w:eastAsia="zh-TW"/>
                    </w:rPr>
                    <w:t>10</w:t>
                  </w:r>
                </w:p>
              </w:tc>
              <w:tc>
                <w:tcPr>
                  <w:tcW w:w="2822" w:type="dxa"/>
                  <w:tcBorders>
                    <w:top w:val="single" w:color="auto" w:sz="4" w:space="0"/>
                    <w:left w:val="single" w:color="auto" w:sz="4" w:space="0"/>
                    <w:bottom w:val="single" w:color="auto" w:sz="4" w:space="0"/>
                  </w:tcBorders>
                  <w:shd w:val="clear" w:color="auto" w:fill="FFFFFF"/>
                  <w:noWrap w:val="0"/>
                  <w:vAlign w:val="center"/>
                </w:tcPr>
                <w:p w14:paraId="3DB3B79B">
                  <w:pPr>
                    <w:jc w:val="center"/>
                    <w:rPr>
                      <w:color w:val="000000"/>
                      <w:sz w:val="21"/>
                      <w:szCs w:val="21"/>
                      <w:highlight w:val="none"/>
                    </w:rPr>
                  </w:pPr>
                  <w:r>
                    <w:rPr>
                      <w:color w:val="000000"/>
                      <w:sz w:val="21"/>
                      <w:szCs w:val="21"/>
                      <w:highlight w:val="none"/>
                      <w:lang w:val="zh-TW" w:eastAsia="zh-TW"/>
                    </w:rPr>
                    <w:t>总溶固</w:t>
                  </w:r>
                </w:p>
              </w:tc>
              <w:tc>
                <w:tcPr>
                  <w:tcW w:w="1058" w:type="dxa"/>
                  <w:tcBorders>
                    <w:top w:val="single" w:color="auto" w:sz="4" w:space="0"/>
                    <w:left w:val="single" w:color="auto" w:sz="4" w:space="0"/>
                    <w:bottom w:val="single" w:color="auto" w:sz="4" w:space="0"/>
                  </w:tcBorders>
                  <w:shd w:val="clear" w:color="auto" w:fill="FFFFFF"/>
                  <w:noWrap w:val="0"/>
                  <w:vAlign w:val="center"/>
                </w:tcPr>
                <w:p w14:paraId="2715F8D7">
                  <w:pPr>
                    <w:jc w:val="center"/>
                    <w:rPr>
                      <w:color w:val="000000"/>
                      <w:sz w:val="21"/>
                      <w:szCs w:val="21"/>
                      <w:highlight w:val="none"/>
                    </w:rPr>
                  </w:pPr>
                  <w:r>
                    <w:rPr>
                      <w:color w:val="000000"/>
                      <w:sz w:val="21"/>
                      <w:szCs w:val="21"/>
                      <w:highlight w:val="none"/>
                      <w:lang w:eastAsia="en-US"/>
                    </w:rPr>
                    <w:t>mg/L</w:t>
                  </w:r>
                </w:p>
              </w:tc>
              <w:tc>
                <w:tcPr>
                  <w:tcW w:w="1405" w:type="dxa"/>
                  <w:tcBorders>
                    <w:top w:val="single" w:color="auto" w:sz="4" w:space="0"/>
                    <w:left w:val="single" w:color="auto" w:sz="4" w:space="0"/>
                    <w:bottom w:val="single" w:color="auto" w:sz="4" w:space="0"/>
                  </w:tcBorders>
                  <w:shd w:val="clear" w:color="auto" w:fill="FFFFFF"/>
                  <w:noWrap w:val="0"/>
                  <w:vAlign w:val="center"/>
                </w:tcPr>
                <w:p w14:paraId="1BA62437">
                  <w:pPr>
                    <w:jc w:val="center"/>
                    <w:rPr>
                      <w:color w:val="000000"/>
                      <w:sz w:val="21"/>
                      <w:szCs w:val="21"/>
                      <w:highlight w:val="none"/>
                      <w:lang w:eastAsia="en-US"/>
                    </w:rPr>
                  </w:pPr>
                  <w:r>
                    <w:rPr>
                      <w:rFonts w:hint="eastAsia"/>
                      <w:color w:val="000000"/>
                      <w:sz w:val="21"/>
                      <w:szCs w:val="21"/>
                      <w:highlight w:val="none"/>
                    </w:rPr>
                    <w:t>≤</w:t>
                  </w:r>
                  <w:r>
                    <w:rPr>
                      <w:rFonts w:hint="eastAsia"/>
                      <w:color w:val="000000"/>
                      <w:sz w:val="21"/>
                      <w:szCs w:val="21"/>
                      <w:highlight w:val="none"/>
                      <w:lang w:val="en-US" w:eastAsia="zh-CN"/>
                    </w:rPr>
                    <w:t>6</w:t>
                  </w:r>
                  <w:r>
                    <w:rPr>
                      <w:color w:val="000000"/>
                      <w:sz w:val="21"/>
                      <w:szCs w:val="21"/>
                      <w:highlight w:val="none"/>
                      <w:lang w:eastAsia="en-US"/>
                    </w:rPr>
                    <w:t>000</w:t>
                  </w:r>
                </w:p>
              </w:tc>
              <w:tc>
                <w:tcPr>
                  <w:tcW w:w="14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4E50FA">
                  <w:pPr>
                    <w:jc w:val="center"/>
                    <w:rPr>
                      <w:color w:val="000000"/>
                      <w:sz w:val="21"/>
                      <w:szCs w:val="21"/>
                      <w:highlight w:val="none"/>
                    </w:rPr>
                  </w:pPr>
                  <w:r>
                    <w:rPr>
                      <w:rFonts w:hint="eastAsia"/>
                      <w:color w:val="000000"/>
                      <w:sz w:val="21"/>
                      <w:szCs w:val="21"/>
                      <w:highlight w:val="none"/>
                    </w:rPr>
                    <w:t>≤</w:t>
                  </w:r>
                  <w:r>
                    <w:rPr>
                      <w:color w:val="000000"/>
                      <w:sz w:val="21"/>
                      <w:szCs w:val="21"/>
                      <w:highlight w:val="none"/>
                      <w:lang w:eastAsia="en-US"/>
                    </w:rPr>
                    <w:t>1000</w:t>
                  </w:r>
                </w:p>
              </w:tc>
            </w:tr>
            <w:tr w14:paraId="71E8B812">
              <w:tblPrEx>
                <w:tblCellMar>
                  <w:top w:w="0" w:type="dxa"/>
                  <w:left w:w="10" w:type="dxa"/>
                  <w:bottom w:w="0" w:type="dxa"/>
                  <w:right w:w="10" w:type="dxa"/>
                </w:tblCellMar>
              </w:tblPrEx>
              <w:trPr>
                <w:trHeight w:val="23" w:hRule="atLeast"/>
                <w:jc w:val="center"/>
              </w:trPr>
              <w:tc>
                <w:tcPr>
                  <w:tcW w:w="1620" w:type="dxa"/>
                  <w:tcBorders>
                    <w:top w:val="single" w:color="auto" w:sz="4" w:space="0"/>
                    <w:left w:val="single" w:color="auto" w:sz="4" w:space="0"/>
                    <w:bottom w:val="single" w:color="auto" w:sz="4" w:space="0"/>
                  </w:tcBorders>
                  <w:shd w:val="clear" w:color="auto" w:fill="FFFFFF"/>
                  <w:noWrap w:val="0"/>
                  <w:vAlign w:val="center"/>
                </w:tcPr>
                <w:p w14:paraId="520E9556">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11</w:t>
                  </w:r>
                </w:p>
              </w:tc>
              <w:tc>
                <w:tcPr>
                  <w:tcW w:w="2822" w:type="dxa"/>
                  <w:tcBorders>
                    <w:top w:val="single" w:color="auto" w:sz="4" w:space="0"/>
                    <w:left w:val="single" w:color="auto" w:sz="4" w:space="0"/>
                    <w:bottom w:val="single" w:color="auto" w:sz="4" w:space="0"/>
                  </w:tcBorders>
                  <w:shd w:val="clear" w:color="auto" w:fill="FFFFFF"/>
                  <w:noWrap w:val="0"/>
                  <w:vAlign w:val="center"/>
                </w:tcPr>
                <w:p w14:paraId="6F0640FE">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石油类</w:t>
                  </w:r>
                </w:p>
              </w:tc>
              <w:tc>
                <w:tcPr>
                  <w:tcW w:w="1058" w:type="dxa"/>
                  <w:tcBorders>
                    <w:top w:val="single" w:color="auto" w:sz="4" w:space="0"/>
                    <w:left w:val="single" w:color="auto" w:sz="4" w:space="0"/>
                    <w:bottom w:val="single" w:color="auto" w:sz="4" w:space="0"/>
                  </w:tcBorders>
                  <w:shd w:val="clear" w:color="auto" w:fill="FFFFFF"/>
                  <w:noWrap w:val="0"/>
                  <w:vAlign w:val="center"/>
                </w:tcPr>
                <w:p w14:paraId="273AFB48">
                  <w:pPr>
                    <w:jc w:val="center"/>
                    <w:rPr>
                      <w:color w:val="000000"/>
                      <w:sz w:val="21"/>
                      <w:szCs w:val="21"/>
                      <w:highlight w:val="none"/>
                      <w:lang w:eastAsia="en-US"/>
                    </w:rPr>
                  </w:pPr>
                  <w:r>
                    <w:rPr>
                      <w:color w:val="000000"/>
                      <w:sz w:val="21"/>
                      <w:szCs w:val="21"/>
                      <w:highlight w:val="none"/>
                      <w:lang w:eastAsia="en-US"/>
                    </w:rPr>
                    <w:t>mg/L</w:t>
                  </w:r>
                </w:p>
              </w:tc>
              <w:tc>
                <w:tcPr>
                  <w:tcW w:w="1405" w:type="dxa"/>
                  <w:tcBorders>
                    <w:top w:val="single" w:color="auto" w:sz="4" w:space="0"/>
                    <w:left w:val="single" w:color="auto" w:sz="4" w:space="0"/>
                    <w:bottom w:val="single" w:color="auto" w:sz="4" w:space="0"/>
                  </w:tcBorders>
                  <w:shd w:val="clear" w:color="auto" w:fill="FFFFFF"/>
                  <w:noWrap w:val="0"/>
                  <w:vAlign w:val="center"/>
                </w:tcPr>
                <w:p w14:paraId="0E54FC00">
                  <w:pPr>
                    <w:jc w:val="center"/>
                    <w:rPr>
                      <w:rFonts w:hint="default"/>
                      <w:color w:val="000000"/>
                      <w:sz w:val="21"/>
                      <w:szCs w:val="21"/>
                      <w:highlight w:val="none"/>
                      <w:lang w:val="en-US"/>
                    </w:rPr>
                  </w:pPr>
                  <w:r>
                    <w:rPr>
                      <w:rFonts w:hint="eastAsia"/>
                      <w:color w:val="000000"/>
                      <w:sz w:val="21"/>
                      <w:szCs w:val="21"/>
                      <w:highlight w:val="none"/>
                    </w:rPr>
                    <w:t>≤</w:t>
                  </w:r>
                  <w:r>
                    <w:rPr>
                      <w:rFonts w:hint="eastAsia"/>
                      <w:color w:val="000000"/>
                      <w:sz w:val="21"/>
                      <w:szCs w:val="21"/>
                      <w:highlight w:val="none"/>
                      <w:lang w:val="en-US" w:eastAsia="zh-CN"/>
                    </w:rPr>
                    <w:t>0.1</w:t>
                  </w:r>
                </w:p>
              </w:tc>
              <w:tc>
                <w:tcPr>
                  <w:tcW w:w="14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3CB381">
                  <w:pPr>
                    <w:jc w:val="center"/>
                    <w:rPr>
                      <w:rFonts w:hint="default" w:eastAsia="宋体"/>
                      <w:color w:val="000000"/>
                      <w:sz w:val="21"/>
                      <w:szCs w:val="21"/>
                      <w:highlight w:val="none"/>
                      <w:lang w:val="en-US" w:eastAsia="zh-CN"/>
                    </w:rPr>
                  </w:pPr>
                  <w:r>
                    <w:rPr>
                      <w:rFonts w:hint="eastAsia"/>
                      <w:color w:val="000000"/>
                      <w:sz w:val="21"/>
                      <w:szCs w:val="21"/>
                      <w:highlight w:val="none"/>
                    </w:rPr>
                    <w:t>≤</w:t>
                  </w:r>
                  <w:r>
                    <w:rPr>
                      <w:rFonts w:hint="eastAsia"/>
                      <w:color w:val="000000"/>
                      <w:sz w:val="21"/>
                      <w:szCs w:val="21"/>
                      <w:highlight w:val="none"/>
                      <w:lang w:val="en-US" w:eastAsia="zh-CN"/>
                    </w:rPr>
                    <w:t>5.0</w:t>
                  </w:r>
                </w:p>
              </w:tc>
            </w:tr>
          </w:tbl>
          <w:p w14:paraId="106B27A4">
            <w:pPr>
              <w:pStyle w:val="19"/>
              <w:rPr>
                <w:rFonts w:cs="Times New Roman"/>
                <w:color w:val="000000"/>
                <w:highlight w:val="none"/>
              </w:rPr>
            </w:pPr>
            <w:r>
              <w:rPr>
                <w:rFonts w:hint="eastAsia"/>
                <w:color w:val="000000"/>
                <w:highlight w:val="none"/>
                <w:lang w:val="en-US" w:eastAsia="zh-CN"/>
              </w:rPr>
              <w:t>3</w:t>
            </w:r>
            <w:r>
              <w:rPr>
                <w:color w:val="000000"/>
                <w:highlight w:val="none"/>
              </w:rPr>
              <w:t>、</w:t>
            </w:r>
            <w:r>
              <w:rPr>
                <w:rFonts w:cs="Times New Roman"/>
                <w:color w:val="000000"/>
                <w:highlight w:val="none"/>
              </w:rPr>
              <w:t>噪声排放标准</w:t>
            </w:r>
          </w:p>
          <w:p w14:paraId="752840F0">
            <w:pPr>
              <w:pStyle w:val="33"/>
              <w:ind w:firstLine="480"/>
              <w:rPr>
                <w:rFonts w:cs="Times New Roman"/>
                <w:color w:val="000000"/>
                <w:highlight w:val="none"/>
              </w:rPr>
            </w:pPr>
            <w:r>
              <w:rPr>
                <w:rFonts w:cs="Times New Roman"/>
                <w:color w:val="000000"/>
                <w:highlight w:val="none"/>
              </w:rPr>
              <w:fldChar w:fldCharType="begin"/>
            </w:r>
            <w:r>
              <w:rPr>
                <w:rFonts w:cs="Times New Roman"/>
                <w:color w:val="000000"/>
                <w:highlight w:val="none"/>
              </w:rPr>
              <w:instrText xml:space="preserve"> = 1 \* GB3 \* MERGEFORMAT </w:instrText>
            </w:r>
            <w:r>
              <w:rPr>
                <w:rFonts w:cs="Times New Roman"/>
                <w:color w:val="000000"/>
                <w:highlight w:val="none"/>
              </w:rPr>
              <w:fldChar w:fldCharType="separate"/>
            </w:r>
            <w:r>
              <w:rPr>
                <w:rFonts w:cs="Times New Roman"/>
                <w:color w:val="000000"/>
                <w:highlight w:val="none"/>
              </w:rPr>
              <w:t>①</w:t>
            </w:r>
            <w:r>
              <w:rPr>
                <w:rFonts w:cs="Times New Roman"/>
                <w:color w:val="000000"/>
                <w:highlight w:val="none"/>
              </w:rPr>
              <w:fldChar w:fldCharType="end"/>
            </w:r>
            <w:r>
              <w:rPr>
                <w:rFonts w:cs="Times New Roman"/>
                <w:color w:val="000000"/>
                <w:highlight w:val="none"/>
              </w:rPr>
              <w:t>施工期间噪声执行</w:t>
            </w:r>
            <w:r>
              <w:rPr>
                <w:color w:val="000000"/>
                <w:highlight w:val="none"/>
              </w:rPr>
              <w:t>《建筑施工厂界环境噪声排放标准》</w:t>
            </w:r>
            <w:r>
              <w:rPr>
                <w:rFonts w:hint="eastAsia"/>
                <w:color w:val="000000"/>
                <w:highlight w:val="none"/>
                <w:lang w:eastAsia="zh-CN"/>
              </w:rPr>
              <w:t>（</w:t>
            </w:r>
            <w:r>
              <w:rPr>
                <w:color w:val="000000"/>
                <w:highlight w:val="none"/>
              </w:rPr>
              <w:t>GB12523—2011</w:t>
            </w:r>
            <w:r>
              <w:rPr>
                <w:rFonts w:hint="eastAsia"/>
                <w:color w:val="000000"/>
                <w:highlight w:val="none"/>
                <w:lang w:eastAsia="zh-CN"/>
              </w:rPr>
              <w:t>）</w:t>
            </w:r>
            <w:r>
              <w:rPr>
                <w:color w:val="000000"/>
                <w:highlight w:val="none"/>
              </w:rPr>
              <w:t>中的标准值</w:t>
            </w:r>
            <w:r>
              <w:rPr>
                <w:rFonts w:hint="eastAsia"/>
                <w:color w:val="000000"/>
                <w:highlight w:val="none"/>
              </w:rPr>
              <w:t>；</w:t>
            </w:r>
          </w:p>
          <w:p w14:paraId="69B17F03">
            <w:pPr>
              <w:pStyle w:val="35"/>
              <w:rPr>
                <w:color w:val="000000"/>
                <w:highlight w:val="none"/>
              </w:rPr>
            </w:pPr>
            <w:r>
              <w:rPr>
                <w:color w:val="000000"/>
                <w:highlight w:val="none"/>
              </w:rPr>
              <w:t>表3</w:t>
            </w:r>
            <w:r>
              <w:rPr>
                <w:rFonts w:hint="eastAsia"/>
                <w:color w:val="000000"/>
                <w:highlight w:val="none"/>
              </w:rPr>
              <w:t>-</w:t>
            </w:r>
            <w:r>
              <w:rPr>
                <w:rFonts w:hint="eastAsia"/>
                <w:color w:val="000000"/>
                <w:highlight w:val="none"/>
                <w:lang w:val="en-US" w:eastAsia="zh-CN"/>
              </w:rPr>
              <w:t>8</w:t>
            </w:r>
            <w:r>
              <w:rPr>
                <w:color w:val="000000"/>
                <w:highlight w:val="none"/>
              </w:rPr>
              <w:t xml:space="preserve">  建筑施工场界环境噪声排放标准</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3194"/>
              <w:gridCol w:w="3162"/>
            </w:tblGrid>
            <w:tr w14:paraId="4601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7" w:type="pct"/>
                  <w:noWrap w:val="0"/>
                  <w:vAlign w:val="center"/>
                </w:tcPr>
                <w:p w14:paraId="0F64AC18">
                  <w:pPr>
                    <w:pStyle w:val="36"/>
                    <w:rPr>
                      <w:color w:val="000000"/>
                      <w:highlight w:val="none"/>
                    </w:rPr>
                  </w:pPr>
                  <w:r>
                    <w:rPr>
                      <w:color w:val="000000"/>
                      <w:highlight w:val="none"/>
                    </w:rPr>
                    <w:t>单位</w:t>
                  </w:r>
                </w:p>
              </w:tc>
              <w:tc>
                <w:tcPr>
                  <w:tcW w:w="1855" w:type="pct"/>
                  <w:noWrap w:val="0"/>
                  <w:vAlign w:val="center"/>
                </w:tcPr>
                <w:p w14:paraId="0CDBA803">
                  <w:pPr>
                    <w:pStyle w:val="36"/>
                    <w:rPr>
                      <w:color w:val="000000"/>
                      <w:highlight w:val="none"/>
                    </w:rPr>
                  </w:pPr>
                  <w:r>
                    <w:rPr>
                      <w:color w:val="000000"/>
                      <w:highlight w:val="none"/>
                    </w:rPr>
                    <w:t>昼间</w:t>
                  </w:r>
                </w:p>
              </w:tc>
              <w:tc>
                <w:tcPr>
                  <w:tcW w:w="1836" w:type="pct"/>
                  <w:noWrap w:val="0"/>
                  <w:vAlign w:val="center"/>
                </w:tcPr>
                <w:p w14:paraId="05EF768C">
                  <w:pPr>
                    <w:pStyle w:val="36"/>
                    <w:rPr>
                      <w:color w:val="000000"/>
                      <w:highlight w:val="none"/>
                    </w:rPr>
                  </w:pPr>
                  <w:r>
                    <w:rPr>
                      <w:color w:val="000000"/>
                      <w:highlight w:val="none"/>
                    </w:rPr>
                    <w:t>夜间</w:t>
                  </w:r>
                </w:p>
              </w:tc>
            </w:tr>
            <w:tr w14:paraId="2EBC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07" w:type="pct"/>
                  <w:noWrap w:val="0"/>
                  <w:vAlign w:val="center"/>
                </w:tcPr>
                <w:p w14:paraId="4143AEE1">
                  <w:pPr>
                    <w:pStyle w:val="36"/>
                    <w:rPr>
                      <w:color w:val="000000"/>
                      <w:highlight w:val="none"/>
                    </w:rPr>
                  </w:pPr>
                  <w:r>
                    <w:rPr>
                      <w:color w:val="000000"/>
                      <w:highlight w:val="none"/>
                    </w:rPr>
                    <w:t>dB(A)</w:t>
                  </w:r>
                </w:p>
              </w:tc>
              <w:tc>
                <w:tcPr>
                  <w:tcW w:w="1855" w:type="pct"/>
                  <w:noWrap w:val="0"/>
                  <w:vAlign w:val="center"/>
                </w:tcPr>
                <w:p w14:paraId="46B89535">
                  <w:pPr>
                    <w:pStyle w:val="36"/>
                    <w:rPr>
                      <w:color w:val="000000"/>
                      <w:highlight w:val="none"/>
                    </w:rPr>
                  </w:pPr>
                  <w:r>
                    <w:rPr>
                      <w:color w:val="000000"/>
                      <w:highlight w:val="none"/>
                    </w:rPr>
                    <w:t>70</w:t>
                  </w:r>
                </w:p>
              </w:tc>
              <w:tc>
                <w:tcPr>
                  <w:tcW w:w="1836" w:type="pct"/>
                  <w:noWrap w:val="0"/>
                  <w:vAlign w:val="center"/>
                </w:tcPr>
                <w:p w14:paraId="6414D323">
                  <w:pPr>
                    <w:pStyle w:val="36"/>
                    <w:rPr>
                      <w:color w:val="000000"/>
                      <w:highlight w:val="none"/>
                    </w:rPr>
                  </w:pPr>
                  <w:r>
                    <w:rPr>
                      <w:color w:val="000000"/>
                      <w:highlight w:val="none"/>
                    </w:rPr>
                    <w:t>55</w:t>
                  </w:r>
                </w:p>
              </w:tc>
            </w:tr>
          </w:tbl>
          <w:p w14:paraId="34A1F5F6">
            <w:pPr>
              <w:pStyle w:val="33"/>
              <w:ind w:firstLine="480"/>
              <w:jc w:val="both"/>
              <w:rPr>
                <w:rFonts w:cs="Times New Roman"/>
                <w:color w:val="000000"/>
                <w:highlight w:val="none"/>
              </w:rPr>
            </w:pPr>
            <w:r>
              <w:rPr>
                <w:rFonts w:cs="Times New Roman"/>
                <w:color w:val="000000"/>
                <w:highlight w:val="none"/>
              </w:rPr>
              <w:fldChar w:fldCharType="begin"/>
            </w:r>
            <w:r>
              <w:rPr>
                <w:rFonts w:cs="Times New Roman"/>
                <w:color w:val="000000"/>
                <w:highlight w:val="none"/>
              </w:rPr>
              <w:instrText xml:space="preserve"> = 2 \* GB3 \* MERGEFORMAT </w:instrText>
            </w:r>
            <w:r>
              <w:rPr>
                <w:rFonts w:cs="Times New Roman"/>
                <w:color w:val="000000"/>
                <w:highlight w:val="none"/>
              </w:rPr>
              <w:fldChar w:fldCharType="separate"/>
            </w:r>
            <w:r>
              <w:rPr>
                <w:rFonts w:cs="Times New Roman"/>
                <w:color w:val="000000"/>
                <w:highlight w:val="none"/>
              </w:rPr>
              <w:t>②</w:t>
            </w:r>
            <w:r>
              <w:rPr>
                <w:rFonts w:cs="Times New Roman"/>
                <w:color w:val="000000"/>
                <w:highlight w:val="none"/>
              </w:rPr>
              <w:fldChar w:fldCharType="end"/>
            </w:r>
            <w:r>
              <w:rPr>
                <w:rFonts w:cs="Times New Roman"/>
                <w:color w:val="000000"/>
                <w:highlight w:val="none"/>
              </w:rPr>
              <w:t>项目营业期噪声排放执行《工业企业厂界环境噪声排放标准》（GB12348-2008）的中</w:t>
            </w:r>
            <w:r>
              <w:rPr>
                <w:rFonts w:hint="eastAsia" w:cs="Times New Roman"/>
                <w:color w:val="000000"/>
                <w:highlight w:val="none"/>
                <w:lang w:val="en-US" w:eastAsia="zh-CN"/>
              </w:rPr>
              <w:t>3类</w:t>
            </w:r>
            <w:r>
              <w:rPr>
                <w:rFonts w:cs="Times New Roman"/>
                <w:color w:val="000000"/>
                <w:highlight w:val="none"/>
              </w:rPr>
              <w:t>标准。</w:t>
            </w:r>
          </w:p>
          <w:p w14:paraId="5C933BFB">
            <w:pPr>
              <w:pStyle w:val="35"/>
              <w:rPr>
                <w:color w:val="000000"/>
                <w:highlight w:val="none"/>
              </w:rPr>
            </w:pPr>
            <w:r>
              <w:rPr>
                <w:color w:val="000000"/>
                <w:highlight w:val="none"/>
              </w:rPr>
              <w:t>表3</w:t>
            </w:r>
            <w:r>
              <w:rPr>
                <w:rFonts w:hint="eastAsia"/>
                <w:color w:val="000000"/>
                <w:highlight w:val="none"/>
              </w:rPr>
              <w:t>-</w:t>
            </w:r>
            <w:r>
              <w:rPr>
                <w:rFonts w:hint="eastAsia"/>
                <w:color w:val="000000"/>
                <w:highlight w:val="none"/>
                <w:lang w:val="en-US" w:eastAsia="zh-CN"/>
              </w:rPr>
              <w:t>9</w:t>
            </w:r>
            <w:r>
              <w:rPr>
                <w:color w:val="000000"/>
                <w:highlight w:val="none"/>
              </w:rPr>
              <w:t xml:space="preserve">  工业企业厂界环境噪声排放限值  单位：dB（A）</w:t>
            </w:r>
          </w:p>
          <w:tbl>
            <w:tblPr>
              <w:tblStyle w:val="1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0"/>
              <w:gridCol w:w="2869"/>
              <w:gridCol w:w="2869"/>
            </w:tblGrid>
            <w:tr w14:paraId="3348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noWrap w:val="0"/>
                  <w:vAlign w:val="center"/>
                </w:tcPr>
                <w:p w14:paraId="56F67549">
                  <w:pPr>
                    <w:pStyle w:val="36"/>
                    <w:rPr>
                      <w:rFonts w:hint="default" w:ascii="Times New Roman" w:hAnsi="Times New Roman" w:cs="Times New Roman"/>
                      <w:color w:val="000000"/>
                      <w:highlight w:val="none"/>
                    </w:rPr>
                  </w:pPr>
                  <w:r>
                    <w:rPr>
                      <w:rFonts w:hint="default" w:ascii="Times New Roman" w:hAnsi="Times New Roman" w:cs="Times New Roman"/>
                      <w:color w:val="000000"/>
                      <w:highlight w:val="none"/>
                    </w:rPr>
                    <w:t>类别</w:t>
                  </w:r>
                </w:p>
              </w:tc>
              <w:tc>
                <w:tcPr>
                  <w:tcW w:w="1666" w:type="pct"/>
                  <w:noWrap w:val="0"/>
                  <w:vAlign w:val="center"/>
                </w:tcPr>
                <w:p w14:paraId="1B064E21">
                  <w:pPr>
                    <w:pStyle w:val="36"/>
                    <w:rPr>
                      <w:rFonts w:hint="default" w:ascii="Times New Roman" w:hAnsi="Times New Roman" w:cs="Times New Roman"/>
                      <w:color w:val="000000"/>
                      <w:highlight w:val="none"/>
                    </w:rPr>
                  </w:pPr>
                  <w:r>
                    <w:rPr>
                      <w:rFonts w:hint="default" w:ascii="Times New Roman" w:hAnsi="Times New Roman" w:cs="Times New Roman"/>
                      <w:color w:val="000000"/>
                      <w:highlight w:val="none"/>
                    </w:rPr>
                    <w:t>昼间</w:t>
                  </w:r>
                </w:p>
              </w:tc>
              <w:tc>
                <w:tcPr>
                  <w:tcW w:w="1666" w:type="pct"/>
                  <w:noWrap w:val="0"/>
                  <w:vAlign w:val="center"/>
                </w:tcPr>
                <w:p w14:paraId="7B0AE46F">
                  <w:pPr>
                    <w:pStyle w:val="36"/>
                    <w:rPr>
                      <w:rFonts w:hint="default" w:ascii="Times New Roman" w:hAnsi="Times New Roman" w:cs="Times New Roman"/>
                      <w:color w:val="000000"/>
                      <w:highlight w:val="none"/>
                    </w:rPr>
                  </w:pPr>
                  <w:r>
                    <w:rPr>
                      <w:rFonts w:hint="default" w:ascii="Times New Roman" w:hAnsi="Times New Roman" w:cs="Times New Roman"/>
                      <w:color w:val="000000"/>
                      <w:highlight w:val="none"/>
                    </w:rPr>
                    <w:t>夜间</w:t>
                  </w:r>
                </w:p>
              </w:tc>
            </w:tr>
            <w:tr w14:paraId="529F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67" w:type="pct"/>
                  <w:noWrap w:val="0"/>
                  <w:vAlign w:val="center"/>
                </w:tcPr>
                <w:p w14:paraId="4EC9C7A9">
                  <w:pPr>
                    <w:pStyle w:val="36"/>
                    <w:rPr>
                      <w:rFonts w:hint="default" w:ascii="Times New Roman" w:hAnsi="Times New Roman" w:cs="Times New Roman"/>
                      <w:color w:val="000000"/>
                      <w:highlight w:val="none"/>
                    </w:rPr>
                  </w:pPr>
                  <w:r>
                    <w:rPr>
                      <w:rFonts w:hint="eastAsia"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类</w:t>
                  </w:r>
                </w:p>
              </w:tc>
              <w:tc>
                <w:tcPr>
                  <w:tcW w:w="1666" w:type="pct"/>
                  <w:noWrap w:val="0"/>
                  <w:vAlign w:val="center"/>
                </w:tcPr>
                <w:p w14:paraId="29AF0F6B">
                  <w:pPr>
                    <w:pStyle w:val="36"/>
                    <w:rPr>
                      <w:rFonts w:hint="eastAsia"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rPr>
                    <w:t>6</w:t>
                  </w:r>
                  <w:r>
                    <w:rPr>
                      <w:rFonts w:hint="eastAsia" w:ascii="Times New Roman" w:hAnsi="Times New Roman" w:cs="Times New Roman"/>
                      <w:color w:val="000000"/>
                      <w:highlight w:val="none"/>
                      <w:lang w:val="en-US" w:eastAsia="zh-CN"/>
                    </w:rPr>
                    <w:t>5</w:t>
                  </w:r>
                </w:p>
              </w:tc>
              <w:tc>
                <w:tcPr>
                  <w:tcW w:w="1666" w:type="pct"/>
                  <w:noWrap w:val="0"/>
                  <w:vAlign w:val="center"/>
                </w:tcPr>
                <w:p w14:paraId="39DCF564">
                  <w:pPr>
                    <w:pStyle w:val="36"/>
                    <w:rPr>
                      <w:rFonts w:hint="eastAsia"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rPr>
                    <w:t>5</w:t>
                  </w:r>
                  <w:r>
                    <w:rPr>
                      <w:rFonts w:hint="eastAsia" w:ascii="Times New Roman" w:hAnsi="Times New Roman" w:cs="Times New Roman"/>
                      <w:color w:val="000000"/>
                      <w:highlight w:val="none"/>
                      <w:lang w:val="en-US" w:eastAsia="zh-CN"/>
                    </w:rPr>
                    <w:t>5</w:t>
                  </w:r>
                </w:p>
              </w:tc>
            </w:tr>
          </w:tbl>
          <w:p w14:paraId="2118BFAE">
            <w:pPr>
              <w:pStyle w:val="19"/>
              <w:rPr>
                <w:color w:val="000000"/>
                <w:kern w:val="0"/>
                <w:szCs w:val="21"/>
                <w:highlight w:val="none"/>
              </w:rPr>
            </w:pPr>
            <w:r>
              <w:rPr>
                <w:color w:val="000000"/>
                <w:highlight w:val="none"/>
              </w:rPr>
              <w:t>4、</w:t>
            </w:r>
            <w:r>
              <w:rPr>
                <w:rFonts w:hint="eastAsia"/>
                <w:color w:val="000000"/>
                <w:highlight w:val="none"/>
                <w:lang w:eastAsia="zh-CN"/>
              </w:rPr>
              <w:t>一般</w:t>
            </w:r>
            <w:r>
              <w:rPr>
                <w:rFonts w:hint="eastAsia"/>
                <w:color w:val="000000"/>
                <w:highlight w:val="none"/>
              </w:rPr>
              <w:t>固废排放执行《一般工业固体废物贮存和填埋污染控制标准》(GB18599-2020)</w:t>
            </w:r>
            <w:r>
              <w:rPr>
                <w:rFonts w:hint="eastAsia"/>
                <w:color w:val="000000"/>
                <w:highlight w:val="none"/>
                <w:lang w:eastAsia="zh-CN"/>
              </w:rPr>
              <w:t>；危险废物执行《危险废物贮存污染控制标准》（GB18597-20</w:t>
            </w:r>
            <w:r>
              <w:rPr>
                <w:rFonts w:hint="eastAsia"/>
                <w:color w:val="000000"/>
                <w:highlight w:val="none"/>
                <w:lang w:val="en-US" w:eastAsia="zh-CN"/>
              </w:rPr>
              <w:t>23）</w:t>
            </w:r>
            <w:r>
              <w:rPr>
                <w:rFonts w:hint="eastAsia"/>
                <w:color w:val="000000"/>
                <w:highlight w:val="none"/>
              </w:rPr>
              <w:t>。</w:t>
            </w:r>
          </w:p>
        </w:tc>
      </w:tr>
      <w:tr w14:paraId="77E4B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44" w:type="dxa"/>
            <w:noWrap w:val="0"/>
            <w:vAlign w:val="center"/>
          </w:tcPr>
          <w:p w14:paraId="1EAD0179">
            <w:pPr>
              <w:adjustRightInd w:val="0"/>
              <w:snapToGrid w:val="0"/>
              <w:jc w:val="center"/>
              <w:rPr>
                <w:b/>
                <w:color w:val="000000"/>
                <w:kern w:val="0"/>
                <w:sz w:val="24"/>
                <w:highlight w:val="none"/>
              </w:rPr>
            </w:pPr>
            <w:r>
              <w:rPr>
                <w:b/>
                <w:color w:val="000000"/>
                <w:kern w:val="0"/>
                <w:sz w:val="24"/>
                <w:highlight w:val="none"/>
              </w:rPr>
              <w:t>总量</w:t>
            </w:r>
          </w:p>
          <w:p w14:paraId="1AFD78EF">
            <w:pPr>
              <w:adjustRightInd w:val="0"/>
              <w:snapToGrid w:val="0"/>
              <w:jc w:val="center"/>
              <w:rPr>
                <w:b/>
                <w:color w:val="000000"/>
                <w:kern w:val="0"/>
                <w:sz w:val="24"/>
                <w:highlight w:val="none"/>
              </w:rPr>
            </w:pPr>
            <w:r>
              <w:rPr>
                <w:b/>
                <w:color w:val="000000"/>
                <w:kern w:val="0"/>
                <w:sz w:val="24"/>
                <w:highlight w:val="none"/>
              </w:rPr>
              <w:t>控制</w:t>
            </w:r>
          </w:p>
          <w:p w14:paraId="04F83BF5">
            <w:pPr>
              <w:adjustRightInd w:val="0"/>
              <w:snapToGrid w:val="0"/>
              <w:jc w:val="center"/>
              <w:rPr>
                <w:color w:val="000000"/>
                <w:kern w:val="0"/>
                <w:szCs w:val="21"/>
                <w:highlight w:val="none"/>
              </w:rPr>
            </w:pPr>
            <w:r>
              <w:rPr>
                <w:b/>
                <w:color w:val="000000"/>
                <w:kern w:val="0"/>
                <w:sz w:val="24"/>
                <w:highlight w:val="none"/>
              </w:rPr>
              <w:t>指标</w:t>
            </w:r>
          </w:p>
        </w:tc>
        <w:tc>
          <w:tcPr>
            <w:tcW w:w="8836" w:type="dxa"/>
            <w:noWrap w:val="0"/>
            <w:vAlign w:val="center"/>
          </w:tcPr>
          <w:p w14:paraId="76982E0C">
            <w:pPr>
              <w:pStyle w:val="19"/>
              <w:rPr>
                <w:rFonts w:hint="default" w:ascii="Times New Roman" w:hAnsi="Times New Roman" w:eastAsia="宋体" w:cs="Times New Roman"/>
                <w:b w:val="0"/>
                <w:bCs/>
                <w:color w:val="000000"/>
                <w:highlight w:val="none"/>
              </w:rPr>
            </w:pPr>
            <w:r>
              <w:rPr>
                <w:rFonts w:hint="default" w:ascii="Times New Roman" w:hAnsi="Times New Roman" w:eastAsia="宋体" w:cs="Times New Roman"/>
                <w:b w:val="0"/>
                <w:bCs/>
                <w:color w:val="000000"/>
                <w:highlight w:val="none"/>
              </w:rPr>
              <w:t>根据国家的相关规定，现阶段进行总量控制的指标为SO</w:t>
            </w:r>
            <w:r>
              <w:rPr>
                <w:rFonts w:hint="default" w:ascii="Times New Roman" w:hAnsi="Times New Roman" w:eastAsia="宋体" w:cs="Times New Roman"/>
                <w:b w:val="0"/>
                <w:bCs/>
                <w:color w:val="000000"/>
                <w:highlight w:val="none"/>
                <w:vertAlign w:val="subscript"/>
              </w:rPr>
              <w:t>2</w:t>
            </w:r>
            <w:r>
              <w:rPr>
                <w:rFonts w:hint="default" w:ascii="Times New Roman" w:hAnsi="Times New Roman" w:eastAsia="宋体" w:cs="Times New Roman"/>
                <w:b w:val="0"/>
                <w:bCs/>
                <w:color w:val="000000"/>
                <w:highlight w:val="none"/>
              </w:rPr>
              <w:t>、NO</w:t>
            </w:r>
            <w:r>
              <w:rPr>
                <w:rFonts w:hint="eastAsia" w:ascii="Times New Roman" w:hAnsi="Times New Roman" w:eastAsia="宋体" w:cs="Times New Roman"/>
                <w:b w:val="0"/>
                <w:bCs/>
                <w:color w:val="000000"/>
                <w:highlight w:val="none"/>
                <w:lang w:val="en-US" w:eastAsia="zh-CN"/>
              </w:rPr>
              <w:t>x</w:t>
            </w:r>
            <w:r>
              <w:rPr>
                <w:rFonts w:hint="default" w:ascii="Times New Roman" w:hAnsi="Times New Roman" w:eastAsia="宋体" w:cs="Times New Roman"/>
                <w:b w:val="0"/>
                <w:bCs/>
                <w:color w:val="000000"/>
                <w:highlight w:val="none"/>
              </w:rPr>
              <w:t>和COD、NH</w:t>
            </w:r>
            <w:r>
              <w:rPr>
                <w:rFonts w:hint="default" w:ascii="Times New Roman" w:hAnsi="Times New Roman" w:eastAsia="宋体" w:cs="Times New Roman"/>
                <w:b w:val="0"/>
                <w:bCs/>
                <w:color w:val="000000"/>
                <w:highlight w:val="none"/>
                <w:vertAlign w:val="subscript"/>
              </w:rPr>
              <w:t>3</w:t>
            </w:r>
            <w:r>
              <w:rPr>
                <w:rFonts w:hint="default" w:ascii="Times New Roman" w:hAnsi="Times New Roman" w:eastAsia="宋体" w:cs="Times New Roman"/>
                <w:b w:val="0"/>
                <w:bCs/>
                <w:color w:val="000000"/>
                <w:highlight w:val="none"/>
              </w:rPr>
              <w:t>-N四项。</w:t>
            </w:r>
          </w:p>
          <w:p w14:paraId="48ECB9ED">
            <w:pPr>
              <w:pStyle w:val="19"/>
              <w:rPr>
                <w:b/>
                <w:color w:val="000000"/>
                <w:highlight w:val="none"/>
              </w:rPr>
            </w:pPr>
            <w:r>
              <w:rPr>
                <w:rFonts w:hint="default" w:ascii="Times New Roman" w:hAnsi="Times New Roman" w:eastAsia="宋体" w:cs="Times New Roman"/>
                <w:b w:val="0"/>
                <w:bCs/>
                <w:color w:val="000000"/>
                <w:highlight w:val="none"/>
              </w:rPr>
              <w:t>项目</w:t>
            </w:r>
            <w:r>
              <w:rPr>
                <w:rFonts w:hint="eastAsia" w:ascii="Times New Roman" w:hAnsi="Times New Roman" w:eastAsia="宋体" w:cs="Times New Roman"/>
                <w:b w:val="0"/>
                <w:bCs/>
                <w:color w:val="000000"/>
                <w:highlight w:val="none"/>
                <w:lang w:val="en-US" w:eastAsia="zh-CN"/>
              </w:rPr>
              <w:t>不新增生活污水，</w:t>
            </w:r>
            <w:r>
              <w:rPr>
                <w:rFonts w:hint="default" w:ascii="Times New Roman" w:hAnsi="Times New Roman" w:eastAsia="宋体" w:cs="Times New Roman"/>
                <w:b w:val="0"/>
                <w:bCs/>
                <w:color w:val="000000"/>
                <w:highlight w:val="none"/>
              </w:rPr>
              <w:t>无生产废水外排</w:t>
            </w:r>
            <w:r>
              <w:rPr>
                <w:rFonts w:hint="eastAsia" w:ascii="Times New Roman" w:hAnsi="Times New Roman" w:eastAsia="宋体" w:cs="Times New Roman"/>
                <w:b w:val="0"/>
                <w:bCs/>
                <w:color w:val="000000"/>
                <w:highlight w:val="none"/>
                <w:lang w:eastAsia="zh-CN"/>
              </w:rPr>
              <w:t>，</w:t>
            </w:r>
            <w:r>
              <w:rPr>
                <w:rFonts w:hint="eastAsia" w:ascii="Times New Roman" w:hAnsi="Times New Roman" w:eastAsia="宋体" w:cs="Times New Roman"/>
                <w:b w:val="0"/>
                <w:bCs/>
                <w:color w:val="000000"/>
                <w:highlight w:val="none"/>
                <w:lang w:val="en-US" w:eastAsia="zh-CN"/>
              </w:rPr>
              <w:t>不需申请总量</w:t>
            </w:r>
            <w:r>
              <w:rPr>
                <w:rFonts w:hint="default" w:ascii="Times New Roman" w:hAnsi="Times New Roman" w:eastAsia="宋体" w:cs="Times New Roman"/>
                <w:b w:val="0"/>
                <w:bCs/>
                <w:color w:val="000000"/>
                <w:highlight w:val="none"/>
              </w:rPr>
              <w:t>。</w:t>
            </w:r>
          </w:p>
        </w:tc>
      </w:tr>
    </w:tbl>
    <w:p w14:paraId="33FE2538">
      <w:pPr>
        <w:snapToGrid w:val="0"/>
        <w:spacing w:line="288" w:lineRule="auto"/>
        <w:outlineLvl w:val="0"/>
        <w:rPr>
          <w:snapToGrid w:val="0"/>
          <w:color w:val="000000"/>
          <w:sz w:val="30"/>
          <w:szCs w:val="30"/>
          <w:highlight w:val="none"/>
        </w:rPr>
      </w:pPr>
      <w:r>
        <w:rPr>
          <w:snapToGrid w:val="0"/>
          <w:color w:val="000000"/>
          <w:sz w:val="36"/>
          <w:szCs w:val="36"/>
          <w:highlight w:val="none"/>
        </w:rPr>
        <w:br w:type="page"/>
      </w:r>
      <w:r>
        <w:rPr>
          <w:b/>
          <w:snapToGrid w:val="0"/>
          <w:color w:val="000000"/>
          <w:sz w:val="32"/>
          <w:szCs w:val="32"/>
          <w:highlight w:val="none"/>
        </w:rPr>
        <w:t>四、主要环境影响和保护措施</w:t>
      </w:r>
    </w:p>
    <w:tbl>
      <w:tblPr>
        <w:tblStyle w:val="13"/>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572"/>
      </w:tblGrid>
      <w:tr w14:paraId="28A86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746" w:type="dxa"/>
            <w:tcBorders>
              <w:top w:val="single" w:color="auto" w:sz="12" w:space="0"/>
              <w:left w:val="single" w:color="auto" w:sz="12" w:space="0"/>
              <w:bottom w:val="single" w:color="auto" w:sz="12" w:space="0"/>
            </w:tcBorders>
            <w:noWrap w:val="0"/>
            <w:tcMar>
              <w:left w:w="28" w:type="dxa"/>
              <w:right w:w="28" w:type="dxa"/>
            </w:tcMar>
            <w:vAlign w:val="center"/>
          </w:tcPr>
          <w:p w14:paraId="0FD4F258">
            <w:pPr>
              <w:adjustRightInd w:val="0"/>
              <w:snapToGrid w:val="0"/>
              <w:jc w:val="center"/>
              <w:rPr>
                <w:b/>
                <w:color w:val="000000"/>
                <w:highlight w:val="none"/>
              </w:rPr>
            </w:pPr>
            <w:r>
              <w:rPr>
                <w:b/>
                <w:color w:val="000000"/>
                <w:highlight w:val="none"/>
              </w:rPr>
              <w:t>施</w:t>
            </w:r>
          </w:p>
          <w:p w14:paraId="32A582A2">
            <w:pPr>
              <w:adjustRightInd w:val="0"/>
              <w:snapToGrid w:val="0"/>
              <w:jc w:val="center"/>
              <w:rPr>
                <w:b/>
                <w:color w:val="000000"/>
                <w:highlight w:val="none"/>
              </w:rPr>
            </w:pPr>
            <w:r>
              <w:rPr>
                <w:b/>
                <w:color w:val="000000"/>
                <w:highlight w:val="none"/>
              </w:rPr>
              <w:t>工</w:t>
            </w:r>
          </w:p>
          <w:p w14:paraId="552B1F0F">
            <w:pPr>
              <w:adjustRightInd w:val="0"/>
              <w:snapToGrid w:val="0"/>
              <w:jc w:val="center"/>
              <w:rPr>
                <w:b/>
                <w:color w:val="000000"/>
                <w:highlight w:val="none"/>
              </w:rPr>
            </w:pPr>
            <w:r>
              <w:rPr>
                <w:b/>
                <w:color w:val="000000"/>
                <w:highlight w:val="none"/>
              </w:rPr>
              <w:t>期</w:t>
            </w:r>
          </w:p>
          <w:p w14:paraId="28B8AA55">
            <w:pPr>
              <w:adjustRightInd w:val="0"/>
              <w:snapToGrid w:val="0"/>
              <w:jc w:val="center"/>
              <w:rPr>
                <w:b/>
                <w:color w:val="000000"/>
                <w:highlight w:val="none"/>
              </w:rPr>
            </w:pPr>
            <w:r>
              <w:rPr>
                <w:b/>
                <w:color w:val="000000"/>
                <w:highlight w:val="none"/>
              </w:rPr>
              <w:t>环</w:t>
            </w:r>
          </w:p>
          <w:p w14:paraId="67EF5FF1">
            <w:pPr>
              <w:adjustRightInd w:val="0"/>
              <w:snapToGrid w:val="0"/>
              <w:jc w:val="center"/>
              <w:rPr>
                <w:b/>
                <w:color w:val="000000"/>
                <w:highlight w:val="none"/>
              </w:rPr>
            </w:pPr>
            <w:r>
              <w:rPr>
                <w:b/>
                <w:color w:val="000000"/>
                <w:highlight w:val="none"/>
              </w:rPr>
              <w:t>境</w:t>
            </w:r>
          </w:p>
          <w:p w14:paraId="3ED80EE6">
            <w:pPr>
              <w:adjustRightInd w:val="0"/>
              <w:snapToGrid w:val="0"/>
              <w:jc w:val="center"/>
              <w:rPr>
                <w:b/>
                <w:color w:val="000000"/>
                <w:highlight w:val="none"/>
              </w:rPr>
            </w:pPr>
            <w:r>
              <w:rPr>
                <w:b/>
                <w:color w:val="000000"/>
                <w:highlight w:val="none"/>
              </w:rPr>
              <w:t>保</w:t>
            </w:r>
          </w:p>
          <w:p w14:paraId="387B2CE9">
            <w:pPr>
              <w:adjustRightInd w:val="0"/>
              <w:snapToGrid w:val="0"/>
              <w:jc w:val="center"/>
              <w:rPr>
                <w:b/>
                <w:color w:val="000000"/>
                <w:highlight w:val="none"/>
              </w:rPr>
            </w:pPr>
            <w:r>
              <w:rPr>
                <w:b/>
                <w:color w:val="000000"/>
                <w:highlight w:val="none"/>
              </w:rPr>
              <w:t>护</w:t>
            </w:r>
          </w:p>
          <w:p w14:paraId="3BCEDCC0">
            <w:pPr>
              <w:adjustRightInd w:val="0"/>
              <w:snapToGrid w:val="0"/>
              <w:jc w:val="center"/>
              <w:rPr>
                <w:b/>
                <w:color w:val="000000"/>
                <w:highlight w:val="none"/>
              </w:rPr>
            </w:pPr>
            <w:r>
              <w:rPr>
                <w:b/>
                <w:color w:val="000000"/>
                <w:highlight w:val="none"/>
              </w:rPr>
              <w:t>措</w:t>
            </w:r>
          </w:p>
          <w:p w14:paraId="6BB08CE8">
            <w:pPr>
              <w:adjustRightInd w:val="0"/>
              <w:snapToGrid w:val="0"/>
              <w:jc w:val="center"/>
              <w:rPr>
                <w:bCs/>
                <w:color w:val="000000"/>
                <w:szCs w:val="21"/>
                <w:highlight w:val="none"/>
              </w:rPr>
            </w:pPr>
            <w:r>
              <w:rPr>
                <w:b/>
                <w:color w:val="000000"/>
                <w:highlight w:val="none"/>
              </w:rPr>
              <w:t>施</w:t>
            </w:r>
          </w:p>
        </w:tc>
        <w:tc>
          <w:tcPr>
            <w:tcW w:w="8162" w:type="dxa"/>
            <w:tcBorders>
              <w:top w:val="single" w:color="auto" w:sz="12" w:space="0"/>
              <w:bottom w:val="single" w:color="auto" w:sz="12" w:space="0"/>
              <w:right w:val="single" w:color="auto" w:sz="12" w:space="0"/>
            </w:tcBorders>
            <w:noWrap w:val="0"/>
            <w:vAlign w:val="center"/>
          </w:tcPr>
          <w:p w14:paraId="191A1175">
            <w:pPr>
              <w:jc w:val="left"/>
              <w:rPr>
                <w:b/>
                <w:color w:val="000000"/>
                <w:sz w:val="28"/>
                <w:szCs w:val="28"/>
                <w:highlight w:val="none"/>
              </w:rPr>
            </w:pPr>
            <w:r>
              <w:rPr>
                <w:b/>
                <w:color w:val="000000"/>
                <w:sz w:val="28"/>
                <w:szCs w:val="28"/>
                <w:highlight w:val="none"/>
              </w:rPr>
              <w:t>施工期环境</w:t>
            </w:r>
            <w:r>
              <w:rPr>
                <w:rFonts w:hint="eastAsia"/>
                <w:b/>
                <w:color w:val="000000"/>
                <w:sz w:val="28"/>
                <w:szCs w:val="28"/>
                <w:highlight w:val="none"/>
              </w:rPr>
              <w:t>保护措施</w:t>
            </w:r>
            <w:r>
              <w:rPr>
                <w:b/>
                <w:color w:val="000000"/>
                <w:sz w:val="28"/>
                <w:szCs w:val="28"/>
                <w:highlight w:val="none"/>
              </w:rPr>
              <w:t>：</w:t>
            </w:r>
          </w:p>
          <w:p w14:paraId="6C24C814">
            <w:pPr>
              <w:keepNext/>
              <w:spacing w:line="360" w:lineRule="auto"/>
              <w:ind w:firstLine="480"/>
              <w:jc w:val="left"/>
              <w:rPr>
                <w:color w:val="000000"/>
                <w:sz w:val="24"/>
                <w:highlight w:val="none"/>
              </w:rPr>
            </w:pPr>
            <w:r>
              <w:rPr>
                <w:rFonts w:hint="eastAsia"/>
                <w:color w:val="000000"/>
                <w:sz w:val="24"/>
                <w:highlight w:val="none"/>
              </w:rPr>
              <w:t>本项目建设施工期污染源主要有施工扬尘、运输车辆施工机械产生废气，施工机械噪声，施工废水和建筑垃圾。分析工程施工期的环境影响并提出相应的污染防治措施和管理要求，可使项目建设造成的不利影响降到最低限度。</w:t>
            </w:r>
          </w:p>
          <w:p w14:paraId="26EB074E">
            <w:pPr>
              <w:pStyle w:val="2"/>
              <w:keepNext/>
              <w:spacing w:line="360" w:lineRule="auto"/>
              <w:ind w:firstLine="482"/>
              <w:rPr>
                <w:rFonts w:hint="eastAsia"/>
                <w:b/>
                <w:color w:val="000000"/>
                <w:sz w:val="24"/>
                <w:highlight w:val="none"/>
              </w:rPr>
            </w:pPr>
            <w:r>
              <w:rPr>
                <w:b/>
                <w:color w:val="000000"/>
                <w:sz w:val="24"/>
                <w:highlight w:val="none"/>
              </w:rPr>
              <w:t>1、声环境</w:t>
            </w:r>
            <w:r>
              <w:rPr>
                <w:rFonts w:hint="eastAsia"/>
                <w:b/>
                <w:color w:val="000000"/>
                <w:sz w:val="24"/>
                <w:highlight w:val="none"/>
              </w:rPr>
              <w:t>防治保护措施</w:t>
            </w:r>
          </w:p>
          <w:p w14:paraId="497D23F4">
            <w:pPr>
              <w:keepNext/>
              <w:spacing w:line="360" w:lineRule="auto"/>
              <w:ind w:firstLine="480"/>
              <w:jc w:val="left"/>
              <w:rPr>
                <w:rFonts w:hint="eastAsia"/>
                <w:color w:val="000000"/>
                <w:sz w:val="24"/>
                <w:highlight w:val="none"/>
              </w:rPr>
            </w:pPr>
            <w:r>
              <w:rPr>
                <w:rFonts w:hint="eastAsia"/>
                <w:color w:val="000000"/>
                <w:sz w:val="24"/>
                <w:highlight w:val="none"/>
              </w:rPr>
              <w:t>项目施工过程中作业机械较多，如挖掘机、装载机、升降机等机械，施工期噪声主要是这些机械设备运行时产生的噪声和运输车辆产生的噪声。其特点是间歇或阵发性的，并具备流动性，噪声级较高，在75dB</w:t>
            </w:r>
            <w:r>
              <w:rPr>
                <w:rStyle w:val="16"/>
                <w:rFonts w:hint="eastAsia"/>
                <w:color w:val="000000"/>
                <w:highlight w:val="none"/>
                <w:lang w:eastAsia="zh-CN"/>
              </w:rPr>
              <w:t>（</w:t>
            </w:r>
            <w:r>
              <w:rPr>
                <w:rStyle w:val="16"/>
                <w:rFonts w:hint="eastAsia"/>
                <w:color w:val="000000"/>
                <w:highlight w:val="none"/>
                <w:lang w:val="en-US" w:eastAsia="zh-CN"/>
              </w:rPr>
              <w:t>A</w:t>
            </w:r>
            <w:r>
              <w:rPr>
                <w:rStyle w:val="16"/>
                <w:rFonts w:hint="eastAsia"/>
                <w:color w:val="000000"/>
                <w:highlight w:val="none"/>
                <w:lang w:eastAsia="zh-CN"/>
              </w:rPr>
              <w:t>）</w:t>
            </w:r>
            <w:r>
              <w:rPr>
                <w:rFonts w:hint="eastAsia"/>
                <w:color w:val="000000"/>
                <w:sz w:val="24"/>
                <w:highlight w:val="none"/>
              </w:rPr>
              <w:t>～95dB</w:t>
            </w:r>
            <w:r>
              <w:rPr>
                <w:rFonts w:hint="eastAsia"/>
                <w:color w:val="000000"/>
                <w:sz w:val="24"/>
                <w:highlight w:val="none"/>
                <w:lang w:eastAsia="zh-CN"/>
              </w:rPr>
              <w:t>（</w:t>
            </w:r>
            <w:r>
              <w:rPr>
                <w:rFonts w:hint="eastAsia"/>
                <w:color w:val="000000"/>
                <w:sz w:val="24"/>
                <w:highlight w:val="none"/>
                <w:lang w:val="en-US" w:eastAsia="zh-CN"/>
              </w:rPr>
              <w:t>A</w:t>
            </w:r>
            <w:r>
              <w:rPr>
                <w:rFonts w:hint="eastAsia"/>
                <w:color w:val="000000"/>
                <w:sz w:val="24"/>
                <w:highlight w:val="none"/>
                <w:lang w:eastAsia="zh-CN"/>
              </w:rPr>
              <w:t>）</w:t>
            </w:r>
            <w:r>
              <w:rPr>
                <w:rFonts w:hint="eastAsia"/>
                <w:color w:val="000000"/>
                <w:sz w:val="24"/>
                <w:highlight w:val="none"/>
              </w:rPr>
              <w:t xml:space="preserve">之间，平均噪声级在85dB左右。在未采取降噪措施的情况下，施工机械对周围环境影响较大。为减少施工噪声对周边环境的影响，施工中应采取如下措施以减少对声环境的影响： </w:t>
            </w:r>
          </w:p>
          <w:p w14:paraId="58168597">
            <w:pPr>
              <w:keepNext/>
              <w:spacing w:line="360" w:lineRule="auto"/>
              <w:ind w:firstLine="480"/>
              <w:jc w:val="left"/>
              <w:rPr>
                <w:rFonts w:hint="eastAsia"/>
                <w:color w:val="000000"/>
                <w:sz w:val="24"/>
                <w:highlight w:val="none"/>
              </w:rPr>
            </w:pPr>
            <w:r>
              <w:rPr>
                <w:rFonts w:hint="eastAsia"/>
                <w:color w:val="000000"/>
                <w:sz w:val="24"/>
                <w:highlight w:val="none"/>
              </w:rPr>
              <w:t xml:space="preserve">⑴严格控制施工时间，根据不同季节正常休息时间，合理安排施工计划，尽可能避开夜间(22：00-06：00)、昼夜午休时间动用高噪声设备，以免产生扰民现象。 </w:t>
            </w:r>
          </w:p>
          <w:p w14:paraId="3441C199">
            <w:pPr>
              <w:keepNext/>
              <w:spacing w:line="360" w:lineRule="auto"/>
              <w:ind w:firstLine="480"/>
              <w:jc w:val="left"/>
              <w:rPr>
                <w:rFonts w:hint="eastAsia"/>
                <w:color w:val="000000"/>
                <w:sz w:val="24"/>
                <w:highlight w:val="none"/>
              </w:rPr>
            </w:pPr>
            <w:r>
              <w:rPr>
                <w:rFonts w:hint="eastAsia"/>
                <w:color w:val="000000"/>
                <w:sz w:val="24"/>
                <w:highlight w:val="none"/>
              </w:rPr>
              <w:t xml:space="preserve">⑵严格使用商品混凝土，与施工场地设置混凝土搅拌机相比，商品混凝土具有占地少、施工量少、施工方便、噪声污染小等特点，同时大大减少水泥、沙石的汽车运量，减轻道路交通噪声及扬尘污染。 </w:t>
            </w:r>
          </w:p>
          <w:p w14:paraId="74F62288">
            <w:pPr>
              <w:keepNext/>
              <w:spacing w:line="360" w:lineRule="auto"/>
              <w:ind w:firstLine="480"/>
              <w:jc w:val="left"/>
              <w:rPr>
                <w:rFonts w:hint="eastAsia"/>
                <w:color w:val="000000"/>
                <w:sz w:val="24"/>
                <w:highlight w:val="none"/>
              </w:rPr>
            </w:pPr>
            <w:r>
              <w:rPr>
                <w:rFonts w:hint="eastAsia"/>
                <w:color w:val="000000"/>
                <w:sz w:val="24"/>
                <w:highlight w:val="none"/>
              </w:rPr>
              <w:t xml:space="preserve">⑶施工物料及设备运入、运出，车辆应尽可能避开夜间(22：00-06：00)运输，避免沿途出现扰民现象。 </w:t>
            </w:r>
          </w:p>
          <w:p w14:paraId="08A31F4F">
            <w:pPr>
              <w:keepNext/>
              <w:spacing w:line="360" w:lineRule="auto"/>
              <w:ind w:firstLine="480"/>
              <w:jc w:val="left"/>
              <w:rPr>
                <w:rFonts w:hint="eastAsia"/>
                <w:color w:val="000000"/>
                <w:sz w:val="24"/>
                <w:highlight w:val="none"/>
              </w:rPr>
            </w:pPr>
            <w:r>
              <w:rPr>
                <w:rFonts w:hint="eastAsia"/>
                <w:color w:val="000000"/>
                <w:sz w:val="24"/>
                <w:highlight w:val="none"/>
              </w:rPr>
              <w:t xml:space="preserve">⑷严格控制操作流程，降低人为噪声。不合理的施工操作是产生人为噪声的主要原因，如脚手架的安装、拆除、钢筋材料的装卸过程产生的金属碰撞声；运输车辆进入工地应减速，减少鸣笛等。 </w:t>
            </w:r>
          </w:p>
          <w:p w14:paraId="02016D3F">
            <w:pPr>
              <w:keepNext/>
              <w:spacing w:line="360" w:lineRule="auto"/>
              <w:ind w:firstLine="480"/>
              <w:jc w:val="left"/>
              <w:rPr>
                <w:rFonts w:hint="eastAsia"/>
                <w:color w:val="000000"/>
                <w:sz w:val="24"/>
                <w:highlight w:val="none"/>
              </w:rPr>
            </w:pPr>
            <w:r>
              <w:rPr>
                <w:rFonts w:hint="eastAsia"/>
                <w:color w:val="000000"/>
                <w:sz w:val="24"/>
                <w:highlight w:val="none"/>
              </w:rPr>
              <w:t>⑸采取适当措施，降低噪声，对位置相对固定的机械设备，应设置在棚内；</w:t>
            </w:r>
          </w:p>
          <w:p w14:paraId="25ED0DB2">
            <w:pPr>
              <w:keepNext/>
              <w:spacing w:line="360" w:lineRule="auto"/>
              <w:ind w:firstLine="480"/>
              <w:jc w:val="left"/>
              <w:rPr>
                <w:rFonts w:hint="eastAsia"/>
                <w:color w:val="000000"/>
                <w:sz w:val="24"/>
                <w:highlight w:val="none"/>
              </w:rPr>
            </w:pPr>
            <w:r>
              <w:rPr>
                <w:rFonts w:hint="eastAsia"/>
                <w:color w:val="000000"/>
                <w:sz w:val="24"/>
                <w:highlight w:val="none"/>
              </w:rPr>
              <w:t>⑹要求施工单位进行文明施工，减轻施工期间施工人员产生的社会噪声对环境的影响。在施工现场标明投诉电话号码，对投诉问题业主应及时与当地</w:t>
            </w:r>
            <w:r>
              <w:rPr>
                <w:rFonts w:hint="eastAsia"/>
                <w:color w:val="000000"/>
                <w:sz w:val="24"/>
                <w:highlight w:val="none"/>
                <w:lang w:val="en-US" w:eastAsia="zh-CN"/>
              </w:rPr>
              <w:t>生态环境</w:t>
            </w:r>
            <w:r>
              <w:rPr>
                <w:rFonts w:hint="eastAsia"/>
                <w:color w:val="000000"/>
                <w:sz w:val="24"/>
                <w:highlight w:val="none"/>
              </w:rPr>
              <w:t xml:space="preserve">部门取得联系，在24小时内处理各种环境纠纷。 </w:t>
            </w:r>
          </w:p>
          <w:p w14:paraId="1032E22A">
            <w:pPr>
              <w:keepNext/>
              <w:spacing w:line="360" w:lineRule="auto"/>
              <w:ind w:firstLine="480"/>
              <w:jc w:val="left"/>
              <w:rPr>
                <w:color w:val="000000"/>
                <w:sz w:val="24"/>
                <w:highlight w:val="none"/>
              </w:rPr>
            </w:pPr>
            <w:r>
              <w:rPr>
                <w:rFonts w:hint="eastAsia"/>
                <w:color w:val="000000"/>
                <w:sz w:val="24"/>
                <w:highlight w:val="none"/>
              </w:rPr>
              <w:t>综上，在采取上述降噪措施后，施工噪声不会对区域声环境产生明显影响，并随施工的结束施工噪声也随之消失。</w:t>
            </w:r>
          </w:p>
          <w:p w14:paraId="085498B6">
            <w:pPr>
              <w:keepNext/>
              <w:spacing w:line="360" w:lineRule="auto"/>
              <w:ind w:firstLine="482" w:firstLineChars="200"/>
              <w:rPr>
                <w:rFonts w:hint="eastAsia"/>
                <w:b/>
                <w:bCs/>
                <w:color w:val="000000"/>
                <w:sz w:val="24"/>
                <w:highlight w:val="none"/>
              </w:rPr>
            </w:pPr>
            <w:r>
              <w:rPr>
                <w:b/>
                <w:bCs/>
                <w:color w:val="000000"/>
                <w:sz w:val="24"/>
                <w:highlight w:val="none"/>
              </w:rPr>
              <w:t>2、大气</w:t>
            </w:r>
            <w:r>
              <w:rPr>
                <w:rFonts w:hint="eastAsia"/>
                <w:b/>
                <w:bCs/>
                <w:color w:val="000000"/>
                <w:sz w:val="24"/>
                <w:highlight w:val="none"/>
              </w:rPr>
              <w:t>环境防治保护措施</w:t>
            </w:r>
          </w:p>
          <w:p w14:paraId="0109EEDD">
            <w:pPr>
              <w:keepNext/>
              <w:spacing w:line="360" w:lineRule="auto"/>
              <w:ind w:firstLine="480"/>
              <w:jc w:val="left"/>
              <w:rPr>
                <w:rFonts w:hint="eastAsia"/>
                <w:color w:val="000000"/>
                <w:sz w:val="24"/>
                <w:highlight w:val="none"/>
              </w:rPr>
            </w:pPr>
            <w:r>
              <w:rPr>
                <w:rFonts w:hint="eastAsia"/>
                <w:color w:val="000000"/>
                <w:sz w:val="24"/>
                <w:highlight w:val="none"/>
              </w:rPr>
              <w:t xml:space="preserve">⑴施工扬尘 </w:t>
            </w:r>
          </w:p>
          <w:p w14:paraId="3A29F186">
            <w:pPr>
              <w:keepNext/>
              <w:spacing w:line="360" w:lineRule="auto"/>
              <w:ind w:firstLine="480"/>
              <w:jc w:val="left"/>
              <w:rPr>
                <w:rFonts w:hint="eastAsia"/>
                <w:color w:val="000000"/>
                <w:sz w:val="24"/>
                <w:highlight w:val="none"/>
              </w:rPr>
            </w:pPr>
            <w:r>
              <w:rPr>
                <w:rFonts w:hint="eastAsia"/>
                <w:color w:val="000000"/>
                <w:sz w:val="24"/>
                <w:highlight w:val="none"/>
              </w:rPr>
              <w:t xml:space="preserve">项目施工期对环境空气的污染主要为厂区地面平整、运输车辆的行驶、装卸施工材料、施工机械填挖土方以及挖掘弃土临时堆存引起的扬尘。 </w:t>
            </w:r>
          </w:p>
          <w:p w14:paraId="6A0483A2">
            <w:pPr>
              <w:keepNext/>
              <w:spacing w:line="360" w:lineRule="auto"/>
              <w:ind w:firstLine="480"/>
              <w:jc w:val="both"/>
              <w:rPr>
                <w:rFonts w:hint="eastAsia"/>
                <w:color w:val="000000"/>
                <w:sz w:val="24"/>
                <w:highlight w:val="none"/>
              </w:rPr>
            </w:pPr>
            <w:r>
              <w:rPr>
                <w:rFonts w:hint="eastAsia"/>
                <w:color w:val="000000"/>
                <w:sz w:val="24"/>
                <w:highlight w:val="none"/>
              </w:rPr>
              <w:t>项目施工扬尘能使区域内局部环境空气中含尘量增加，并可能随风迁移到周</w:t>
            </w:r>
          </w:p>
          <w:p w14:paraId="1CC8B285">
            <w:pPr>
              <w:keepNext/>
              <w:spacing w:line="360" w:lineRule="auto"/>
              <w:jc w:val="both"/>
              <w:rPr>
                <w:rFonts w:hint="eastAsia"/>
                <w:color w:val="000000"/>
                <w:sz w:val="24"/>
                <w:highlight w:val="none"/>
              </w:rPr>
            </w:pPr>
            <w:r>
              <w:rPr>
                <w:rFonts w:hint="eastAsia"/>
                <w:color w:val="000000"/>
                <w:sz w:val="24"/>
                <w:highlight w:val="none"/>
              </w:rPr>
              <w:t>围区域，</w:t>
            </w:r>
            <w:r>
              <w:rPr>
                <w:rFonts w:hint="eastAsia"/>
                <w:color w:val="000000"/>
                <w:sz w:val="24"/>
                <w:highlight w:val="none"/>
                <w:lang w:eastAsia="zh-CN"/>
              </w:rPr>
              <w:t>影响周围区域</w:t>
            </w:r>
            <w:r>
              <w:rPr>
                <w:rFonts w:hint="eastAsia"/>
                <w:color w:val="000000"/>
                <w:sz w:val="24"/>
                <w:highlight w:val="none"/>
              </w:rPr>
              <w:t>。扬尘产生源强与土石方含水率、土壤粒度、风向、风速、湿度及土方回填时间等密切相关，据资料介绍，当灰尘含水率为0.5%时，其启动风速约为4.0m/s。项目厂址所在区域地下水位较深，施工土方含水率均大于0.5%；该地区年平均风速3.4m/s，为扬尘形成提供了一定的条件，故在施工期，特别是春季由于风力相对较大，扬尘会在一定范围对周围空气质量造成不利影响。</w:t>
            </w:r>
          </w:p>
          <w:p w14:paraId="6CAF1737">
            <w:pPr>
              <w:keepNext/>
              <w:spacing w:line="360" w:lineRule="auto"/>
              <w:ind w:firstLine="480"/>
              <w:jc w:val="left"/>
              <w:rPr>
                <w:rFonts w:hint="eastAsia"/>
                <w:color w:val="000000"/>
                <w:sz w:val="24"/>
                <w:highlight w:val="none"/>
              </w:rPr>
            </w:pPr>
            <w:r>
              <w:rPr>
                <w:rFonts w:hint="eastAsia"/>
                <w:color w:val="000000"/>
                <w:sz w:val="24"/>
                <w:highlight w:val="none"/>
              </w:rPr>
              <w:t>本评价提出在施工中必须采取如下措施，来减轻二次扬尘对周围环境的影响：</w:t>
            </w:r>
          </w:p>
          <w:p w14:paraId="3D2B846A">
            <w:pPr>
              <w:keepNext/>
              <w:spacing w:line="360" w:lineRule="auto"/>
              <w:ind w:firstLine="480"/>
              <w:jc w:val="both"/>
              <w:rPr>
                <w:rFonts w:hint="eastAsia"/>
                <w:color w:val="000000"/>
                <w:sz w:val="24"/>
                <w:highlight w:val="none"/>
              </w:rPr>
            </w:pPr>
            <w:r>
              <w:rPr>
                <w:rFonts w:hint="eastAsia"/>
                <w:color w:val="000000"/>
                <w:sz w:val="24"/>
                <w:highlight w:val="none"/>
              </w:rPr>
              <w:t xml:space="preserve">①控制各类施工扬尘污染。施工单位要对主管部门签订控制扬尘污染责任书，报送控制扬尘污染方案。落实工地设置密闭施工围档、实行场地内硬地坪施工、施工场地周边道路硬化并设置沉沙井、驶出工地车辆冲洗、督促运渣车密闭运输和建筑材料堆放覆盖等规定。着力控制施工过程中产生扬尘的重点环节和重点时段，强力推行湿法作业。 </w:t>
            </w:r>
          </w:p>
          <w:p w14:paraId="44670760">
            <w:pPr>
              <w:keepNext/>
              <w:spacing w:line="360" w:lineRule="auto"/>
              <w:ind w:firstLine="480"/>
              <w:jc w:val="left"/>
              <w:rPr>
                <w:rFonts w:hint="eastAsia"/>
                <w:color w:val="000000"/>
                <w:sz w:val="24"/>
                <w:highlight w:val="none"/>
              </w:rPr>
            </w:pPr>
            <w:r>
              <w:rPr>
                <w:rFonts w:hint="eastAsia"/>
                <w:color w:val="000000"/>
                <w:sz w:val="24"/>
                <w:highlight w:val="none"/>
              </w:rPr>
              <w:t>②控制运输车辆冒装渣土、带泥上路和沿途撒漏污染。完善密闭运渣车辆技术规范，严禁冒装渣土车、带泥车和沿途撒漏车辆进入城市道路，确保密闭运输效果。</w:t>
            </w:r>
          </w:p>
          <w:p w14:paraId="755FE267">
            <w:pPr>
              <w:keepNext/>
              <w:spacing w:line="360" w:lineRule="auto"/>
              <w:ind w:firstLine="480"/>
              <w:jc w:val="left"/>
              <w:rPr>
                <w:rFonts w:hint="eastAsia"/>
                <w:color w:val="000000"/>
                <w:sz w:val="24"/>
                <w:highlight w:val="none"/>
              </w:rPr>
            </w:pPr>
            <w:r>
              <w:rPr>
                <w:rFonts w:hint="eastAsia"/>
                <w:color w:val="000000"/>
                <w:sz w:val="24"/>
                <w:highlight w:val="none"/>
              </w:rPr>
              <w:t>③控制裸露地面扬尘污染。按照“易绿则绿、易盖则盖、分类实施、多策并举”的原则，采取绿化、硬化、洒水、覆盖等措施，加强裸露地面扬尘污染控制工作。</w:t>
            </w:r>
          </w:p>
          <w:p w14:paraId="527C8142">
            <w:pPr>
              <w:keepNext/>
              <w:spacing w:line="360" w:lineRule="auto"/>
              <w:ind w:firstLine="480"/>
              <w:jc w:val="left"/>
              <w:rPr>
                <w:rFonts w:hint="eastAsia"/>
                <w:color w:val="000000"/>
                <w:sz w:val="24"/>
                <w:highlight w:val="none"/>
              </w:rPr>
            </w:pPr>
            <w:r>
              <w:rPr>
                <w:rFonts w:hint="eastAsia"/>
                <w:color w:val="000000"/>
                <w:sz w:val="24"/>
                <w:highlight w:val="none"/>
              </w:rPr>
              <w:t>④施工现场禁止搅拌混凝土、沙浆。水泥、石灰粉等建筑材料应存放在库房内或者严密遮盖。沙、石、土方等散体材料应集中堆放且覆盖。场内装卸、搬倒物料应遮盖、封闭或洒水，不得凌空抛掷、抛撒。</w:t>
            </w:r>
          </w:p>
          <w:p w14:paraId="5FFB90EC">
            <w:pPr>
              <w:keepNext/>
              <w:spacing w:line="360" w:lineRule="auto"/>
              <w:ind w:firstLine="480"/>
              <w:jc w:val="left"/>
              <w:rPr>
                <w:rFonts w:hint="eastAsia"/>
                <w:color w:val="000000"/>
                <w:sz w:val="24"/>
                <w:highlight w:val="none"/>
              </w:rPr>
            </w:pPr>
            <w:r>
              <w:rPr>
                <w:rFonts w:hint="eastAsia"/>
                <w:color w:val="000000"/>
                <w:sz w:val="24"/>
                <w:highlight w:val="none"/>
              </w:rPr>
              <w:t>⑤施工现场必须沿工地四周连续设置稳固、整齐、美观的围挡（墙），围挡高度2m。围挡间无缝隙，底部设置防溢座，顶端设置压顶。</w:t>
            </w:r>
          </w:p>
          <w:p w14:paraId="1829FE65">
            <w:pPr>
              <w:keepNext/>
              <w:spacing w:line="360" w:lineRule="auto"/>
              <w:ind w:firstLine="480"/>
              <w:jc w:val="left"/>
              <w:rPr>
                <w:rFonts w:hint="eastAsia"/>
                <w:color w:val="000000"/>
                <w:sz w:val="24"/>
                <w:highlight w:val="none"/>
              </w:rPr>
            </w:pPr>
            <w:r>
              <w:rPr>
                <w:rFonts w:hint="eastAsia"/>
                <w:color w:val="000000"/>
                <w:sz w:val="24"/>
                <w:highlight w:val="none"/>
              </w:rPr>
              <w:t>⑥在施工场地安排一些员工定期对施工场地洒水以减少扬尘量，洒水次数根据天气状况而定，一般每天早、午、晚各洒水</w:t>
            </w:r>
            <w:r>
              <w:rPr>
                <w:color w:val="000000"/>
                <w:sz w:val="24"/>
                <w:highlight w:val="none"/>
              </w:rPr>
              <w:t>1</w:t>
            </w:r>
            <w:r>
              <w:rPr>
                <w:rFonts w:hint="eastAsia"/>
                <w:color w:val="000000"/>
                <w:sz w:val="24"/>
                <w:highlight w:val="none"/>
              </w:rPr>
              <w:t>次，若遇大风或干燥天气可适当增加洒水次数。</w:t>
            </w:r>
          </w:p>
          <w:p w14:paraId="41205843">
            <w:pPr>
              <w:keepNext/>
              <w:spacing w:line="360" w:lineRule="auto"/>
              <w:ind w:firstLine="480"/>
              <w:jc w:val="both"/>
              <w:rPr>
                <w:rFonts w:hint="eastAsia"/>
                <w:color w:val="000000"/>
                <w:sz w:val="24"/>
                <w:highlight w:val="none"/>
              </w:rPr>
            </w:pPr>
            <w:r>
              <w:rPr>
                <w:rFonts w:hint="eastAsia"/>
                <w:color w:val="000000"/>
                <w:sz w:val="24"/>
                <w:highlight w:val="none"/>
              </w:rPr>
              <w:t>⑦施工场地出口应设置车辆冲洗设施，设置冲洗槽和沉淀池，车辆驶出施工场地前，应将车厢外和轮胎冲洗干净，确保出场运输车辆清洗率达到100%，避免车辆将泥土带到道路上产生二次扬尘，冲洗水沉淀后循环使用。</w:t>
            </w:r>
          </w:p>
          <w:p w14:paraId="4C2F18CA">
            <w:pPr>
              <w:keepNext/>
              <w:spacing w:line="360" w:lineRule="auto"/>
              <w:ind w:firstLine="480"/>
              <w:jc w:val="both"/>
              <w:rPr>
                <w:rFonts w:hint="eastAsia"/>
                <w:color w:val="000000"/>
                <w:sz w:val="24"/>
                <w:highlight w:val="none"/>
              </w:rPr>
            </w:pPr>
            <w:r>
              <w:rPr>
                <w:rFonts w:hint="eastAsia"/>
                <w:color w:val="000000"/>
                <w:sz w:val="24"/>
                <w:highlight w:val="none"/>
              </w:rPr>
              <w:t>⑧使用商品混凝土，尽量避免在大风天气下进行施工作业，大于四级风天气或市政府发布空气质量预警时，严禁进行土石方开挖、回填等可能产生扬尘的施工，同时覆网防尘。同时强化施工扬尘监管，全面遏制扬尘污染，推行建设项目施工场地环境监理制度。评价建议建设单位根据自身情况，委托环境监理机构对项目施工建设实行的环境保护监督管理。</w:t>
            </w:r>
          </w:p>
          <w:p w14:paraId="72A06B76">
            <w:pPr>
              <w:keepNext/>
              <w:spacing w:line="360" w:lineRule="auto"/>
              <w:ind w:firstLine="480"/>
              <w:jc w:val="left"/>
              <w:rPr>
                <w:rFonts w:hint="eastAsia"/>
                <w:color w:val="000000"/>
                <w:sz w:val="24"/>
                <w:highlight w:val="none"/>
              </w:rPr>
            </w:pPr>
            <w:r>
              <w:rPr>
                <w:rFonts w:hint="eastAsia"/>
                <w:color w:val="000000"/>
                <w:sz w:val="24"/>
                <w:highlight w:val="none"/>
              </w:rPr>
              <w:t>采取这些措施后，施工期产生的施工扬尘对周边环境的影响较小。</w:t>
            </w:r>
          </w:p>
          <w:p w14:paraId="14AE96D0">
            <w:pPr>
              <w:keepNext/>
              <w:spacing w:line="360" w:lineRule="auto"/>
              <w:ind w:firstLine="480"/>
              <w:jc w:val="left"/>
              <w:rPr>
                <w:rFonts w:hint="eastAsia"/>
                <w:color w:val="000000"/>
                <w:sz w:val="24"/>
                <w:highlight w:val="none"/>
              </w:rPr>
            </w:pPr>
            <w:r>
              <w:rPr>
                <w:rFonts w:hint="eastAsia"/>
                <w:color w:val="000000"/>
                <w:sz w:val="24"/>
                <w:highlight w:val="none"/>
              </w:rPr>
              <w:t>⑵汽车尾气</w:t>
            </w:r>
          </w:p>
          <w:p w14:paraId="19F95B5A">
            <w:pPr>
              <w:keepNext/>
              <w:spacing w:line="360" w:lineRule="auto"/>
              <w:ind w:firstLine="480"/>
              <w:jc w:val="both"/>
              <w:rPr>
                <w:rFonts w:hint="eastAsia"/>
                <w:color w:val="000000"/>
                <w:sz w:val="24"/>
                <w:highlight w:val="none"/>
              </w:rPr>
            </w:pPr>
            <w:r>
              <w:rPr>
                <w:rFonts w:hint="eastAsia"/>
                <w:color w:val="000000"/>
                <w:sz w:val="24"/>
                <w:highlight w:val="none"/>
              </w:rPr>
              <w:t>运输车辆及施工机械在运行中将产生一些尾气，其主要污染物为CO、NOx、THC等。为减少气体污染物对周围环境空气的影响，评价要求运输、施工单位必须使用所排污染物达到国家有关标准的运输车辆和工程机械，严禁使用超标的车辆和机械。另外，这些废气排放局限于施工现场和运输沿线，为非连续性的污染源，建议缩短怠速、减速和加速时间，增加正常运行时间，以减少NOx、CO、THC等气体污染物的排放量。</w:t>
            </w:r>
          </w:p>
          <w:p w14:paraId="56FE7F33">
            <w:pPr>
              <w:keepNext/>
              <w:spacing w:line="360" w:lineRule="auto"/>
              <w:ind w:firstLine="482" w:firstLineChars="200"/>
              <w:rPr>
                <w:rFonts w:hint="eastAsia"/>
                <w:b/>
                <w:color w:val="000000"/>
                <w:sz w:val="24"/>
                <w:highlight w:val="none"/>
              </w:rPr>
            </w:pPr>
            <w:r>
              <w:rPr>
                <w:b/>
                <w:color w:val="000000"/>
                <w:sz w:val="24"/>
                <w:highlight w:val="none"/>
              </w:rPr>
              <w:t>3、水环境</w:t>
            </w:r>
            <w:r>
              <w:rPr>
                <w:rFonts w:hint="eastAsia"/>
                <w:b/>
                <w:color w:val="000000"/>
                <w:sz w:val="24"/>
                <w:highlight w:val="none"/>
              </w:rPr>
              <w:t>防治保护措施</w:t>
            </w:r>
          </w:p>
          <w:p w14:paraId="14CA0C55">
            <w:pPr>
              <w:keepNext/>
              <w:keepLines/>
              <w:spacing w:line="360" w:lineRule="auto"/>
              <w:ind w:firstLine="480" w:firstLineChars="200"/>
              <w:rPr>
                <w:color w:val="000000"/>
                <w:sz w:val="24"/>
                <w:szCs w:val="20"/>
                <w:highlight w:val="none"/>
              </w:rPr>
            </w:pPr>
            <w:r>
              <w:rPr>
                <w:rFonts w:hint="eastAsia" w:ascii="宋体" w:hAnsi="宋体" w:cs="宋体"/>
                <w:color w:val="000000"/>
                <w:sz w:val="24"/>
                <w:szCs w:val="20"/>
                <w:highlight w:val="none"/>
              </w:rPr>
              <w:t>⑴</w:t>
            </w:r>
            <w:r>
              <w:rPr>
                <w:color w:val="000000"/>
                <w:sz w:val="24"/>
                <w:szCs w:val="20"/>
                <w:highlight w:val="none"/>
              </w:rPr>
              <w:t>废水污染特征</w:t>
            </w:r>
          </w:p>
          <w:p w14:paraId="445FA878">
            <w:pPr>
              <w:keepNext/>
              <w:keepLines/>
              <w:spacing w:line="360" w:lineRule="auto"/>
              <w:ind w:firstLine="480"/>
              <w:rPr>
                <w:color w:val="000000"/>
                <w:sz w:val="24"/>
                <w:szCs w:val="20"/>
                <w:highlight w:val="none"/>
              </w:rPr>
            </w:pPr>
            <w:r>
              <w:rPr>
                <w:color w:val="000000"/>
                <w:sz w:val="24"/>
                <w:szCs w:val="20"/>
                <w:highlight w:val="none"/>
              </w:rPr>
              <w:t>施工期外排污水主要为：施工活动自身产生的污水和少量生活污水。施工活动产生的污水中，主要污染物为泥沙悬浮颗粒和矿物油；生活污水中，含有大量的有机物和悬浮物。</w:t>
            </w:r>
            <w:r>
              <w:rPr>
                <w:color w:val="000000"/>
                <w:sz w:val="24"/>
                <w:highlight w:val="none"/>
              </w:rPr>
              <w:t>另外，雨季作业场地的地面径流水，含有大量的泥土和高浓度的悬浮物。</w:t>
            </w:r>
          </w:p>
          <w:p w14:paraId="3DE7B3D9">
            <w:pPr>
              <w:keepNext/>
              <w:keepLines/>
              <w:spacing w:line="360" w:lineRule="auto"/>
              <w:ind w:firstLine="480"/>
              <w:rPr>
                <w:color w:val="000000"/>
                <w:sz w:val="24"/>
                <w:szCs w:val="20"/>
                <w:highlight w:val="none"/>
              </w:rPr>
            </w:pPr>
            <w:r>
              <w:rPr>
                <w:rFonts w:hint="eastAsia" w:ascii="宋体" w:hAnsi="宋体" w:cs="宋体"/>
                <w:color w:val="000000"/>
                <w:sz w:val="24"/>
                <w:szCs w:val="20"/>
                <w:highlight w:val="none"/>
              </w:rPr>
              <w:t>⑵</w:t>
            </w:r>
            <w:r>
              <w:rPr>
                <w:color w:val="000000"/>
                <w:sz w:val="24"/>
                <w:szCs w:val="20"/>
                <w:highlight w:val="none"/>
              </w:rPr>
              <w:t>影响分析和防治措施</w:t>
            </w:r>
          </w:p>
          <w:p w14:paraId="617D6E18">
            <w:pPr>
              <w:keepNext/>
              <w:spacing w:line="360" w:lineRule="auto"/>
              <w:ind w:firstLine="480" w:firstLineChars="200"/>
              <w:rPr>
                <w:color w:val="000000"/>
                <w:sz w:val="24"/>
                <w:highlight w:val="none"/>
              </w:rPr>
            </w:pPr>
            <w:r>
              <w:rPr>
                <w:color w:val="000000"/>
                <w:sz w:val="24"/>
                <w:szCs w:val="20"/>
                <w:highlight w:val="none"/>
              </w:rPr>
              <w:t>为减少施工期的废水污染，应采取的措施是：施工期路面、地坪冲洗水、设备清洗水中SS和矿物油含量较高，应设防渗沉淀池将设备冲洗水收集沉淀后用于抑尘，要求均匀喷洒，严禁形成地表径流。施工人员生活污水</w:t>
            </w:r>
            <w:r>
              <w:rPr>
                <w:rFonts w:hint="eastAsia"/>
                <w:color w:val="000000"/>
                <w:sz w:val="24"/>
                <w:szCs w:val="20"/>
                <w:highlight w:val="none"/>
                <w:lang w:eastAsia="zh-CN"/>
              </w:rPr>
              <w:t>可以利用现有的生活区进行</w:t>
            </w:r>
            <w:r>
              <w:rPr>
                <w:color w:val="000000"/>
                <w:sz w:val="24"/>
                <w:szCs w:val="20"/>
                <w:highlight w:val="none"/>
              </w:rPr>
              <w:t>。低浓度部分可直接用于抑尘。因此本项目施工期废水不会对当地环境造成污染影响。</w:t>
            </w:r>
            <w:r>
              <w:rPr>
                <w:color w:val="000000"/>
                <w:sz w:val="24"/>
                <w:highlight w:val="none"/>
              </w:rPr>
              <w:t>采取以上措施后，能有效地控制对水体的污染，预计施工期对水环境的影响较小。随着施工期的结束，该类污染将随之不复存在。</w:t>
            </w:r>
          </w:p>
          <w:p w14:paraId="6C92971F">
            <w:pPr>
              <w:keepNext/>
              <w:keepLines/>
              <w:spacing w:line="360" w:lineRule="auto"/>
              <w:ind w:firstLine="482" w:firstLineChars="200"/>
              <w:rPr>
                <w:rFonts w:hint="eastAsia"/>
                <w:b/>
                <w:color w:val="000000"/>
                <w:sz w:val="24"/>
                <w:highlight w:val="none"/>
              </w:rPr>
            </w:pPr>
            <w:r>
              <w:rPr>
                <w:rFonts w:hint="eastAsia"/>
                <w:b/>
                <w:color w:val="000000"/>
                <w:sz w:val="24"/>
                <w:highlight w:val="none"/>
              </w:rPr>
              <w:t>4</w:t>
            </w:r>
            <w:r>
              <w:rPr>
                <w:b/>
                <w:color w:val="000000"/>
                <w:sz w:val="24"/>
                <w:highlight w:val="none"/>
              </w:rPr>
              <w:t>、施工期固体废物环境</w:t>
            </w:r>
            <w:r>
              <w:rPr>
                <w:rFonts w:hint="eastAsia"/>
                <w:b/>
                <w:color w:val="000000"/>
                <w:sz w:val="24"/>
                <w:highlight w:val="none"/>
              </w:rPr>
              <w:t>防治保护措施</w:t>
            </w:r>
          </w:p>
          <w:p w14:paraId="1D9E2C29">
            <w:pPr>
              <w:keepNext/>
              <w:spacing w:line="360" w:lineRule="auto"/>
              <w:ind w:firstLine="480" w:firstLineChars="200"/>
              <w:rPr>
                <w:rFonts w:hint="eastAsia"/>
                <w:color w:val="000000"/>
                <w:sz w:val="24"/>
                <w:szCs w:val="20"/>
                <w:highlight w:val="none"/>
              </w:rPr>
            </w:pPr>
            <w:r>
              <w:rPr>
                <w:rFonts w:hint="eastAsia"/>
                <w:color w:val="000000"/>
                <w:sz w:val="24"/>
                <w:szCs w:val="20"/>
                <w:highlight w:val="none"/>
              </w:rPr>
              <w:t>施工中产生的固体废物主要是建筑垃圾、地基挖掘产生的土方和生活垃圾。</w:t>
            </w:r>
          </w:p>
          <w:p w14:paraId="793948D8">
            <w:pPr>
              <w:keepNext/>
              <w:spacing w:line="360" w:lineRule="auto"/>
              <w:ind w:firstLine="480" w:firstLineChars="200"/>
              <w:rPr>
                <w:rFonts w:hint="eastAsia"/>
                <w:color w:val="000000"/>
                <w:sz w:val="24"/>
                <w:szCs w:val="20"/>
                <w:highlight w:val="none"/>
              </w:rPr>
            </w:pPr>
            <w:r>
              <w:rPr>
                <w:rFonts w:hint="eastAsia"/>
                <w:color w:val="000000"/>
                <w:sz w:val="24"/>
                <w:szCs w:val="20"/>
                <w:highlight w:val="none"/>
              </w:rPr>
              <w:t>施工过程中产生的固体废物均为一般固体废物。工程厂区地势平坦、无大型构筑物，挖方大部分用于回填地基，剩余部分用于厂区沟坑的填埋及厂区的平整，无弃土产生；建筑垃圾送市政部门指定地点填埋，不会对环境产生明显影响；生活垃圾产生量较小，</w:t>
            </w:r>
            <w:r>
              <w:rPr>
                <w:rFonts w:hint="eastAsia"/>
                <w:color w:val="000000"/>
                <w:sz w:val="24"/>
                <w:szCs w:val="20"/>
                <w:highlight w:val="none"/>
                <w:lang w:eastAsia="zh-CN"/>
              </w:rPr>
              <w:t>利用现有生活区进行</w:t>
            </w:r>
            <w:r>
              <w:rPr>
                <w:rFonts w:hint="eastAsia"/>
                <w:color w:val="000000"/>
                <w:sz w:val="24"/>
                <w:szCs w:val="20"/>
                <w:highlight w:val="none"/>
              </w:rPr>
              <w:t>。</w:t>
            </w:r>
          </w:p>
          <w:p w14:paraId="0A34B62E">
            <w:pPr>
              <w:keepNext/>
              <w:spacing w:line="360" w:lineRule="auto"/>
              <w:ind w:firstLine="480" w:firstLineChars="200"/>
              <w:rPr>
                <w:rFonts w:hint="eastAsia"/>
                <w:bCs/>
                <w:color w:val="000000"/>
                <w:sz w:val="24"/>
                <w:highlight w:val="none"/>
              </w:rPr>
            </w:pPr>
            <w:r>
              <w:rPr>
                <w:rFonts w:hint="eastAsia"/>
                <w:color w:val="000000"/>
                <w:sz w:val="24"/>
                <w:szCs w:val="20"/>
                <w:highlight w:val="none"/>
              </w:rPr>
              <w:t>在采取上述措施后，不会对周围环境造成明显影响。</w:t>
            </w:r>
          </w:p>
        </w:tc>
      </w:tr>
      <w:tr w14:paraId="50DE0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2" w:hRule="atLeast"/>
          <w:jc w:val="center"/>
        </w:trPr>
        <w:tc>
          <w:tcPr>
            <w:tcW w:w="746" w:type="dxa"/>
            <w:tcBorders>
              <w:top w:val="single" w:color="auto" w:sz="12" w:space="0"/>
              <w:left w:val="single" w:color="auto" w:sz="12" w:space="0"/>
              <w:bottom w:val="single" w:color="auto" w:sz="12" w:space="0"/>
            </w:tcBorders>
            <w:noWrap w:val="0"/>
            <w:tcMar>
              <w:left w:w="28" w:type="dxa"/>
              <w:right w:w="28" w:type="dxa"/>
            </w:tcMar>
            <w:vAlign w:val="center"/>
          </w:tcPr>
          <w:p w14:paraId="198BD1E4">
            <w:pPr>
              <w:adjustRightInd w:val="0"/>
              <w:snapToGrid w:val="0"/>
              <w:jc w:val="center"/>
              <w:rPr>
                <w:b/>
                <w:bCs/>
                <w:color w:val="000000"/>
                <w:sz w:val="24"/>
                <w:highlight w:val="none"/>
              </w:rPr>
            </w:pPr>
            <w:r>
              <w:rPr>
                <w:b/>
                <w:bCs/>
                <w:color w:val="000000"/>
                <w:sz w:val="24"/>
                <w:highlight w:val="none"/>
              </w:rPr>
              <w:t>运营</w:t>
            </w:r>
          </w:p>
          <w:p w14:paraId="35623033">
            <w:pPr>
              <w:adjustRightInd w:val="0"/>
              <w:snapToGrid w:val="0"/>
              <w:jc w:val="center"/>
              <w:rPr>
                <w:b/>
                <w:bCs/>
                <w:color w:val="000000"/>
                <w:sz w:val="24"/>
                <w:highlight w:val="none"/>
              </w:rPr>
            </w:pPr>
            <w:r>
              <w:rPr>
                <w:b/>
                <w:bCs/>
                <w:color w:val="000000"/>
                <w:sz w:val="24"/>
                <w:highlight w:val="none"/>
              </w:rPr>
              <w:t>期环</w:t>
            </w:r>
          </w:p>
          <w:p w14:paraId="326C0BD1">
            <w:pPr>
              <w:adjustRightInd w:val="0"/>
              <w:snapToGrid w:val="0"/>
              <w:jc w:val="center"/>
              <w:rPr>
                <w:b/>
                <w:bCs/>
                <w:color w:val="000000"/>
                <w:sz w:val="24"/>
                <w:highlight w:val="none"/>
              </w:rPr>
            </w:pPr>
            <w:r>
              <w:rPr>
                <w:b/>
                <w:bCs/>
                <w:color w:val="000000"/>
                <w:sz w:val="24"/>
                <w:highlight w:val="none"/>
              </w:rPr>
              <w:t>境影</w:t>
            </w:r>
          </w:p>
          <w:p w14:paraId="77832B57">
            <w:pPr>
              <w:adjustRightInd w:val="0"/>
              <w:snapToGrid w:val="0"/>
              <w:jc w:val="center"/>
              <w:rPr>
                <w:b/>
                <w:bCs/>
                <w:color w:val="000000"/>
                <w:sz w:val="24"/>
                <w:highlight w:val="none"/>
              </w:rPr>
            </w:pPr>
            <w:r>
              <w:rPr>
                <w:b/>
                <w:bCs/>
                <w:color w:val="000000"/>
                <w:sz w:val="24"/>
                <w:highlight w:val="none"/>
              </w:rPr>
              <w:t>响和</w:t>
            </w:r>
          </w:p>
          <w:p w14:paraId="19FC7967">
            <w:pPr>
              <w:adjustRightInd w:val="0"/>
              <w:snapToGrid w:val="0"/>
              <w:jc w:val="center"/>
              <w:rPr>
                <w:b/>
                <w:bCs/>
                <w:color w:val="000000"/>
                <w:sz w:val="24"/>
                <w:highlight w:val="none"/>
              </w:rPr>
            </w:pPr>
            <w:r>
              <w:rPr>
                <w:b/>
                <w:bCs/>
                <w:color w:val="000000"/>
                <w:sz w:val="24"/>
                <w:highlight w:val="none"/>
              </w:rPr>
              <w:t>保护</w:t>
            </w:r>
          </w:p>
          <w:p w14:paraId="2CE58263">
            <w:pPr>
              <w:adjustRightInd w:val="0"/>
              <w:snapToGrid w:val="0"/>
              <w:jc w:val="center"/>
              <w:rPr>
                <w:bCs/>
                <w:color w:val="000000"/>
                <w:szCs w:val="21"/>
                <w:highlight w:val="none"/>
              </w:rPr>
            </w:pPr>
            <w:r>
              <w:rPr>
                <w:b/>
                <w:bCs/>
                <w:color w:val="000000"/>
                <w:sz w:val="24"/>
                <w:highlight w:val="none"/>
              </w:rPr>
              <w:t>措施</w:t>
            </w:r>
          </w:p>
        </w:tc>
        <w:tc>
          <w:tcPr>
            <w:tcW w:w="8162" w:type="dxa"/>
            <w:tcBorders>
              <w:top w:val="single" w:color="auto" w:sz="12" w:space="0"/>
              <w:bottom w:val="single" w:color="auto" w:sz="12" w:space="0"/>
              <w:right w:val="single" w:color="auto" w:sz="12" w:space="0"/>
            </w:tcBorders>
            <w:noWrap w:val="0"/>
            <w:vAlign w:val="center"/>
          </w:tcPr>
          <w:p w14:paraId="24A6AA08">
            <w:pPr>
              <w:pStyle w:val="19"/>
              <w:ind w:left="0" w:leftChars="0" w:firstLine="0" w:firstLineChars="0"/>
              <w:rPr>
                <w:color w:val="000000"/>
                <w:highlight w:val="none"/>
              </w:rPr>
            </w:pPr>
            <w:r>
              <w:rPr>
                <w:b/>
                <w:bCs/>
                <w:color w:val="000000"/>
                <w:highlight w:val="none"/>
              </w:rPr>
              <w:t>营运期环境影响分析：</w:t>
            </w:r>
          </w:p>
          <w:p w14:paraId="582512BA">
            <w:pPr>
              <w:pStyle w:val="19"/>
              <w:rPr>
                <w:color w:val="000000"/>
                <w:highlight w:val="none"/>
              </w:rPr>
            </w:pPr>
            <w:r>
              <w:rPr>
                <w:rFonts w:hint="eastAsia"/>
                <w:b/>
                <w:bCs/>
                <w:color w:val="000000"/>
                <w:highlight w:val="none"/>
              </w:rPr>
              <w:t>一</w:t>
            </w:r>
            <w:r>
              <w:rPr>
                <w:b/>
                <w:bCs/>
                <w:color w:val="000000"/>
                <w:highlight w:val="none"/>
              </w:rPr>
              <w:t>、大气环境影响分析</w:t>
            </w:r>
          </w:p>
          <w:p w14:paraId="4083F5BB">
            <w:pPr>
              <w:pStyle w:val="33"/>
              <w:ind w:firstLine="480"/>
              <w:rPr>
                <w:rFonts w:hint="default" w:eastAsia="宋体"/>
                <w:color w:val="000000"/>
                <w:highlight w:val="none"/>
                <w:lang w:val="en-US" w:eastAsia="zh-CN"/>
              </w:rPr>
            </w:pPr>
            <w:r>
              <w:rPr>
                <w:rFonts w:hint="eastAsia"/>
                <w:color w:val="000000"/>
                <w:highlight w:val="none"/>
                <w:lang w:val="en-US" w:eastAsia="zh-CN"/>
              </w:rPr>
              <w:t>本工程废气主要为生化污水处理站产生的</w:t>
            </w:r>
            <w:r>
              <w:rPr>
                <w:rFonts w:hAnsi="宋体"/>
                <w:color w:val="000000"/>
                <w:kern w:val="0"/>
                <w:sz w:val="24"/>
                <w:highlight w:val="none"/>
              </w:rPr>
              <w:t>氨、硫化氢</w:t>
            </w:r>
            <w:r>
              <w:rPr>
                <w:rFonts w:hint="eastAsia" w:hAnsi="宋体"/>
                <w:color w:val="000000"/>
                <w:kern w:val="0"/>
                <w:sz w:val="24"/>
                <w:highlight w:val="none"/>
                <w:lang w:eastAsia="zh-CN"/>
              </w:rPr>
              <w:t>，</w:t>
            </w:r>
            <w:r>
              <w:rPr>
                <w:rFonts w:hint="eastAsia" w:hAnsi="宋体"/>
                <w:color w:val="000000"/>
                <w:kern w:val="0"/>
                <w:sz w:val="24"/>
                <w:highlight w:val="none"/>
                <w:lang w:val="en-US" w:eastAsia="zh-CN"/>
              </w:rPr>
              <w:t>由于本次改造部分是对现有生化污水处理站部分单元的改造维护，保证其稳定运行，不新增废水处理量，不涉及新增废气。</w:t>
            </w:r>
          </w:p>
          <w:p w14:paraId="3D429B9D">
            <w:pPr>
              <w:pStyle w:val="33"/>
              <w:ind w:firstLine="480"/>
              <w:rPr>
                <w:rFonts w:hint="eastAsia"/>
                <w:color w:val="000000"/>
                <w:highlight w:val="none"/>
                <w:lang w:val="en-US" w:eastAsia="zh-CN"/>
              </w:rPr>
            </w:pPr>
            <w:r>
              <w:rPr>
                <w:rFonts w:hint="eastAsia" w:hAnsi="宋体"/>
                <w:color w:val="000000"/>
                <w:sz w:val="24"/>
                <w:highlight w:val="none"/>
                <w:lang w:val="en-US" w:eastAsia="zh-CN"/>
              </w:rPr>
              <w:t>现有</w:t>
            </w:r>
            <w:r>
              <w:rPr>
                <w:rFonts w:hint="eastAsia" w:hAnsi="宋体"/>
                <w:color w:val="000000"/>
                <w:sz w:val="24"/>
                <w:highlight w:val="none"/>
              </w:rPr>
              <w:t>生化污水站</w:t>
            </w:r>
            <w:r>
              <w:rPr>
                <w:rFonts w:hint="eastAsia" w:hAnsi="宋体"/>
                <w:color w:val="000000"/>
                <w:sz w:val="24"/>
                <w:highlight w:val="none"/>
                <w:lang w:val="en-US" w:eastAsia="zh-CN"/>
              </w:rPr>
              <w:t>针对</w:t>
            </w:r>
            <w:r>
              <w:rPr>
                <w:rFonts w:hint="eastAsia" w:hAnsi="宋体"/>
                <w:color w:val="000000"/>
                <w:sz w:val="24"/>
                <w:highlight w:val="none"/>
              </w:rPr>
              <w:t>产生异味的厌氧池、缺氧池、好氧池、调节池、污泥池、一沉池、二沉池、曝气池、污泥浓缩池、污泥脱水间、反应池、中间水池等进行</w:t>
            </w:r>
            <w:r>
              <w:rPr>
                <w:rFonts w:ascii="宋体" w:hAnsi="宋体" w:cs="宋体"/>
                <w:color w:val="000000"/>
                <w:kern w:val="0"/>
                <w:sz w:val="24"/>
                <w:highlight w:val="none"/>
              </w:rPr>
              <w:t>采取加盖</w:t>
            </w:r>
            <w:r>
              <w:rPr>
                <w:rFonts w:hint="eastAsia" w:hAnsi="宋体"/>
                <w:color w:val="000000"/>
                <w:sz w:val="24"/>
                <w:highlight w:val="none"/>
                <w:lang w:eastAsia="zh-CN"/>
              </w:rPr>
              <w:t>、</w:t>
            </w:r>
            <w:r>
              <w:rPr>
                <w:rFonts w:hint="eastAsia" w:hAnsi="宋体"/>
                <w:color w:val="000000"/>
                <w:sz w:val="24"/>
                <w:highlight w:val="none"/>
                <w:lang w:val="en-US" w:eastAsia="zh-CN"/>
              </w:rPr>
              <w:t>喷洒除臭剂等措施</w:t>
            </w:r>
            <w:r>
              <w:rPr>
                <w:rFonts w:hint="eastAsia" w:hAnsi="宋体"/>
                <w:color w:val="000000"/>
                <w:sz w:val="24"/>
                <w:highlight w:val="none"/>
              </w:rPr>
              <w:t>。</w:t>
            </w:r>
          </w:p>
          <w:p w14:paraId="5031A8A6">
            <w:pPr>
              <w:pStyle w:val="33"/>
              <w:ind w:firstLine="480"/>
              <w:rPr>
                <w:rFonts w:hint="eastAsia"/>
                <w:color w:val="000000"/>
                <w:highlight w:val="none"/>
                <w:lang w:val="en-US" w:eastAsia="zh-CN"/>
              </w:rPr>
            </w:pPr>
            <w:r>
              <w:rPr>
                <w:rFonts w:hint="eastAsia"/>
                <w:color w:val="000000"/>
                <w:highlight w:val="none"/>
                <w:lang w:val="en-US" w:eastAsia="zh-CN"/>
              </w:rPr>
              <w:t>参照现有生化污水处理站验收报告数据（2021年6月28日~29日），厂界无组织氨、硫化氢监测结果如下表。</w:t>
            </w:r>
          </w:p>
          <w:p w14:paraId="0C656BBA">
            <w:pPr>
              <w:pStyle w:val="33"/>
              <w:ind w:firstLine="480"/>
              <w:jc w:val="center"/>
              <w:rPr>
                <w:rFonts w:hint="default" w:eastAsia="宋体"/>
                <w:color w:val="000000"/>
                <w:highlight w:val="none"/>
                <w:lang w:val="en-US" w:eastAsia="zh-CN"/>
              </w:rPr>
            </w:pPr>
            <w:r>
              <w:rPr>
                <w:rFonts w:hint="eastAsia"/>
                <w:b/>
                <w:bCs/>
                <w:color w:val="000000"/>
                <w:highlight w:val="none"/>
                <w:lang w:val="en-US" w:eastAsia="zh-CN"/>
              </w:rPr>
              <w:t>表4-1 氨验收监测结果一览表</w:t>
            </w:r>
          </w:p>
          <w:tbl>
            <w:tblPr>
              <w:tblStyle w:val="24"/>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6"/>
              <w:gridCol w:w="1034"/>
              <w:gridCol w:w="1185"/>
              <w:gridCol w:w="1076"/>
              <w:gridCol w:w="1166"/>
              <w:gridCol w:w="1129"/>
              <w:gridCol w:w="1205"/>
              <w:gridCol w:w="605"/>
            </w:tblGrid>
            <w:tr w14:paraId="694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1990" w:type="dxa"/>
                  <w:gridSpan w:val="2"/>
                  <w:tcBorders>
                    <w:tl2br w:val="single" w:color="000000" w:sz="4" w:space="0"/>
                  </w:tcBorders>
                  <w:noWrap w:val="0"/>
                  <w:vAlign w:val="center"/>
                </w:tcPr>
                <w:p w14:paraId="72BFEE86">
                  <w:pPr>
                    <w:pStyle w:val="25"/>
                    <w:spacing w:before="132" w:line="189" w:lineRule="auto"/>
                    <w:ind w:left="1053"/>
                    <w:jc w:val="center"/>
                    <w:rPr>
                      <w:color w:val="000000"/>
                      <w:sz w:val="20"/>
                      <w:szCs w:val="20"/>
                      <w:highlight w:val="none"/>
                    </w:rPr>
                  </w:pPr>
                  <w:r>
                    <w:rPr>
                      <w:color w:val="000000"/>
                      <w:spacing w:val="8"/>
                      <w:sz w:val="20"/>
                      <w:szCs w:val="20"/>
                      <w:highlight w:val="none"/>
                    </w:rPr>
                    <w:t>检测点位</w:t>
                  </w:r>
                </w:p>
                <w:p w14:paraId="28A65C46">
                  <w:pPr>
                    <w:pStyle w:val="25"/>
                    <w:spacing w:line="222" w:lineRule="auto"/>
                    <w:jc w:val="both"/>
                    <w:rPr>
                      <w:color w:val="000000"/>
                      <w:sz w:val="20"/>
                      <w:szCs w:val="20"/>
                      <w:highlight w:val="none"/>
                    </w:rPr>
                  </w:pPr>
                </w:p>
                <w:p w14:paraId="2CAE59FC">
                  <w:pPr>
                    <w:pStyle w:val="25"/>
                    <w:spacing w:line="222" w:lineRule="auto"/>
                    <w:jc w:val="both"/>
                    <w:rPr>
                      <w:color w:val="000000"/>
                      <w:sz w:val="20"/>
                      <w:szCs w:val="20"/>
                      <w:highlight w:val="none"/>
                    </w:rPr>
                  </w:pPr>
                  <w:r>
                    <w:rPr>
                      <w:color w:val="000000"/>
                      <w:sz w:val="20"/>
                      <w:szCs w:val="20"/>
                      <w:highlight w:val="none"/>
                    </w:rPr>
                    <w:t>采样</w:t>
                  </w:r>
                  <w:r>
                    <w:rPr>
                      <w:color w:val="000000"/>
                      <w:spacing w:val="1"/>
                      <w:sz w:val="20"/>
                      <w:szCs w:val="20"/>
                      <w:highlight w:val="none"/>
                    </w:rPr>
                    <w:t>日期及时间</w:t>
                  </w:r>
                </w:p>
              </w:tc>
              <w:tc>
                <w:tcPr>
                  <w:tcW w:w="1185" w:type="dxa"/>
                  <w:noWrap w:val="0"/>
                  <w:vAlign w:val="center"/>
                </w:tcPr>
                <w:p w14:paraId="63E60A35">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厂界东</w:t>
                  </w:r>
                </w:p>
              </w:tc>
              <w:tc>
                <w:tcPr>
                  <w:tcW w:w="1076" w:type="dxa"/>
                  <w:noWrap w:val="0"/>
                  <w:vAlign w:val="center"/>
                </w:tcPr>
                <w:p w14:paraId="6CA103DA">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厂界南</w:t>
                  </w:r>
                </w:p>
              </w:tc>
              <w:tc>
                <w:tcPr>
                  <w:tcW w:w="1166" w:type="dxa"/>
                  <w:tcBorders>
                    <w:right w:val="single" w:color="auto" w:sz="4" w:space="0"/>
                  </w:tcBorders>
                  <w:noWrap w:val="0"/>
                  <w:vAlign w:val="center"/>
                </w:tcPr>
                <w:p w14:paraId="51FE3740">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厂界西</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2F58123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highlight w:val="none"/>
                    </w:rPr>
                  </w:pPr>
                  <w:r>
                    <w:rPr>
                      <w:color w:val="000000"/>
                      <w:highlight w:val="none"/>
                    </w:rPr>
                    <w:t>厂界北</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7512FBA6">
                  <w:pPr>
                    <w:bidi w:val="0"/>
                    <w:jc w:val="center"/>
                    <w:rPr>
                      <w:color w:val="000000"/>
                      <w:highlight w:val="none"/>
                    </w:rPr>
                  </w:pPr>
                  <w:r>
                    <w:rPr>
                      <w:color w:val="000000"/>
                      <w:highlight w:val="none"/>
                    </w:rPr>
                    <w:t>执行标准限</w:t>
                  </w:r>
                </w:p>
                <w:p w14:paraId="5C8E04CF">
                  <w:pPr>
                    <w:bidi w:val="0"/>
                    <w:jc w:val="center"/>
                    <w:rPr>
                      <w:color w:val="000000"/>
                      <w:highlight w:val="none"/>
                    </w:rPr>
                  </w:pPr>
                  <w:r>
                    <w:rPr>
                      <w:color w:val="000000"/>
                      <w:highlight w:val="none"/>
                    </w:rPr>
                    <w:t>值（m</w:t>
                  </w:r>
                  <w:r>
                    <w:rPr>
                      <w:color w:val="000000"/>
                      <w:highlight w:val="none"/>
                      <w:vertAlign w:val="baseline"/>
                    </w:rPr>
                    <w:t>g/m</w:t>
                  </w:r>
                  <w:r>
                    <w:rPr>
                      <w:color w:val="000000"/>
                      <w:highlight w:val="none"/>
                      <w:vertAlign w:val="superscript"/>
                    </w:rPr>
                    <w:t>3</w:t>
                  </w:r>
                  <w:r>
                    <w:rPr>
                      <w:color w:val="000000"/>
                      <w:highlight w:val="none"/>
                    </w:rPr>
                    <w:t>）</w:t>
                  </w:r>
                </w:p>
              </w:tc>
              <w:tc>
                <w:tcPr>
                  <w:tcW w:w="605" w:type="dxa"/>
                  <w:tcBorders>
                    <w:left w:val="single" w:color="auto" w:sz="4" w:space="0"/>
                  </w:tcBorders>
                  <w:noWrap w:val="0"/>
                  <w:vAlign w:val="center"/>
                </w:tcPr>
                <w:p w14:paraId="725F36B5">
                  <w:pPr>
                    <w:pStyle w:val="25"/>
                    <w:spacing w:before="187" w:line="229" w:lineRule="auto"/>
                    <w:ind w:left="166"/>
                    <w:jc w:val="center"/>
                    <w:outlineLvl w:val="0"/>
                    <w:rPr>
                      <w:color w:val="000000"/>
                      <w:sz w:val="20"/>
                      <w:szCs w:val="20"/>
                      <w:highlight w:val="none"/>
                    </w:rPr>
                  </w:pPr>
                  <w:r>
                    <w:rPr>
                      <w:color w:val="000000"/>
                      <w:spacing w:val="6"/>
                      <w:sz w:val="20"/>
                      <w:szCs w:val="20"/>
                      <w:highlight w:val="none"/>
                    </w:rPr>
                    <w:t>达标</w:t>
                  </w:r>
                </w:p>
                <w:p w14:paraId="34D51C27">
                  <w:pPr>
                    <w:pStyle w:val="25"/>
                    <w:spacing w:before="143" w:line="229" w:lineRule="auto"/>
                    <w:ind w:left="165"/>
                    <w:jc w:val="center"/>
                    <w:rPr>
                      <w:color w:val="000000"/>
                      <w:sz w:val="20"/>
                      <w:szCs w:val="20"/>
                      <w:highlight w:val="none"/>
                    </w:rPr>
                  </w:pPr>
                  <w:r>
                    <w:rPr>
                      <w:color w:val="000000"/>
                      <w:spacing w:val="6"/>
                      <w:sz w:val="20"/>
                      <w:szCs w:val="20"/>
                      <w:highlight w:val="none"/>
                    </w:rPr>
                    <w:t>情况</w:t>
                  </w:r>
                </w:p>
              </w:tc>
            </w:tr>
            <w:tr w14:paraId="1F10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restart"/>
                  <w:noWrap w:val="0"/>
                  <w:vAlign w:val="center"/>
                </w:tcPr>
                <w:p w14:paraId="44D50D5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2021.6.28</w:t>
                  </w:r>
                </w:p>
              </w:tc>
              <w:tc>
                <w:tcPr>
                  <w:tcW w:w="1034" w:type="dxa"/>
                  <w:noWrap w:val="0"/>
                  <w:vAlign w:val="center"/>
                </w:tcPr>
                <w:p w14:paraId="523C5FB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13:15-</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14:15</w:t>
                  </w:r>
                </w:p>
              </w:tc>
              <w:tc>
                <w:tcPr>
                  <w:tcW w:w="1185" w:type="dxa"/>
                  <w:noWrap w:val="0"/>
                  <w:vAlign w:val="center"/>
                </w:tcPr>
                <w:p w14:paraId="604F586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076" w:type="dxa"/>
                  <w:noWrap w:val="0"/>
                  <w:vAlign w:val="center"/>
                </w:tcPr>
                <w:p w14:paraId="41030E2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166" w:type="dxa"/>
                  <w:noWrap w:val="0"/>
                  <w:vAlign w:val="center"/>
                </w:tcPr>
                <w:p w14:paraId="5D0E526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0.04</w:t>
                  </w:r>
                </w:p>
              </w:tc>
              <w:tc>
                <w:tcPr>
                  <w:tcW w:w="1129" w:type="dxa"/>
                  <w:tcBorders>
                    <w:top w:val="single" w:color="auto" w:sz="4" w:space="0"/>
                  </w:tcBorders>
                  <w:noWrap w:val="0"/>
                  <w:vAlign w:val="center"/>
                </w:tcPr>
                <w:p w14:paraId="11C6606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205" w:type="dxa"/>
                  <w:vMerge w:val="restart"/>
                  <w:tcBorders>
                    <w:top w:val="single" w:color="auto" w:sz="4" w:space="0"/>
                  </w:tcBorders>
                  <w:noWrap w:val="0"/>
                  <w:vAlign w:val="center"/>
                </w:tcPr>
                <w:p w14:paraId="7FCA2E3E">
                  <w:pPr>
                    <w:spacing w:before="57" w:line="195" w:lineRule="auto"/>
                    <w:jc w:val="center"/>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1"/>
                      <w:sz w:val="20"/>
                      <w:szCs w:val="20"/>
                      <w:highlight w:val="none"/>
                    </w:rPr>
                    <w:t>0.2</w:t>
                  </w:r>
                </w:p>
              </w:tc>
              <w:tc>
                <w:tcPr>
                  <w:tcW w:w="605" w:type="dxa"/>
                  <w:noWrap w:val="0"/>
                  <w:vAlign w:val="center"/>
                </w:tcPr>
                <w:p w14:paraId="48D74D48">
                  <w:pPr>
                    <w:pStyle w:val="25"/>
                    <w:spacing w:before="134" w:line="229" w:lineRule="auto"/>
                    <w:ind w:left="166"/>
                    <w:jc w:val="center"/>
                    <w:rPr>
                      <w:color w:val="000000"/>
                      <w:sz w:val="20"/>
                      <w:szCs w:val="20"/>
                      <w:highlight w:val="none"/>
                    </w:rPr>
                  </w:pPr>
                  <w:r>
                    <w:rPr>
                      <w:color w:val="000000"/>
                      <w:spacing w:val="5"/>
                      <w:sz w:val="20"/>
                      <w:szCs w:val="20"/>
                      <w:highlight w:val="none"/>
                    </w:rPr>
                    <w:t>达标</w:t>
                  </w:r>
                </w:p>
              </w:tc>
            </w:tr>
            <w:tr w14:paraId="01DF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continue"/>
                  <w:noWrap w:val="0"/>
                  <w:vAlign w:val="center"/>
                </w:tcPr>
                <w:p w14:paraId="4CC3E16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45C3471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14:21-</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15:21</w:t>
                  </w:r>
                </w:p>
              </w:tc>
              <w:tc>
                <w:tcPr>
                  <w:tcW w:w="1185" w:type="dxa"/>
                  <w:noWrap w:val="0"/>
                  <w:vAlign w:val="center"/>
                </w:tcPr>
                <w:p w14:paraId="1118D90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076" w:type="dxa"/>
                  <w:noWrap w:val="0"/>
                  <w:vAlign w:val="center"/>
                </w:tcPr>
                <w:p w14:paraId="6470F97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166" w:type="dxa"/>
                  <w:noWrap w:val="0"/>
                  <w:vAlign w:val="center"/>
                </w:tcPr>
                <w:p w14:paraId="0D08A90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0.06</w:t>
                  </w:r>
                </w:p>
              </w:tc>
              <w:tc>
                <w:tcPr>
                  <w:tcW w:w="1129" w:type="dxa"/>
                  <w:noWrap w:val="0"/>
                  <w:vAlign w:val="center"/>
                </w:tcPr>
                <w:p w14:paraId="2A9328F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0.06</w:t>
                  </w:r>
                </w:p>
              </w:tc>
              <w:tc>
                <w:tcPr>
                  <w:tcW w:w="1205" w:type="dxa"/>
                  <w:vMerge w:val="continue"/>
                  <w:noWrap w:val="0"/>
                  <w:vAlign w:val="center"/>
                </w:tcPr>
                <w:p w14:paraId="5BEC9836">
                  <w:pPr>
                    <w:jc w:val="center"/>
                    <w:rPr>
                      <w:rFonts w:ascii="Arial"/>
                      <w:color w:val="000000"/>
                      <w:sz w:val="21"/>
                      <w:highlight w:val="none"/>
                    </w:rPr>
                  </w:pPr>
                </w:p>
              </w:tc>
              <w:tc>
                <w:tcPr>
                  <w:tcW w:w="605" w:type="dxa"/>
                  <w:noWrap w:val="0"/>
                  <w:vAlign w:val="center"/>
                </w:tcPr>
                <w:p w14:paraId="2230BF8D">
                  <w:pPr>
                    <w:pStyle w:val="25"/>
                    <w:spacing w:before="134" w:line="229" w:lineRule="auto"/>
                    <w:ind w:left="166"/>
                    <w:jc w:val="center"/>
                    <w:rPr>
                      <w:color w:val="000000"/>
                      <w:sz w:val="20"/>
                      <w:szCs w:val="20"/>
                      <w:highlight w:val="none"/>
                    </w:rPr>
                  </w:pPr>
                  <w:r>
                    <w:rPr>
                      <w:color w:val="000000"/>
                      <w:spacing w:val="5"/>
                      <w:sz w:val="20"/>
                      <w:szCs w:val="20"/>
                      <w:highlight w:val="none"/>
                    </w:rPr>
                    <w:t>达标</w:t>
                  </w:r>
                </w:p>
              </w:tc>
            </w:tr>
            <w:tr w14:paraId="190D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continue"/>
                  <w:noWrap w:val="0"/>
                  <w:vAlign w:val="center"/>
                </w:tcPr>
                <w:p w14:paraId="7BE0449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3232D38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15:30-</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16:30</w:t>
                  </w:r>
                </w:p>
              </w:tc>
              <w:tc>
                <w:tcPr>
                  <w:tcW w:w="1185" w:type="dxa"/>
                  <w:noWrap w:val="0"/>
                  <w:vAlign w:val="center"/>
                </w:tcPr>
                <w:p w14:paraId="43146C7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076" w:type="dxa"/>
                  <w:noWrap w:val="0"/>
                  <w:vAlign w:val="center"/>
                </w:tcPr>
                <w:p w14:paraId="46E994C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166" w:type="dxa"/>
                  <w:noWrap w:val="0"/>
                  <w:vAlign w:val="center"/>
                </w:tcPr>
                <w:p w14:paraId="47D3BEB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129" w:type="dxa"/>
                  <w:noWrap w:val="0"/>
                  <w:vAlign w:val="center"/>
                </w:tcPr>
                <w:p w14:paraId="0813ADB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205" w:type="dxa"/>
                  <w:vMerge w:val="continue"/>
                  <w:noWrap w:val="0"/>
                  <w:vAlign w:val="center"/>
                </w:tcPr>
                <w:p w14:paraId="23C06B7D">
                  <w:pPr>
                    <w:jc w:val="center"/>
                    <w:rPr>
                      <w:rFonts w:ascii="Arial"/>
                      <w:color w:val="000000"/>
                      <w:sz w:val="21"/>
                      <w:highlight w:val="none"/>
                    </w:rPr>
                  </w:pPr>
                </w:p>
              </w:tc>
              <w:tc>
                <w:tcPr>
                  <w:tcW w:w="605" w:type="dxa"/>
                  <w:noWrap w:val="0"/>
                  <w:vAlign w:val="center"/>
                </w:tcPr>
                <w:p w14:paraId="6DA61AF2">
                  <w:pPr>
                    <w:pStyle w:val="25"/>
                    <w:spacing w:before="138" w:line="229" w:lineRule="auto"/>
                    <w:ind w:left="128"/>
                    <w:jc w:val="center"/>
                    <w:rPr>
                      <w:color w:val="000000"/>
                      <w:sz w:val="20"/>
                      <w:szCs w:val="20"/>
                      <w:highlight w:val="none"/>
                    </w:rPr>
                  </w:pPr>
                  <w:r>
                    <w:rPr>
                      <w:color w:val="000000"/>
                      <w:spacing w:val="5"/>
                      <w:sz w:val="20"/>
                      <w:szCs w:val="20"/>
                      <w:highlight w:val="none"/>
                    </w:rPr>
                    <w:t>达标</w:t>
                  </w:r>
                </w:p>
              </w:tc>
            </w:tr>
            <w:tr w14:paraId="62FA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continue"/>
                  <w:noWrap w:val="0"/>
                  <w:vAlign w:val="center"/>
                </w:tcPr>
                <w:p w14:paraId="0C554A1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79D59A4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16:36-</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17:36</w:t>
                  </w:r>
                </w:p>
              </w:tc>
              <w:tc>
                <w:tcPr>
                  <w:tcW w:w="1185" w:type="dxa"/>
                  <w:noWrap w:val="0"/>
                  <w:vAlign w:val="center"/>
                </w:tcPr>
                <w:p w14:paraId="572CAED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076" w:type="dxa"/>
                  <w:noWrap w:val="0"/>
                  <w:vAlign w:val="center"/>
                </w:tcPr>
                <w:p w14:paraId="13DD709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166" w:type="dxa"/>
                  <w:noWrap w:val="0"/>
                  <w:vAlign w:val="center"/>
                </w:tcPr>
                <w:p w14:paraId="580ACF4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129" w:type="dxa"/>
                  <w:noWrap w:val="0"/>
                  <w:vAlign w:val="center"/>
                </w:tcPr>
                <w:p w14:paraId="76B71BE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205" w:type="dxa"/>
                  <w:vMerge w:val="continue"/>
                  <w:noWrap w:val="0"/>
                  <w:vAlign w:val="center"/>
                </w:tcPr>
                <w:p w14:paraId="1564F464">
                  <w:pPr>
                    <w:jc w:val="center"/>
                    <w:rPr>
                      <w:rFonts w:ascii="Arial"/>
                      <w:color w:val="000000"/>
                      <w:sz w:val="21"/>
                      <w:highlight w:val="none"/>
                    </w:rPr>
                  </w:pPr>
                </w:p>
              </w:tc>
              <w:tc>
                <w:tcPr>
                  <w:tcW w:w="605" w:type="dxa"/>
                  <w:noWrap w:val="0"/>
                  <w:vAlign w:val="center"/>
                </w:tcPr>
                <w:p w14:paraId="2EF46535">
                  <w:pPr>
                    <w:pStyle w:val="25"/>
                    <w:spacing w:before="133" w:line="229" w:lineRule="auto"/>
                    <w:ind w:left="128"/>
                    <w:jc w:val="center"/>
                    <w:rPr>
                      <w:color w:val="000000"/>
                      <w:sz w:val="20"/>
                      <w:szCs w:val="20"/>
                      <w:highlight w:val="none"/>
                    </w:rPr>
                  </w:pPr>
                  <w:r>
                    <w:rPr>
                      <w:color w:val="000000"/>
                      <w:spacing w:val="5"/>
                      <w:sz w:val="20"/>
                      <w:szCs w:val="20"/>
                      <w:highlight w:val="none"/>
                    </w:rPr>
                    <w:t>达标</w:t>
                  </w:r>
                </w:p>
              </w:tc>
            </w:tr>
            <w:tr w14:paraId="5936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restart"/>
                  <w:noWrap w:val="0"/>
                  <w:vAlign w:val="center"/>
                </w:tcPr>
                <w:p w14:paraId="0FD5685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2021.6.29</w:t>
                  </w:r>
                </w:p>
              </w:tc>
              <w:tc>
                <w:tcPr>
                  <w:tcW w:w="1034" w:type="dxa"/>
                  <w:noWrap w:val="0"/>
                  <w:vAlign w:val="center"/>
                </w:tcPr>
                <w:p w14:paraId="183589D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08:45-09:45</w:t>
                  </w:r>
                </w:p>
              </w:tc>
              <w:tc>
                <w:tcPr>
                  <w:tcW w:w="1185" w:type="dxa"/>
                  <w:noWrap w:val="0"/>
                  <w:vAlign w:val="center"/>
                </w:tcPr>
                <w:p w14:paraId="3114682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076" w:type="dxa"/>
                  <w:noWrap w:val="0"/>
                  <w:vAlign w:val="center"/>
                </w:tcPr>
                <w:p w14:paraId="20E8BAF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166" w:type="dxa"/>
                  <w:noWrap w:val="0"/>
                  <w:vAlign w:val="center"/>
                </w:tcPr>
                <w:p w14:paraId="39986E4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129" w:type="dxa"/>
                  <w:noWrap w:val="0"/>
                  <w:vAlign w:val="center"/>
                </w:tcPr>
                <w:p w14:paraId="593330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205" w:type="dxa"/>
                  <w:vMerge w:val="continue"/>
                  <w:noWrap w:val="0"/>
                  <w:vAlign w:val="center"/>
                </w:tcPr>
                <w:p w14:paraId="622B765A">
                  <w:pPr>
                    <w:spacing w:before="58" w:line="195" w:lineRule="auto"/>
                    <w:ind w:left="544"/>
                    <w:jc w:val="center"/>
                    <w:rPr>
                      <w:rFonts w:ascii="Times New Roman" w:hAnsi="Times New Roman" w:eastAsia="Times New Roman" w:cs="Times New Roman"/>
                      <w:color w:val="000000"/>
                      <w:sz w:val="20"/>
                      <w:szCs w:val="20"/>
                      <w:highlight w:val="none"/>
                    </w:rPr>
                  </w:pPr>
                </w:p>
              </w:tc>
              <w:tc>
                <w:tcPr>
                  <w:tcW w:w="605" w:type="dxa"/>
                  <w:noWrap w:val="0"/>
                  <w:vAlign w:val="center"/>
                </w:tcPr>
                <w:p w14:paraId="399C562A">
                  <w:pPr>
                    <w:pStyle w:val="25"/>
                    <w:spacing w:before="132" w:line="229" w:lineRule="auto"/>
                    <w:ind w:left="130"/>
                    <w:jc w:val="center"/>
                    <w:rPr>
                      <w:color w:val="000000"/>
                      <w:sz w:val="20"/>
                      <w:szCs w:val="20"/>
                      <w:highlight w:val="none"/>
                    </w:rPr>
                  </w:pPr>
                  <w:r>
                    <w:rPr>
                      <w:color w:val="000000"/>
                      <w:spacing w:val="5"/>
                      <w:sz w:val="20"/>
                      <w:szCs w:val="20"/>
                      <w:highlight w:val="none"/>
                    </w:rPr>
                    <w:t>达标</w:t>
                  </w:r>
                </w:p>
              </w:tc>
            </w:tr>
            <w:tr w14:paraId="38A7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continue"/>
                  <w:noWrap w:val="0"/>
                  <w:vAlign w:val="center"/>
                </w:tcPr>
                <w:p w14:paraId="707CCA6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6D748D4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3"/>
                      <w:sz w:val="18"/>
                      <w:szCs w:val="18"/>
                      <w:highlight w:val="none"/>
                    </w:rPr>
                    <w:t>09:51-</w:t>
                  </w:r>
                  <w:r>
                    <w:rPr>
                      <w:rFonts w:ascii="Times New Roman" w:hAnsi="Times New Roman" w:eastAsia="Times New Roman" w:cs="Times New Roman"/>
                      <w:color w:val="000000"/>
                      <w:spacing w:val="-18"/>
                      <w:sz w:val="18"/>
                      <w:szCs w:val="18"/>
                      <w:highlight w:val="none"/>
                    </w:rPr>
                    <w:t xml:space="preserve"> </w:t>
                  </w:r>
                  <w:r>
                    <w:rPr>
                      <w:rFonts w:ascii="Times New Roman" w:hAnsi="Times New Roman" w:eastAsia="Times New Roman" w:cs="Times New Roman"/>
                      <w:color w:val="000000"/>
                      <w:spacing w:val="-3"/>
                      <w:sz w:val="18"/>
                      <w:szCs w:val="18"/>
                      <w:highlight w:val="none"/>
                    </w:rPr>
                    <w:t>10:51</w:t>
                  </w:r>
                </w:p>
              </w:tc>
              <w:tc>
                <w:tcPr>
                  <w:tcW w:w="1185" w:type="dxa"/>
                  <w:noWrap w:val="0"/>
                  <w:vAlign w:val="center"/>
                </w:tcPr>
                <w:p w14:paraId="3C483A1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0.06</w:t>
                  </w:r>
                </w:p>
              </w:tc>
              <w:tc>
                <w:tcPr>
                  <w:tcW w:w="1076" w:type="dxa"/>
                  <w:noWrap w:val="0"/>
                  <w:vAlign w:val="center"/>
                </w:tcPr>
                <w:p w14:paraId="184ADBE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166" w:type="dxa"/>
                  <w:noWrap w:val="0"/>
                  <w:vAlign w:val="center"/>
                </w:tcPr>
                <w:p w14:paraId="550B369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0.05</w:t>
                  </w:r>
                </w:p>
              </w:tc>
              <w:tc>
                <w:tcPr>
                  <w:tcW w:w="1129" w:type="dxa"/>
                  <w:noWrap w:val="0"/>
                  <w:vAlign w:val="center"/>
                </w:tcPr>
                <w:p w14:paraId="20AD080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0.06</w:t>
                  </w:r>
                </w:p>
              </w:tc>
              <w:tc>
                <w:tcPr>
                  <w:tcW w:w="1205" w:type="dxa"/>
                  <w:vMerge w:val="continue"/>
                  <w:noWrap w:val="0"/>
                  <w:vAlign w:val="center"/>
                </w:tcPr>
                <w:p w14:paraId="4D4B38A6">
                  <w:pPr>
                    <w:jc w:val="center"/>
                    <w:rPr>
                      <w:rFonts w:ascii="Arial"/>
                      <w:color w:val="000000"/>
                      <w:sz w:val="21"/>
                      <w:highlight w:val="none"/>
                    </w:rPr>
                  </w:pPr>
                </w:p>
              </w:tc>
              <w:tc>
                <w:tcPr>
                  <w:tcW w:w="605" w:type="dxa"/>
                  <w:noWrap w:val="0"/>
                  <w:vAlign w:val="center"/>
                </w:tcPr>
                <w:p w14:paraId="76E0E414">
                  <w:pPr>
                    <w:pStyle w:val="25"/>
                    <w:spacing w:before="132" w:line="229" w:lineRule="auto"/>
                    <w:ind w:left="130"/>
                    <w:jc w:val="center"/>
                    <w:rPr>
                      <w:color w:val="000000"/>
                      <w:sz w:val="20"/>
                      <w:szCs w:val="20"/>
                      <w:highlight w:val="none"/>
                    </w:rPr>
                  </w:pPr>
                  <w:r>
                    <w:rPr>
                      <w:color w:val="000000"/>
                      <w:spacing w:val="5"/>
                      <w:sz w:val="20"/>
                      <w:szCs w:val="20"/>
                      <w:highlight w:val="none"/>
                    </w:rPr>
                    <w:t>达标</w:t>
                  </w:r>
                </w:p>
              </w:tc>
            </w:tr>
            <w:tr w14:paraId="47D2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56" w:type="dxa"/>
                  <w:vMerge w:val="continue"/>
                  <w:noWrap w:val="0"/>
                  <w:vAlign w:val="center"/>
                </w:tcPr>
                <w:p w14:paraId="677B3EB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70639AA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5"/>
                      <w:sz w:val="18"/>
                      <w:szCs w:val="18"/>
                      <w:highlight w:val="none"/>
                    </w:rPr>
                    <w:t>10:55-</w:t>
                  </w:r>
                  <w:r>
                    <w:rPr>
                      <w:rFonts w:ascii="Times New Roman" w:hAnsi="Times New Roman" w:eastAsia="Times New Roman" w:cs="Times New Roman"/>
                      <w:color w:val="000000"/>
                      <w:spacing w:val="-18"/>
                      <w:sz w:val="18"/>
                      <w:szCs w:val="18"/>
                      <w:highlight w:val="none"/>
                    </w:rPr>
                    <w:t xml:space="preserve"> </w:t>
                  </w:r>
                  <w:r>
                    <w:rPr>
                      <w:rFonts w:ascii="Times New Roman" w:hAnsi="Times New Roman" w:eastAsia="Times New Roman" w:cs="Times New Roman"/>
                      <w:color w:val="000000"/>
                      <w:spacing w:val="-5"/>
                      <w:sz w:val="18"/>
                      <w:szCs w:val="18"/>
                      <w:highlight w:val="none"/>
                    </w:rPr>
                    <w:t>11:55</w:t>
                  </w:r>
                </w:p>
              </w:tc>
              <w:tc>
                <w:tcPr>
                  <w:tcW w:w="1185" w:type="dxa"/>
                  <w:noWrap w:val="0"/>
                  <w:vAlign w:val="center"/>
                </w:tcPr>
                <w:p w14:paraId="2F08A33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076" w:type="dxa"/>
                  <w:noWrap w:val="0"/>
                  <w:vAlign w:val="center"/>
                </w:tcPr>
                <w:p w14:paraId="7FF8BC8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166" w:type="dxa"/>
                  <w:noWrap w:val="0"/>
                  <w:vAlign w:val="center"/>
                </w:tcPr>
                <w:p w14:paraId="6C8CF06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129" w:type="dxa"/>
                  <w:noWrap w:val="0"/>
                  <w:vAlign w:val="center"/>
                </w:tcPr>
                <w:p w14:paraId="16A5F01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0.07</w:t>
                  </w:r>
                </w:p>
              </w:tc>
              <w:tc>
                <w:tcPr>
                  <w:tcW w:w="1205" w:type="dxa"/>
                  <w:vMerge w:val="continue"/>
                  <w:noWrap w:val="0"/>
                  <w:vAlign w:val="center"/>
                </w:tcPr>
                <w:p w14:paraId="22369D55">
                  <w:pPr>
                    <w:jc w:val="center"/>
                    <w:rPr>
                      <w:rFonts w:ascii="Arial"/>
                      <w:color w:val="000000"/>
                      <w:sz w:val="21"/>
                      <w:highlight w:val="none"/>
                    </w:rPr>
                  </w:pPr>
                </w:p>
              </w:tc>
              <w:tc>
                <w:tcPr>
                  <w:tcW w:w="605" w:type="dxa"/>
                  <w:noWrap w:val="0"/>
                  <w:vAlign w:val="center"/>
                </w:tcPr>
                <w:p w14:paraId="75FD491D">
                  <w:pPr>
                    <w:pStyle w:val="25"/>
                    <w:spacing w:before="132" w:line="229" w:lineRule="auto"/>
                    <w:ind w:left="130"/>
                    <w:jc w:val="center"/>
                    <w:rPr>
                      <w:color w:val="000000"/>
                      <w:sz w:val="20"/>
                      <w:szCs w:val="20"/>
                      <w:highlight w:val="none"/>
                    </w:rPr>
                  </w:pPr>
                  <w:r>
                    <w:rPr>
                      <w:color w:val="000000"/>
                      <w:spacing w:val="5"/>
                      <w:sz w:val="20"/>
                      <w:szCs w:val="20"/>
                      <w:highlight w:val="none"/>
                    </w:rPr>
                    <w:t>达标</w:t>
                  </w:r>
                </w:p>
              </w:tc>
            </w:tr>
            <w:tr w14:paraId="56C5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956" w:type="dxa"/>
                  <w:vMerge w:val="continue"/>
                  <w:noWrap w:val="0"/>
                  <w:vAlign w:val="center"/>
                </w:tcPr>
                <w:p w14:paraId="0D2CA23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4" w:type="dxa"/>
                  <w:noWrap w:val="0"/>
                  <w:vAlign w:val="center"/>
                </w:tcPr>
                <w:p w14:paraId="30E97F0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12:00-</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13:00</w:t>
                  </w:r>
                </w:p>
              </w:tc>
              <w:tc>
                <w:tcPr>
                  <w:tcW w:w="1185" w:type="dxa"/>
                  <w:noWrap w:val="0"/>
                  <w:vAlign w:val="center"/>
                </w:tcPr>
                <w:p w14:paraId="72D0245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076" w:type="dxa"/>
                  <w:noWrap w:val="0"/>
                  <w:vAlign w:val="center"/>
                </w:tcPr>
                <w:p w14:paraId="23D563D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166" w:type="dxa"/>
                  <w:noWrap w:val="0"/>
                  <w:vAlign w:val="center"/>
                </w:tcPr>
                <w:p w14:paraId="378D5D5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129" w:type="dxa"/>
                  <w:noWrap w:val="0"/>
                  <w:vAlign w:val="center"/>
                </w:tcPr>
                <w:p w14:paraId="439B08B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0.08</w:t>
                  </w:r>
                </w:p>
              </w:tc>
              <w:tc>
                <w:tcPr>
                  <w:tcW w:w="1205" w:type="dxa"/>
                  <w:vMerge w:val="continue"/>
                  <w:noWrap w:val="0"/>
                  <w:vAlign w:val="center"/>
                </w:tcPr>
                <w:p w14:paraId="0EE7BFE2">
                  <w:pPr>
                    <w:jc w:val="center"/>
                    <w:rPr>
                      <w:rFonts w:ascii="Arial"/>
                      <w:color w:val="000000"/>
                      <w:sz w:val="21"/>
                      <w:highlight w:val="none"/>
                    </w:rPr>
                  </w:pPr>
                </w:p>
              </w:tc>
              <w:tc>
                <w:tcPr>
                  <w:tcW w:w="605" w:type="dxa"/>
                  <w:noWrap w:val="0"/>
                  <w:vAlign w:val="center"/>
                </w:tcPr>
                <w:p w14:paraId="61B7D07D">
                  <w:pPr>
                    <w:pStyle w:val="25"/>
                    <w:spacing w:before="135" w:line="229" w:lineRule="auto"/>
                    <w:ind w:left="130"/>
                    <w:jc w:val="center"/>
                    <w:rPr>
                      <w:color w:val="000000"/>
                      <w:sz w:val="20"/>
                      <w:szCs w:val="20"/>
                      <w:highlight w:val="none"/>
                    </w:rPr>
                  </w:pPr>
                  <w:r>
                    <w:rPr>
                      <w:color w:val="000000"/>
                      <w:spacing w:val="5"/>
                      <w:sz w:val="20"/>
                      <w:szCs w:val="20"/>
                      <w:highlight w:val="none"/>
                    </w:rPr>
                    <w:t>达标</w:t>
                  </w:r>
                </w:p>
              </w:tc>
            </w:tr>
          </w:tbl>
          <w:p w14:paraId="2C2E5102">
            <w:pPr>
              <w:pStyle w:val="33"/>
              <w:ind w:firstLine="480"/>
              <w:jc w:val="center"/>
              <w:rPr>
                <w:rFonts w:hint="eastAsia" w:eastAsia="宋体"/>
                <w:color w:val="000000"/>
                <w:highlight w:val="none"/>
                <w:lang w:val="en-US" w:eastAsia="zh-CN"/>
              </w:rPr>
            </w:pPr>
            <w:r>
              <w:rPr>
                <w:rFonts w:hint="eastAsia"/>
                <w:b/>
                <w:bCs/>
                <w:color w:val="000000"/>
                <w:highlight w:val="none"/>
                <w:lang w:val="en-US" w:eastAsia="zh-CN"/>
              </w:rPr>
              <w:t>表4-2 硫化氢验收监测结果一览表</w:t>
            </w:r>
          </w:p>
          <w:tbl>
            <w:tblPr>
              <w:tblStyle w:val="24"/>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3"/>
              <w:gridCol w:w="1037"/>
              <w:gridCol w:w="1189"/>
              <w:gridCol w:w="1113"/>
              <w:gridCol w:w="1170"/>
              <w:gridCol w:w="1132"/>
              <w:gridCol w:w="1209"/>
              <w:gridCol w:w="604"/>
            </w:tblGrid>
            <w:tr w14:paraId="6BC8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0" w:type="dxa"/>
                  <w:gridSpan w:val="2"/>
                  <w:tcBorders>
                    <w:tl2br w:val="single" w:color="000000" w:sz="4" w:space="0"/>
                  </w:tcBorders>
                  <w:noWrap w:val="0"/>
                  <w:vAlign w:val="center"/>
                </w:tcPr>
                <w:p w14:paraId="655708D2">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rFonts w:hint="eastAsia" w:eastAsia="宋体"/>
                      <w:color w:val="000000"/>
                      <w:spacing w:val="8"/>
                      <w:sz w:val="20"/>
                      <w:szCs w:val="20"/>
                      <w:highlight w:val="none"/>
                      <w:lang w:val="en-US" w:eastAsia="zh-CN"/>
                    </w:rPr>
                    <w:t xml:space="preserve">         </w:t>
                  </w:r>
                  <w:r>
                    <w:rPr>
                      <w:color w:val="000000"/>
                      <w:spacing w:val="8"/>
                      <w:sz w:val="20"/>
                      <w:szCs w:val="20"/>
                      <w:highlight w:val="none"/>
                    </w:rPr>
                    <w:t>检测点位</w:t>
                  </w:r>
                </w:p>
                <w:p w14:paraId="35B22C89">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p>
                <w:p w14:paraId="0498DB0D">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color w:val="000000"/>
                      <w:sz w:val="20"/>
                      <w:szCs w:val="20"/>
                      <w:highlight w:val="none"/>
                    </w:rPr>
                  </w:pPr>
                  <w:r>
                    <w:rPr>
                      <w:color w:val="000000"/>
                      <w:sz w:val="20"/>
                      <w:szCs w:val="20"/>
                      <w:highlight w:val="none"/>
                    </w:rPr>
                    <w:t>采样</w:t>
                  </w:r>
                  <w:r>
                    <w:rPr>
                      <w:color w:val="000000"/>
                      <w:spacing w:val="1"/>
                      <w:sz w:val="20"/>
                      <w:szCs w:val="20"/>
                      <w:highlight w:val="none"/>
                    </w:rPr>
                    <w:t>日期及时间</w:t>
                  </w:r>
                </w:p>
              </w:tc>
              <w:tc>
                <w:tcPr>
                  <w:tcW w:w="1189" w:type="dxa"/>
                  <w:noWrap w:val="0"/>
                  <w:vAlign w:val="center"/>
                </w:tcPr>
                <w:p w14:paraId="2991BD85">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厂界东</w:t>
                  </w:r>
                </w:p>
              </w:tc>
              <w:tc>
                <w:tcPr>
                  <w:tcW w:w="1113" w:type="dxa"/>
                  <w:noWrap w:val="0"/>
                  <w:vAlign w:val="center"/>
                </w:tcPr>
                <w:p w14:paraId="06B09924">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厂界南</w:t>
                  </w:r>
                </w:p>
              </w:tc>
              <w:tc>
                <w:tcPr>
                  <w:tcW w:w="1170" w:type="dxa"/>
                  <w:noWrap w:val="0"/>
                  <w:vAlign w:val="center"/>
                </w:tcPr>
                <w:p w14:paraId="18849E66">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厂界西</w:t>
                  </w:r>
                </w:p>
              </w:tc>
              <w:tc>
                <w:tcPr>
                  <w:tcW w:w="1132" w:type="dxa"/>
                  <w:noWrap w:val="0"/>
                  <w:vAlign w:val="center"/>
                </w:tcPr>
                <w:p w14:paraId="7D7BEBA4">
                  <w:pPr>
                    <w:bidi w:val="0"/>
                    <w:jc w:val="center"/>
                    <w:rPr>
                      <w:color w:val="000000"/>
                      <w:highlight w:val="none"/>
                    </w:rPr>
                  </w:pPr>
                  <w:r>
                    <w:rPr>
                      <w:color w:val="000000"/>
                      <w:highlight w:val="none"/>
                    </w:rPr>
                    <w:t>厂界北</w:t>
                  </w:r>
                </w:p>
              </w:tc>
              <w:tc>
                <w:tcPr>
                  <w:tcW w:w="1209" w:type="dxa"/>
                  <w:noWrap w:val="0"/>
                  <w:vAlign w:val="center"/>
                </w:tcPr>
                <w:p w14:paraId="02DB4AD6">
                  <w:pPr>
                    <w:bidi w:val="0"/>
                    <w:jc w:val="center"/>
                    <w:rPr>
                      <w:color w:val="000000"/>
                      <w:highlight w:val="none"/>
                    </w:rPr>
                  </w:pPr>
                  <w:r>
                    <w:rPr>
                      <w:color w:val="000000"/>
                      <w:highlight w:val="none"/>
                    </w:rPr>
                    <w:t>执行标准限</w:t>
                  </w:r>
                </w:p>
                <w:p w14:paraId="56745636">
                  <w:pPr>
                    <w:bidi w:val="0"/>
                    <w:jc w:val="center"/>
                    <w:rPr>
                      <w:color w:val="000000"/>
                      <w:highlight w:val="none"/>
                    </w:rPr>
                  </w:pPr>
                  <w:r>
                    <w:rPr>
                      <w:color w:val="000000"/>
                      <w:highlight w:val="none"/>
                    </w:rPr>
                    <w:t>值（mg/m</w:t>
                  </w:r>
                  <w:r>
                    <w:rPr>
                      <w:color w:val="000000"/>
                      <w:highlight w:val="none"/>
                      <w:vertAlign w:val="superscript"/>
                    </w:rPr>
                    <w:t>3</w:t>
                  </w:r>
                  <w:r>
                    <w:rPr>
                      <w:color w:val="000000"/>
                      <w:highlight w:val="none"/>
                    </w:rPr>
                    <w:t>）</w:t>
                  </w:r>
                </w:p>
              </w:tc>
              <w:tc>
                <w:tcPr>
                  <w:tcW w:w="604" w:type="dxa"/>
                  <w:noWrap w:val="0"/>
                  <w:vAlign w:val="center"/>
                </w:tcPr>
                <w:p w14:paraId="6BDB24D2">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outlineLvl w:val="0"/>
                    <w:rPr>
                      <w:color w:val="000000"/>
                      <w:sz w:val="20"/>
                      <w:szCs w:val="20"/>
                      <w:highlight w:val="none"/>
                    </w:rPr>
                  </w:pPr>
                  <w:r>
                    <w:rPr>
                      <w:color w:val="000000"/>
                      <w:spacing w:val="6"/>
                      <w:sz w:val="20"/>
                      <w:szCs w:val="20"/>
                      <w:highlight w:val="none"/>
                    </w:rPr>
                    <w:t>达标</w:t>
                  </w:r>
                </w:p>
                <w:p w14:paraId="69A0EF9B">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6"/>
                      <w:sz w:val="20"/>
                      <w:szCs w:val="20"/>
                      <w:highlight w:val="none"/>
                    </w:rPr>
                    <w:t>情况</w:t>
                  </w:r>
                </w:p>
              </w:tc>
            </w:tr>
            <w:tr w14:paraId="25A0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restart"/>
                  <w:noWrap w:val="0"/>
                  <w:vAlign w:val="center"/>
                </w:tcPr>
                <w:p w14:paraId="719B391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2021.6.28</w:t>
                  </w:r>
                </w:p>
              </w:tc>
              <w:tc>
                <w:tcPr>
                  <w:tcW w:w="1037" w:type="dxa"/>
                  <w:noWrap w:val="0"/>
                  <w:vAlign w:val="center"/>
                </w:tcPr>
                <w:p w14:paraId="52CF05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13:15-</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14:15</w:t>
                  </w:r>
                </w:p>
              </w:tc>
              <w:tc>
                <w:tcPr>
                  <w:tcW w:w="1189" w:type="dxa"/>
                  <w:noWrap w:val="0"/>
                  <w:vAlign w:val="center"/>
                </w:tcPr>
                <w:p w14:paraId="0FF27A5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3AAE1EB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0.003</w:t>
                  </w:r>
                </w:p>
              </w:tc>
              <w:tc>
                <w:tcPr>
                  <w:tcW w:w="1170" w:type="dxa"/>
                  <w:noWrap w:val="0"/>
                  <w:vAlign w:val="center"/>
                </w:tcPr>
                <w:p w14:paraId="1B2CE1A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7"/>
                      <w:sz w:val="20"/>
                      <w:szCs w:val="20"/>
                      <w:highlight w:val="none"/>
                    </w:rPr>
                    <w:t>ND</w:t>
                  </w:r>
                </w:p>
              </w:tc>
              <w:tc>
                <w:tcPr>
                  <w:tcW w:w="1132" w:type="dxa"/>
                  <w:noWrap w:val="0"/>
                  <w:vAlign w:val="center"/>
                </w:tcPr>
                <w:p w14:paraId="3772A5E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0.002</w:t>
                  </w:r>
                </w:p>
              </w:tc>
              <w:tc>
                <w:tcPr>
                  <w:tcW w:w="1209" w:type="dxa"/>
                  <w:vMerge w:val="restart"/>
                  <w:noWrap w:val="0"/>
                  <w:vAlign w:val="center"/>
                </w:tcPr>
                <w:p w14:paraId="395569F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0.01</w:t>
                  </w:r>
                </w:p>
              </w:tc>
              <w:tc>
                <w:tcPr>
                  <w:tcW w:w="604" w:type="dxa"/>
                  <w:noWrap w:val="0"/>
                  <w:vAlign w:val="center"/>
                </w:tcPr>
                <w:p w14:paraId="59BADCFA">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21F0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continue"/>
                  <w:noWrap w:val="0"/>
                  <w:vAlign w:val="center"/>
                </w:tcPr>
                <w:p w14:paraId="6D64092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43F722F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14:21-</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15:21</w:t>
                  </w:r>
                </w:p>
              </w:tc>
              <w:tc>
                <w:tcPr>
                  <w:tcW w:w="1189" w:type="dxa"/>
                  <w:noWrap w:val="0"/>
                  <w:vAlign w:val="center"/>
                </w:tcPr>
                <w:p w14:paraId="04B4A3A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0.001</w:t>
                  </w:r>
                </w:p>
              </w:tc>
              <w:tc>
                <w:tcPr>
                  <w:tcW w:w="1113" w:type="dxa"/>
                  <w:noWrap w:val="0"/>
                  <w:vAlign w:val="center"/>
                </w:tcPr>
                <w:p w14:paraId="6C4FE9E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70" w:type="dxa"/>
                  <w:noWrap w:val="0"/>
                  <w:vAlign w:val="center"/>
                </w:tcPr>
                <w:p w14:paraId="19C86CC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7"/>
                      <w:sz w:val="20"/>
                      <w:szCs w:val="20"/>
                      <w:highlight w:val="none"/>
                    </w:rPr>
                    <w:t>ND</w:t>
                  </w:r>
                </w:p>
              </w:tc>
              <w:tc>
                <w:tcPr>
                  <w:tcW w:w="1132" w:type="dxa"/>
                  <w:noWrap w:val="0"/>
                  <w:vAlign w:val="center"/>
                </w:tcPr>
                <w:p w14:paraId="0F603F1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0.001</w:t>
                  </w:r>
                </w:p>
              </w:tc>
              <w:tc>
                <w:tcPr>
                  <w:tcW w:w="1209" w:type="dxa"/>
                  <w:vMerge w:val="continue"/>
                  <w:noWrap w:val="0"/>
                  <w:vAlign w:val="center"/>
                </w:tcPr>
                <w:p w14:paraId="601D069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05AA2657">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6194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continue"/>
                  <w:noWrap w:val="0"/>
                  <w:vAlign w:val="center"/>
                </w:tcPr>
                <w:p w14:paraId="35AFBFE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503F9D6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15:30-</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16:30</w:t>
                  </w:r>
                </w:p>
              </w:tc>
              <w:tc>
                <w:tcPr>
                  <w:tcW w:w="1189" w:type="dxa"/>
                  <w:noWrap w:val="0"/>
                  <w:vAlign w:val="center"/>
                </w:tcPr>
                <w:p w14:paraId="691FC78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566557C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0.003</w:t>
                  </w:r>
                </w:p>
              </w:tc>
              <w:tc>
                <w:tcPr>
                  <w:tcW w:w="1170" w:type="dxa"/>
                  <w:noWrap w:val="0"/>
                  <w:vAlign w:val="center"/>
                </w:tcPr>
                <w:p w14:paraId="4486F68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0.001</w:t>
                  </w:r>
                </w:p>
              </w:tc>
              <w:tc>
                <w:tcPr>
                  <w:tcW w:w="1132" w:type="dxa"/>
                  <w:noWrap w:val="0"/>
                  <w:vAlign w:val="center"/>
                </w:tcPr>
                <w:p w14:paraId="626261D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0.002</w:t>
                  </w:r>
                </w:p>
              </w:tc>
              <w:tc>
                <w:tcPr>
                  <w:tcW w:w="1209" w:type="dxa"/>
                  <w:vMerge w:val="continue"/>
                  <w:noWrap w:val="0"/>
                  <w:vAlign w:val="center"/>
                </w:tcPr>
                <w:p w14:paraId="3D07D23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6B32BBB6">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09A4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continue"/>
                  <w:noWrap w:val="0"/>
                  <w:vAlign w:val="center"/>
                </w:tcPr>
                <w:p w14:paraId="484033D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7C00C8D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16:36-</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17:36</w:t>
                  </w:r>
                </w:p>
              </w:tc>
              <w:tc>
                <w:tcPr>
                  <w:tcW w:w="1189" w:type="dxa"/>
                  <w:noWrap w:val="0"/>
                  <w:vAlign w:val="center"/>
                </w:tcPr>
                <w:p w14:paraId="53A7599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726A2CF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70" w:type="dxa"/>
                  <w:noWrap w:val="0"/>
                  <w:vAlign w:val="center"/>
                </w:tcPr>
                <w:p w14:paraId="10FFEF6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0.001</w:t>
                  </w:r>
                </w:p>
              </w:tc>
              <w:tc>
                <w:tcPr>
                  <w:tcW w:w="1132" w:type="dxa"/>
                  <w:noWrap w:val="0"/>
                  <w:vAlign w:val="center"/>
                </w:tcPr>
                <w:p w14:paraId="56E7FF7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0.001</w:t>
                  </w:r>
                </w:p>
              </w:tc>
              <w:tc>
                <w:tcPr>
                  <w:tcW w:w="1209" w:type="dxa"/>
                  <w:vMerge w:val="continue"/>
                  <w:noWrap w:val="0"/>
                  <w:vAlign w:val="center"/>
                </w:tcPr>
                <w:p w14:paraId="5467D71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55ACA1E9">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533B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restart"/>
                  <w:noWrap w:val="0"/>
                  <w:vAlign w:val="center"/>
                </w:tcPr>
                <w:p w14:paraId="36D6558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2021.6.29</w:t>
                  </w:r>
                </w:p>
              </w:tc>
              <w:tc>
                <w:tcPr>
                  <w:tcW w:w="1037" w:type="dxa"/>
                  <w:noWrap w:val="0"/>
                  <w:vAlign w:val="center"/>
                </w:tcPr>
                <w:p w14:paraId="2C43761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1"/>
                      <w:sz w:val="18"/>
                      <w:szCs w:val="18"/>
                      <w:highlight w:val="none"/>
                    </w:rPr>
                    <w:t>08:45-09:45</w:t>
                  </w:r>
                </w:p>
              </w:tc>
              <w:tc>
                <w:tcPr>
                  <w:tcW w:w="1189" w:type="dxa"/>
                  <w:noWrap w:val="0"/>
                  <w:vAlign w:val="center"/>
                </w:tcPr>
                <w:p w14:paraId="0DFF437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1750416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70" w:type="dxa"/>
                  <w:noWrap w:val="0"/>
                  <w:vAlign w:val="center"/>
                </w:tcPr>
                <w:p w14:paraId="735C268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0.001</w:t>
                  </w:r>
                </w:p>
              </w:tc>
              <w:tc>
                <w:tcPr>
                  <w:tcW w:w="1132" w:type="dxa"/>
                  <w:noWrap w:val="0"/>
                  <w:vAlign w:val="center"/>
                </w:tcPr>
                <w:p w14:paraId="44EF259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0.002</w:t>
                  </w:r>
                </w:p>
              </w:tc>
              <w:tc>
                <w:tcPr>
                  <w:tcW w:w="1209" w:type="dxa"/>
                  <w:vMerge w:val="continue"/>
                  <w:noWrap w:val="0"/>
                  <w:vAlign w:val="center"/>
                </w:tcPr>
                <w:p w14:paraId="5A37D74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p>
              </w:tc>
              <w:tc>
                <w:tcPr>
                  <w:tcW w:w="604" w:type="dxa"/>
                  <w:noWrap w:val="0"/>
                  <w:vAlign w:val="center"/>
                </w:tcPr>
                <w:p w14:paraId="57325AEC">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73D2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continue"/>
                  <w:noWrap w:val="0"/>
                  <w:vAlign w:val="center"/>
                </w:tcPr>
                <w:p w14:paraId="41C5B51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3DEB28F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3"/>
                      <w:sz w:val="18"/>
                      <w:szCs w:val="18"/>
                      <w:highlight w:val="none"/>
                    </w:rPr>
                    <w:t>09:51-</w:t>
                  </w:r>
                  <w:r>
                    <w:rPr>
                      <w:rFonts w:ascii="Times New Roman" w:hAnsi="Times New Roman" w:eastAsia="Times New Roman" w:cs="Times New Roman"/>
                      <w:color w:val="000000"/>
                      <w:spacing w:val="-18"/>
                      <w:sz w:val="18"/>
                      <w:szCs w:val="18"/>
                      <w:highlight w:val="none"/>
                    </w:rPr>
                    <w:t xml:space="preserve"> </w:t>
                  </w:r>
                  <w:r>
                    <w:rPr>
                      <w:rFonts w:ascii="Times New Roman" w:hAnsi="Times New Roman" w:eastAsia="Times New Roman" w:cs="Times New Roman"/>
                      <w:color w:val="000000"/>
                      <w:spacing w:val="-3"/>
                      <w:sz w:val="18"/>
                      <w:szCs w:val="18"/>
                      <w:highlight w:val="none"/>
                    </w:rPr>
                    <w:t>10:51</w:t>
                  </w:r>
                </w:p>
              </w:tc>
              <w:tc>
                <w:tcPr>
                  <w:tcW w:w="1189" w:type="dxa"/>
                  <w:noWrap w:val="0"/>
                  <w:vAlign w:val="center"/>
                </w:tcPr>
                <w:p w14:paraId="60B91C0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440638C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70" w:type="dxa"/>
                  <w:noWrap w:val="0"/>
                  <w:vAlign w:val="center"/>
                </w:tcPr>
                <w:p w14:paraId="4F002EA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0.001</w:t>
                  </w:r>
                </w:p>
              </w:tc>
              <w:tc>
                <w:tcPr>
                  <w:tcW w:w="1132" w:type="dxa"/>
                  <w:noWrap w:val="0"/>
                  <w:vAlign w:val="center"/>
                </w:tcPr>
                <w:p w14:paraId="3DC3F63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0.002</w:t>
                  </w:r>
                </w:p>
              </w:tc>
              <w:tc>
                <w:tcPr>
                  <w:tcW w:w="1209" w:type="dxa"/>
                  <w:vMerge w:val="continue"/>
                  <w:noWrap w:val="0"/>
                  <w:vAlign w:val="center"/>
                </w:tcPr>
                <w:p w14:paraId="46BD167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792212AF">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647D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903" w:type="dxa"/>
                  <w:vMerge w:val="continue"/>
                  <w:noWrap w:val="0"/>
                  <w:vAlign w:val="center"/>
                </w:tcPr>
                <w:p w14:paraId="54C7BD6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44A94D2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5"/>
                      <w:sz w:val="18"/>
                      <w:szCs w:val="18"/>
                      <w:highlight w:val="none"/>
                    </w:rPr>
                    <w:t>10:55-</w:t>
                  </w:r>
                  <w:r>
                    <w:rPr>
                      <w:rFonts w:ascii="Times New Roman" w:hAnsi="Times New Roman" w:eastAsia="Times New Roman" w:cs="Times New Roman"/>
                      <w:color w:val="000000"/>
                      <w:spacing w:val="-18"/>
                      <w:sz w:val="18"/>
                      <w:szCs w:val="18"/>
                      <w:highlight w:val="none"/>
                    </w:rPr>
                    <w:t xml:space="preserve"> </w:t>
                  </w:r>
                  <w:r>
                    <w:rPr>
                      <w:rFonts w:ascii="Times New Roman" w:hAnsi="Times New Roman" w:eastAsia="Times New Roman" w:cs="Times New Roman"/>
                      <w:color w:val="000000"/>
                      <w:spacing w:val="-5"/>
                      <w:sz w:val="18"/>
                      <w:szCs w:val="18"/>
                      <w:highlight w:val="none"/>
                    </w:rPr>
                    <w:t>11:55</w:t>
                  </w:r>
                </w:p>
              </w:tc>
              <w:tc>
                <w:tcPr>
                  <w:tcW w:w="1189" w:type="dxa"/>
                  <w:noWrap w:val="0"/>
                  <w:vAlign w:val="center"/>
                </w:tcPr>
                <w:p w14:paraId="3622534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0.003</w:t>
                  </w:r>
                </w:p>
              </w:tc>
              <w:tc>
                <w:tcPr>
                  <w:tcW w:w="1113" w:type="dxa"/>
                  <w:noWrap w:val="0"/>
                  <w:vAlign w:val="center"/>
                </w:tcPr>
                <w:p w14:paraId="2050543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70" w:type="dxa"/>
                  <w:noWrap w:val="0"/>
                  <w:vAlign w:val="center"/>
                </w:tcPr>
                <w:p w14:paraId="3B03E43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32" w:type="dxa"/>
                  <w:noWrap w:val="0"/>
                  <w:vAlign w:val="center"/>
                </w:tcPr>
                <w:p w14:paraId="24A0081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0.002</w:t>
                  </w:r>
                </w:p>
              </w:tc>
              <w:tc>
                <w:tcPr>
                  <w:tcW w:w="1209" w:type="dxa"/>
                  <w:vMerge w:val="continue"/>
                  <w:noWrap w:val="0"/>
                  <w:vAlign w:val="center"/>
                </w:tcPr>
                <w:p w14:paraId="037F375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48EA332D">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r w14:paraId="22B4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903" w:type="dxa"/>
                  <w:vMerge w:val="continue"/>
                  <w:noWrap w:val="0"/>
                  <w:vAlign w:val="center"/>
                </w:tcPr>
                <w:p w14:paraId="652C508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1037" w:type="dxa"/>
                  <w:noWrap w:val="0"/>
                  <w:vAlign w:val="center"/>
                </w:tcPr>
                <w:p w14:paraId="2C39373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18"/>
                      <w:szCs w:val="18"/>
                      <w:highlight w:val="none"/>
                    </w:rPr>
                  </w:pPr>
                  <w:r>
                    <w:rPr>
                      <w:rFonts w:ascii="Times New Roman" w:hAnsi="Times New Roman" w:eastAsia="Times New Roman" w:cs="Times New Roman"/>
                      <w:color w:val="000000"/>
                      <w:spacing w:val="-4"/>
                      <w:sz w:val="18"/>
                      <w:szCs w:val="18"/>
                      <w:highlight w:val="none"/>
                    </w:rPr>
                    <w:t>12:00-</w:t>
                  </w:r>
                  <w:r>
                    <w:rPr>
                      <w:rFonts w:ascii="Times New Roman" w:hAnsi="Times New Roman" w:eastAsia="Times New Roman" w:cs="Times New Roman"/>
                      <w:color w:val="000000"/>
                      <w:spacing w:val="-22"/>
                      <w:sz w:val="18"/>
                      <w:szCs w:val="18"/>
                      <w:highlight w:val="none"/>
                    </w:rPr>
                    <w:t xml:space="preserve"> </w:t>
                  </w:r>
                  <w:r>
                    <w:rPr>
                      <w:rFonts w:ascii="Times New Roman" w:hAnsi="Times New Roman" w:eastAsia="Times New Roman" w:cs="Times New Roman"/>
                      <w:color w:val="000000"/>
                      <w:spacing w:val="-4"/>
                      <w:sz w:val="18"/>
                      <w:szCs w:val="18"/>
                      <w:highlight w:val="none"/>
                    </w:rPr>
                    <w:t>13:00</w:t>
                  </w:r>
                </w:p>
              </w:tc>
              <w:tc>
                <w:tcPr>
                  <w:tcW w:w="1189" w:type="dxa"/>
                  <w:noWrap w:val="0"/>
                  <w:vAlign w:val="center"/>
                </w:tcPr>
                <w:p w14:paraId="5FD4420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0.002</w:t>
                  </w:r>
                </w:p>
              </w:tc>
              <w:tc>
                <w:tcPr>
                  <w:tcW w:w="1113" w:type="dxa"/>
                  <w:noWrap w:val="0"/>
                  <w:vAlign w:val="center"/>
                </w:tcPr>
                <w:p w14:paraId="20AD496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3"/>
                      <w:sz w:val="20"/>
                      <w:szCs w:val="20"/>
                      <w:highlight w:val="none"/>
                    </w:rPr>
                    <w:t>0.003</w:t>
                  </w:r>
                </w:p>
              </w:tc>
              <w:tc>
                <w:tcPr>
                  <w:tcW w:w="1170" w:type="dxa"/>
                  <w:noWrap w:val="0"/>
                  <w:vAlign w:val="center"/>
                </w:tcPr>
                <w:p w14:paraId="141CF87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7"/>
                      <w:sz w:val="20"/>
                      <w:szCs w:val="20"/>
                      <w:highlight w:val="none"/>
                    </w:rPr>
                    <w:t>ND</w:t>
                  </w:r>
                </w:p>
              </w:tc>
              <w:tc>
                <w:tcPr>
                  <w:tcW w:w="1132" w:type="dxa"/>
                  <w:noWrap w:val="0"/>
                  <w:vAlign w:val="center"/>
                </w:tcPr>
                <w:p w14:paraId="72B29E9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Times New Roman" w:hAnsi="Times New Roman" w:eastAsia="Times New Roman" w:cs="Times New Roman"/>
                      <w:color w:val="000000"/>
                      <w:sz w:val="20"/>
                      <w:szCs w:val="20"/>
                      <w:highlight w:val="none"/>
                    </w:rPr>
                  </w:pPr>
                  <w:r>
                    <w:rPr>
                      <w:rFonts w:ascii="Times New Roman" w:hAnsi="Times New Roman" w:eastAsia="Times New Roman" w:cs="Times New Roman"/>
                      <w:color w:val="000000"/>
                      <w:spacing w:val="2"/>
                      <w:sz w:val="20"/>
                      <w:szCs w:val="20"/>
                      <w:highlight w:val="none"/>
                    </w:rPr>
                    <w:t>0.003</w:t>
                  </w:r>
                </w:p>
              </w:tc>
              <w:tc>
                <w:tcPr>
                  <w:tcW w:w="1209" w:type="dxa"/>
                  <w:vMerge w:val="continue"/>
                  <w:noWrap w:val="0"/>
                  <w:vAlign w:val="center"/>
                </w:tcPr>
                <w:p w14:paraId="0F2A8C4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highlight w:val="none"/>
                    </w:rPr>
                  </w:pPr>
                </w:p>
              </w:tc>
              <w:tc>
                <w:tcPr>
                  <w:tcW w:w="604" w:type="dxa"/>
                  <w:noWrap w:val="0"/>
                  <w:vAlign w:val="center"/>
                </w:tcPr>
                <w:p w14:paraId="3F5097D8">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0"/>
                      <w:szCs w:val="20"/>
                      <w:highlight w:val="none"/>
                    </w:rPr>
                  </w:pPr>
                  <w:r>
                    <w:rPr>
                      <w:color w:val="000000"/>
                      <w:spacing w:val="5"/>
                      <w:sz w:val="20"/>
                      <w:szCs w:val="20"/>
                      <w:highlight w:val="none"/>
                    </w:rPr>
                    <w:t>达标</w:t>
                  </w:r>
                </w:p>
              </w:tc>
            </w:tr>
          </w:tbl>
          <w:p w14:paraId="3CFBC22B">
            <w:pPr>
              <w:pStyle w:val="33"/>
              <w:ind w:firstLine="480"/>
              <w:rPr>
                <w:rFonts w:hint="eastAsia"/>
                <w:color w:val="000000"/>
                <w:highlight w:val="none"/>
              </w:rPr>
            </w:pPr>
            <w:r>
              <w:rPr>
                <w:rFonts w:hint="eastAsia"/>
                <w:color w:val="000000"/>
                <w:highlight w:val="none"/>
              </w:rPr>
              <w:t>检测表明，厂界四周氨最大值为0.08mg/m</w:t>
            </w:r>
            <w:r>
              <w:rPr>
                <w:rFonts w:hint="eastAsia"/>
                <w:color w:val="000000"/>
                <w:highlight w:val="none"/>
                <w:vertAlign w:val="superscript"/>
              </w:rPr>
              <w:t>3</w:t>
            </w:r>
            <w:r>
              <w:rPr>
                <w:rFonts w:hint="eastAsia"/>
                <w:color w:val="000000"/>
                <w:highlight w:val="none"/>
              </w:rPr>
              <w:t>，硫化氢最大值为0.003mg/m</w:t>
            </w:r>
            <w:r>
              <w:rPr>
                <w:rFonts w:hint="eastAsia"/>
                <w:color w:val="000000"/>
                <w:highlight w:val="none"/>
                <w:vertAlign w:val="superscript"/>
              </w:rPr>
              <w:t>3</w:t>
            </w:r>
            <w:r>
              <w:rPr>
                <w:rFonts w:hint="eastAsia"/>
                <w:color w:val="000000"/>
                <w:highlight w:val="none"/>
              </w:rPr>
              <w:t>。厂界四周氨、硫化氢均满足《炼焦化学工业污染物排放标准》（GB16171-2012）表7中厂界浓度限值要求。</w:t>
            </w:r>
          </w:p>
          <w:p w14:paraId="3C715B39">
            <w:pPr>
              <w:pStyle w:val="33"/>
              <w:ind w:firstLine="480"/>
              <w:rPr>
                <w:rFonts w:hint="eastAsia"/>
                <w:color w:val="000000"/>
                <w:highlight w:val="none"/>
              </w:rPr>
            </w:pPr>
            <w:r>
              <w:rPr>
                <w:rFonts w:hint="eastAsia"/>
                <w:color w:val="000000"/>
                <w:highlight w:val="none"/>
              </w:rPr>
              <w:t>项目所在区域大气环境质量较好，项目位于现有项目厂区内；项目采取大气污染防治措施</w:t>
            </w:r>
            <w:r>
              <w:rPr>
                <w:rFonts w:hint="eastAsia"/>
                <w:color w:val="000000"/>
                <w:highlight w:val="none"/>
                <w:lang w:val="en-US" w:eastAsia="zh-CN"/>
              </w:rPr>
              <w:t>前提下</w:t>
            </w:r>
            <w:r>
              <w:rPr>
                <w:rFonts w:hint="eastAsia"/>
                <w:color w:val="000000"/>
                <w:highlight w:val="none"/>
              </w:rPr>
              <w:t>，可确保污染物长期稳定达标排放，对周边大气环境影响不大。</w:t>
            </w:r>
          </w:p>
          <w:p w14:paraId="3474F440">
            <w:pPr>
              <w:pStyle w:val="19"/>
              <w:rPr>
                <w:rFonts w:hint="eastAsia"/>
                <w:color w:val="000000"/>
                <w:highlight w:val="none"/>
              </w:rPr>
            </w:pPr>
            <w:r>
              <w:rPr>
                <w:rFonts w:hint="eastAsia"/>
                <w:b/>
                <w:bCs/>
                <w:color w:val="000000"/>
                <w:highlight w:val="none"/>
                <w:lang w:val="en-US" w:eastAsia="zh-CN"/>
              </w:rPr>
              <w:t>二、</w:t>
            </w:r>
            <w:r>
              <w:rPr>
                <w:rFonts w:hint="eastAsia"/>
                <w:b/>
                <w:bCs/>
                <w:color w:val="000000"/>
                <w:highlight w:val="none"/>
              </w:rPr>
              <w:t>水污染源及影响分析</w:t>
            </w:r>
          </w:p>
          <w:p w14:paraId="5EBE9238">
            <w:pPr>
              <w:pStyle w:val="19"/>
              <w:rPr>
                <w:rFonts w:hint="default" w:eastAsia="宋体"/>
                <w:color w:val="000000"/>
                <w:highlight w:val="none"/>
                <w:lang w:val="en-US" w:eastAsia="zh-CN"/>
              </w:rPr>
            </w:pPr>
            <w:r>
              <w:rPr>
                <w:rFonts w:hint="eastAsia"/>
                <w:color w:val="000000"/>
                <w:highlight w:val="none"/>
                <w:lang w:val="en-US" w:eastAsia="zh-CN"/>
              </w:rPr>
              <w:t>1、废水源强分析</w:t>
            </w:r>
          </w:p>
          <w:p w14:paraId="33A72D2B">
            <w:pPr>
              <w:pStyle w:val="19"/>
              <w:rPr>
                <w:rFonts w:hint="eastAsia"/>
                <w:color w:val="000000"/>
                <w:highlight w:val="none"/>
              </w:rPr>
            </w:pPr>
            <w:r>
              <w:rPr>
                <w:rFonts w:hint="eastAsia"/>
                <w:color w:val="000000"/>
                <w:highlight w:val="none"/>
              </w:rPr>
              <w:t>本次不新增</w:t>
            </w:r>
            <w:r>
              <w:rPr>
                <w:rFonts w:hint="eastAsia"/>
                <w:color w:val="000000"/>
                <w:highlight w:val="none"/>
                <w:lang w:val="en-US" w:eastAsia="zh-CN"/>
              </w:rPr>
              <w:t>劳动定员</w:t>
            </w:r>
            <w:r>
              <w:rPr>
                <w:rFonts w:hint="eastAsia"/>
                <w:color w:val="000000"/>
                <w:highlight w:val="none"/>
              </w:rPr>
              <w:t>，因此不新增生活污水排放量。</w:t>
            </w:r>
          </w:p>
          <w:p w14:paraId="31A1E505">
            <w:pPr>
              <w:spacing w:line="360" w:lineRule="auto"/>
              <w:ind w:firstLine="480" w:firstLineChars="200"/>
              <w:jc w:val="both"/>
              <w:rPr>
                <w:rFonts w:hint="eastAsia"/>
                <w:color w:val="000000"/>
                <w:sz w:val="24"/>
                <w:highlight w:val="none"/>
                <w:lang w:eastAsia="zh-CN"/>
              </w:rPr>
            </w:pPr>
            <w:r>
              <w:rPr>
                <w:rFonts w:hint="eastAsia"/>
                <w:color w:val="000000"/>
                <w:sz w:val="24"/>
                <w:highlight w:val="none"/>
                <w:lang w:eastAsia="zh-CN"/>
              </w:rPr>
              <w:t>本工程产生废水主要包括中水回用系统反洗排水、零排放系统预热器产生的污冷凝水、脱硫废水罐排水。</w:t>
            </w:r>
          </w:p>
          <w:p w14:paraId="4A43CEFE">
            <w:pPr>
              <w:spacing w:line="360" w:lineRule="auto"/>
              <w:ind w:firstLine="480" w:firstLineChars="200"/>
              <w:jc w:val="both"/>
              <w:rPr>
                <w:rFonts w:hint="eastAsia"/>
                <w:color w:val="000000"/>
                <w:sz w:val="24"/>
                <w:highlight w:val="none"/>
                <w:lang w:eastAsia="zh-CN"/>
              </w:rPr>
            </w:pPr>
            <w:r>
              <w:rPr>
                <w:rFonts w:hint="eastAsia"/>
                <w:color w:val="000000"/>
                <w:sz w:val="24"/>
                <w:highlight w:val="none"/>
                <w:lang w:eastAsia="zh-CN"/>
              </w:rPr>
              <w:t>中水回用系统反洗排水</w:t>
            </w:r>
            <w:r>
              <w:rPr>
                <w:rFonts w:hint="eastAsia"/>
                <w:color w:val="000000"/>
                <w:sz w:val="24"/>
                <w:highlight w:val="none"/>
                <w:lang w:val="en-US" w:eastAsia="zh-CN"/>
              </w:rPr>
              <w:t>及</w:t>
            </w:r>
            <w:r>
              <w:rPr>
                <w:rFonts w:hint="eastAsia"/>
                <w:color w:val="000000"/>
                <w:sz w:val="24"/>
                <w:highlight w:val="none"/>
                <w:lang w:eastAsia="zh-CN"/>
              </w:rPr>
              <w:t>零排放系统预热器产生的污冷凝水</w:t>
            </w:r>
            <w:r>
              <w:rPr>
                <w:rFonts w:hint="eastAsia"/>
                <w:color w:val="000000"/>
                <w:sz w:val="24"/>
                <w:highlight w:val="none"/>
                <w:lang w:val="en-US" w:eastAsia="zh-CN"/>
              </w:rPr>
              <w:t>主要污染物为SS、全盐量，</w:t>
            </w:r>
            <w:r>
              <w:rPr>
                <w:rFonts w:hint="eastAsia"/>
                <w:color w:val="000000"/>
                <w:sz w:val="24"/>
                <w:highlight w:val="none"/>
                <w:lang w:eastAsia="zh-CN"/>
              </w:rPr>
              <w:t>返回中水回用系统处理后回用于生产，脱硫废水罐排水</w:t>
            </w:r>
            <w:r>
              <w:rPr>
                <w:rFonts w:hint="eastAsia"/>
                <w:color w:val="000000"/>
                <w:sz w:val="24"/>
                <w:highlight w:val="none"/>
                <w:lang w:val="en-US" w:eastAsia="zh-CN"/>
              </w:rPr>
              <w:t>主要污染物为SS、全盐量，</w:t>
            </w:r>
            <w:r>
              <w:rPr>
                <w:rFonts w:hint="eastAsia"/>
                <w:color w:val="000000"/>
                <w:sz w:val="24"/>
                <w:highlight w:val="none"/>
                <w:lang w:eastAsia="zh-CN"/>
              </w:rPr>
              <w:t>返回浓缩釜</w:t>
            </w:r>
            <w:r>
              <w:rPr>
                <w:rFonts w:hint="eastAsia"/>
                <w:color w:val="000000"/>
                <w:sz w:val="24"/>
                <w:highlight w:val="none"/>
                <w:lang w:val="en-US" w:eastAsia="zh-CN"/>
              </w:rPr>
              <w:t>进一步蒸发结晶</w:t>
            </w:r>
            <w:r>
              <w:rPr>
                <w:rFonts w:hint="eastAsia"/>
                <w:color w:val="000000"/>
                <w:sz w:val="24"/>
                <w:highlight w:val="none"/>
                <w:lang w:eastAsia="zh-CN"/>
              </w:rPr>
              <w:t>，蒸发产生的蒸汽凝结水</w:t>
            </w:r>
            <w:r>
              <w:rPr>
                <w:rFonts w:hint="eastAsia"/>
                <w:color w:val="000000"/>
                <w:sz w:val="24"/>
                <w:highlight w:val="none"/>
                <w:lang w:val="en-US" w:eastAsia="zh-CN"/>
              </w:rPr>
              <w:t>主要污染物为SS，</w:t>
            </w:r>
            <w:r>
              <w:rPr>
                <w:rFonts w:hint="eastAsia"/>
                <w:color w:val="000000"/>
                <w:sz w:val="24"/>
                <w:highlight w:val="none"/>
                <w:lang w:eastAsia="zh-CN"/>
              </w:rPr>
              <w:t>全部回用于脱硫系统。</w:t>
            </w:r>
          </w:p>
          <w:p w14:paraId="60D4FA1B">
            <w:pPr>
              <w:spacing w:line="360" w:lineRule="auto"/>
              <w:ind w:firstLine="480" w:firstLineChars="200"/>
              <w:jc w:val="both"/>
              <w:rPr>
                <w:rFonts w:hint="default" w:ascii="Times New Roman" w:hAnsi="Times New Roman" w:cs="Times New Roman"/>
                <w:bCs/>
                <w:color w:val="000000"/>
                <w:sz w:val="24"/>
                <w:highlight w:val="none"/>
                <w:lang w:val="en-US"/>
              </w:rPr>
            </w:pPr>
            <w:r>
              <w:rPr>
                <w:rFonts w:hint="eastAsia" w:ascii="Times New Roman" w:hAnsi="Times New Roman" w:cs="Times New Roman"/>
                <w:bCs/>
                <w:color w:val="000000"/>
                <w:sz w:val="24"/>
                <w:highlight w:val="none"/>
                <w:lang w:val="en-US" w:eastAsia="zh-CN"/>
              </w:rPr>
              <w:t>根据中水回用系统工艺设计，</w:t>
            </w:r>
            <w:r>
              <w:rPr>
                <w:rFonts w:hint="default" w:ascii="Times New Roman" w:hAnsi="Times New Roman" w:cs="Times New Roman"/>
                <w:bCs/>
                <w:color w:val="000000"/>
                <w:sz w:val="24"/>
                <w:highlight w:val="none"/>
              </w:rPr>
              <w:t>中水回用系统</w:t>
            </w:r>
            <w:r>
              <w:rPr>
                <w:rFonts w:hint="eastAsia" w:ascii="Times New Roman" w:hAnsi="Times New Roman" w:cs="Times New Roman"/>
                <w:bCs/>
                <w:color w:val="000000"/>
                <w:sz w:val="24"/>
                <w:highlight w:val="none"/>
                <w:lang w:val="en-US" w:eastAsia="zh-CN"/>
              </w:rPr>
              <w:t>出水</w:t>
            </w:r>
            <w:r>
              <w:rPr>
                <w:rFonts w:hint="default" w:ascii="Times New Roman" w:hAnsi="Times New Roman" w:cs="Times New Roman"/>
                <w:bCs/>
                <w:color w:val="000000"/>
                <w:sz w:val="24"/>
                <w:highlight w:val="none"/>
              </w:rPr>
              <w:t>水质达到国家《工业循环冷却水处理设计规范》(GB50050-2017）再生水用于间冷开式循环冷却水系统补充水水质标准要求</w:t>
            </w:r>
            <w:r>
              <w:rPr>
                <w:rFonts w:hint="eastAsia" w:ascii="Times New Roman" w:hAnsi="Times New Roman" w:cs="Times New Roman"/>
                <w:bCs/>
                <w:color w:val="000000"/>
                <w:sz w:val="24"/>
                <w:highlight w:val="none"/>
                <w:lang w:val="en-US" w:eastAsia="zh-CN"/>
              </w:rPr>
              <w:t>后</w:t>
            </w:r>
            <w:r>
              <w:rPr>
                <w:rFonts w:hint="default"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回用于生产系统，不外排。</w:t>
            </w:r>
          </w:p>
          <w:p w14:paraId="4DB840A3">
            <w:pPr>
              <w:pStyle w:val="19"/>
              <w:rPr>
                <w:rFonts w:hint="eastAsia"/>
                <w:color w:val="000000"/>
                <w:highlight w:val="none"/>
              </w:rPr>
            </w:pPr>
            <w:r>
              <w:rPr>
                <w:rFonts w:hint="default" w:ascii="Times New Roman" w:hAnsi="Times New Roman" w:cs="Times New Roman"/>
                <w:bCs/>
                <w:color w:val="000000"/>
                <w:sz w:val="24"/>
                <w:highlight w:val="none"/>
              </w:rPr>
              <w:t>因此，本项目对周围水环境影响较小。</w:t>
            </w:r>
          </w:p>
          <w:p w14:paraId="40BAF64F">
            <w:pPr>
              <w:pStyle w:val="19"/>
              <w:rPr>
                <w:rFonts w:hint="eastAsia"/>
                <w:color w:val="000000"/>
                <w:highlight w:val="none"/>
                <w:lang w:val="en-US" w:eastAsia="zh-CN"/>
              </w:rPr>
            </w:pPr>
            <w:r>
              <w:rPr>
                <w:rFonts w:hint="eastAsia"/>
                <w:color w:val="000000"/>
                <w:highlight w:val="none"/>
                <w:lang w:val="en-US" w:eastAsia="zh-CN"/>
              </w:rPr>
              <w:t>2、废水处理可行性技术分析</w:t>
            </w:r>
          </w:p>
          <w:p w14:paraId="209526D0">
            <w:pPr>
              <w:pStyle w:val="19"/>
              <w:rPr>
                <w:rFonts w:hint="default"/>
                <w:color w:val="000000"/>
                <w:highlight w:val="none"/>
                <w:lang w:val="en-US" w:eastAsia="zh-CN"/>
              </w:rPr>
            </w:pPr>
            <w:r>
              <w:rPr>
                <w:rFonts w:hint="eastAsia"/>
                <w:color w:val="000000"/>
                <w:highlight w:val="none"/>
                <w:lang w:val="en-US" w:eastAsia="zh-CN"/>
              </w:rPr>
              <w:t>本项目生化污水处理站主要工艺单元有隔油池、气浮池、调节池、预曝气池、厌氧池、缺氧池、好氧池、沉淀池、混凝沉淀池等，中水回用系统主要采用“高密沉淀+臭氧催化氧化+多介质过滤+树脂吸附+超滤+纳滤+反渗透”工艺路线，浓盐水采用“ 纳滤+蒸发结晶+冷冻结晶”分盐工艺。根据《排污许可证申请与核发技术规范 炼焦化学工业》（HJ854-2017）中的可行技术，本项目废水处理工艺属于可行性技术中的“混凝沉淀、重力除油、气浮除油、生物脱氮、生物膜法、高级氧化、吸附、超滤、反渗透、蒸发”。</w:t>
            </w:r>
            <w:r>
              <w:rPr>
                <w:rFonts w:hint="eastAsia" w:ascii="Times New Roman" w:hAnsi="Times New Roman" w:eastAsia="宋体"/>
                <w:b w:val="0"/>
                <w:color w:val="000000"/>
                <w:spacing w:val="-2"/>
                <w:kern w:val="2"/>
                <w:sz w:val="24"/>
                <w:szCs w:val="24"/>
                <w:highlight w:val="none"/>
              </w:rPr>
              <w:t>该</w:t>
            </w:r>
            <w:r>
              <w:rPr>
                <w:rFonts w:ascii="Times New Roman" w:hAnsi="Times New Roman" w:eastAsia="宋体"/>
                <w:b w:val="0"/>
                <w:color w:val="000000"/>
                <w:spacing w:val="-2"/>
                <w:kern w:val="2"/>
                <w:sz w:val="24"/>
                <w:szCs w:val="24"/>
                <w:highlight w:val="none"/>
              </w:rPr>
              <w:t>方法工艺成熟、技术可靠，出水水质可以达到</w:t>
            </w:r>
            <w:r>
              <w:rPr>
                <w:rFonts w:hint="eastAsia" w:ascii="Times New Roman" w:hAnsi="Times New Roman" w:eastAsia="宋体"/>
                <w:b w:val="0"/>
                <w:color w:val="000000"/>
                <w:spacing w:val="-2"/>
                <w:kern w:val="2"/>
                <w:sz w:val="24"/>
                <w:szCs w:val="24"/>
                <w:highlight w:val="none"/>
              </w:rPr>
              <w:t>《工业循环冷却水处理设计规范》（GB50050-2017）再生水用于间冷开式循环冷却水系统补充水水质标准的要求</w:t>
            </w:r>
            <w:r>
              <w:rPr>
                <w:rFonts w:ascii="Times New Roman" w:hAnsi="Times New Roman" w:eastAsia="宋体"/>
                <w:b w:val="0"/>
                <w:color w:val="000000"/>
                <w:spacing w:val="-2"/>
                <w:kern w:val="2"/>
                <w:sz w:val="24"/>
                <w:szCs w:val="24"/>
                <w:highlight w:val="none"/>
              </w:rPr>
              <w:t>。</w:t>
            </w:r>
          </w:p>
          <w:p w14:paraId="183D987A">
            <w:pPr>
              <w:pStyle w:val="19"/>
              <w:rPr>
                <w:color w:val="000000"/>
                <w:highlight w:val="none"/>
              </w:rPr>
            </w:pPr>
            <w:r>
              <w:rPr>
                <w:rFonts w:hint="eastAsia"/>
                <w:color w:val="000000"/>
                <w:highlight w:val="none"/>
                <w:lang w:val="en-US" w:eastAsia="zh-CN"/>
              </w:rPr>
              <w:t>三</w:t>
            </w:r>
            <w:r>
              <w:rPr>
                <w:color w:val="000000"/>
                <w:highlight w:val="none"/>
              </w:rPr>
              <w:t>、噪声影响分析</w:t>
            </w:r>
          </w:p>
          <w:p w14:paraId="5D09AE0D">
            <w:pPr>
              <w:spacing w:line="360" w:lineRule="auto"/>
              <w:ind w:firstLine="476"/>
              <w:rPr>
                <w:color w:val="000000"/>
                <w:kern w:val="0"/>
                <w:sz w:val="24"/>
                <w:highlight w:val="none"/>
              </w:rPr>
            </w:pPr>
            <w:r>
              <w:rPr>
                <w:color w:val="000000"/>
                <w:kern w:val="0"/>
                <w:sz w:val="24"/>
                <w:highlight w:val="none"/>
              </w:rPr>
              <w:t>本工程主要噪声源主要为各类水泵、鼓风机</w:t>
            </w:r>
            <w:r>
              <w:rPr>
                <w:rFonts w:hint="eastAsia"/>
                <w:color w:val="000000"/>
                <w:kern w:val="0"/>
                <w:sz w:val="24"/>
                <w:highlight w:val="none"/>
              </w:rPr>
              <w:t>、曝气机</w:t>
            </w:r>
            <w:r>
              <w:rPr>
                <w:color w:val="000000"/>
                <w:kern w:val="0"/>
                <w:sz w:val="24"/>
                <w:highlight w:val="none"/>
              </w:rPr>
              <w:t>等</w:t>
            </w:r>
            <w:r>
              <w:rPr>
                <w:rFonts w:hint="eastAsia"/>
                <w:color w:val="000000"/>
                <w:kern w:val="0"/>
                <w:sz w:val="24"/>
                <w:highlight w:val="none"/>
              </w:rPr>
              <w:t>设备产生的噪声，</w:t>
            </w:r>
            <w:r>
              <w:rPr>
                <w:color w:val="000000"/>
                <w:kern w:val="0"/>
                <w:sz w:val="24"/>
                <w:highlight w:val="none"/>
              </w:rPr>
              <w:t>噪声值</w:t>
            </w:r>
            <w:r>
              <w:rPr>
                <w:rFonts w:hint="eastAsia"/>
                <w:color w:val="000000"/>
                <w:kern w:val="0"/>
                <w:sz w:val="24"/>
                <w:highlight w:val="none"/>
              </w:rPr>
              <w:t>范围</w:t>
            </w:r>
            <w:r>
              <w:rPr>
                <w:color w:val="000000"/>
                <w:kern w:val="0"/>
                <w:sz w:val="24"/>
                <w:highlight w:val="none"/>
              </w:rPr>
              <w:t>在</w:t>
            </w:r>
            <w:r>
              <w:rPr>
                <w:rFonts w:hint="eastAsia"/>
                <w:color w:val="000000"/>
                <w:kern w:val="0"/>
                <w:sz w:val="24"/>
                <w:highlight w:val="none"/>
              </w:rPr>
              <w:t>7</w:t>
            </w:r>
            <w:r>
              <w:rPr>
                <w:rFonts w:hint="eastAsia"/>
                <w:color w:val="000000"/>
                <w:kern w:val="0"/>
                <w:sz w:val="24"/>
                <w:highlight w:val="none"/>
                <w:lang w:val="en-US" w:eastAsia="zh-CN"/>
              </w:rPr>
              <w:t>0</w:t>
            </w:r>
            <w:r>
              <w:rPr>
                <w:color w:val="000000"/>
                <w:kern w:val="0"/>
                <w:sz w:val="24"/>
                <w:highlight w:val="none"/>
              </w:rPr>
              <w:t>～90dB（A）之间。</w:t>
            </w:r>
            <w:r>
              <w:rPr>
                <w:rFonts w:hint="eastAsia"/>
                <w:color w:val="000000"/>
                <w:kern w:val="0"/>
                <w:sz w:val="24"/>
                <w:highlight w:val="none"/>
              </w:rPr>
              <w:t>本项目采取选择低噪声设备、基础减振、设备消声、建筑隔声、距离衰减等措施。</w:t>
            </w:r>
          </w:p>
          <w:p w14:paraId="4EA4C30A">
            <w:pPr>
              <w:spacing w:line="360" w:lineRule="auto"/>
              <w:ind w:firstLine="476"/>
              <w:rPr>
                <w:rFonts w:hint="default" w:eastAsia="宋体"/>
                <w:color w:val="000000"/>
                <w:kern w:val="0"/>
                <w:sz w:val="24"/>
                <w:highlight w:val="none"/>
                <w:lang w:val="en-US" w:eastAsia="zh-CN"/>
              </w:rPr>
            </w:pPr>
            <w:r>
              <w:rPr>
                <w:rFonts w:hint="eastAsia"/>
                <w:color w:val="000000"/>
                <w:kern w:val="0"/>
                <w:sz w:val="24"/>
                <w:highlight w:val="none"/>
                <w:lang w:val="en-US" w:eastAsia="zh-CN"/>
              </w:rPr>
              <w:t>1、噪声源强</w:t>
            </w:r>
          </w:p>
          <w:p w14:paraId="7A2BEF15">
            <w:pPr>
              <w:spacing w:line="360" w:lineRule="auto"/>
              <w:ind w:firstLine="476"/>
              <w:rPr>
                <w:rFonts w:hint="eastAsia"/>
                <w:color w:val="000000"/>
                <w:kern w:val="0"/>
                <w:sz w:val="24"/>
                <w:highlight w:val="none"/>
              </w:rPr>
            </w:pPr>
            <w:r>
              <w:rPr>
                <w:rFonts w:hint="eastAsia"/>
                <w:color w:val="000000"/>
                <w:kern w:val="0"/>
                <w:sz w:val="24"/>
                <w:highlight w:val="none"/>
              </w:rPr>
              <w:t>本项目</w:t>
            </w:r>
            <w:r>
              <w:rPr>
                <w:color w:val="000000"/>
                <w:kern w:val="0"/>
                <w:sz w:val="24"/>
                <w:highlight w:val="none"/>
              </w:rPr>
              <w:t>噪声源及</w:t>
            </w:r>
            <w:r>
              <w:rPr>
                <w:rFonts w:hint="eastAsia"/>
                <w:color w:val="000000"/>
                <w:kern w:val="0"/>
                <w:sz w:val="24"/>
                <w:highlight w:val="none"/>
              </w:rPr>
              <w:t>源强</w:t>
            </w:r>
            <w:r>
              <w:rPr>
                <w:color w:val="000000"/>
                <w:kern w:val="0"/>
                <w:sz w:val="24"/>
                <w:highlight w:val="none"/>
              </w:rPr>
              <w:t>情况见表</w:t>
            </w:r>
            <w:r>
              <w:rPr>
                <w:rFonts w:hint="eastAsia" w:eastAsia="宋体"/>
                <w:color w:val="000000"/>
                <w:kern w:val="0"/>
                <w:sz w:val="24"/>
                <w:highlight w:val="none"/>
                <w:lang w:val="en-US" w:eastAsia="zh-CN"/>
              </w:rPr>
              <w:t>4-8</w:t>
            </w:r>
            <w:r>
              <w:rPr>
                <w:color w:val="000000"/>
                <w:kern w:val="0"/>
                <w:sz w:val="24"/>
                <w:highlight w:val="none"/>
              </w:rPr>
              <w:t>。</w:t>
            </w:r>
          </w:p>
          <w:p w14:paraId="40102641">
            <w:pPr>
              <w:tabs>
                <w:tab w:val="left" w:pos="3692"/>
              </w:tabs>
              <w:jc w:val="center"/>
              <w:rPr>
                <w:rFonts w:hAnsi="宋体"/>
                <w:b/>
                <w:color w:val="000000"/>
                <w:sz w:val="24"/>
                <w:highlight w:val="none"/>
              </w:rPr>
            </w:pPr>
            <w:r>
              <w:rPr>
                <w:rFonts w:hint="eastAsia" w:hAnsi="宋体"/>
                <w:b/>
                <w:color w:val="000000"/>
                <w:sz w:val="24"/>
                <w:highlight w:val="none"/>
              </w:rPr>
              <w:t>表4</w:t>
            </w:r>
            <w:r>
              <w:rPr>
                <w:rFonts w:hint="eastAsia" w:hAnsi="宋体"/>
                <w:b/>
                <w:color w:val="000000"/>
                <w:sz w:val="24"/>
                <w:highlight w:val="none"/>
                <w:lang w:val="en-US" w:eastAsia="zh-CN"/>
              </w:rPr>
              <w:t>-8</w:t>
            </w:r>
            <w:r>
              <w:rPr>
                <w:rFonts w:hint="eastAsia" w:hAnsi="宋体"/>
                <w:b/>
                <w:color w:val="000000"/>
                <w:sz w:val="24"/>
                <w:highlight w:val="none"/>
              </w:rPr>
              <w:t xml:space="preserve"> 本项目主要噪声源及源强一览表  单位：</w:t>
            </w:r>
            <w:r>
              <w:rPr>
                <w:rFonts w:hAnsi="宋体"/>
                <w:b/>
                <w:color w:val="000000"/>
                <w:sz w:val="24"/>
                <w:highlight w:val="none"/>
              </w:rPr>
              <w:t>dB</w:t>
            </w:r>
            <w:r>
              <w:rPr>
                <w:rFonts w:hint="eastAsia" w:hAnsi="宋体"/>
                <w:b/>
                <w:color w:val="000000"/>
                <w:sz w:val="24"/>
                <w:highlight w:val="none"/>
              </w:rPr>
              <w:t>（</w:t>
            </w:r>
            <w:r>
              <w:rPr>
                <w:rFonts w:hAnsi="宋体"/>
                <w:b/>
                <w:color w:val="000000"/>
                <w:sz w:val="24"/>
                <w:highlight w:val="none"/>
              </w:rPr>
              <w:t>A</w:t>
            </w:r>
            <w:r>
              <w:rPr>
                <w:rFonts w:hint="eastAsia" w:hAnsi="宋体"/>
                <w:b/>
                <w:color w:val="000000"/>
                <w:sz w:val="24"/>
                <w:highlight w:val="none"/>
              </w:rPr>
              <w:t>）</w:t>
            </w:r>
          </w:p>
          <w:tbl>
            <w:tblPr>
              <w:tblStyle w:val="24"/>
              <w:tblW w:w="829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3"/>
              <w:gridCol w:w="2599"/>
              <w:gridCol w:w="1032"/>
              <w:gridCol w:w="1274"/>
              <w:gridCol w:w="1274"/>
              <w:gridCol w:w="1274"/>
            </w:tblGrid>
            <w:tr w14:paraId="36DE6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3" w:type="dxa"/>
                  <w:noWrap w:val="0"/>
                  <w:vAlign w:val="center"/>
                </w:tcPr>
                <w:p w14:paraId="3C7B61A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z w:val="21"/>
                      <w:szCs w:val="21"/>
                      <w:highlight w:val="none"/>
                    </w:rPr>
                    <w:t>序号</w:t>
                  </w:r>
                </w:p>
              </w:tc>
              <w:tc>
                <w:tcPr>
                  <w:tcW w:w="2599" w:type="dxa"/>
                  <w:noWrap w:val="0"/>
                  <w:vAlign w:val="center"/>
                </w:tcPr>
                <w:p w14:paraId="1873B64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2"/>
                      <w:sz w:val="21"/>
                      <w:szCs w:val="21"/>
                      <w:highlight w:val="none"/>
                    </w:rPr>
                    <w:t>设备名称</w:t>
                  </w:r>
                </w:p>
              </w:tc>
              <w:tc>
                <w:tcPr>
                  <w:tcW w:w="1032" w:type="dxa"/>
                  <w:noWrap w:val="0"/>
                  <w:vAlign w:val="center"/>
                </w:tcPr>
                <w:p w14:paraId="2C0AF02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b/>
                      <w:bCs/>
                      <w:color w:val="000000"/>
                      <w:sz w:val="21"/>
                      <w:szCs w:val="21"/>
                      <w:highlight w:val="none"/>
                    </w:rPr>
                  </w:pPr>
                  <w:r>
                    <w:rPr>
                      <w:rFonts w:ascii="宋体" w:hAnsi="宋体" w:eastAsia="宋体" w:cs="宋体"/>
                      <w:b/>
                      <w:bCs/>
                      <w:color w:val="000000"/>
                      <w:spacing w:val="-4"/>
                      <w:sz w:val="21"/>
                      <w:szCs w:val="21"/>
                      <w:highlight w:val="none"/>
                    </w:rPr>
                    <w:t>数量</w:t>
                  </w:r>
                </w:p>
              </w:tc>
              <w:tc>
                <w:tcPr>
                  <w:tcW w:w="1274" w:type="dxa"/>
                  <w:noWrap w:val="0"/>
                  <w:vAlign w:val="center"/>
                </w:tcPr>
                <w:p w14:paraId="59B100CE">
                  <w:pPr>
                    <w:autoSpaceDE w:val="0"/>
                    <w:autoSpaceDN w:val="0"/>
                    <w:adjustRightInd w:val="0"/>
                    <w:jc w:val="center"/>
                    <w:rPr>
                      <w:rFonts w:ascii="宋体" w:cs="宋体"/>
                      <w:b/>
                      <w:color w:val="000000"/>
                      <w:kern w:val="0"/>
                      <w:szCs w:val="21"/>
                      <w:highlight w:val="none"/>
                    </w:rPr>
                  </w:pPr>
                  <w:r>
                    <w:rPr>
                      <w:rFonts w:hint="eastAsia" w:ascii="宋体" w:cs="宋体"/>
                      <w:b/>
                      <w:color w:val="000000"/>
                      <w:kern w:val="0"/>
                      <w:szCs w:val="21"/>
                      <w:highlight w:val="none"/>
                    </w:rPr>
                    <w:t>噪声级</w:t>
                  </w:r>
                </w:p>
                <w:p w14:paraId="70D8C7A2">
                  <w:pPr>
                    <w:jc w:val="center"/>
                    <w:rPr>
                      <w:rFonts w:ascii="宋体" w:hAnsi="宋体" w:eastAsia="宋体" w:cs="宋体"/>
                      <w:color w:val="000000"/>
                      <w:sz w:val="21"/>
                      <w:szCs w:val="21"/>
                      <w:highlight w:val="none"/>
                    </w:rPr>
                  </w:pPr>
                  <w:r>
                    <w:rPr>
                      <w:rFonts w:ascii="TimesNewRomanPSMT" w:eastAsia="TimesNewRomanPSMT" w:cs="TimesNewRomanPSMT"/>
                      <w:b/>
                      <w:color w:val="000000"/>
                      <w:kern w:val="0"/>
                      <w:szCs w:val="21"/>
                      <w:highlight w:val="none"/>
                    </w:rPr>
                    <w:t>dB(A)</w:t>
                  </w:r>
                </w:p>
              </w:tc>
              <w:tc>
                <w:tcPr>
                  <w:tcW w:w="1274" w:type="dxa"/>
                  <w:noWrap w:val="0"/>
                  <w:vAlign w:val="center"/>
                </w:tcPr>
                <w:p w14:paraId="6A8658D5">
                  <w:pPr>
                    <w:jc w:val="center"/>
                    <w:rPr>
                      <w:rFonts w:hint="eastAsia" w:ascii="TimesNewRomanPSMT" w:eastAsia="宋体" w:cs="TimesNewRomanPSMT"/>
                      <w:b/>
                      <w:color w:val="000000"/>
                      <w:kern w:val="0"/>
                      <w:szCs w:val="21"/>
                      <w:highlight w:val="none"/>
                      <w:lang w:val="en-US" w:eastAsia="zh-CN"/>
                    </w:rPr>
                  </w:pPr>
                  <w:r>
                    <w:rPr>
                      <w:rFonts w:hint="eastAsia" w:ascii="TimesNewRomanPSMT" w:eastAsia="宋体" w:cs="TimesNewRomanPSMT"/>
                      <w:b/>
                      <w:color w:val="000000"/>
                      <w:kern w:val="0"/>
                      <w:szCs w:val="21"/>
                      <w:highlight w:val="none"/>
                      <w:lang w:val="en-US" w:eastAsia="zh-CN"/>
                    </w:rPr>
                    <w:t>持续时间</w:t>
                  </w:r>
                </w:p>
              </w:tc>
              <w:tc>
                <w:tcPr>
                  <w:tcW w:w="1274" w:type="dxa"/>
                  <w:noWrap w:val="0"/>
                  <w:vAlign w:val="center"/>
                </w:tcPr>
                <w:p w14:paraId="5D7BDFF3">
                  <w:pPr>
                    <w:jc w:val="center"/>
                    <w:rPr>
                      <w:b/>
                      <w:color w:val="000000"/>
                      <w:szCs w:val="21"/>
                      <w:highlight w:val="none"/>
                    </w:rPr>
                  </w:pPr>
                  <w:r>
                    <w:rPr>
                      <w:rFonts w:hAnsi="宋体"/>
                      <w:b/>
                      <w:color w:val="000000"/>
                      <w:szCs w:val="21"/>
                      <w:highlight w:val="none"/>
                    </w:rPr>
                    <w:t>主要治</w:t>
                  </w:r>
                </w:p>
                <w:p w14:paraId="28FB4756">
                  <w:pPr>
                    <w:jc w:val="center"/>
                    <w:rPr>
                      <w:rFonts w:ascii="宋体" w:hAnsi="宋体" w:eastAsia="宋体" w:cs="宋体"/>
                      <w:color w:val="000000"/>
                      <w:spacing w:val="-4"/>
                      <w:sz w:val="21"/>
                      <w:szCs w:val="21"/>
                      <w:highlight w:val="none"/>
                    </w:rPr>
                  </w:pPr>
                  <w:r>
                    <w:rPr>
                      <w:rFonts w:hAnsi="宋体"/>
                      <w:b/>
                      <w:color w:val="000000"/>
                      <w:szCs w:val="21"/>
                      <w:highlight w:val="none"/>
                    </w:rPr>
                    <w:t>理措施</w:t>
                  </w:r>
                </w:p>
              </w:tc>
            </w:tr>
            <w:tr w14:paraId="16F5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070A12CC">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1</w:t>
                  </w:r>
                </w:p>
              </w:tc>
              <w:tc>
                <w:tcPr>
                  <w:tcW w:w="2599" w:type="dxa"/>
                  <w:noWrap w:val="0"/>
                  <w:vAlign w:val="center"/>
                </w:tcPr>
                <w:p w14:paraId="2C1C3DE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1"/>
                      <w:sz w:val="21"/>
                      <w:szCs w:val="21"/>
                      <w:highlight w:val="none"/>
                    </w:rPr>
                    <w:t>原液出料泵</w:t>
                  </w:r>
                </w:p>
              </w:tc>
              <w:tc>
                <w:tcPr>
                  <w:tcW w:w="1032" w:type="dxa"/>
                  <w:noWrap w:val="0"/>
                  <w:vAlign w:val="center"/>
                </w:tcPr>
                <w:p w14:paraId="59150D77">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274" w:type="dxa"/>
                  <w:noWrap w:val="0"/>
                  <w:vAlign w:val="center"/>
                </w:tcPr>
                <w:p w14:paraId="57069FF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80</w:t>
                  </w:r>
                </w:p>
              </w:tc>
              <w:tc>
                <w:tcPr>
                  <w:tcW w:w="1274" w:type="dxa"/>
                  <w:vMerge w:val="restart"/>
                  <w:noWrap w:val="0"/>
                  <w:vAlign w:val="center"/>
                </w:tcPr>
                <w:p w14:paraId="0C48C0B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8760</w:t>
                  </w:r>
                </w:p>
              </w:tc>
              <w:tc>
                <w:tcPr>
                  <w:tcW w:w="1274" w:type="dxa"/>
                  <w:vMerge w:val="restart"/>
                  <w:noWrap w:val="0"/>
                  <w:vAlign w:val="center"/>
                </w:tcPr>
                <w:p w14:paraId="4722CDE1">
                  <w:pPr>
                    <w:jc w:val="center"/>
                    <w:rPr>
                      <w:rFonts w:hint="eastAsia"/>
                      <w:color w:val="000000"/>
                      <w:szCs w:val="21"/>
                      <w:highlight w:val="none"/>
                    </w:rPr>
                  </w:pPr>
                  <w:r>
                    <w:rPr>
                      <w:rFonts w:hint="eastAsia"/>
                      <w:color w:val="000000"/>
                      <w:szCs w:val="21"/>
                      <w:highlight w:val="none"/>
                    </w:rPr>
                    <w:t>隔声、减震</w:t>
                  </w:r>
                </w:p>
                <w:p w14:paraId="7F7D13D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r>
                    <w:rPr>
                      <w:rFonts w:hint="eastAsia"/>
                      <w:color w:val="000000"/>
                      <w:szCs w:val="21"/>
                      <w:highlight w:val="none"/>
                    </w:rPr>
                    <w:t>消声</w:t>
                  </w:r>
                </w:p>
              </w:tc>
            </w:tr>
            <w:tr w14:paraId="39E26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25E6E768">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2</w:t>
                  </w:r>
                </w:p>
              </w:tc>
              <w:tc>
                <w:tcPr>
                  <w:tcW w:w="2599" w:type="dxa"/>
                  <w:noWrap w:val="0"/>
                  <w:vAlign w:val="center"/>
                </w:tcPr>
                <w:p w14:paraId="05E1B6F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脱色出料泵</w:t>
                  </w:r>
                </w:p>
              </w:tc>
              <w:tc>
                <w:tcPr>
                  <w:tcW w:w="1032" w:type="dxa"/>
                  <w:noWrap w:val="0"/>
                  <w:vAlign w:val="center"/>
                </w:tcPr>
                <w:p w14:paraId="147B04A8">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274" w:type="dxa"/>
                  <w:noWrap w:val="0"/>
                  <w:vAlign w:val="center"/>
                </w:tcPr>
                <w:p w14:paraId="2C7DAB1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80</w:t>
                  </w:r>
                </w:p>
              </w:tc>
              <w:tc>
                <w:tcPr>
                  <w:tcW w:w="1274" w:type="dxa"/>
                  <w:vMerge w:val="continue"/>
                  <w:noWrap w:val="0"/>
                  <w:vAlign w:val="center"/>
                </w:tcPr>
                <w:p w14:paraId="406C57E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4A9A83D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0F8C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38F68C91">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3</w:t>
                  </w:r>
                </w:p>
              </w:tc>
              <w:tc>
                <w:tcPr>
                  <w:tcW w:w="2599" w:type="dxa"/>
                  <w:noWrap w:val="0"/>
                  <w:vAlign w:val="center"/>
                </w:tcPr>
                <w:p w14:paraId="6EABC87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脱色压滤机</w:t>
                  </w:r>
                </w:p>
              </w:tc>
              <w:tc>
                <w:tcPr>
                  <w:tcW w:w="1032" w:type="dxa"/>
                  <w:noWrap w:val="0"/>
                  <w:vAlign w:val="center"/>
                </w:tcPr>
                <w:p w14:paraId="5BC320DB">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1</w:t>
                  </w:r>
                </w:p>
              </w:tc>
              <w:tc>
                <w:tcPr>
                  <w:tcW w:w="1274" w:type="dxa"/>
                  <w:noWrap w:val="0"/>
                  <w:vAlign w:val="center"/>
                </w:tcPr>
                <w:p w14:paraId="41877D3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85</w:t>
                  </w:r>
                </w:p>
              </w:tc>
              <w:tc>
                <w:tcPr>
                  <w:tcW w:w="1274" w:type="dxa"/>
                  <w:vMerge w:val="continue"/>
                  <w:noWrap w:val="0"/>
                  <w:vAlign w:val="center"/>
                </w:tcPr>
                <w:p w14:paraId="517E7B7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432FAAB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5AE85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6CEB8FA2">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4</w:t>
                  </w:r>
                </w:p>
              </w:tc>
              <w:tc>
                <w:tcPr>
                  <w:tcW w:w="2599" w:type="dxa"/>
                  <w:noWrap w:val="0"/>
                  <w:vAlign w:val="center"/>
                </w:tcPr>
                <w:p w14:paraId="31F1667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2"/>
                      <w:sz w:val="21"/>
                      <w:szCs w:val="21"/>
                      <w:highlight w:val="none"/>
                    </w:rPr>
                    <w:t>浓缩进料泵</w:t>
                  </w:r>
                </w:p>
              </w:tc>
              <w:tc>
                <w:tcPr>
                  <w:tcW w:w="1032" w:type="dxa"/>
                  <w:noWrap w:val="0"/>
                  <w:vAlign w:val="center"/>
                </w:tcPr>
                <w:p w14:paraId="0DB9B2BD">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274" w:type="dxa"/>
                  <w:noWrap w:val="0"/>
                  <w:vAlign w:val="center"/>
                </w:tcPr>
                <w:p w14:paraId="54E1AEE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80</w:t>
                  </w:r>
                </w:p>
              </w:tc>
              <w:tc>
                <w:tcPr>
                  <w:tcW w:w="1274" w:type="dxa"/>
                  <w:vMerge w:val="continue"/>
                  <w:noWrap w:val="0"/>
                  <w:vAlign w:val="center"/>
                </w:tcPr>
                <w:p w14:paraId="5041590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5B5A7B7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2F85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69FB8C66">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5</w:t>
                  </w:r>
                </w:p>
              </w:tc>
              <w:tc>
                <w:tcPr>
                  <w:tcW w:w="2599" w:type="dxa"/>
                  <w:noWrap w:val="0"/>
                  <w:vAlign w:val="center"/>
                </w:tcPr>
                <w:p w14:paraId="0B5F11B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3"/>
                      <w:sz w:val="21"/>
                      <w:szCs w:val="21"/>
                      <w:highlight w:val="none"/>
                    </w:rPr>
                    <w:t>硫酸钠压滤机</w:t>
                  </w:r>
                </w:p>
              </w:tc>
              <w:tc>
                <w:tcPr>
                  <w:tcW w:w="1032" w:type="dxa"/>
                  <w:noWrap w:val="0"/>
                  <w:vAlign w:val="center"/>
                </w:tcPr>
                <w:p w14:paraId="6EC5DAB9">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274" w:type="dxa"/>
                  <w:noWrap w:val="0"/>
                  <w:vAlign w:val="center"/>
                </w:tcPr>
                <w:p w14:paraId="06885A3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85</w:t>
                  </w:r>
                </w:p>
              </w:tc>
              <w:tc>
                <w:tcPr>
                  <w:tcW w:w="1274" w:type="dxa"/>
                  <w:vMerge w:val="continue"/>
                  <w:noWrap w:val="0"/>
                  <w:vAlign w:val="center"/>
                </w:tcPr>
                <w:p w14:paraId="16AFE74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4F01133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4CCAE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843" w:type="dxa"/>
                  <w:noWrap w:val="0"/>
                  <w:vAlign w:val="center"/>
                </w:tcPr>
                <w:p w14:paraId="3C25909F">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6</w:t>
                  </w:r>
                </w:p>
              </w:tc>
              <w:tc>
                <w:tcPr>
                  <w:tcW w:w="2599" w:type="dxa"/>
                  <w:noWrap w:val="0"/>
                  <w:vAlign w:val="center"/>
                </w:tcPr>
                <w:p w14:paraId="1AAC6773">
                  <w:pPr>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ascii="宋体" w:hAnsi="宋体" w:eastAsia="宋体" w:cs="宋体"/>
                      <w:color w:val="000000"/>
                      <w:sz w:val="21"/>
                      <w:szCs w:val="21"/>
                      <w:highlight w:val="none"/>
                    </w:rPr>
                  </w:pPr>
                  <w:r>
                    <w:rPr>
                      <w:rFonts w:ascii="宋体" w:hAnsi="宋体" w:eastAsia="宋体" w:cs="宋体"/>
                      <w:color w:val="000000"/>
                      <w:spacing w:val="14"/>
                      <w:position w:val="17"/>
                      <w:sz w:val="21"/>
                      <w:szCs w:val="21"/>
                      <w:highlight w:val="none"/>
                    </w:rPr>
                    <w:t>硫代结晶釜出料泵</w:t>
                  </w:r>
                </w:p>
              </w:tc>
              <w:tc>
                <w:tcPr>
                  <w:tcW w:w="1032" w:type="dxa"/>
                  <w:noWrap w:val="0"/>
                  <w:vAlign w:val="center"/>
                </w:tcPr>
                <w:p w14:paraId="053C5DDD">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color w:val="000000"/>
                      <w:sz w:val="21"/>
                      <w:szCs w:val="21"/>
                      <w:highlight w:val="none"/>
                    </w:rPr>
                  </w:pPr>
                  <w:r>
                    <w:rPr>
                      <w:color w:val="000000"/>
                      <w:sz w:val="21"/>
                      <w:szCs w:val="21"/>
                      <w:highlight w:val="none"/>
                    </w:rPr>
                    <w:t>2</w:t>
                  </w:r>
                </w:p>
              </w:tc>
              <w:tc>
                <w:tcPr>
                  <w:tcW w:w="1274" w:type="dxa"/>
                  <w:noWrap w:val="0"/>
                  <w:vAlign w:val="center"/>
                </w:tcPr>
                <w:p w14:paraId="43A83C7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80</w:t>
                  </w:r>
                </w:p>
              </w:tc>
              <w:tc>
                <w:tcPr>
                  <w:tcW w:w="1274" w:type="dxa"/>
                  <w:vMerge w:val="continue"/>
                  <w:noWrap w:val="0"/>
                  <w:vAlign w:val="center"/>
                </w:tcPr>
                <w:p w14:paraId="1466A30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318132E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2B027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843" w:type="dxa"/>
                  <w:noWrap w:val="0"/>
                  <w:vAlign w:val="center"/>
                </w:tcPr>
                <w:p w14:paraId="3EB7CAD2">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pacing w:val="-3"/>
                      <w:sz w:val="21"/>
                      <w:szCs w:val="21"/>
                      <w:highlight w:val="none"/>
                      <w:lang w:val="en-US" w:eastAsia="zh-CN"/>
                    </w:rPr>
                  </w:pPr>
                  <w:r>
                    <w:rPr>
                      <w:rFonts w:hint="eastAsia"/>
                      <w:color w:val="000000"/>
                      <w:spacing w:val="-3"/>
                      <w:sz w:val="21"/>
                      <w:szCs w:val="21"/>
                      <w:highlight w:val="none"/>
                      <w:lang w:val="en-US" w:eastAsia="zh-CN"/>
                    </w:rPr>
                    <w:t>7</w:t>
                  </w:r>
                </w:p>
              </w:tc>
              <w:tc>
                <w:tcPr>
                  <w:tcW w:w="2599" w:type="dxa"/>
                  <w:noWrap w:val="0"/>
                  <w:vAlign w:val="bottom"/>
                </w:tcPr>
                <w:p w14:paraId="6810AB64">
                  <w:pPr>
                    <w:keepNext w:val="0"/>
                    <w:keepLines w:val="0"/>
                    <w:widowControl/>
                    <w:suppressLineNumbers w:val="0"/>
                    <w:jc w:val="center"/>
                    <w:textAlignment w:val="bottom"/>
                    <w:rPr>
                      <w:rFonts w:ascii="宋体" w:hAnsi="宋体" w:eastAsia="宋体" w:cs="宋体"/>
                      <w:color w:val="000000"/>
                      <w:spacing w:val="14"/>
                      <w:position w:val="17"/>
                      <w:sz w:val="21"/>
                      <w:szCs w:val="21"/>
                      <w:highlight w:val="none"/>
                    </w:rPr>
                  </w:pPr>
                  <w:r>
                    <w:rPr>
                      <w:rStyle w:val="26"/>
                      <w:color w:val="000000"/>
                      <w:sz w:val="21"/>
                      <w:szCs w:val="21"/>
                      <w:highlight w:val="none"/>
                      <w:lang w:val="en-US" w:eastAsia="zh-CN" w:bidi="ar"/>
                    </w:rPr>
                    <w:t>电催化浮选机</w:t>
                  </w:r>
                </w:p>
              </w:tc>
              <w:tc>
                <w:tcPr>
                  <w:tcW w:w="1032" w:type="dxa"/>
                  <w:noWrap w:val="0"/>
                  <w:vAlign w:val="center"/>
                </w:tcPr>
                <w:p w14:paraId="69EC1827">
                  <w:pPr>
                    <w:keepNext w:val="0"/>
                    <w:keepLines w:val="0"/>
                    <w:widowControl/>
                    <w:suppressLineNumbers w:val="0"/>
                    <w:jc w:val="center"/>
                    <w:textAlignment w:val="center"/>
                    <w:rPr>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274" w:type="dxa"/>
                  <w:noWrap w:val="0"/>
                  <w:vAlign w:val="center"/>
                </w:tcPr>
                <w:p w14:paraId="5B9204EC">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70</w:t>
                  </w:r>
                </w:p>
              </w:tc>
              <w:tc>
                <w:tcPr>
                  <w:tcW w:w="1274" w:type="dxa"/>
                  <w:vMerge w:val="continue"/>
                  <w:noWrap w:val="0"/>
                  <w:vAlign w:val="center"/>
                </w:tcPr>
                <w:p w14:paraId="0C942C5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4DDBC429">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r w14:paraId="184CB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843" w:type="dxa"/>
                  <w:noWrap w:val="0"/>
                  <w:vAlign w:val="center"/>
                </w:tcPr>
                <w:p w14:paraId="2E2FD869">
                  <w:pPr>
                    <w:pStyle w:val="25"/>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pacing w:val="-3"/>
                      <w:sz w:val="21"/>
                      <w:szCs w:val="21"/>
                      <w:highlight w:val="none"/>
                      <w:lang w:val="en-US" w:eastAsia="zh-CN"/>
                    </w:rPr>
                  </w:pPr>
                  <w:r>
                    <w:rPr>
                      <w:rFonts w:hint="eastAsia"/>
                      <w:color w:val="000000"/>
                      <w:spacing w:val="-3"/>
                      <w:sz w:val="21"/>
                      <w:szCs w:val="21"/>
                      <w:highlight w:val="none"/>
                      <w:lang w:val="en-US" w:eastAsia="zh-CN"/>
                    </w:rPr>
                    <w:t>8</w:t>
                  </w:r>
                </w:p>
              </w:tc>
              <w:tc>
                <w:tcPr>
                  <w:tcW w:w="2599" w:type="dxa"/>
                  <w:noWrap w:val="0"/>
                  <w:vAlign w:val="bottom"/>
                </w:tcPr>
                <w:p w14:paraId="4A52683C">
                  <w:pPr>
                    <w:keepNext w:val="0"/>
                    <w:keepLines w:val="0"/>
                    <w:widowControl/>
                    <w:suppressLineNumbers w:val="0"/>
                    <w:jc w:val="center"/>
                    <w:textAlignment w:val="bottom"/>
                    <w:rPr>
                      <w:rFonts w:ascii="宋体" w:hAnsi="宋体" w:eastAsia="宋体" w:cs="宋体"/>
                      <w:color w:val="000000"/>
                      <w:spacing w:val="14"/>
                      <w:position w:val="17"/>
                      <w:sz w:val="21"/>
                      <w:szCs w:val="21"/>
                      <w:highlight w:val="none"/>
                    </w:rPr>
                  </w:pPr>
                  <w:r>
                    <w:rPr>
                      <w:rStyle w:val="26"/>
                      <w:color w:val="000000"/>
                      <w:sz w:val="21"/>
                      <w:szCs w:val="21"/>
                      <w:highlight w:val="none"/>
                      <w:lang w:val="en-US" w:eastAsia="zh-CN" w:bidi="ar"/>
                    </w:rPr>
                    <w:t>磁悬浮风机</w:t>
                  </w:r>
                </w:p>
              </w:tc>
              <w:tc>
                <w:tcPr>
                  <w:tcW w:w="1032" w:type="dxa"/>
                  <w:noWrap w:val="0"/>
                  <w:vAlign w:val="center"/>
                </w:tcPr>
                <w:p w14:paraId="7F339175">
                  <w:pPr>
                    <w:keepNext w:val="0"/>
                    <w:keepLines w:val="0"/>
                    <w:widowControl/>
                    <w:suppressLineNumbers w:val="0"/>
                    <w:jc w:val="center"/>
                    <w:textAlignment w:val="center"/>
                    <w:rPr>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274" w:type="dxa"/>
                  <w:noWrap w:val="0"/>
                  <w:vAlign w:val="center"/>
                </w:tcPr>
                <w:p w14:paraId="4A65692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Arial" w:eastAsia="宋体"/>
                      <w:color w:val="000000"/>
                      <w:sz w:val="21"/>
                      <w:szCs w:val="21"/>
                      <w:highlight w:val="none"/>
                      <w:lang w:val="en-US" w:eastAsia="zh-CN"/>
                    </w:rPr>
                  </w:pPr>
                  <w:r>
                    <w:rPr>
                      <w:rFonts w:hint="eastAsia" w:eastAsia="宋体"/>
                      <w:color w:val="000000"/>
                      <w:sz w:val="21"/>
                      <w:szCs w:val="21"/>
                      <w:highlight w:val="none"/>
                      <w:lang w:val="en-US" w:eastAsia="zh-CN"/>
                    </w:rPr>
                    <w:t>90</w:t>
                  </w:r>
                </w:p>
              </w:tc>
              <w:tc>
                <w:tcPr>
                  <w:tcW w:w="1274" w:type="dxa"/>
                  <w:vMerge w:val="continue"/>
                  <w:noWrap w:val="0"/>
                  <w:vAlign w:val="center"/>
                </w:tcPr>
                <w:p w14:paraId="427D2B4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eastAsia="宋体"/>
                      <w:color w:val="000000"/>
                      <w:sz w:val="21"/>
                      <w:szCs w:val="21"/>
                      <w:highlight w:val="none"/>
                      <w:lang w:val="en-US" w:eastAsia="zh-CN"/>
                    </w:rPr>
                  </w:pPr>
                </w:p>
              </w:tc>
              <w:tc>
                <w:tcPr>
                  <w:tcW w:w="1274" w:type="dxa"/>
                  <w:vMerge w:val="continue"/>
                  <w:noWrap w:val="0"/>
                  <w:vAlign w:val="center"/>
                </w:tcPr>
                <w:p w14:paraId="4723738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ascii="Arial"/>
                      <w:color w:val="000000"/>
                      <w:sz w:val="21"/>
                      <w:szCs w:val="21"/>
                      <w:highlight w:val="none"/>
                    </w:rPr>
                  </w:pPr>
                </w:p>
              </w:tc>
            </w:tr>
          </w:tbl>
          <w:p w14:paraId="0B9DE75A">
            <w:pPr>
              <w:spacing w:line="360" w:lineRule="auto"/>
              <w:ind w:firstLine="464" w:firstLineChars="200"/>
              <w:rPr>
                <w:rFonts w:hint="default"/>
                <w:color w:val="000000"/>
                <w:spacing w:val="-4"/>
                <w:kern w:val="0"/>
                <w:sz w:val="24"/>
                <w:highlight w:val="none"/>
                <w:lang w:val="en-US" w:eastAsia="zh-CN"/>
              </w:rPr>
            </w:pPr>
            <w:r>
              <w:rPr>
                <w:rFonts w:hint="eastAsia"/>
                <w:color w:val="000000"/>
                <w:spacing w:val="-4"/>
                <w:kern w:val="0"/>
                <w:sz w:val="24"/>
                <w:highlight w:val="none"/>
                <w:lang w:val="en-US" w:eastAsia="zh-CN"/>
              </w:rPr>
              <w:t>2、预测模式与方法</w:t>
            </w:r>
          </w:p>
          <w:p w14:paraId="65E3D8AA">
            <w:pPr>
              <w:spacing w:line="360" w:lineRule="auto"/>
              <w:ind w:firstLine="480" w:firstLineChars="200"/>
              <w:rPr>
                <w:color w:val="000000"/>
                <w:sz w:val="24"/>
                <w:szCs w:val="24"/>
                <w:highlight w:val="none"/>
              </w:rPr>
            </w:pPr>
            <w:r>
              <w:rPr>
                <w:color w:val="000000"/>
                <w:sz w:val="24"/>
                <w:szCs w:val="24"/>
                <w:highlight w:val="none"/>
              </w:rPr>
              <w:t>根据工程总平面布置图确定主要噪声源的分布，通过类比、调查监测等方法对项目的主要噪声源进行分析，根据该项目主要噪声源声学参数、声源分布及厂界环境噪声现状监测数据情况，预测厂界噪声达标情况。</w:t>
            </w:r>
          </w:p>
          <w:p w14:paraId="697356FA">
            <w:pPr>
              <w:spacing w:line="360" w:lineRule="auto"/>
              <w:ind w:firstLine="480" w:firstLineChars="200"/>
              <w:rPr>
                <w:color w:val="000000"/>
                <w:sz w:val="24"/>
                <w:szCs w:val="24"/>
                <w:highlight w:val="none"/>
              </w:rPr>
            </w:pPr>
            <w:r>
              <w:rPr>
                <w:color w:val="000000"/>
                <w:sz w:val="24"/>
                <w:szCs w:val="24"/>
                <w:highlight w:val="none"/>
              </w:rPr>
              <w:t>（1）预测模式</w:t>
            </w:r>
          </w:p>
          <w:p w14:paraId="74E04EF6">
            <w:pPr>
              <w:spacing w:line="360" w:lineRule="auto"/>
              <w:ind w:firstLine="480" w:firstLineChars="200"/>
              <w:rPr>
                <w:color w:val="000000"/>
                <w:sz w:val="24"/>
                <w:szCs w:val="24"/>
                <w:highlight w:val="none"/>
              </w:rPr>
            </w:pPr>
            <w:r>
              <w:rPr>
                <w:color w:val="000000"/>
                <w:sz w:val="24"/>
                <w:szCs w:val="24"/>
                <w:highlight w:val="none"/>
              </w:rPr>
              <w:t>采用《环境影响评价技术导则—声环境》（HJ/T2.4-20</w:t>
            </w:r>
            <w:r>
              <w:rPr>
                <w:rFonts w:hint="eastAsia"/>
                <w:color w:val="000000"/>
                <w:sz w:val="24"/>
                <w:szCs w:val="24"/>
                <w:highlight w:val="none"/>
              </w:rPr>
              <w:t>21</w:t>
            </w:r>
            <w:r>
              <w:rPr>
                <w:color w:val="000000"/>
                <w:sz w:val="24"/>
                <w:szCs w:val="24"/>
                <w:highlight w:val="none"/>
              </w:rPr>
              <w:t>）中工业噪声预测模式。</w:t>
            </w:r>
          </w:p>
          <w:p w14:paraId="62A3A3FC">
            <w:pPr>
              <w:spacing w:line="360" w:lineRule="auto"/>
              <w:ind w:firstLine="480" w:firstLineChars="200"/>
              <w:rPr>
                <w:color w:val="000000"/>
                <w:sz w:val="24"/>
                <w:szCs w:val="24"/>
                <w:highlight w:val="none"/>
              </w:rPr>
            </w:pPr>
            <w:r>
              <w:rPr>
                <w:rFonts w:hint="eastAsia"/>
                <w:color w:val="000000"/>
                <w:sz w:val="24"/>
                <w:szCs w:val="24"/>
                <w:highlight w:val="none"/>
              </w:rPr>
              <w:t>①</w:t>
            </w:r>
            <w:r>
              <w:rPr>
                <w:color w:val="000000"/>
                <w:sz w:val="24"/>
                <w:szCs w:val="24"/>
                <w:highlight w:val="none"/>
              </w:rPr>
              <w:t>单个室外点声源在预测点产生的声级计算基本公式</w:t>
            </w:r>
          </w:p>
          <w:p w14:paraId="08DCFBF3">
            <w:pPr>
              <w:spacing w:line="360" w:lineRule="auto"/>
              <w:ind w:firstLine="480" w:firstLineChars="200"/>
              <w:rPr>
                <w:color w:val="000000"/>
                <w:sz w:val="24"/>
                <w:szCs w:val="24"/>
                <w:highlight w:val="none"/>
              </w:rPr>
            </w:pPr>
            <w:r>
              <w:rPr>
                <w:color w:val="000000"/>
                <w:sz w:val="24"/>
                <w:szCs w:val="24"/>
                <w:highlight w:val="none"/>
              </w:rPr>
              <w:t>如已知声源的倍频带声功率级，预测点位置的倍频带声压级Lp(r)可按公式（1）计算：</w:t>
            </w:r>
          </w:p>
          <w:p w14:paraId="1A29E584">
            <w:pPr>
              <w:widowControl/>
              <w:spacing w:line="360" w:lineRule="auto"/>
              <w:ind w:firstLine="480" w:firstLineChars="200"/>
              <w:jc w:val="left"/>
              <w:rPr>
                <w:color w:val="000000"/>
                <w:sz w:val="24"/>
                <w:szCs w:val="24"/>
                <w:highlight w:val="none"/>
              </w:rPr>
            </w:pPr>
            <w:r>
              <w:rPr>
                <w:i/>
                <w:iCs/>
                <w:color w:val="000000"/>
                <w:kern w:val="0"/>
                <w:sz w:val="24"/>
                <w:szCs w:val="24"/>
                <w:highlight w:val="none"/>
                <w:lang w:bidi="ar"/>
              </w:rPr>
              <w:t>Lp</w:t>
            </w:r>
            <w:r>
              <w:rPr>
                <w:color w:val="000000"/>
                <w:kern w:val="0"/>
                <w:sz w:val="24"/>
                <w:szCs w:val="24"/>
                <w:highlight w:val="none"/>
                <w:lang w:bidi="ar"/>
              </w:rPr>
              <w:t>(</w:t>
            </w:r>
            <w:r>
              <w:rPr>
                <w:i/>
                <w:iCs/>
                <w:color w:val="000000"/>
                <w:kern w:val="0"/>
                <w:sz w:val="24"/>
                <w:szCs w:val="24"/>
                <w:highlight w:val="none"/>
                <w:lang w:bidi="ar"/>
              </w:rPr>
              <w:t>r</w:t>
            </w:r>
            <w:r>
              <w:rPr>
                <w:color w:val="000000"/>
                <w:kern w:val="0"/>
                <w:sz w:val="24"/>
                <w:szCs w:val="24"/>
                <w:highlight w:val="none"/>
                <w:lang w:bidi="ar"/>
              </w:rPr>
              <w:t>)＝</w:t>
            </w:r>
            <w:r>
              <w:rPr>
                <w:i/>
                <w:iCs/>
                <w:color w:val="000000"/>
                <w:kern w:val="0"/>
                <w:sz w:val="24"/>
                <w:szCs w:val="24"/>
                <w:highlight w:val="none"/>
                <w:lang w:bidi="ar"/>
              </w:rPr>
              <w:t>Lw</w:t>
            </w:r>
            <w:r>
              <w:rPr>
                <w:color w:val="000000"/>
                <w:kern w:val="0"/>
                <w:sz w:val="24"/>
                <w:szCs w:val="24"/>
                <w:highlight w:val="none"/>
                <w:lang w:bidi="ar"/>
              </w:rPr>
              <w:t>+</w:t>
            </w:r>
            <w:r>
              <w:rPr>
                <w:i/>
                <w:iCs/>
                <w:color w:val="000000"/>
                <w:kern w:val="0"/>
                <w:sz w:val="24"/>
                <w:szCs w:val="24"/>
                <w:highlight w:val="none"/>
                <w:lang w:bidi="ar"/>
              </w:rPr>
              <w:t>D</w:t>
            </w:r>
            <w:r>
              <w:rPr>
                <w:color w:val="000000"/>
                <w:kern w:val="0"/>
                <w:sz w:val="24"/>
                <w:szCs w:val="24"/>
                <w:highlight w:val="none"/>
                <w:lang w:bidi="ar"/>
              </w:rPr>
              <w:t>C－(</w:t>
            </w:r>
            <w:r>
              <w:rPr>
                <w:i/>
                <w:iCs/>
                <w:color w:val="000000"/>
                <w:kern w:val="0"/>
                <w:sz w:val="24"/>
                <w:szCs w:val="24"/>
                <w:highlight w:val="none"/>
                <w:lang w:bidi="ar"/>
              </w:rPr>
              <w:t>A</w:t>
            </w:r>
            <w:r>
              <w:rPr>
                <w:color w:val="000000"/>
                <w:kern w:val="0"/>
                <w:sz w:val="24"/>
                <w:szCs w:val="24"/>
                <w:highlight w:val="none"/>
                <w:lang w:bidi="ar"/>
              </w:rPr>
              <w:t>div＋</w:t>
            </w:r>
            <w:r>
              <w:rPr>
                <w:i/>
                <w:iCs/>
                <w:color w:val="000000"/>
                <w:kern w:val="0"/>
                <w:sz w:val="24"/>
                <w:szCs w:val="24"/>
                <w:highlight w:val="none"/>
                <w:lang w:bidi="ar"/>
              </w:rPr>
              <w:t>A</w:t>
            </w:r>
            <w:r>
              <w:rPr>
                <w:color w:val="000000"/>
                <w:kern w:val="0"/>
                <w:sz w:val="24"/>
                <w:szCs w:val="24"/>
                <w:highlight w:val="none"/>
                <w:lang w:bidi="ar"/>
              </w:rPr>
              <w:t>atm＋</w:t>
            </w:r>
            <w:r>
              <w:rPr>
                <w:i/>
                <w:iCs/>
                <w:color w:val="000000"/>
                <w:kern w:val="0"/>
                <w:sz w:val="24"/>
                <w:szCs w:val="24"/>
                <w:highlight w:val="none"/>
                <w:lang w:bidi="ar"/>
              </w:rPr>
              <w:t>A</w:t>
            </w:r>
            <w:r>
              <w:rPr>
                <w:color w:val="000000"/>
                <w:kern w:val="0"/>
                <w:sz w:val="24"/>
                <w:szCs w:val="24"/>
                <w:highlight w:val="none"/>
                <w:lang w:bidi="ar"/>
              </w:rPr>
              <w:t>gr＋</w:t>
            </w:r>
            <w:r>
              <w:rPr>
                <w:i/>
                <w:iCs/>
                <w:color w:val="000000"/>
                <w:kern w:val="0"/>
                <w:sz w:val="24"/>
                <w:szCs w:val="24"/>
                <w:highlight w:val="none"/>
                <w:lang w:bidi="ar"/>
              </w:rPr>
              <w:t>A</w:t>
            </w:r>
            <w:r>
              <w:rPr>
                <w:color w:val="000000"/>
                <w:kern w:val="0"/>
                <w:sz w:val="24"/>
                <w:szCs w:val="24"/>
                <w:highlight w:val="none"/>
                <w:lang w:bidi="ar"/>
              </w:rPr>
              <w:t>bar＋</w:t>
            </w:r>
            <w:r>
              <w:rPr>
                <w:i/>
                <w:iCs/>
                <w:color w:val="000000"/>
                <w:kern w:val="0"/>
                <w:sz w:val="24"/>
                <w:szCs w:val="24"/>
                <w:highlight w:val="none"/>
                <w:lang w:bidi="ar"/>
              </w:rPr>
              <w:t>A</w:t>
            </w:r>
            <w:r>
              <w:rPr>
                <w:color w:val="000000"/>
                <w:kern w:val="0"/>
                <w:sz w:val="24"/>
                <w:szCs w:val="24"/>
                <w:highlight w:val="none"/>
                <w:lang w:bidi="ar"/>
              </w:rPr>
              <w:t xml:space="preserve">misc) </w:t>
            </w:r>
            <w:r>
              <w:rPr>
                <w:color w:val="000000"/>
                <w:sz w:val="24"/>
                <w:szCs w:val="24"/>
                <w:highlight w:val="none"/>
              </w:rPr>
              <w:t>（1）</w:t>
            </w:r>
          </w:p>
          <w:p w14:paraId="0C3035A9">
            <w:pPr>
              <w:spacing w:line="360" w:lineRule="auto"/>
              <w:ind w:firstLine="480" w:firstLineChars="200"/>
              <w:rPr>
                <w:color w:val="000000"/>
                <w:sz w:val="24"/>
                <w:szCs w:val="24"/>
                <w:highlight w:val="none"/>
              </w:rPr>
            </w:pPr>
            <w:r>
              <w:rPr>
                <w:color w:val="000000"/>
                <w:sz w:val="24"/>
                <w:szCs w:val="24"/>
                <w:highlight w:val="none"/>
              </w:rPr>
              <w:t>式中：</w:t>
            </w:r>
          </w:p>
          <w:p w14:paraId="1C13DF47">
            <w:pPr>
              <w:spacing w:line="360" w:lineRule="auto"/>
              <w:ind w:firstLine="480" w:firstLineChars="200"/>
              <w:rPr>
                <w:color w:val="000000"/>
                <w:sz w:val="24"/>
                <w:szCs w:val="24"/>
                <w:highlight w:val="none"/>
              </w:rPr>
            </w:pPr>
            <w:bookmarkStart w:id="11" w:name="_Toc516504649"/>
            <w:bookmarkStart w:id="12" w:name="_Toc518548427"/>
            <w:r>
              <w:rPr>
                <w:color w:val="000000"/>
                <w:sz w:val="24"/>
                <w:szCs w:val="24"/>
                <w:highlight w:val="none"/>
              </w:rPr>
              <w:t>L</w:t>
            </w:r>
            <w:r>
              <w:rPr>
                <w:color w:val="000000"/>
                <w:sz w:val="24"/>
                <w:szCs w:val="24"/>
                <w:highlight w:val="none"/>
                <w:vertAlign w:val="subscript"/>
              </w:rPr>
              <w:t>w</w:t>
            </w:r>
            <w:r>
              <w:rPr>
                <w:color w:val="000000"/>
                <w:sz w:val="24"/>
                <w:szCs w:val="24"/>
                <w:highlight w:val="none"/>
              </w:rPr>
              <w:t>—倍频带声功率级，dB；</w:t>
            </w:r>
            <w:bookmarkEnd w:id="11"/>
            <w:bookmarkEnd w:id="12"/>
          </w:p>
          <w:p w14:paraId="26F18FA5">
            <w:pPr>
              <w:spacing w:line="360" w:lineRule="auto"/>
              <w:ind w:firstLine="480" w:firstLineChars="200"/>
              <w:rPr>
                <w:color w:val="000000"/>
                <w:sz w:val="24"/>
                <w:szCs w:val="24"/>
                <w:highlight w:val="none"/>
              </w:rPr>
            </w:pPr>
            <w:r>
              <w:rPr>
                <w:color w:val="000000"/>
                <w:sz w:val="24"/>
                <w:szCs w:val="24"/>
                <w:highlight w:val="none"/>
              </w:rPr>
              <w:t>Dc—指向性校正，dB，对辐射到自由空间的全向点声源，为0；倍频带衰减，dB；</w:t>
            </w:r>
          </w:p>
          <w:p w14:paraId="03BF51AF">
            <w:pPr>
              <w:spacing w:line="360" w:lineRule="auto"/>
              <w:ind w:firstLine="480" w:firstLineChars="200"/>
              <w:rPr>
                <w:color w:val="000000"/>
                <w:sz w:val="24"/>
                <w:szCs w:val="24"/>
                <w:highlight w:val="none"/>
              </w:rPr>
            </w:pPr>
            <w:r>
              <w:rPr>
                <w:color w:val="000000"/>
                <w:sz w:val="24"/>
                <w:szCs w:val="24"/>
                <w:highlight w:val="none"/>
              </w:rPr>
              <w:t>A</w:t>
            </w:r>
            <w:r>
              <w:rPr>
                <w:color w:val="000000"/>
                <w:sz w:val="24"/>
                <w:szCs w:val="24"/>
                <w:highlight w:val="none"/>
                <w:vertAlign w:val="subscript"/>
              </w:rPr>
              <w:t>div</w:t>
            </w:r>
            <w:r>
              <w:rPr>
                <w:color w:val="000000"/>
                <w:sz w:val="24"/>
                <w:szCs w:val="24"/>
                <w:highlight w:val="none"/>
              </w:rPr>
              <w:t>—几何发散引起的倍频带衰减，dB；</w:t>
            </w:r>
          </w:p>
          <w:p w14:paraId="486901CF">
            <w:pPr>
              <w:spacing w:line="360" w:lineRule="auto"/>
              <w:ind w:firstLine="480" w:firstLineChars="200"/>
              <w:rPr>
                <w:color w:val="000000"/>
                <w:sz w:val="24"/>
                <w:szCs w:val="24"/>
                <w:highlight w:val="none"/>
              </w:rPr>
            </w:pPr>
            <w:r>
              <w:rPr>
                <w:color w:val="000000"/>
                <w:sz w:val="24"/>
                <w:szCs w:val="24"/>
                <w:highlight w:val="none"/>
              </w:rPr>
              <w:t>A</w:t>
            </w:r>
            <w:r>
              <w:rPr>
                <w:color w:val="000000"/>
                <w:sz w:val="24"/>
                <w:szCs w:val="24"/>
                <w:highlight w:val="none"/>
                <w:vertAlign w:val="subscript"/>
              </w:rPr>
              <w:t>atm</w:t>
            </w:r>
            <w:r>
              <w:rPr>
                <w:color w:val="000000"/>
                <w:sz w:val="24"/>
                <w:szCs w:val="24"/>
                <w:highlight w:val="none"/>
              </w:rPr>
              <w:t>—大气吸收引起的倍频带衰减，dB；</w:t>
            </w:r>
          </w:p>
          <w:p w14:paraId="2F14B7A0">
            <w:pPr>
              <w:spacing w:line="360" w:lineRule="auto"/>
              <w:ind w:firstLine="480" w:firstLineChars="200"/>
              <w:rPr>
                <w:color w:val="000000"/>
                <w:sz w:val="24"/>
                <w:szCs w:val="24"/>
                <w:highlight w:val="none"/>
              </w:rPr>
            </w:pPr>
            <w:r>
              <w:rPr>
                <w:color w:val="000000"/>
                <w:sz w:val="24"/>
                <w:szCs w:val="24"/>
                <w:highlight w:val="none"/>
              </w:rPr>
              <w:t>A</w:t>
            </w:r>
            <w:r>
              <w:rPr>
                <w:color w:val="000000"/>
                <w:sz w:val="24"/>
                <w:szCs w:val="24"/>
                <w:highlight w:val="none"/>
                <w:vertAlign w:val="subscript"/>
              </w:rPr>
              <w:t>gr</w:t>
            </w:r>
            <w:r>
              <w:rPr>
                <w:color w:val="000000"/>
                <w:sz w:val="24"/>
                <w:szCs w:val="24"/>
                <w:highlight w:val="none"/>
              </w:rPr>
              <w:t>—地面效应吸收引起的倍频带衰减，dB；</w:t>
            </w:r>
          </w:p>
          <w:p w14:paraId="279138FE">
            <w:pPr>
              <w:spacing w:line="360" w:lineRule="auto"/>
              <w:ind w:firstLine="480" w:firstLineChars="200"/>
              <w:rPr>
                <w:color w:val="000000"/>
                <w:sz w:val="24"/>
                <w:szCs w:val="24"/>
                <w:highlight w:val="none"/>
              </w:rPr>
            </w:pPr>
            <w:r>
              <w:rPr>
                <w:color w:val="000000"/>
                <w:sz w:val="24"/>
                <w:szCs w:val="24"/>
                <w:highlight w:val="none"/>
              </w:rPr>
              <w:t>A</w:t>
            </w:r>
            <w:r>
              <w:rPr>
                <w:color w:val="000000"/>
                <w:sz w:val="24"/>
                <w:szCs w:val="24"/>
                <w:highlight w:val="none"/>
                <w:vertAlign w:val="subscript"/>
              </w:rPr>
              <w:t>bar</w:t>
            </w:r>
            <w:r>
              <w:rPr>
                <w:color w:val="000000"/>
                <w:sz w:val="24"/>
                <w:szCs w:val="24"/>
                <w:highlight w:val="none"/>
              </w:rPr>
              <w:t>—声屏障引起的倍频带衰减，dB；</w:t>
            </w:r>
          </w:p>
          <w:p w14:paraId="1E8961B4">
            <w:pPr>
              <w:spacing w:line="360" w:lineRule="auto"/>
              <w:ind w:firstLine="480" w:firstLineChars="200"/>
              <w:rPr>
                <w:color w:val="000000"/>
                <w:sz w:val="24"/>
                <w:szCs w:val="24"/>
                <w:highlight w:val="none"/>
              </w:rPr>
            </w:pPr>
            <w:r>
              <w:rPr>
                <w:color w:val="000000"/>
                <w:sz w:val="24"/>
                <w:szCs w:val="24"/>
                <w:highlight w:val="none"/>
              </w:rPr>
              <w:t>A</w:t>
            </w:r>
            <w:r>
              <w:rPr>
                <w:color w:val="000000"/>
                <w:sz w:val="24"/>
                <w:szCs w:val="24"/>
                <w:highlight w:val="none"/>
                <w:vertAlign w:val="subscript"/>
              </w:rPr>
              <w:t>misc</w:t>
            </w:r>
            <w:r>
              <w:rPr>
                <w:color w:val="000000"/>
                <w:sz w:val="24"/>
                <w:szCs w:val="24"/>
                <w:highlight w:val="none"/>
              </w:rPr>
              <w:t>—其他多方面效应引起的倍频带衰减，dB。</w:t>
            </w:r>
          </w:p>
          <w:p w14:paraId="17F719C0">
            <w:pPr>
              <w:spacing w:line="360" w:lineRule="auto"/>
              <w:ind w:firstLine="480" w:firstLineChars="200"/>
              <w:rPr>
                <w:color w:val="000000"/>
                <w:sz w:val="24"/>
                <w:szCs w:val="24"/>
                <w:highlight w:val="none"/>
              </w:rPr>
            </w:pPr>
            <w:r>
              <w:rPr>
                <w:color w:val="000000"/>
                <w:sz w:val="24"/>
                <w:szCs w:val="24"/>
                <w:highlight w:val="none"/>
              </w:rPr>
              <w:t>如已知靠近声源处某点的倍频带声压级Lp(r</w:t>
            </w:r>
            <w:r>
              <w:rPr>
                <w:color w:val="000000"/>
                <w:sz w:val="24"/>
                <w:szCs w:val="24"/>
                <w:highlight w:val="none"/>
                <w:vertAlign w:val="subscript"/>
              </w:rPr>
              <w:t>0</w:t>
            </w:r>
            <w:r>
              <w:rPr>
                <w:color w:val="000000"/>
                <w:sz w:val="24"/>
                <w:szCs w:val="24"/>
                <w:highlight w:val="none"/>
              </w:rPr>
              <w:t>)时，相同方向预测点位置的倍频带声压级Lp(r)可按公式（2）计算：</w:t>
            </w:r>
          </w:p>
          <w:p w14:paraId="1163D5B5">
            <w:pPr>
              <w:spacing w:line="360" w:lineRule="auto"/>
              <w:ind w:firstLine="480" w:firstLineChars="200"/>
              <w:rPr>
                <w:color w:val="000000"/>
                <w:sz w:val="24"/>
                <w:szCs w:val="24"/>
                <w:highlight w:val="none"/>
              </w:rPr>
            </w:pPr>
            <w:bookmarkStart w:id="13" w:name="_Toc516504650"/>
            <w:bookmarkStart w:id="14" w:name="_Toc449514286"/>
            <w:bookmarkStart w:id="15" w:name="_Toc518548428"/>
            <w:bookmarkStart w:id="16" w:name="_Toc461955817"/>
            <w:r>
              <w:rPr>
                <w:color w:val="000000"/>
                <w:position w:val="-14"/>
                <w:sz w:val="24"/>
                <w:szCs w:val="24"/>
                <w:highlight w:val="none"/>
              </w:rPr>
              <w:object>
                <v:shape id="_x0000_i1027" o:spt="75" type="#_x0000_t75" style="height:20.95pt;width:92.95pt;" o:ole="t" filled="f" o:preferrelative="t" stroked="f" coordsize="21600,21600">
                  <v:path/>
                  <v:fill on="f" focussize="0,0"/>
                  <v:stroke on="f"/>
                  <v:imagedata r:id="rId22" o:title=""/>
                  <o:lock v:ext="edit" aspectratio="t"/>
                  <w10:wrap type="none"/>
                  <w10:anchorlock/>
                </v:shape>
                <o:OLEObject Type="Embed" ProgID="Equation.3" ShapeID="_x0000_i1027" DrawAspect="Content" ObjectID="_1468075727" r:id="rId21">
                  <o:LockedField>false</o:LockedField>
                </o:OLEObject>
              </w:object>
            </w:r>
            <w:r>
              <w:rPr>
                <w:color w:val="000000"/>
                <w:sz w:val="24"/>
                <w:szCs w:val="24"/>
                <w:highlight w:val="none"/>
              </w:rPr>
              <w:t>（2）</w:t>
            </w:r>
            <w:bookmarkEnd w:id="13"/>
            <w:bookmarkEnd w:id="14"/>
            <w:bookmarkEnd w:id="15"/>
            <w:bookmarkEnd w:id="16"/>
          </w:p>
          <w:p w14:paraId="5D57FC4D">
            <w:pPr>
              <w:spacing w:line="500" w:lineRule="exact"/>
              <w:ind w:firstLine="480" w:firstLineChars="200"/>
              <w:rPr>
                <w:color w:val="000000"/>
                <w:sz w:val="24"/>
                <w:szCs w:val="24"/>
                <w:highlight w:val="none"/>
              </w:rPr>
            </w:pPr>
            <w:r>
              <w:rPr>
                <w:color w:val="000000"/>
                <w:sz w:val="24"/>
                <w:szCs w:val="24"/>
                <w:highlight w:val="none"/>
              </w:rPr>
              <w:t>预测点的A声级L</w:t>
            </w:r>
            <w:r>
              <w:rPr>
                <w:color w:val="000000"/>
                <w:sz w:val="24"/>
                <w:szCs w:val="24"/>
                <w:highlight w:val="none"/>
                <w:vertAlign w:val="subscript"/>
              </w:rPr>
              <w:t>A</w:t>
            </w:r>
            <w:r>
              <w:rPr>
                <w:color w:val="000000"/>
                <w:sz w:val="24"/>
                <w:szCs w:val="24"/>
                <w:highlight w:val="none"/>
              </w:rPr>
              <w:t>(r)，可利用8个倍频带的声压级公式（3）计算：</w:t>
            </w:r>
          </w:p>
          <w:p w14:paraId="2674027D">
            <w:pPr>
              <w:spacing w:line="360" w:lineRule="auto"/>
              <w:ind w:firstLine="480" w:firstLineChars="200"/>
              <w:rPr>
                <w:color w:val="000000"/>
                <w:sz w:val="24"/>
                <w:szCs w:val="24"/>
                <w:highlight w:val="none"/>
              </w:rPr>
            </w:pPr>
            <w:bookmarkStart w:id="17" w:name="_Toc518548429"/>
            <w:bookmarkStart w:id="18" w:name="_Toc516504651"/>
            <w:bookmarkStart w:id="19" w:name="_Toc449514287"/>
            <w:bookmarkStart w:id="20" w:name="_Toc461955818"/>
            <w:r>
              <w:rPr>
                <w:color w:val="000000"/>
                <w:position w:val="-28"/>
                <w:sz w:val="24"/>
                <w:szCs w:val="24"/>
                <w:highlight w:val="none"/>
              </w:rPr>
              <w:object>
                <v:shape id="_x0000_i1028" o:spt="75" type="#_x0000_t75" style="height:36pt;width:144pt;" o:ole="t" filled="f" o:preferrelative="t" stroked="f" coordsize="21600,21600">
                  <v:path/>
                  <v:fill on="f" focussize="0,0"/>
                  <v:stroke on="f"/>
                  <v:imagedata r:id="rId24" o:title=""/>
                  <o:lock v:ext="edit" aspectratio="t"/>
                  <w10:wrap type="none"/>
                  <w10:anchorlock/>
                </v:shape>
                <o:OLEObject Type="Embed" ProgID="Equation.3" ShapeID="_x0000_i1028" DrawAspect="Content" ObjectID="_1468075728" r:id="rId23">
                  <o:LockedField>false</o:LockedField>
                </o:OLEObject>
              </w:object>
            </w:r>
            <w:r>
              <w:rPr>
                <w:color w:val="000000"/>
                <w:sz w:val="24"/>
                <w:szCs w:val="24"/>
                <w:highlight w:val="none"/>
              </w:rPr>
              <w:t>（3）</w:t>
            </w:r>
            <w:bookmarkEnd w:id="17"/>
            <w:bookmarkEnd w:id="18"/>
            <w:bookmarkEnd w:id="19"/>
            <w:bookmarkEnd w:id="20"/>
          </w:p>
          <w:p w14:paraId="43A90068">
            <w:pPr>
              <w:spacing w:line="360" w:lineRule="auto"/>
              <w:ind w:firstLine="480" w:firstLineChars="200"/>
              <w:rPr>
                <w:color w:val="000000"/>
                <w:sz w:val="24"/>
                <w:szCs w:val="24"/>
                <w:highlight w:val="none"/>
              </w:rPr>
            </w:pPr>
            <w:r>
              <w:rPr>
                <w:color w:val="000000"/>
                <w:sz w:val="24"/>
                <w:szCs w:val="24"/>
                <w:highlight w:val="none"/>
              </w:rPr>
              <w:t>式中：</w:t>
            </w:r>
          </w:p>
          <w:p w14:paraId="072B22D4">
            <w:pPr>
              <w:spacing w:line="360" w:lineRule="auto"/>
              <w:ind w:firstLine="480" w:firstLineChars="200"/>
              <w:rPr>
                <w:color w:val="000000"/>
                <w:sz w:val="24"/>
                <w:szCs w:val="24"/>
                <w:highlight w:val="none"/>
              </w:rPr>
            </w:pPr>
            <w:bookmarkStart w:id="21" w:name="_Toc516504652"/>
            <w:bookmarkStart w:id="22" w:name="_Toc449514288"/>
            <w:bookmarkStart w:id="23" w:name="_Toc518548430"/>
            <w:bookmarkStart w:id="24" w:name="_Toc461955819"/>
            <w:r>
              <w:rPr>
                <w:color w:val="000000"/>
                <w:sz w:val="24"/>
                <w:szCs w:val="24"/>
                <w:highlight w:val="none"/>
              </w:rPr>
              <w:t>L</w:t>
            </w:r>
            <w:r>
              <w:rPr>
                <w:color w:val="000000"/>
                <w:sz w:val="24"/>
                <w:szCs w:val="24"/>
                <w:highlight w:val="none"/>
                <w:vertAlign w:val="subscript"/>
              </w:rPr>
              <w:t>Pi</w:t>
            </w:r>
            <w:r>
              <w:rPr>
                <w:color w:val="000000"/>
                <w:sz w:val="24"/>
                <w:szCs w:val="24"/>
                <w:highlight w:val="none"/>
              </w:rPr>
              <w:t>(r)—预测点(r)处，第i倍频带声压级，dB；</w:t>
            </w:r>
            <w:bookmarkEnd w:id="21"/>
            <w:bookmarkEnd w:id="22"/>
            <w:bookmarkEnd w:id="23"/>
            <w:bookmarkEnd w:id="24"/>
          </w:p>
          <w:p w14:paraId="07825FBE">
            <w:pPr>
              <w:spacing w:line="360" w:lineRule="auto"/>
              <w:ind w:firstLine="480" w:firstLineChars="200"/>
              <w:rPr>
                <w:color w:val="000000"/>
                <w:sz w:val="24"/>
                <w:szCs w:val="24"/>
                <w:highlight w:val="none"/>
              </w:rPr>
            </w:pPr>
            <w:r>
              <w:rPr>
                <w:color w:val="000000"/>
                <w:position w:val="-4"/>
                <w:sz w:val="24"/>
                <w:szCs w:val="24"/>
                <w:highlight w:val="none"/>
              </w:rPr>
              <w:object>
                <v:shape id="_x0000_i1029" o:spt="75" type="#_x0000_t75" style="height:15.05pt;width:5pt;" o:ole="t" filled="f" o:preferrelative="t" stroked="f" coordsize="21600,21600">
                  <v:path/>
                  <v:fill on="f" focussize="0,0"/>
                  <v:stroke on="f"/>
                  <v:imagedata r:id="rId26" o:title=""/>
                  <o:lock v:ext="edit" aspectratio="t"/>
                  <w10:wrap type="none"/>
                  <w10:anchorlock/>
                </v:shape>
                <o:OLEObject Type="Embed" ProgID="Equation.3" ShapeID="_x0000_i1029" DrawAspect="Content" ObjectID="_1468075729" r:id="rId25">
                  <o:LockedField>false</o:LockedField>
                </o:OLEObject>
              </w:object>
            </w:r>
            <w:r>
              <w:rPr>
                <w:color w:val="000000"/>
                <w:sz w:val="24"/>
                <w:szCs w:val="24"/>
                <w:highlight w:val="none"/>
              </w:rPr>
              <w:t>L</w:t>
            </w:r>
            <w:r>
              <w:rPr>
                <w:color w:val="000000"/>
                <w:sz w:val="24"/>
                <w:szCs w:val="24"/>
                <w:highlight w:val="none"/>
                <w:vertAlign w:val="subscript"/>
              </w:rPr>
              <w:t>i</w:t>
            </w:r>
            <w:r>
              <w:rPr>
                <w:color w:val="000000"/>
                <w:sz w:val="24"/>
                <w:szCs w:val="24"/>
                <w:highlight w:val="none"/>
              </w:rPr>
              <w:t>—第i倍频带的A计权网络修正值，dB。</w:t>
            </w:r>
          </w:p>
          <w:p w14:paraId="5D6F96B1">
            <w:pPr>
              <w:spacing w:line="360" w:lineRule="auto"/>
              <w:ind w:firstLine="480" w:firstLineChars="200"/>
              <w:rPr>
                <w:color w:val="000000"/>
                <w:sz w:val="24"/>
                <w:szCs w:val="24"/>
                <w:highlight w:val="none"/>
              </w:rPr>
            </w:pPr>
            <w:r>
              <w:rPr>
                <w:color w:val="000000"/>
                <w:sz w:val="24"/>
                <w:szCs w:val="24"/>
                <w:highlight w:val="none"/>
              </w:rPr>
              <w:t>在不能取得声源倍频带声功率级或倍频带声压级，只能获得A声功率级或某点的A声级时，可按公式（4）做近似计算：</w:t>
            </w:r>
          </w:p>
          <w:p w14:paraId="15A9C484">
            <w:pPr>
              <w:spacing w:line="500" w:lineRule="exact"/>
              <w:ind w:firstLine="2596" w:firstLineChars="1082"/>
              <w:rPr>
                <w:color w:val="000000"/>
                <w:sz w:val="24"/>
                <w:szCs w:val="24"/>
                <w:highlight w:val="none"/>
              </w:rPr>
            </w:pPr>
            <w:r>
              <w:rPr>
                <w:color w:val="000000"/>
                <w:sz w:val="24"/>
                <w:szCs w:val="24"/>
                <w:highlight w:val="none"/>
              </w:rPr>
              <w:drawing>
                <wp:inline distT="0" distB="0" distL="114300" distR="114300">
                  <wp:extent cx="1374140" cy="232410"/>
                  <wp:effectExtent l="0" t="0" r="16510" b="1587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7"/>
                          <a:stretch>
                            <a:fillRect/>
                          </a:stretch>
                        </pic:blipFill>
                        <pic:spPr>
                          <a:xfrm>
                            <a:off x="0" y="0"/>
                            <a:ext cx="1374140" cy="232410"/>
                          </a:xfrm>
                          <a:prstGeom prst="rect">
                            <a:avLst/>
                          </a:prstGeom>
                          <a:noFill/>
                          <a:ln>
                            <a:noFill/>
                          </a:ln>
                        </pic:spPr>
                      </pic:pic>
                    </a:graphicData>
                  </a:graphic>
                </wp:inline>
              </w:drawing>
            </w:r>
            <w:r>
              <w:rPr>
                <w:color w:val="000000"/>
                <w:sz w:val="24"/>
                <w:szCs w:val="24"/>
                <w:highlight w:val="none"/>
              </w:rPr>
              <w:t>（4）</w:t>
            </w:r>
          </w:p>
          <w:p w14:paraId="61644B22">
            <w:pPr>
              <w:spacing w:line="500" w:lineRule="exact"/>
              <w:ind w:firstLine="2280" w:firstLineChars="950"/>
              <w:rPr>
                <w:color w:val="000000"/>
                <w:sz w:val="24"/>
                <w:szCs w:val="24"/>
                <w:highlight w:val="none"/>
              </w:rPr>
            </w:pPr>
            <w:r>
              <w:rPr>
                <w:color w:val="000000"/>
                <w:sz w:val="24"/>
                <w:szCs w:val="24"/>
                <w:highlight w:val="none"/>
              </w:rPr>
              <w:t>或</w:t>
            </w:r>
            <w:r>
              <w:rPr>
                <w:color w:val="000000"/>
                <w:sz w:val="24"/>
                <w:szCs w:val="24"/>
                <w:highlight w:val="none"/>
              </w:rPr>
              <w:drawing>
                <wp:inline distT="0" distB="0" distL="114300" distR="114300">
                  <wp:extent cx="1210310" cy="232410"/>
                  <wp:effectExtent l="0" t="0" r="0" b="1587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8"/>
                          <a:stretch>
                            <a:fillRect/>
                          </a:stretch>
                        </pic:blipFill>
                        <pic:spPr>
                          <a:xfrm>
                            <a:off x="0" y="0"/>
                            <a:ext cx="1210310" cy="232410"/>
                          </a:xfrm>
                          <a:prstGeom prst="rect">
                            <a:avLst/>
                          </a:prstGeom>
                          <a:noFill/>
                          <a:ln>
                            <a:noFill/>
                          </a:ln>
                        </pic:spPr>
                      </pic:pic>
                    </a:graphicData>
                  </a:graphic>
                </wp:inline>
              </w:drawing>
            </w:r>
            <w:r>
              <w:rPr>
                <w:color w:val="000000"/>
                <w:sz w:val="24"/>
                <w:szCs w:val="24"/>
                <w:highlight w:val="none"/>
              </w:rPr>
              <w:t>（5）</w:t>
            </w:r>
          </w:p>
          <w:p w14:paraId="21D6AC9E">
            <w:pPr>
              <w:spacing w:line="360" w:lineRule="auto"/>
              <w:ind w:firstLine="480" w:firstLineChars="200"/>
              <w:rPr>
                <w:color w:val="000000"/>
                <w:sz w:val="24"/>
                <w:szCs w:val="24"/>
                <w:highlight w:val="none"/>
              </w:rPr>
            </w:pPr>
            <w:r>
              <w:rPr>
                <w:color w:val="000000"/>
                <w:sz w:val="24"/>
                <w:szCs w:val="24"/>
                <w:highlight w:val="none"/>
              </w:rPr>
              <w:t>A可选择对A声级影响最大的倍频带计算，一般可选中心频率为500Hz的倍频带估算。</w:t>
            </w:r>
          </w:p>
          <w:p w14:paraId="3CBA03BE">
            <w:pPr>
              <w:adjustRightInd w:val="0"/>
              <w:snapToGrid w:val="0"/>
              <w:spacing w:line="360" w:lineRule="auto"/>
              <w:ind w:firstLine="480" w:firstLineChars="200"/>
              <w:rPr>
                <w:color w:val="000000"/>
                <w:sz w:val="24"/>
                <w:szCs w:val="24"/>
                <w:highlight w:val="none"/>
              </w:rPr>
            </w:pPr>
            <w:bookmarkStart w:id="25" w:name="_Toc516504653"/>
            <w:bookmarkStart w:id="26" w:name="_Toc518548431"/>
            <w:r>
              <w:rPr>
                <w:rFonts w:hint="eastAsia"/>
                <w:color w:val="000000"/>
                <w:sz w:val="24"/>
                <w:szCs w:val="24"/>
                <w:highlight w:val="none"/>
              </w:rPr>
              <w:t>②</w:t>
            </w:r>
            <w:r>
              <w:rPr>
                <w:color w:val="000000"/>
                <w:sz w:val="24"/>
                <w:szCs w:val="24"/>
                <w:highlight w:val="none"/>
              </w:rPr>
              <w:t>室内声源等效室外声源声功率级计算方法</w:t>
            </w:r>
            <w:bookmarkEnd w:id="25"/>
            <w:bookmarkEnd w:id="26"/>
          </w:p>
          <w:p w14:paraId="4744EE6E">
            <w:pPr>
              <w:spacing w:line="360" w:lineRule="auto"/>
              <w:ind w:firstLine="480" w:firstLineChars="200"/>
              <w:rPr>
                <w:color w:val="000000"/>
                <w:sz w:val="24"/>
                <w:szCs w:val="24"/>
                <w:highlight w:val="none"/>
              </w:rPr>
            </w:pPr>
            <w:r>
              <w:rPr>
                <w:color w:val="000000"/>
                <w:sz w:val="24"/>
                <w:szCs w:val="24"/>
                <w:highlight w:val="none"/>
              </w:rPr>
              <w:t>设靠近开口处（或窗户）室内，室外某倍频带的声压级分别为L</w:t>
            </w:r>
            <w:r>
              <w:rPr>
                <w:color w:val="000000"/>
                <w:sz w:val="24"/>
                <w:szCs w:val="24"/>
                <w:highlight w:val="none"/>
                <w:vertAlign w:val="subscript"/>
              </w:rPr>
              <w:t>P1</w:t>
            </w:r>
            <w:r>
              <w:rPr>
                <w:color w:val="000000"/>
                <w:sz w:val="24"/>
                <w:szCs w:val="24"/>
                <w:highlight w:val="none"/>
              </w:rPr>
              <w:t>和L</w:t>
            </w:r>
            <w:r>
              <w:rPr>
                <w:color w:val="000000"/>
                <w:sz w:val="24"/>
                <w:szCs w:val="24"/>
                <w:highlight w:val="none"/>
                <w:vertAlign w:val="subscript"/>
              </w:rPr>
              <w:t>P2</w:t>
            </w:r>
            <w:r>
              <w:rPr>
                <w:color w:val="000000"/>
                <w:sz w:val="24"/>
                <w:szCs w:val="24"/>
                <w:highlight w:val="none"/>
              </w:rPr>
              <w:t>。若声源所在室内声场为近似扩散声场，则室外倍频声压级可按下公式近似求出：</w:t>
            </w:r>
          </w:p>
          <w:p w14:paraId="3A34226E">
            <w:pPr>
              <w:spacing w:line="440" w:lineRule="exact"/>
              <w:ind w:firstLine="480" w:firstLineChars="200"/>
              <w:rPr>
                <w:color w:val="000000"/>
                <w:sz w:val="24"/>
                <w:szCs w:val="24"/>
                <w:highlight w:val="none"/>
              </w:rPr>
            </w:pPr>
            <w:bookmarkStart w:id="27" w:name="_Toc449514289"/>
            <w:bookmarkStart w:id="28" w:name="_Toc518548432"/>
            <w:bookmarkStart w:id="29" w:name="_Toc461955820"/>
            <w:bookmarkStart w:id="30" w:name="_Toc516504654"/>
            <w:r>
              <w:rPr>
                <w:color w:val="000000"/>
                <w:position w:val="-14"/>
                <w:sz w:val="24"/>
                <w:szCs w:val="24"/>
                <w:highlight w:val="none"/>
              </w:rPr>
              <w:object>
                <v:shape id="_x0000_i1030" o:spt="75" type="#_x0000_t75" style="height:21pt;width:103pt;" o:ole="t" filled="f" o:preferrelative="t" stroked="f" coordsize="21600,21600">
                  <v:path/>
                  <v:fill on="f" focussize="0,0"/>
                  <v:stroke on="f"/>
                  <v:imagedata r:id="rId30" o:title=""/>
                  <o:lock v:ext="edit" aspectratio="t"/>
                  <w10:wrap type="none"/>
                  <w10:anchorlock/>
                </v:shape>
                <o:OLEObject Type="Embed" ProgID="Equation.3" ShapeID="_x0000_i1030" DrawAspect="Content" ObjectID="_1468075730" r:id="rId29">
                  <o:LockedField>false</o:LockedField>
                </o:OLEObject>
              </w:object>
            </w:r>
            <w:r>
              <w:rPr>
                <w:color w:val="000000"/>
                <w:sz w:val="24"/>
                <w:szCs w:val="24"/>
                <w:highlight w:val="none"/>
              </w:rPr>
              <w:t>（6）</w:t>
            </w:r>
            <w:bookmarkEnd w:id="27"/>
            <w:bookmarkEnd w:id="28"/>
            <w:bookmarkEnd w:id="29"/>
            <w:bookmarkEnd w:id="30"/>
          </w:p>
          <w:p w14:paraId="591F7925">
            <w:pPr>
              <w:spacing w:line="500" w:lineRule="exact"/>
              <w:ind w:firstLine="480" w:firstLineChars="200"/>
              <w:rPr>
                <w:color w:val="000000"/>
                <w:sz w:val="24"/>
                <w:szCs w:val="24"/>
                <w:highlight w:val="none"/>
              </w:rPr>
            </w:pPr>
            <w:r>
              <w:rPr>
                <w:color w:val="000000"/>
                <w:sz w:val="24"/>
                <w:szCs w:val="24"/>
                <w:highlight w:val="none"/>
              </w:rPr>
              <w:t>式中：TL—隔墙或窗户倍频带的隔声量，dB。</w:t>
            </w:r>
          </w:p>
          <w:p w14:paraId="7CD18A04">
            <w:pPr>
              <w:spacing w:line="500" w:lineRule="exact"/>
              <w:ind w:firstLine="480" w:firstLineChars="200"/>
              <w:rPr>
                <w:color w:val="000000"/>
                <w:sz w:val="24"/>
                <w:szCs w:val="24"/>
                <w:highlight w:val="none"/>
              </w:rPr>
            </w:pPr>
            <w:r>
              <w:rPr>
                <w:rFonts w:hint="eastAsia"/>
                <w:color w:val="000000"/>
                <w:sz w:val="24"/>
                <w:szCs w:val="24"/>
                <w:highlight w:val="none"/>
              </w:rPr>
              <w:t>③</w:t>
            </w:r>
            <w:r>
              <w:rPr>
                <w:color w:val="000000"/>
                <w:sz w:val="24"/>
                <w:szCs w:val="24"/>
                <w:highlight w:val="none"/>
              </w:rPr>
              <w:t>有限长线声源</w:t>
            </w:r>
          </w:p>
          <w:p w14:paraId="1AFCFD17">
            <w:pPr>
              <w:spacing w:line="360" w:lineRule="auto"/>
              <w:jc w:val="center"/>
              <w:rPr>
                <w:color w:val="000000"/>
                <w:sz w:val="24"/>
                <w:szCs w:val="24"/>
                <w:highlight w:val="none"/>
              </w:rPr>
            </w:pPr>
            <w:r>
              <w:rPr>
                <w:color w:val="000000"/>
                <w:sz w:val="24"/>
                <w:szCs w:val="24"/>
                <w:highlight w:val="none"/>
              </w:rPr>
              <w:drawing>
                <wp:inline distT="0" distB="0" distL="114300" distR="114300">
                  <wp:extent cx="2267585" cy="417830"/>
                  <wp:effectExtent l="0" t="0" r="18415" b="127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1"/>
                          <a:stretch>
                            <a:fillRect/>
                          </a:stretch>
                        </pic:blipFill>
                        <pic:spPr>
                          <a:xfrm>
                            <a:off x="0" y="0"/>
                            <a:ext cx="2267585" cy="417830"/>
                          </a:xfrm>
                          <a:prstGeom prst="rect">
                            <a:avLst/>
                          </a:prstGeom>
                          <a:noFill/>
                          <a:ln>
                            <a:noFill/>
                          </a:ln>
                        </pic:spPr>
                      </pic:pic>
                    </a:graphicData>
                  </a:graphic>
                </wp:inline>
              </w:drawing>
            </w:r>
          </w:p>
          <w:p w14:paraId="0A0B22F5">
            <w:pPr>
              <w:spacing w:line="500" w:lineRule="exact"/>
              <w:ind w:firstLine="480" w:firstLineChars="200"/>
              <w:rPr>
                <w:color w:val="000000"/>
                <w:sz w:val="24"/>
                <w:szCs w:val="24"/>
                <w:highlight w:val="none"/>
              </w:rPr>
            </w:pPr>
            <w:r>
              <w:rPr>
                <w:rFonts w:hint="eastAsia"/>
                <w:color w:val="000000"/>
                <w:sz w:val="24"/>
                <w:szCs w:val="24"/>
                <w:highlight w:val="none"/>
              </w:rPr>
              <w:t>④</w:t>
            </w:r>
            <w:r>
              <w:rPr>
                <w:color w:val="000000"/>
                <w:sz w:val="24"/>
                <w:szCs w:val="24"/>
                <w:highlight w:val="none"/>
              </w:rPr>
              <w:t>噪声贡献值计算</w:t>
            </w:r>
          </w:p>
          <w:p w14:paraId="205F5A56">
            <w:pPr>
              <w:spacing w:line="500" w:lineRule="exact"/>
              <w:ind w:firstLine="480" w:firstLineChars="200"/>
              <w:rPr>
                <w:color w:val="000000"/>
                <w:sz w:val="24"/>
                <w:szCs w:val="24"/>
                <w:highlight w:val="none"/>
              </w:rPr>
            </w:pPr>
            <w:r>
              <w:rPr>
                <w:color w:val="000000"/>
                <w:sz w:val="24"/>
                <w:szCs w:val="24"/>
                <w:highlight w:val="none"/>
              </w:rPr>
              <w:t>设第i个室外声源在预测点产生的A声级为L</w:t>
            </w:r>
            <w:r>
              <w:rPr>
                <w:color w:val="000000"/>
                <w:sz w:val="24"/>
                <w:szCs w:val="24"/>
                <w:highlight w:val="none"/>
                <w:vertAlign w:val="subscript"/>
              </w:rPr>
              <w:t>Ai</w:t>
            </w:r>
            <w:r>
              <w:rPr>
                <w:color w:val="000000"/>
                <w:sz w:val="24"/>
                <w:szCs w:val="24"/>
                <w:highlight w:val="none"/>
              </w:rPr>
              <w:t>，在T时间内该声源工作时间为t</w:t>
            </w:r>
            <w:r>
              <w:rPr>
                <w:color w:val="000000"/>
                <w:sz w:val="24"/>
                <w:szCs w:val="24"/>
                <w:highlight w:val="none"/>
                <w:vertAlign w:val="subscript"/>
              </w:rPr>
              <w:t>i</w:t>
            </w:r>
            <w:r>
              <w:rPr>
                <w:color w:val="000000"/>
                <w:sz w:val="24"/>
                <w:szCs w:val="24"/>
                <w:highlight w:val="none"/>
              </w:rPr>
              <w:t>；第j个等效室外声源在预测点产生的A声级为L</w:t>
            </w:r>
            <w:r>
              <w:rPr>
                <w:color w:val="000000"/>
                <w:sz w:val="24"/>
                <w:szCs w:val="24"/>
                <w:highlight w:val="none"/>
                <w:vertAlign w:val="subscript"/>
              </w:rPr>
              <w:t>Aj</w:t>
            </w:r>
            <w:r>
              <w:rPr>
                <w:color w:val="000000"/>
                <w:sz w:val="24"/>
                <w:szCs w:val="24"/>
                <w:highlight w:val="none"/>
              </w:rPr>
              <w:t>，在T时间内该声源工作时间为t</w:t>
            </w:r>
            <w:r>
              <w:rPr>
                <w:color w:val="000000"/>
                <w:sz w:val="24"/>
                <w:szCs w:val="24"/>
                <w:highlight w:val="none"/>
                <w:vertAlign w:val="subscript"/>
              </w:rPr>
              <w:t>j</w:t>
            </w:r>
            <w:r>
              <w:rPr>
                <w:color w:val="000000"/>
                <w:sz w:val="24"/>
                <w:szCs w:val="24"/>
                <w:highlight w:val="none"/>
              </w:rPr>
              <w:t>；则拟建工程声源对预测点产生的贡献值为（L</w:t>
            </w:r>
            <w:r>
              <w:rPr>
                <w:color w:val="000000"/>
                <w:sz w:val="24"/>
                <w:szCs w:val="24"/>
                <w:highlight w:val="none"/>
                <w:vertAlign w:val="subscript"/>
              </w:rPr>
              <w:t>eqg</w:t>
            </w:r>
            <w:r>
              <w:rPr>
                <w:color w:val="000000"/>
                <w:sz w:val="24"/>
                <w:szCs w:val="24"/>
                <w:highlight w:val="none"/>
              </w:rPr>
              <w:t>）：</w:t>
            </w:r>
          </w:p>
          <w:p w14:paraId="3BA11968">
            <w:pPr>
              <w:spacing w:line="500" w:lineRule="exact"/>
              <w:ind w:firstLine="480" w:firstLineChars="200"/>
              <w:rPr>
                <w:color w:val="000000"/>
                <w:sz w:val="24"/>
                <w:szCs w:val="24"/>
                <w:highlight w:val="none"/>
              </w:rPr>
            </w:pPr>
          </w:p>
          <w:p w14:paraId="7A32FB5E">
            <w:pPr>
              <w:spacing w:line="360" w:lineRule="auto"/>
              <w:jc w:val="center"/>
              <w:rPr>
                <w:color w:val="000000"/>
                <w:sz w:val="24"/>
                <w:szCs w:val="24"/>
                <w:highlight w:val="none"/>
              </w:rPr>
            </w:pPr>
            <w:r>
              <w:rPr>
                <w:color w:val="000000"/>
                <w:position w:val="-34"/>
                <w:sz w:val="24"/>
                <w:szCs w:val="24"/>
                <w:highlight w:val="none"/>
              </w:rPr>
              <w:object>
                <v:shape id="_x0000_i1031" o:spt="75" type="#_x0000_t75" style="height:41pt;width:216pt;" o:ole="t" filled="f" o:preferrelative="t" stroked="f" coordsize="21600,21600">
                  <v:path/>
                  <v:fill on="f" focussize="0,0"/>
                  <v:stroke on="f"/>
                  <v:imagedata r:id="rId33" o:title=""/>
                  <o:lock v:ext="edit" aspectratio="t"/>
                  <w10:wrap type="none"/>
                  <w10:anchorlock/>
                </v:shape>
                <o:OLEObject Type="Embed" ProgID="Equation.3" ShapeID="_x0000_i1031" DrawAspect="Content" ObjectID="_1468075731" r:id="rId32">
                  <o:LockedField>false</o:LockedField>
                </o:OLEObject>
              </w:object>
            </w:r>
          </w:p>
          <w:p w14:paraId="09231004">
            <w:pPr>
              <w:spacing w:line="500" w:lineRule="exact"/>
              <w:ind w:firstLine="480" w:firstLineChars="200"/>
              <w:rPr>
                <w:color w:val="000000"/>
                <w:sz w:val="24"/>
                <w:szCs w:val="24"/>
                <w:highlight w:val="none"/>
              </w:rPr>
            </w:pPr>
            <w:r>
              <w:rPr>
                <w:color w:val="000000"/>
                <w:sz w:val="24"/>
                <w:szCs w:val="24"/>
                <w:highlight w:val="none"/>
              </w:rPr>
              <w:t>式中：</w:t>
            </w:r>
          </w:p>
          <w:p w14:paraId="4390DE81">
            <w:pPr>
              <w:spacing w:line="500" w:lineRule="exact"/>
              <w:ind w:firstLine="480" w:firstLineChars="200"/>
              <w:rPr>
                <w:color w:val="000000"/>
                <w:sz w:val="24"/>
                <w:szCs w:val="24"/>
                <w:highlight w:val="none"/>
              </w:rPr>
            </w:pPr>
            <w:r>
              <w:rPr>
                <w:color w:val="000000"/>
                <w:sz w:val="24"/>
                <w:szCs w:val="24"/>
                <w:highlight w:val="none"/>
              </w:rPr>
              <w:t>t</w:t>
            </w:r>
            <w:r>
              <w:rPr>
                <w:color w:val="000000"/>
                <w:sz w:val="24"/>
                <w:szCs w:val="24"/>
                <w:highlight w:val="none"/>
                <w:vertAlign w:val="subscript"/>
              </w:rPr>
              <w:t>j</w:t>
            </w:r>
            <w:r>
              <w:rPr>
                <w:color w:val="000000"/>
                <w:sz w:val="24"/>
                <w:szCs w:val="24"/>
                <w:highlight w:val="none"/>
              </w:rPr>
              <w:t>—在T时间内j声源工作时间，s；</w:t>
            </w:r>
          </w:p>
          <w:p w14:paraId="1F0CAA52">
            <w:pPr>
              <w:spacing w:line="500" w:lineRule="exact"/>
              <w:ind w:firstLine="480" w:firstLineChars="200"/>
              <w:rPr>
                <w:color w:val="000000"/>
                <w:sz w:val="24"/>
                <w:szCs w:val="24"/>
                <w:highlight w:val="none"/>
              </w:rPr>
            </w:pPr>
            <w:r>
              <w:rPr>
                <w:color w:val="000000"/>
                <w:sz w:val="24"/>
                <w:szCs w:val="24"/>
                <w:highlight w:val="none"/>
              </w:rPr>
              <w:t>t</w:t>
            </w:r>
            <w:r>
              <w:rPr>
                <w:color w:val="000000"/>
                <w:sz w:val="24"/>
                <w:szCs w:val="24"/>
                <w:highlight w:val="none"/>
                <w:vertAlign w:val="subscript"/>
              </w:rPr>
              <w:t>i</w:t>
            </w:r>
            <w:r>
              <w:rPr>
                <w:color w:val="000000"/>
                <w:sz w:val="24"/>
                <w:szCs w:val="24"/>
                <w:highlight w:val="none"/>
              </w:rPr>
              <w:t>—在T时间内i声源工作时间，s；</w:t>
            </w:r>
          </w:p>
          <w:p w14:paraId="7DC4E305">
            <w:pPr>
              <w:spacing w:line="500" w:lineRule="exact"/>
              <w:ind w:firstLine="480" w:firstLineChars="200"/>
              <w:rPr>
                <w:color w:val="000000"/>
                <w:sz w:val="24"/>
                <w:szCs w:val="24"/>
                <w:highlight w:val="none"/>
              </w:rPr>
            </w:pPr>
            <w:r>
              <w:rPr>
                <w:color w:val="000000"/>
                <w:sz w:val="24"/>
                <w:szCs w:val="24"/>
                <w:highlight w:val="none"/>
              </w:rPr>
              <w:t>T—用于计算等效声级的时间，s；</w:t>
            </w:r>
          </w:p>
          <w:p w14:paraId="5889BC3C">
            <w:pPr>
              <w:spacing w:line="500" w:lineRule="exact"/>
              <w:ind w:firstLine="480" w:firstLineChars="200"/>
              <w:rPr>
                <w:color w:val="000000"/>
                <w:sz w:val="24"/>
                <w:szCs w:val="24"/>
                <w:highlight w:val="none"/>
              </w:rPr>
            </w:pPr>
            <w:r>
              <w:rPr>
                <w:color w:val="000000"/>
                <w:sz w:val="24"/>
                <w:szCs w:val="24"/>
                <w:highlight w:val="none"/>
              </w:rPr>
              <w:t>N—室外声源个数；</w:t>
            </w:r>
          </w:p>
          <w:p w14:paraId="2897C629">
            <w:pPr>
              <w:spacing w:line="360" w:lineRule="auto"/>
              <w:ind w:firstLine="480" w:firstLineChars="200"/>
              <w:rPr>
                <w:color w:val="000000"/>
                <w:sz w:val="24"/>
                <w:szCs w:val="24"/>
                <w:highlight w:val="none"/>
              </w:rPr>
            </w:pPr>
            <w:r>
              <w:rPr>
                <w:color w:val="000000"/>
                <w:sz w:val="24"/>
                <w:szCs w:val="24"/>
                <w:highlight w:val="none"/>
              </w:rPr>
              <w:t>M—等效室外声源个数。</w:t>
            </w:r>
          </w:p>
          <w:p w14:paraId="35EF760F">
            <w:pPr>
              <w:keepNext/>
              <w:keepLines/>
              <w:spacing w:line="360" w:lineRule="auto"/>
              <w:ind w:firstLine="480" w:firstLineChars="200"/>
              <w:outlineLvl w:val="2"/>
              <w:rPr>
                <w:b/>
                <w:color w:val="000000"/>
                <w:sz w:val="24"/>
                <w:szCs w:val="24"/>
                <w:highlight w:val="none"/>
              </w:rPr>
            </w:pPr>
            <w:bookmarkStart w:id="31" w:name="_Toc15522"/>
            <w:bookmarkStart w:id="32" w:name="_Toc518548433"/>
            <w:bookmarkStart w:id="33" w:name="_Toc406490909"/>
            <w:r>
              <w:rPr>
                <w:rFonts w:hint="eastAsia" w:ascii="Times New Roman" w:hAnsi="Times New Roman" w:eastAsia="宋体" w:cs="Times New Roman"/>
                <w:color w:val="000000"/>
                <w:sz w:val="24"/>
                <w:szCs w:val="24"/>
                <w:highlight w:val="none"/>
                <w:lang w:val="en-US" w:eastAsia="zh-CN"/>
              </w:rPr>
              <w:t>3、</w:t>
            </w:r>
            <w:r>
              <w:rPr>
                <w:rFonts w:hint="eastAsia" w:ascii="Times New Roman" w:hAnsi="Times New Roman" w:eastAsia="宋体" w:cs="Times New Roman"/>
                <w:color w:val="000000"/>
                <w:sz w:val="24"/>
                <w:szCs w:val="24"/>
                <w:highlight w:val="none"/>
              </w:rPr>
              <w:t>预测结果</w:t>
            </w:r>
            <w:bookmarkEnd w:id="31"/>
            <w:bookmarkEnd w:id="32"/>
            <w:bookmarkEnd w:id="33"/>
          </w:p>
          <w:p w14:paraId="234C967E">
            <w:pPr>
              <w:spacing w:line="360" w:lineRule="auto"/>
              <w:ind w:firstLine="480" w:firstLineChars="200"/>
              <w:rPr>
                <w:color w:val="000000"/>
                <w:sz w:val="24"/>
                <w:szCs w:val="24"/>
                <w:highlight w:val="none"/>
              </w:rPr>
            </w:pPr>
            <w:r>
              <w:rPr>
                <w:color w:val="000000"/>
                <w:sz w:val="24"/>
                <w:szCs w:val="24"/>
                <w:highlight w:val="none"/>
              </w:rPr>
              <w:t>正常运行情况下，各个厂界噪声均达到《工业企业厂界环境噪声排放标准》（GB12348-2008）3类区标准要求，因此不会产生噪声扰民现象。</w:t>
            </w:r>
          </w:p>
          <w:p w14:paraId="68B4984B">
            <w:pPr>
              <w:spacing w:line="360" w:lineRule="auto"/>
              <w:ind w:firstLine="480" w:firstLineChars="200"/>
              <w:rPr>
                <w:color w:val="000000"/>
                <w:sz w:val="24"/>
                <w:szCs w:val="24"/>
                <w:highlight w:val="none"/>
              </w:rPr>
            </w:pPr>
            <w:r>
              <w:rPr>
                <w:color w:val="000000"/>
                <w:sz w:val="24"/>
                <w:szCs w:val="24"/>
                <w:highlight w:val="none"/>
              </w:rPr>
              <w:t>项目运营后，建设单位应对厂界噪声进行跟踪监测，如果出现噪声超标情况，采取改善设备隔声罩隔声性能、改善厂房隔声性能等措施，降低项目运营对周边环境的影响。</w:t>
            </w:r>
          </w:p>
          <w:p w14:paraId="7523BA45">
            <w:pPr>
              <w:spacing w:line="360" w:lineRule="auto"/>
              <w:ind w:firstLine="720" w:firstLineChars="300"/>
              <w:rPr>
                <w:color w:val="000000"/>
                <w:highlight w:val="none"/>
              </w:rPr>
            </w:pPr>
            <w:r>
              <w:rPr>
                <w:color w:val="000000"/>
                <w:sz w:val="24"/>
                <w:szCs w:val="24"/>
                <w:highlight w:val="none"/>
              </w:rPr>
              <w:t>本项目噪声预测结果见表</w:t>
            </w:r>
            <w:r>
              <w:rPr>
                <w:rFonts w:hint="eastAsia"/>
                <w:color w:val="000000"/>
                <w:sz w:val="24"/>
                <w:szCs w:val="24"/>
                <w:highlight w:val="none"/>
                <w:lang w:val="en-US" w:eastAsia="zh-CN"/>
              </w:rPr>
              <w:t>4-9</w:t>
            </w:r>
            <w:r>
              <w:rPr>
                <w:color w:val="000000"/>
                <w:sz w:val="24"/>
                <w:szCs w:val="24"/>
                <w:highlight w:val="none"/>
              </w:rPr>
              <w:t>。</w:t>
            </w:r>
          </w:p>
          <w:p w14:paraId="6F35E773">
            <w:pPr>
              <w:jc w:val="center"/>
              <w:rPr>
                <w:b/>
                <w:bCs/>
                <w:color w:val="000000"/>
                <w:szCs w:val="21"/>
                <w:highlight w:val="none"/>
              </w:rPr>
            </w:pPr>
            <w:r>
              <w:rPr>
                <w:b/>
                <w:bCs/>
                <w:color w:val="000000"/>
                <w:szCs w:val="21"/>
                <w:highlight w:val="none"/>
              </w:rPr>
              <w:t>表</w:t>
            </w:r>
            <w:r>
              <w:rPr>
                <w:rFonts w:hint="eastAsia"/>
                <w:b/>
                <w:bCs/>
                <w:color w:val="000000"/>
                <w:szCs w:val="21"/>
                <w:highlight w:val="none"/>
                <w:lang w:val="en-US" w:eastAsia="zh-CN"/>
              </w:rPr>
              <w:t xml:space="preserve">4-9 </w:t>
            </w:r>
            <w:r>
              <w:rPr>
                <w:b/>
                <w:bCs/>
                <w:color w:val="000000"/>
                <w:szCs w:val="21"/>
                <w:highlight w:val="none"/>
              </w:rPr>
              <w:t>各厂界噪声最大值预测结果</w:t>
            </w:r>
          </w:p>
          <w:tbl>
            <w:tblPr>
              <w:tblStyle w:val="13"/>
              <w:tblW w:w="8497"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1833"/>
              <w:gridCol w:w="1285"/>
              <w:gridCol w:w="1345"/>
              <w:gridCol w:w="1345"/>
              <w:gridCol w:w="1345"/>
              <w:gridCol w:w="1344"/>
            </w:tblGrid>
            <w:tr w14:paraId="3EA7B00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833" w:type="dxa"/>
                  <w:vMerge w:val="restart"/>
                  <w:noWrap w:val="0"/>
                  <w:vAlign w:val="center"/>
                </w:tcPr>
                <w:p w14:paraId="7F4808E4">
                  <w:pPr>
                    <w:adjustRightInd w:val="0"/>
                    <w:snapToGrid w:val="0"/>
                    <w:jc w:val="center"/>
                    <w:rPr>
                      <w:color w:val="000000"/>
                      <w:sz w:val="21"/>
                      <w:szCs w:val="21"/>
                      <w:highlight w:val="none"/>
                    </w:rPr>
                  </w:pPr>
                  <w:r>
                    <w:rPr>
                      <w:color w:val="000000"/>
                      <w:sz w:val="21"/>
                      <w:szCs w:val="21"/>
                      <w:highlight w:val="none"/>
                    </w:rPr>
                    <w:t>点位</w:t>
                  </w:r>
                </w:p>
              </w:tc>
              <w:tc>
                <w:tcPr>
                  <w:tcW w:w="2630" w:type="dxa"/>
                  <w:gridSpan w:val="2"/>
                  <w:noWrap w:val="0"/>
                  <w:vAlign w:val="center"/>
                </w:tcPr>
                <w:p w14:paraId="0DE89D8C">
                  <w:pPr>
                    <w:adjustRightInd w:val="0"/>
                    <w:snapToGrid w:val="0"/>
                    <w:jc w:val="center"/>
                    <w:rPr>
                      <w:rFonts w:hint="eastAsia" w:eastAsia="宋体"/>
                      <w:color w:val="000000"/>
                      <w:sz w:val="21"/>
                      <w:szCs w:val="21"/>
                      <w:highlight w:val="none"/>
                      <w:lang w:eastAsia="zh-CN"/>
                    </w:rPr>
                  </w:pPr>
                  <w:r>
                    <w:rPr>
                      <w:rFonts w:hint="eastAsia"/>
                      <w:color w:val="000000"/>
                      <w:sz w:val="21"/>
                      <w:szCs w:val="21"/>
                      <w:highlight w:val="none"/>
                      <w:lang w:val="en-US" w:eastAsia="zh-CN"/>
                    </w:rPr>
                    <w:t>背景值</w:t>
                  </w:r>
                </w:p>
              </w:tc>
              <w:tc>
                <w:tcPr>
                  <w:tcW w:w="1345" w:type="dxa"/>
                  <w:vMerge w:val="restart"/>
                  <w:noWrap w:val="0"/>
                  <w:vAlign w:val="center"/>
                </w:tcPr>
                <w:p w14:paraId="34687C75">
                  <w:pPr>
                    <w:adjustRightInd w:val="0"/>
                    <w:snapToGrid w:val="0"/>
                    <w:jc w:val="center"/>
                    <w:rPr>
                      <w:color w:val="000000"/>
                      <w:sz w:val="21"/>
                      <w:szCs w:val="21"/>
                      <w:highlight w:val="none"/>
                    </w:rPr>
                  </w:pPr>
                  <w:r>
                    <w:rPr>
                      <w:color w:val="000000"/>
                      <w:sz w:val="21"/>
                      <w:szCs w:val="21"/>
                      <w:highlight w:val="none"/>
                    </w:rPr>
                    <w:t>贡献值</w:t>
                  </w:r>
                </w:p>
              </w:tc>
              <w:tc>
                <w:tcPr>
                  <w:tcW w:w="2689" w:type="dxa"/>
                  <w:gridSpan w:val="2"/>
                  <w:noWrap w:val="0"/>
                  <w:vAlign w:val="center"/>
                </w:tcPr>
                <w:p w14:paraId="3CFC831E">
                  <w:pPr>
                    <w:adjustRightInd w:val="0"/>
                    <w:snapToGrid w:val="0"/>
                    <w:jc w:val="center"/>
                    <w:rPr>
                      <w:color w:val="000000"/>
                      <w:sz w:val="21"/>
                      <w:szCs w:val="21"/>
                      <w:highlight w:val="none"/>
                    </w:rPr>
                  </w:pPr>
                  <w:r>
                    <w:rPr>
                      <w:color w:val="000000"/>
                      <w:sz w:val="21"/>
                      <w:szCs w:val="21"/>
                      <w:highlight w:val="none"/>
                    </w:rPr>
                    <w:t>叠加预测值</w:t>
                  </w:r>
                </w:p>
              </w:tc>
            </w:tr>
            <w:tr w14:paraId="04D59C1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1833" w:type="dxa"/>
                  <w:vMerge w:val="continue"/>
                  <w:noWrap w:val="0"/>
                  <w:vAlign w:val="center"/>
                </w:tcPr>
                <w:p w14:paraId="5ABDA9A8">
                  <w:pPr>
                    <w:adjustRightInd w:val="0"/>
                    <w:snapToGrid w:val="0"/>
                    <w:jc w:val="center"/>
                    <w:rPr>
                      <w:color w:val="000000"/>
                      <w:sz w:val="21"/>
                      <w:szCs w:val="21"/>
                      <w:highlight w:val="none"/>
                    </w:rPr>
                  </w:pPr>
                </w:p>
              </w:tc>
              <w:tc>
                <w:tcPr>
                  <w:tcW w:w="1285" w:type="dxa"/>
                  <w:noWrap w:val="0"/>
                  <w:vAlign w:val="center"/>
                </w:tcPr>
                <w:p w14:paraId="1654705F">
                  <w:pPr>
                    <w:adjustRightInd w:val="0"/>
                    <w:snapToGrid w:val="0"/>
                    <w:jc w:val="center"/>
                    <w:rPr>
                      <w:color w:val="000000"/>
                      <w:sz w:val="21"/>
                      <w:szCs w:val="21"/>
                      <w:highlight w:val="none"/>
                    </w:rPr>
                  </w:pPr>
                  <w:r>
                    <w:rPr>
                      <w:color w:val="000000"/>
                      <w:sz w:val="21"/>
                      <w:szCs w:val="21"/>
                      <w:highlight w:val="none"/>
                    </w:rPr>
                    <w:t>昼间</w:t>
                  </w:r>
                </w:p>
              </w:tc>
              <w:tc>
                <w:tcPr>
                  <w:tcW w:w="1345" w:type="dxa"/>
                  <w:noWrap w:val="0"/>
                  <w:vAlign w:val="center"/>
                </w:tcPr>
                <w:p w14:paraId="7BFA5379">
                  <w:pPr>
                    <w:adjustRightInd w:val="0"/>
                    <w:snapToGrid w:val="0"/>
                    <w:jc w:val="center"/>
                    <w:rPr>
                      <w:color w:val="000000"/>
                      <w:sz w:val="21"/>
                      <w:szCs w:val="21"/>
                      <w:highlight w:val="none"/>
                    </w:rPr>
                  </w:pPr>
                  <w:r>
                    <w:rPr>
                      <w:color w:val="000000"/>
                      <w:sz w:val="21"/>
                      <w:szCs w:val="21"/>
                      <w:highlight w:val="none"/>
                    </w:rPr>
                    <w:t>夜间</w:t>
                  </w:r>
                </w:p>
              </w:tc>
              <w:tc>
                <w:tcPr>
                  <w:tcW w:w="1345" w:type="dxa"/>
                  <w:vMerge w:val="continue"/>
                  <w:noWrap w:val="0"/>
                  <w:vAlign w:val="center"/>
                </w:tcPr>
                <w:p w14:paraId="0834006F">
                  <w:pPr>
                    <w:adjustRightInd w:val="0"/>
                    <w:snapToGrid w:val="0"/>
                    <w:jc w:val="center"/>
                    <w:rPr>
                      <w:color w:val="000000"/>
                      <w:sz w:val="21"/>
                      <w:szCs w:val="21"/>
                      <w:highlight w:val="none"/>
                    </w:rPr>
                  </w:pPr>
                </w:p>
              </w:tc>
              <w:tc>
                <w:tcPr>
                  <w:tcW w:w="1345" w:type="dxa"/>
                  <w:noWrap w:val="0"/>
                  <w:vAlign w:val="center"/>
                </w:tcPr>
                <w:p w14:paraId="6929F700">
                  <w:pPr>
                    <w:adjustRightInd w:val="0"/>
                    <w:snapToGrid w:val="0"/>
                    <w:jc w:val="center"/>
                    <w:rPr>
                      <w:color w:val="000000"/>
                      <w:sz w:val="21"/>
                      <w:szCs w:val="21"/>
                      <w:highlight w:val="none"/>
                    </w:rPr>
                  </w:pPr>
                  <w:r>
                    <w:rPr>
                      <w:color w:val="000000"/>
                      <w:sz w:val="21"/>
                      <w:szCs w:val="21"/>
                      <w:highlight w:val="none"/>
                    </w:rPr>
                    <w:t>昼间</w:t>
                  </w:r>
                </w:p>
              </w:tc>
              <w:tc>
                <w:tcPr>
                  <w:tcW w:w="1344" w:type="dxa"/>
                  <w:noWrap w:val="0"/>
                  <w:vAlign w:val="center"/>
                </w:tcPr>
                <w:p w14:paraId="5D0538C0">
                  <w:pPr>
                    <w:adjustRightInd w:val="0"/>
                    <w:snapToGrid w:val="0"/>
                    <w:jc w:val="center"/>
                    <w:rPr>
                      <w:color w:val="000000"/>
                      <w:sz w:val="21"/>
                      <w:szCs w:val="21"/>
                      <w:highlight w:val="none"/>
                    </w:rPr>
                  </w:pPr>
                  <w:r>
                    <w:rPr>
                      <w:color w:val="000000"/>
                      <w:sz w:val="21"/>
                      <w:szCs w:val="21"/>
                      <w:highlight w:val="none"/>
                    </w:rPr>
                    <w:t>夜间</w:t>
                  </w:r>
                </w:p>
              </w:tc>
            </w:tr>
            <w:tr w14:paraId="527A25A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1833" w:type="dxa"/>
                  <w:noWrap w:val="0"/>
                  <w:vAlign w:val="center"/>
                </w:tcPr>
                <w:p w14:paraId="566A7708">
                  <w:pPr>
                    <w:adjustRightInd w:val="0"/>
                    <w:snapToGrid w:val="0"/>
                    <w:jc w:val="center"/>
                    <w:rPr>
                      <w:color w:val="000000"/>
                      <w:sz w:val="21"/>
                      <w:szCs w:val="21"/>
                      <w:highlight w:val="none"/>
                    </w:rPr>
                  </w:pPr>
                  <w:r>
                    <w:rPr>
                      <w:color w:val="000000"/>
                      <w:sz w:val="21"/>
                      <w:szCs w:val="21"/>
                      <w:highlight w:val="none"/>
                    </w:rPr>
                    <w:t>厂界</w:t>
                  </w:r>
                  <w:r>
                    <w:rPr>
                      <w:rFonts w:hint="eastAsia"/>
                      <w:color w:val="000000"/>
                      <w:sz w:val="21"/>
                      <w:szCs w:val="21"/>
                      <w:highlight w:val="none"/>
                    </w:rPr>
                    <w:t>东</w:t>
                  </w:r>
                  <w:r>
                    <w:rPr>
                      <w:color w:val="000000"/>
                      <w:sz w:val="21"/>
                      <w:szCs w:val="21"/>
                      <w:highlight w:val="none"/>
                    </w:rPr>
                    <w:t>侧</w:t>
                  </w:r>
                </w:p>
              </w:tc>
              <w:tc>
                <w:tcPr>
                  <w:tcW w:w="1285" w:type="dxa"/>
                  <w:noWrap w:val="0"/>
                  <w:vAlign w:val="center"/>
                </w:tcPr>
                <w:p w14:paraId="656462FB">
                  <w:pPr>
                    <w:widowControl/>
                    <w:jc w:val="center"/>
                    <w:textAlignment w:val="center"/>
                    <w:rPr>
                      <w:color w:val="000000"/>
                      <w:sz w:val="21"/>
                      <w:szCs w:val="21"/>
                      <w:highlight w:val="none"/>
                    </w:rPr>
                  </w:pPr>
                  <w:r>
                    <w:rPr>
                      <w:color w:val="000000"/>
                      <w:kern w:val="0"/>
                      <w:sz w:val="22"/>
                      <w:szCs w:val="22"/>
                      <w:highlight w:val="none"/>
                      <w:lang w:bidi="ar"/>
                    </w:rPr>
                    <w:t>54.2</w:t>
                  </w:r>
                </w:p>
              </w:tc>
              <w:tc>
                <w:tcPr>
                  <w:tcW w:w="1345" w:type="dxa"/>
                  <w:noWrap w:val="0"/>
                  <w:vAlign w:val="center"/>
                </w:tcPr>
                <w:p w14:paraId="08C180E5">
                  <w:pPr>
                    <w:widowControl/>
                    <w:jc w:val="center"/>
                    <w:textAlignment w:val="center"/>
                    <w:rPr>
                      <w:color w:val="000000"/>
                      <w:sz w:val="21"/>
                      <w:szCs w:val="21"/>
                      <w:highlight w:val="none"/>
                    </w:rPr>
                  </w:pPr>
                  <w:r>
                    <w:rPr>
                      <w:color w:val="000000"/>
                      <w:kern w:val="0"/>
                      <w:sz w:val="22"/>
                      <w:szCs w:val="22"/>
                      <w:highlight w:val="none"/>
                      <w:lang w:bidi="ar"/>
                    </w:rPr>
                    <w:t>48.7</w:t>
                  </w:r>
                </w:p>
              </w:tc>
              <w:tc>
                <w:tcPr>
                  <w:tcW w:w="1345" w:type="dxa"/>
                  <w:noWrap w:val="0"/>
                  <w:vAlign w:val="center"/>
                </w:tcPr>
                <w:p w14:paraId="4F5ADCAA">
                  <w:pPr>
                    <w:jc w:val="center"/>
                    <w:rPr>
                      <w:color w:val="000000"/>
                      <w:sz w:val="21"/>
                      <w:szCs w:val="21"/>
                      <w:highlight w:val="none"/>
                    </w:rPr>
                  </w:pPr>
                  <w:r>
                    <w:rPr>
                      <w:color w:val="000000"/>
                      <w:sz w:val="21"/>
                      <w:szCs w:val="21"/>
                      <w:highlight w:val="none"/>
                    </w:rPr>
                    <w:t>40.66</w:t>
                  </w:r>
                </w:p>
              </w:tc>
              <w:tc>
                <w:tcPr>
                  <w:tcW w:w="1345" w:type="dxa"/>
                  <w:noWrap w:val="0"/>
                  <w:vAlign w:val="center"/>
                </w:tcPr>
                <w:p w14:paraId="2790390D">
                  <w:pPr>
                    <w:jc w:val="center"/>
                    <w:rPr>
                      <w:color w:val="000000"/>
                      <w:sz w:val="21"/>
                      <w:szCs w:val="21"/>
                      <w:highlight w:val="none"/>
                    </w:rPr>
                  </w:pPr>
                  <w:r>
                    <w:rPr>
                      <w:color w:val="000000"/>
                      <w:sz w:val="21"/>
                      <w:szCs w:val="21"/>
                      <w:highlight w:val="none"/>
                    </w:rPr>
                    <w:t>56.51</w:t>
                  </w:r>
                </w:p>
              </w:tc>
              <w:tc>
                <w:tcPr>
                  <w:tcW w:w="1344" w:type="dxa"/>
                  <w:noWrap w:val="0"/>
                  <w:vAlign w:val="center"/>
                </w:tcPr>
                <w:p w14:paraId="536C8F04">
                  <w:pPr>
                    <w:jc w:val="center"/>
                    <w:rPr>
                      <w:color w:val="000000"/>
                      <w:sz w:val="21"/>
                      <w:szCs w:val="21"/>
                      <w:highlight w:val="none"/>
                    </w:rPr>
                  </w:pPr>
                  <w:r>
                    <w:rPr>
                      <w:color w:val="000000"/>
                      <w:sz w:val="21"/>
                      <w:szCs w:val="21"/>
                      <w:highlight w:val="none"/>
                    </w:rPr>
                    <w:t>47.59</w:t>
                  </w:r>
                </w:p>
              </w:tc>
            </w:tr>
            <w:tr w14:paraId="06CE517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1833" w:type="dxa"/>
                  <w:noWrap w:val="0"/>
                  <w:vAlign w:val="center"/>
                </w:tcPr>
                <w:p w14:paraId="05391080">
                  <w:pPr>
                    <w:adjustRightInd w:val="0"/>
                    <w:snapToGrid w:val="0"/>
                    <w:jc w:val="center"/>
                    <w:rPr>
                      <w:color w:val="000000"/>
                      <w:sz w:val="21"/>
                      <w:szCs w:val="21"/>
                      <w:highlight w:val="none"/>
                    </w:rPr>
                  </w:pPr>
                  <w:r>
                    <w:rPr>
                      <w:color w:val="000000"/>
                      <w:sz w:val="21"/>
                      <w:szCs w:val="21"/>
                      <w:highlight w:val="none"/>
                    </w:rPr>
                    <w:t>厂界</w:t>
                  </w:r>
                  <w:r>
                    <w:rPr>
                      <w:rFonts w:hint="eastAsia"/>
                      <w:color w:val="000000"/>
                      <w:sz w:val="21"/>
                      <w:szCs w:val="21"/>
                      <w:highlight w:val="none"/>
                    </w:rPr>
                    <w:t>南</w:t>
                  </w:r>
                  <w:r>
                    <w:rPr>
                      <w:color w:val="000000"/>
                      <w:sz w:val="21"/>
                      <w:szCs w:val="21"/>
                      <w:highlight w:val="none"/>
                    </w:rPr>
                    <w:t>侧</w:t>
                  </w:r>
                </w:p>
              </w:tc>
              <w:tc>
                <w:tcPr>
                  <w:tcW w:w="1285" w:type="dxa"/>
                  <w:noWrap w:val="0"/>
                  <w:vAlign w:val="center"/>
                </w:tcPr>
                <w:p w14:paraId="01864F43">
                  <w:pPr>
                    <w:widowControl/>
                    <w:jc w:val="center"/>
                    <w:textAlignment w:val="center"/>
                    <w:rPr>
                      <w:color w:val="000000"/>
                      <w:sz w:val="21"/>
                      <w:szCs w:val="21"/>
                      <w:highlight w:val="none"/>
                    </w:rPr>
                  </w:pPr>
                  <w:r>
                    <w:rPr>
                      <w:color w:val="000000"/>
                      <w:kern w:val="0"/>
                      <w:sz w:val="22"/>
                      <w:szCs w:val="22"/>
                      <w:highlight w:val="none"/>
                      <w:lang w:bidi="ar"/>
                    </w:rPr>
                    <w:t>52.1</w:t>
                  </w:r>
                </w:p>
              </w:tc>
              <w:tc>
                <w:tcPr>
                  <w:tcW w:w="1345" w:type="dxa"/>
                  <w:noWrap w:val="0"/>
                  <w:vAlign w:val="center"/>
                </w:tcPr>
                <w:p w14:paraId="7AFD62D2">
                  <w:pPr>
                    <w:widowControl/>
                    <w:jc w:val="center"/>
                    <w:textAlignment w:val="center"/>
                    <w:rPr>
                      <w:color w:val="000000"/>
                      <w:sz w:val="21"/>
                      <w:szCs w:val="21"/>
                      <w:highlight w:val="none"/>
                    </w:rPr>
                  </w:pPr>
                  <w:r>
                    <w:rPr>
                      <w:color w:val="000000"/>
                      <w:kern w:val="0"/>
                      <w:sz w:val="22"/>
                      <w:szCs w:val="22"/>
                      <w:highlight w:val="none"/>
                      <w:lang w:bidi="ar"/>
                    </w:rPr>
                    <w:t>47.5</w:t>
                  </w:r>
                </w:p>
              </w:tc>
              <w:tc>
                <w:tcPr>
                  <w:tcW w:w="1345" w:type="dxa"/>
                  <w:noWrap w:val="0"/>
                  <w:vAlign w:val="center"/>
                </w:tcPr>
                <w:p w14:paraId="4538F0B6">
                  <w:pPr>
                    <w:jc w:val="center"/>
                    <w:rPr>
                      <w:color w:val="000000"/>
                      <w:sz w:val="21"/>
                      <w:szCs w:val="21"/>
                      <w:highlight w:val="none"/>
                    </w:rPr>
                  </w:pPr>
                  <w:r>
                    <w:rPr>
                      <w:color w:val="000000"/>
                      <w:sz w:val="21"/>
                      <w:szCs w:val="21"/>
                      <w:highlight w:val="none"/>
                    </w:rPr>
                    <w:t>50.01</w:t>
                  </w:r>
                </w:p>
              </w:tc>
              <w:tc>
                <w:tcPr>
                  <w:tcW w:w="1345" w:type="dxa"/>
                  <w:noWrap w:val="0"/>
                  <w:vAlign w:val="center"/>
                </w:tcPr>
                <w:p w14:paraId="430A2934">
                  <w:pPr>
                    <w:jc w:val="center"/>
                    <w:rPr>
                      <w:color w:val="000000"/>
                      <w:sz w:val="21"/>
                      <w:szCs w:val="21"/>
                      <w:highlight w:val="none"/>
                    </w:rPr>
                  </w:pPr>
                  <w:r>
                    <w:rPr>
                      <w:color w:val="000000"/>
                      <w:sz w:val="21"/>
                      <w:szCs w:val="21"/>
                      <w:highlight w:val="none"/>
                    </w:rPr>
                    <w:t>56.6</w:t>
                  </w:r>
                </w:p>
              </w:tc>
              <w:tc>
                <w:tcPr>
                  <w:tcW w:w="1344" w:type="dxa"/>
                  <w:noWrap w:val="0"/>
                  <w:vAlign w:val="center"/>
                </w:tcPr>
                <w:p w14:paraId="530A6AB1">
                  <w:pPr>
                    <w:jc w:val="center"/>
                    <w:rPr>
                      <w:color w:val="000000"/>
                      <w:sz w:val="21"/>
                      <w:szCs w:val="21"/>
                      <w:highlight w:val="none"/>
                    </w:rPr>
                  </w:pPr>
                  <w:r>
                    <w:rPr>
                      <w:color w:val="000000"/>
                      <w:sz w:val="21"/>
                      <w:szCs w:val="21"/>
                      <w:highlight w:val="none"/>
                    </w:rPr>
                    <w:t>52.2</w:t>
                  </w:r>
                </w:p>
              </w:tc>
            </w:tr>
            <w:tr w14:paraId="127C1C2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1833" w:type="dxa"/>
                  <w:noWrap w:val="0"/>
                  <w:vAlign w:val="center"/>
                </w:tcPr>
                <w:p w14:paraId="26E02FD6">
                  <w:pPr>
                    <w:adjustRightInd w:val="0"/>
                    <w:snapToGrid w:val="0"/>
                    <w:jc w:val="center"/>
                    <w:rPr>
                      <w:color w:val="000000"/>
                      <w:sz w:val="21"/>
                      <w:szCs w:val="21"/>
                      <w:highlight w:val="none"/>
                    </w:rPr>
                  </w:pPr>
                  <w:r>
                    <w:rPr>
                      <w:color w:val="000000"/>
                      <w:sz w:val="21"/>
                      <w:szCs w:val="21"/>
                      <w:highlight w:val="none"/>
                    </w:rPr>
                    <w:t>厂界</w:t>
                  </w:r>
                  <w:r>
                    <w:rPr>
                      <w:rFonts w:hint="eastAsia"/>
                      <w:color w:val="000000"/>
                      <w:sz w:val="21"/>
                      <w:szCs w:val="21"/>
                      <w:highlight w:val="none"/>
                    </w:rPr>
                    <w:t>西</w:t>
                  </w:r>
                  <w:r>
                    <w:rPr>
                      <w:color w:val="000000"/>
                      <w:sz w:val="21"/>
                      <w:szCs w:val="21"/>
                      <w:highlight w:val="none"/>
                    </w:rPr>
                    <w:t>侧</w:t>
                  </w:r>
                </w:p>
              </w:tc>
              <w:tc>
                <w:tcPr>
                  <w:tcW w:w="1285" w:type="dxa"/>
                  <w:noWrap w:val="0"/>
                  <w:vAlign w:val="center"/>
                </w:tcPr>
                <w:p w14:paraId="1828F31A">
                  <w:pPr>
                    <w:widowControl/>
                    <w:jc w:val="center"/>
                    <w:textAlignment w:val="center"/>
                    <w:rPr>
                      <w:color w:val="000000"/>
                      <w:sz w:val="21"/>
                      <w:szCs w:val="21"/>
                      <w:highlight w:val="none"/>
                    </w:rPr>
                  </w:pPr>
                  <w:r>
                    <w:rPr>
                      <w:color w:val="000000"/>
                      <w:kern w:val="0"/>
                      <w:sz w:val="22"/>
                      <w:szCs w:val="22"/>
                      <w:highlight w:val="none"/>
                      <w:lang w:bidi="ar"/>
                    </w:rPr>
                    <w:t>55.9</w:t>
                  </w:r>
                </w:p>
              </w:tc>
              <w:tc>
                <w:tcPr>
                  <w:tcW w:w="1345" w:type="dxa"/>
                  <w:noWrap w:val="0"/>
                  <w:vAlign w:val="center"/>
                </w:tcPr>
                <w:p w14:paraId="2A767BE4">
                  <w:pPr>
                    <w:widowControl/>
                    <w:jc w:val="center"/>
                    <w:textAlignment w:val="center"/>
                    <w:rPr>
                      <w:color w:val="000000"/>
                      <w:sz w:val="21"/>
                      <w:szCs w:val="21"/>
                      <w:highlight w:val="none"/>
                    </w:rPr>
                  </w:pPr>
                  <w:r>
                    <w:rPr>
                      <w:color w:val="000000"/>
                      <w:kern w:val="0"/>
                      <w:sz w:val="22"/>
                      <w:szCs w:val="22"/>
                      <w:highlight w:val="none"/>
                      <w:lang w:bidi="ar"/>
                    </w:rPr>
                    <w:t>47.0</w:t>
                  </w:r>
                </w:p>
              </w:tc>
              <w:tc>
                <w:tcPr>
                  <w:tcW w:w="1345" w:type="dxa"/>
                  <w:noWrap w:val="0"/>
                  <w:vAlign w:val="center"/>
                </w:tcPr>
                <w:p w14:paraId="7DC6E478">
                  <w:pPr>
                    <w:jc w:val="center"/>
                    <w:rPr>
                      <w:color w:val="000000"/>
                      <w:sz w:val="21"/>
                      <w:szCs w:val="21"/>
                      <w:highlight w:val="none"/>
                    </w:rPr>
                  </w:pPr>
                  <w:r>
                    <w:rPr>
                      <w:color w:val="000000"/>
                      <w:sz w:val="21"/>
                      <w:szCs w:val="21"/>
                      <w:highlight w:val="none"/>
                    </w:rPr>
                    <w:t>44.94</w:t>
                  </w:r>
                </w:p>
              </w:tc>
              <w:tc>
                <w:tcPr>
                  <w:tcW w:w="1345" w:type="dxa"/>
                  <w:noWrap w:val="0"/>
                  <w:vAlign w:val="center"/>
                </w:tcPr>
                <w:p w14:paraId="79830932">
                  <w:pPr>
                    <w:jc w:val="center"/>
                    <w:rPr>
                      <w:color w:val="000000"/>
                      <w:sz w:val="21"/>
                      <w:szCs w:val="21"/>
                      <w:highlight w:val="none"/>
                    </w:rPr>
                  </w:pPr>
                  <w:r>
                    <w:rPr>
                      <w:color w:val="000000"/>
                      <w:sz w:val="21"/>
                      <w:szCs w:val="21"/>
                      <w:highlight w:val="none"/>
                    </w:rPr>
                    <w:t>57.6</w:t>
                  </w:r>
                </w:p>
              </w:tc>
              <w:tc>
                <w:tcPr>
                  <w:tcW w:w="1344" w:type="dxa"/>
                  <w:noWrap w:val="0"/>
                  <w:vAlign w:val="center"/>
                </w:tcPr>
                <w:p w14:paraId="27310656">
                  <w:pPr>
                    <w:jc w:val="center"/>
                    <w:rPr>
                      <w:color w:val="000000"/>
                      <w:sz w:val="21"/>
                      <w:szCs w:val="21"/>
                      <w:highlight w:val="none"/>
                    </w:rPr>
                  </w:pPr>
                  <w:r>
                    <w:rPr>
                      <w:color w:val="000000"/>
                      <w:sz w:val="21"/>
                      <w:szCs w:val="21"/>
                      <w:highlight w:val="none"/>
                    </w:rPr>
                    <w:t>51.48</w:t>
                  </w:r>
                </w:p>
              </w:tc>
            </w:tr>
            <w:tr w14:paraId="386331F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1833" w:type="dxa"/>
                  <w:noWrap w:val="0"/>
                  <w:vAlign w:val="center"/>
                </w:tcPr>
                <w:p w14:paraId="2A394129">
                  <w:pPr>
                    <w:adjustRightInd w:val="0"/>
                    <w:snapToGrid w:val="0"/>
                    <w:jc w:val="center"/>
                    <w:rPr>
                      <w:color w:val="000000"/>
                      <w:sz w:val="21"/>
                      <w:szCs w:val="21"/>
                      <w:highlight w:val="none"/>
                    </w:rPr>
                  </w:pPr>
                  <w:r>
                    <w:rPr>
                      <w:color w:val="000000"/>
                      <w:sz w:val="21"/>
                      <w:szCs w:val="21"/>
                      <w:highlight w:val="none"/>
                    </w:rPr>
                    <w:t>厂界</w:t>
                  </w:r>
                  <w:r>
                    <w:rPr>
                      <w:rFonts w:hint="eastAsia"/>
                      <w:color w:val="000000"/>
                      <w:sz w:val="21"/>
                      <w:szCs w:val="21"/>
                      <w:highlight w:val="none"/>
                    </w:rPr>
                    <w:t>北</w:t>
                  </w:r>
                  <w:r>
                    <w:rPr>
                      <w:color w:val="000000"/>
                      <w:sz w:val="21"/>
                      <w:szCs w:val="21"/>
                      <w:highlight w:val="none"/>
                    </w:rPr>
                    <w:t>侧</w:t>
                  </w:r>
                </w:p>
              </w:tc>
              <w:tc>
                <w:tcPr>
                  <w:tcW w:w="1285" w:type="dxa"/>
                  <w:noWrap w:val="0"/>
                  <w:vAlign w:val="center"/>
                </w:tcPr>
                <w:p w14:paraId="1857FDC5">
                  <w:pPr>
                    <w:widowControl/>
                    <w:jc w:val="center"/>
                    <w:textAlignment w:val="center"/>
                    <w:rPr>
                      <w:color w:val="000000"/>
                      <w:sz w:val="21"/>
                      <w:szCs w:val="21"/>
                      <w:highlight w:val="none"/>
                    </w:rPr>
                  </w:pPr>
                  <w:r>
                    <w:rPr>
                      <w:color w:val="000000"/>
                      <w:kern w:val="0"/>
                      <w:sz w:val="22"/>
                      <w:szCs w:val="22"/>
                      <w:highlight w:val="none"/>
                      <w:lang w:bidi="ar"/>
                    </w:rPr>
                    <w:t>51.4</w:t>
                  </w:r>
                </w:p>
              </w:tc>
              <w:tc>
                <w:tcPr>
                  <w:tcW w:w="1345" w:type="dxa"/>
                  <w:noWrap w:val="0"/>
                  <w:vAlign w:val="center"/>
                </w:tcPr>
                <w:p w14:paraId="089A5C0E">
                  <w:pPr>
                    <w:widowControl/>
                    <w:jc w:val="center"/>
                    <w:textAlignment w:val="center"/>
                    <w:rPr>
                      <w:color w:val="000000"/>
                      <w:sz w:val="21"/>
                      <w:szCs w:val="21"/>
                      <w:highlight w:val="none"/>
                    </w:rPr>
                  </w:pPr>
                  <w:r>
                    <w:rPr>
                      <w:color w:val="000000"/>
                      <w:kern w:val="0"/>
                      <w:sz w:val="22"/>
                      <w:szCs w:val="22"/>
                      <w:highlight w:val="none"/>
                      <w:lang w:bidi="ar"/>
                    </w:rPr>
                    <w:t>45.6</w:t>
                  </w:r>
                </w:p>
              </w:tc>
              <w:tc>
                <w:tcPr>
                  <w:tcW w:w="1345" w:type="dxa"/>
                  <w:noWrap w:val="0"/>
                  <w:vAlign w:val="center"/>
                </w:tcPr>
                <w:p w14:paraId="1C91AF9D">
                  <w:pPr>
                    <w:jc w:val="center"/>
                    <w:rPr>
                      <w:color w:val="000000"/>
                      <w:sz w:val="21"/>
                      <w:szCs w:val="21"/>
                      <w:highlight w:val="none"/>
                    </w:rPr>
                  </w:pPr>
                  <w:r>
                    <w:rPr>
                      <w:color w:val="000000"/>
                      <w:sz w:val="21"/>
                      <w:szCs w:val="21"/>
                      <w:highlight w:val="none"/>
                    </w:rPr>
                    <w:t>50.44</w:t>
                  </w:r>
                </w:p>
              </w:tc>
              <w:tc>
                <w:tcPr>
                  <w:tcW w:w="1345" w:type="dxa"/>
                  <w:noWrap w:val="0"/>
                  <w:vAlign w:val="center"/>
                </w:tcPr>
                <w:p w14:paraId="56FEF32D">
                  <w:pPr>
                    <w:jc w:val="center"/>
                    <w:rPr>
                      <w:color w:val="000000"/>
                      <w:sz w:val="21"/>
                      <w:szCs w:val="21"/>
                      <w:highlight w:val="none"/>
                    </w:rPr>
                  </w:pPr>
                  <w:r>
                    <w:rPr>
                      <w:color w:val="000000"/>
                      <w:sz w:val="21"/>
                      <w:szCs w:val="21"/>
                      <w:highlight w:val="none"/>
                    </w:rPr>
                    <w:t>57.4</w:t>
                  </w:r>
                </w:p>
              </w:tc>
              <w:tc>
                <w:tcPr>
                  <w:tcW w:w="1344" w:type="dxa"/>
                  <w:noWrap w:val="0"/>
                  <w:vAlign w:val="center"/>
                </w:tcPr>
                <w:p w14:paraId="36A7E016">
                  <w:pPr>
                    <w:jc w:val="center"/>
                    <w:rPr>
                      <w:color w:val="000000"/>
                      <w:sz w:val="21"/>
                      <w:szCs w:val="21"/>
                      <w:highlight w:val="none"/>
                    </w:rPr>
                  </w:pPr>
                  <w:r>
                    <w:rPr>
                      <w:color w:val="000000"/>
                      <w:sz w:val="21"/>
                      <w:szCs w:val="21"/>
                      <w:highlight w:val="none"/>
                    </w:rPr>
                    <w:t>48.13</w:t>
                  </w:r>
                </w:p>
              </w:tc>
            </w:tr>
            <w:tr w14:paraId="70DC6E2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49" w:hRule="atLeast"/>
                <w:jc w:val="center"/>
              </w:trPr>
              <w:tc>
                <w:tcPr>
                  <w:tcW w:w="1833" w:type="dxa"/>
                  <w:noWrap w:val="0"/>
                  <w:vAlign w:val="center"/>
                </w:tcPr>
                <w:p w14:paraId="432D1873">
                  <w:pPr>
                    <w:adjustRightInd w:val="0"/>
                    <w:snapToGrid w:val="0"/>
                    <w:jc w:val="center"/>
                    <w:rPr>
                      <w:color w:val="000000"/>
                      <w:sz w:val="21"/>
                      <w:szCs w:val="21"/>
                      <w:highlight w:val="none"/>
                    </w:rPr>
                  </w:pPr>
                  <w:r>
                    <w:rPr>
                      <w:color w:val="000000"/>
                      <w:sz w:val="21"/>
                      <w:szCs w:val="21"/>
                      <w:highlight w:val="none"/>
                    </w:rPr>
                    <w:t>（GB12348-2008）3类标准</w:t>
                  </w:r>
                </w:p>
              </w:tc>
              <w:tc>
                <w:tcPr>
                  <w:tcW w:w="1285" w:type="dxa"/>
                  <w:noWrap w:val="0"/>
                  <w:vAlign w:val="center"/>
                </w:tcPr>
                <w:p w14:paraId="6A2DFE0E">
                  <w:pPr>
                    <w:adjustRightInd w:val="0"/>
                    <w:snapToGrid w:val="0"/>
                    <w:jc w:val="center"/>
                    <w:rPr>
                      <w:color w:val="000000"/>
                      <w:sz w:val="21"/>
                      <w:szCs w:val="21"/>
                      <w:highlight w:val="none"/>
                    </w:rPr>
                  </w:pPr>
                  <w:r>
                    <w:rPr>
                      <w:color w:val="000000"/>
                      <w:sz w:val="21"/>
                      <w:szCs w:val="21"/>
                      <w:highlight w:val="none"/>
                    </w:rPr>
                    <w:t>65</w:t>
                  </w:r>
                </w:p>
              </w:tc>
              <w:tc>
                <w:tcPr>
                  <w:tcW w:w="1345" w:type="dxa"/>
                  <w:noWrap w:val="0"/>
                  <w:vAlign w:val="center"/>
                </w:tcPr>
                <w:p w14:paraId="0D30338E">
                  <w:pPr>
                    <w:adjustRightInd w:val="0"/>
                    <w:snapToGrid w:val="0"/>
                    <w:jc w:val="center"/>
                    <w:rPr>
                      <w:color w:val="000000"/>
                      <w:sz w:val="21"/>
                      <w:szCs w:val="21"/>
                      <w:highlight w:val="none"/>
                    </w:rPr>
                  </w:pPr>
                  <w:r>
                    <w:rPr>
                      <w:color w:val="000000"/>
                      <w:sz w:val="21"/>
                      <w:szCs w:val="21"/>
                      <w:highlight w:val="none"/>
                    </w:rPr>
                    <w:t>55</w:t>
                  </w:r>
                </w:p>
              </w:tc>
              <w:tc>
                <w:tcPr>
                  <w:tcW w:w="1345" w:type="dxa"/>
                  <w:noWrap w:val="0"/>
                  <w:vAlign w:val="center"/>
                </w:tcPr>
                <w:p w14:paraId="6BBB173A">
                  <w:pPr>
                    <w:adjustRightInd w:val="0"/>
                    <w:snapToGrid w:val="0"/>
                    <w:jc w:val="center"/>
                    <w:rPr>
                      <w:color w:val="000000"/>
                      <w:sz w:val="21"/>
                      <w:szCs w:val="21"/>
                      <w:highlight w:val="none"/>
                    </w:rPr>
                  </w:pPr>
                  <w:r>
                    <w:rPr>
                      <w:color w:val="000000"/>
                      <w:sz w:val="21"/>
                      <w:szCs w:val="21"/>
                      <w:highlight w:val="none"/>
                    </w:rPr>
                    <w:t>/</w:t>
                  </w:r>
                </w:p>
              </w:tc>
              <w:tc>
                <w:tcPr>
                  <w:tcW w:w="1345" w:type="dxa"/>
                  <w:noWrap w:val="0"/>
                  <w:vAlign w:val="center"/>
                </w:tcPr>
                <w:p w14:paraId="11A34DDF">
                  <w:pPr>
                    <w:adjustRightInd w:val="0"/>
                    <w:snapToGrid w:val="0"/>
                    <w:jc w:val="center"/>
                    <w:rPr>
                      <w:color w:val="000000"/>
                      <w:sz w:val="21"/>
                      <w:szCs w:val="21"/>
                      <w:highlight w:val="none"/>
                    </w:rPr>
                  </w:pPr>
                  <w:r>
                    <w:rPr>
                      <w:color w:val="000000"/>
                      <w:sz w:val="21"/>
                      <w:szCs w:val="21"/>
                      <w:highlight w:val="none"/>
                    </w:rPr>
                    <w:t>65</w:t>
                  </w:r>
                </w:p>
              </w:tc>
              <w:tc>
                <w:tcPr>
                  <w:tcW w:w="1344" w:type="dxa"/>
                  <w:noWrap w:val="0"/>
                  <w:vAlign w:val="center"/>
                </w:tcPr>
                <w:p w14:paraId="12B7FA55">
                  <w:pPr>
                    <w:adjustRightInd w:val="0"/>
                    <w:snapToGrid w:val="0"/>
                    <w:jc w:val="center"/>
                    <w:rPr>
                      <w:color w:val="000000"/>
                      <w:sz w:val="21"/>
                      <w:szCs w:val="21"/>
                      <w:highlight w:val="none"/>
                    </w:rPr>
                  </w:pPr>
                  <w:r>
                    <w:rPr>
                      <w:color w:val="000000"/>
                      <w:sz w:val="21"/>
                      <w:szCs w:val="21"/>
                      <w:highlight w:val="none"/>
                    </w:rPr>
                    <w:t>55</w:t>
                  </w:r>
                </w:p>
              </w:tc>
            </w:tr>
            <w:tr w14:paraId="0F5676A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1833" w:type="dxa"/>
                  <w:noWrap w:val="0"/>
                  <w:vAlign w:val="center"/>
                </w:tcPr>
                <w:p w14:paraId="002BA226">
                  <w:pPr>
                    <w:adjustRightInd w:val="0"/>
                    <w:snapToGrid w:val="0"/>
                    <w:jc w:val="center"/>
                    <w:rPr>
                      <w:color w:val="000000"/>
                      <w:sz w:val="21"/>
                      <w:szCs w:val="21"/>
                      <w:highlight w:val="none"/>
                    </w:rPr>
                  </w:pPr>
                  <w:r>
                    <w:rPr>
                      <w:color w:val="000000"/>
                      <w:sz w:val="21"/>
                      <w:szCs w:val="21"/>
                      <w:highlight w:val="none"/>
                    </w:rPr>
                    <w:t>是否达标</w:t>
                  </w:r>
                </w:p>
              </w:tc>
              <w:tc>
                <w:tcPr>
                  <w:tcW w:w="1285" w:type="dxa"/>
                  <w:noWrap w:val="0"/>
                  <w:vAlign w:val="center"/>
                </w:tcPr>
                <w:p w14:paraId="6262C87F">
                  <w:pPr>
                    <w:adjustRightInd w:val="0"/>
                    <w:snapToGrid w:val="0"/>
                    <w:jc w:val="center"/>
                    <w:rPr>
                      <w:color w:val="000000"/>
                      <w:sz w:val="21"/>
                      <w:szCs w:val="21"/>
                      <w:highlight w:val="none"/>
                    </w:rPr>
                  </w:pPr>
                  <w:r>
                    <w:rPr>
                      <w:color w:val="000000"/>
                      <w:sz w:val="21"/>
                      <w:szCs w:val="21"/>
                      <w:highlight w:val="none"/>
                    </w:rPr>
                    <w:t>达标</w:t>
                  </w:r>
                </w:p>
              </w:tc>
              <w:tc>
                <w:tcPr>
                  <w:tcW w:w="1345" w:type="dxa"/>
                  <w:noWrap w:val="0"/>
                  <w:vAlign w:val="center"/>
                </w:tcPr>
                <w:p w14:paraId="6507401B">
                  <w:pPr>
                    <w:adjustRightInd w:val="0"/>
                    <w:snapToGrid w:val="0"/>
                    <w:jc w:val="center"/>
                    <w:rPr>
                      <w:color w:val="000000"/>
                      <w:sz w:val="21"/>
                      <w:szCs w:val="21"/>
                      <w:highlight w:val="none"/>
                    </w:rPr>
                  </w:pPr>
                  <w:r>
                    <w:rPr>
                      <w:color w:val="000000"/>
                      <w:sz w:val="21"/>
                      <w:szCs w:val="21"/>
                      <w:highlight w:val="none"/>
                    </w:rPr>
                    <w:t>达标</w:t>
                  </w:r>
                </w:p>
              </w:tc>
              <w:tc>
                <w:tcPr>
                  <w:tcW w:w="1345" w:type="dxa"/>
                  <w:noWrap w:val="0"/>
                  <w:vAlign w:val="center"/>
                </w:tcPr>
                <w:p w14:paraId="4CC4A764">
                  <w:pPr>
                    <w:adjustRightInd w:val="0"/>
                    <w:snapToGrid w:val="0"/>
                    <w:jc w:val="center"/>
                    <w:rPr>
                      <w:color w:val="000000"/>
                      <w:sz w:val="21"/>
                      <w:szCs w:val="21"/>
                      <w:highlight w:val="none"/>
                    </w:rPr>
                  </w:pPr>
                  <w:r>
                    <w:rPr>
                      <w:color w:val="000000"/>
                      <w:sz w:val="21"/>
                      <w:szCs w:val="21"/>
                      <w:highlight w:val="none"/>
                    </w:rPr>
                    <w:t>/</w:t>
                  </w:r>
                </w:p>
              </w:tc>
              <w:tc>
                <w:tcPr>
                  <w:tcW w:w="1345" w:type="dxa"/>
                  <w:noWrap w:val="0"/>
                  <w:vAlign w:val="center"/>
                </w:tcPr>
                <w:p w14:paraId="02BE6CB6">
                  <w:pPr>
                    <w:adjustRightInd w:val="0"/>
                    <w:snapToGrid w:val="0"/>
                    <w:jc w:val="center"/>
                    <w:rPr>
                      <w:color w:val="000000"/>
                      <w:sz w:val="21"/>
                      <w:szCs w:val="21"/>
                      <w:highlight w:val="none"/>
                    </w:rPr>
                  </w:pPr>
                  <w:r>
                    <w:rPr>
                      <w:color w:val="000000"/>
                      <w:sz w:val="21"/>
                      <w:szCs w:val="21"/>
                      <w:highlight w:val="none"/>
                    </w:rPr>
                    <w:t>达标</w:t>
                  </w:r>
                </w:p>
              </w:tc>
              <w:tc>
                <w:tcPr>
                  <w:tcW w:w="1344" w:type="dxa"/>
                  <w:noWrap w:val="0"/>
                  <w:vAlign w:val="center"/>
                </w:tcPr>
                <w:p w14:paraId="66FD5108">
                  <w:pPr>
                    <w:adjustRightInd w:val="0"/>
                    <w:snapToGrid w:val="0"/>
                    <w:jc w:val="center"/>
                    <w:rPr>
                      <w:color w:val="000000"/>
                      <w:sz w:val="21"/>
                      <w:szCs w:val="21"/>
                      <w:highlight w:val="none"/>
                    </w:rPr>
                  </w:pPr>
                  <w:r>
                    <w:rPr>
                      <w:color w:val="000000"/>
                      <w:sz w:val="21"/>
                      <w:szCs w:val="21"/>
                      <w:highlight w:val="none"/>
                    </w:rPr>
                    <w:t>达标</w:t>
                  </w:r>
                </w:p>
              </w:tc>
            </w:tr>
          </w:tbl>
          <w:p w14:paraId="09F1F1E9">
            <w:pPr>
              <w:spacing w:line="360" w:lineRule="auto"/>
              <w:ind w:right="152" w:firstLine="479"/>
              <w:rPr>
                <w:rFonts w:hint="eastAsia"/>
                <w:color w:val="000000"/>
                <w:spacing w:val="-4"/>
                <w:kern w:val="0"/>
                <w:sz w:val="24"/>
                <w:szCs w:val="24"/>
                <w:highlight w:val="none"/>
                <w:lang w:eastAsia="zh-CN"/>
              </w:rPr>
            </w:pPr>
            <w:r>
              <w:rPr>
                <w:color w:val="000000"/>
                <w:sz w:val="24"/>
                <w:szCs w:val="24"/>
                <w:highlight w:val="none"/>
              </w:rPr>
              <w:t>预测结果表明本项目投产后，厂界噪声预测值昼间在56.5</w:t>
            </w:r>
            <w:r>
              <w:rPr>
                <w:rFonts w:hint="eastAsia"/>
                <w:color w:val="000000"/>
                <w:sz w:val="24"/>
                <w:szCs w:val="24"/>
                <w:highlight w:val="none"/>
              </w:rPr>
              <w:t>1</w:t>
            </w:r>
            <w:r>
              <w:rPr>
                <w:color w:val="000000"/>
                <w:sz w:val="24"/>
                <w:szCs w:val="24"/>
                <w:highlight w:val="none"/>
              </w:rPr>
              <w:t>-5</w:t>
            </w:r>
            <w:r>
              <w:rPr>
                <w:rFonts w:hint="eastAsia"/>
                <w:color w:val="000000"/>
                <w:sz w:val="24"/>
                <w:szCs w:val="24"/>
                <w:highlight w:val="none"/>
              </w:rPr>
              <w:t>7</w:t>
            </w:r>
            <w:r>
              <w:rPr>
                <w:color w:val="000000"/>
                <w:sz w:val="24"/>
                <w:szCs w:val="24"/>
                <w:highlight w:val="none"/>
              </w:rPr>
              <w:t>.</w:t>
            </w:r>
            <w:r>
              <w:rPr>
                <w:rFonts w:hint="eastAsia"/>
                <w:color w:val="000000"/>
                <w:sz w:val="24"/>
                <w:szCs w:val="24"/>
                <w:highlight w:val="none"/>
              </w:rPr>
              <w:t>6</w:t>
            </w:r>
            <w:r>
              <w:rPr>
                <w:color w:val="000000"/>
                <w:sz w:val="24"/>
                <w:szCs w:val="24"/>
                <w:highlight w:val="none"/>
              </w:rPr>
              <w:t>dB(A)之间，</w:t>
            </w:r>
            <w:r>
              <w:rPr>
                <w:rFonts w:hint="eastAsia"/>
                <w:color w:val="000000"/>
                <w:sz w:val="24"/>
                <w:szCs w:val="24"/>
                <w:highlight w:val="none"/>
              </w:rPr>
              <w:t>夜</w:t>
            </w:r>
            <w:r>
              <w:rPr>
                <w:color w:val="000000"/>
                <w:sz w:val="24"/>
                <w:szCs w:val="24"/>
                <w:highlight w:val="none"/>
              </w:rPr>
              <w:t>间在</w:t>
            </w:r>
            <w:r>
              <w:rPr>
                <w:rFonts w:hint="eastAsia"/>
                <w:color w:val="000000"/>
                <w:sz w:val="24"/>
                <w:szCs w:val="24"/>
                <w:highlight w:val="none"/>
              </w:rPr>
              <w:t>47</w:t>
            </w:r>
            <w:r>
              <w:rPr>
                <w:color w:val="000000"/>
                <w:sz w:val="24"/>
                <w:szCs w:val="24"/>
                <w:highlight w:val="none"/>
              </w:rPr>
              <w:t>.5</w:t>
            </w:r>
            <w:r>
              <w:rPr>
                <w:rFonts w:hint="eastAsia"/>
                <w:color w:val="000000"/>
                <w:sz w:val="24"/>
                <w:szCs w:val="24"/>
                <w:highlight w:val="none"/>
              </w:rPr>
              <w:t>9</w:t>
            </w:r>
            <w:r>
              <w:rPr>
                <w:color w:val="000000"/>
                <w:sz w:val="24"/>
                <w:szCs w:val="24"/>
                <w:highlight w:val="none"/>
              </w:rPr>
              <w:t>-5</w:t>
            </w:r>
            <w:r>
              <w:rPr>
                <w:rFonts w:hint="eastAsia"/>
                <w:color w:val="000000"/>
                <w:sz w:val="24"/>
                <w:szCs w:val="24"/>
                <w:highlight w:val="none"/>
              </w:rPr>
              <w:t>2</w:t>
            </w:r>
            <w:r>
              <w:rPr>
                <w:color w:val="000000"/>
                <w:sz w:val="24"/>
                <w:szCs w:val="24"/>
                <w:highlight w:val="none"/>
              </w:rPr>
              <w:t>.</w:t>
            </w:r>
            <w:r>
              <w:rPr>
                <w:rFonts w:hint="eastAsia"/>
                <w:color w:val="000000"/>
                <w:sz w:val="24"/>
                <w:szCs w:val="24"/>
                <w:highlight w:val="none"/>
              </w:rPr>
              <w:t>2</w:t>
            </w:r>
            <w:r>
              <w:rPr>
                <w:color w:val="000000"/>
                <w:sz w:val="24"/>
                <w:szCs w:val="24"/>
                <w:highlight w:val="none"/>
              </w:rPr>
              <w:t>dB(A)之间</w:t>
            </w:r>
            <w:r>
              <w:rPr>
                <w:rFonts w:hint="eastAsia"/>
                <w:color w:val="000000"/>
                <w:sz w:val="24"/>
                <w:szCs w:val="24"/>
                <w:highlight w:val="none"/>
              </w:rPr>
              <w:t>，满足</w:t>
            </w:r>
            <w:r>
              <w:rPr>
                <w:color w:val="000000"/>
                <w:sz w:val="24"/>
                <w:szCs w:val="24"/>
                <w:highlight w:val="none"/>
              </w:rPr>
              <w:t>《工业企业厂界环境噪声排放标准》</w:t>
            </w:r>
            <w:r>
              <w:rPr>
                <w:rFonts w:hint="eastAsia"/>
                <w:color w:val="000000"/>
                <w:sz w:val="24"/>
                <w:szCs w:val="24"/>
                <w:highlight w:val="none"/>
              </w:rPr>
              <w:t>（GB12348-2008）3类标准。</w:t>
            </w:r>
          </w:p>
          <w:p w14:paraId="6545D810">
            <w:pPr>
              <w:spacing w:line="360" w:lineRule="auto"/>
              <w:ind w:right="152" w:firstLine="479"/>
              <w:rPr>
                <w:rFonts w:hint="default" w:eastAsia="宋体"/>
                <w:color w:val="000000"/>
                <w:spacing w:val="-4"/>
                <w:kern w:val="0"/>
                <w:sz w:val="24"/>
                <w:szCs w:val="24"/>
                <w:highlight w:val="none"/>
                <w:lang w:val="en-US" w:eastAsia="zh-CN"/>
              </w:rPr>
            </w:pPr>
            <w:r>
              <w:rPr>
                <w:rFonts w:hint="eastAsia"/>
                <w:color w:val="000000"/>
                <w:spacing w:val="-4"/>
                <w:kern w:val="0"/>
                <w:sz w:val="24"/>
                <w:szCs w:val="24"/>
                <w:highlight w:val="none"/>
                <w:lang w:eastAsia="zh-CN"/>
              </w:rPr>
              <w:t>（</w:t>
            </w:r>
            <w:r>
              <w:rPr>
                <w:rFonts w:hint="eastAsia"/>
                <w:color w:val="000000"/>
                <w:spacing w:val="-4"/>
                <w:kern w:val="0"/>
                <w:sz w:val="24"/>
                <w:szCs w:val="24"/>
                <w:highlight w:val="none"/>
                <w:lang w:val="en-US" w:eastAsia="zh-CN"/>
              </w:rPr>
              <w:t>3</w:t>
            </w:r>
            <w:r>
              <w:rPr>
                <w:rFonts w:hint="eastAsia"/>
                <w:color w:val="000000"/>
                <w:spacing w:val="-4"/>
                <w:kern w:val="0"/>
                <w:sz w:val="24"/>
                <w:szCs w:val="24"/>
                <w:highlight w:val="none"/>
                <w:lang w:eastAsia="zh-CN"/>
              </w:rPr>
              <w:t>）</w:t>
            </w:r>
            <w:r>
              <w:rPr>
                <w:rFonts w:hint="eastAsia"/>
                <w:color w:val="000000"/>
                <w:spacing w:val="-4"/>
                <w:kern w:val="0"/>
                <w:sz w:val="24"/>
                <w:szCs w:val="24"/>
                <w:highlight w:val="none"/>
                <w:lang w:val="en-US" w:eastAsia="zh-CN"/>
              </w:rPr>
              <w:t>噪声污染防治措施</w:t>
            </w:r>
          </w:p>
          <w:p w14:paraId="21E6AABE">
            <w:pPr>
              <w:spacing w:line="360" w:lineRule="auto"/>
              <w:ind w:right="152" w:firstLine="479"/>
              <w:rPr>
                <w:rFonts w:hAnsi="宋体"/>
                <w:color w:val="000000"/>
                <w:spacing w:val="-4"/>
                <w:sz w:val="24"/>
                <w:szCs w:val="24"/>
                <w:highlight w:val="none"/>
              </w:rPr>
            </w:pPr>
            <w:r>
              <w:rPr>
                <w:rFonts w:hint="eastAsia"/>
                <w:color w:val="000000"/>
                <w:spacing w:val="-4"/>
                <w:kern w:val="0"/>
                <w:sz w:val="24"/>
                <w:szCs w:val="24"/>
                <w:highlight w:val="none"/>
              </w:rPr>
              <w:t>一般</w:t>
            </w:r>
            <w:r>
              <w:rPr>
                <w:color w:val="000000"/>
                <w:sz w:val="24"/>
                <w:szCs w:val="24"/>
                <w:highlight w:val="none"/>
              </w:rPr>
              <w:t>噪声的防治首先从声源上进行控制，</w:t>
            </w:r>
            <w:r>
              <w:rPr>
                <w:rFonts w:hint="eastAsia"/>
                <w:color w:val="000000"/>
                <w:sz w:val="24"/>
                <w:szCs w:val="24"/>
                <w:highlight w:val="none"/>
              </w:rPr>
              <w:t>尽量选用低噪声设备，</w:t>
            </w:r>
            <w:r>
              <w:rPr>
                <w:color w:val="000000"/>
                <w:sz w:val="24"/>
                <w:szCs w:val="24"/>
                <w:highlight w:val="none"/>
              </w:rPr>
              <w:t>其次从传播途径上进行控制。</w:t>
            </w:r>
            <w:r>
              <w:rPr>
                <w:rFonts w:hint="eastAsia"/>
                <w:color w:val="000000"/>
                <w:sz w:val="24"/>
                <w:szCs w:val="24"/>
                <w:highlight w:val="none"/>
              </w:rPr>
              <w:t>本项目噪声污染防治措施如下：</w:t>
            </w:r>
          </w:p>
          <w:p w14:paraId="7CADBA5D">
            <w:pPr>
              <w:spacing w:line="360" w:lineRule="auto"/>
              <w:ind w:firstLine="480" w:firstLineChars="200"/>
              <w:rPr>
                <w:color w:val="000000"/>
                <w:sz w:val="24"/>
                <w:szCs w:val="24"/>
                <w:highlight w:val="none"/>
              </w:rPr>
            </w:pPr>
            <w:r>
              <w:rPr>
                <w:rFonts w:hint="eastAsia"/>
                <w:color w:val="000000"/>
                <w:sz w:val="24"/>
                <w:szCs w:val="24"/>
                <w:highlight w:val="none"/>
              </w:rPr>
              <w:t>1、</w:t>
            </w:r>
            <w:r>
              <w:rPr>
                <w:color w:val="000000"/>
                <w:sz w:val="24"/>
                <w:szCs w:val="24"/>
                <w:highlight w:val="none"/>
              </w:rPr>
              <w:t>选用低噪声设备</w:t>
            </w:r>
          </w:p>
          <w:p w14:paraId="20466D72">
            <w:pPr>
              <w:spacing w:line="360" w:lineRule="auto"/>
              <w:ind w:firstLine="480" w:firstLineChars="200"/>
              <w:rPr>
                <w:color w:val="000000"/>
                <w:sz w:val="24"/>
                <w:szCs w:val="24"/>
                <w:highlight w:val="none"/>
              </w:rPr>
            </w:pPr>
            <w:bookmarkStart w:id="34" w:name="_Hlk32396296"/>
            <w:r>
              <w:rPr>
                <w:color w:val="000000"/>
                <w:sz w:val="24"/>
                <w:szCs w:val="24"/>
                <w:highlight w:val="none"/>
              </w:rPr>
              <w:t>在设备选型上，建设单位应优先选择低噪声设备</w:t>
            </w:r>
            <w:bookmarkEnd w:id="34"/>
            <w:r>
              <w:rPr>
                <w:rFonts w:hint="eastAsia"/>
                <w:color w:val="000000"/>
                <w:sz w:val="24"/>
                <w:szCs w:val="24"/>
                <w:highlight w:val="none"/>
              </w:rPr>
              <w:t>并加强对设备的维修和保养</w:t>
            </w:r>
            <w:r>
              <w:rPr>
                <w:color w:val="000000"/>
                <w:sz w:val="24"/>
                <w:szCs w:val="24"/>
                <w:highlight w:val="none"/>
              </w:rPr>
              <w:t>。</w:t>
            </w:r>
          </w:p>
          <w:p w14:paraId="153B4CCD">
            <w:pPr>
              <w:spacing w:line="360" w:lineRule="auto"/>
              <w:ind w:firstLine="480" w:firstLineChars="200"/>
              <w:rPr>
                <w:color w:val="000000"/>
                <w:sz w:val="24"/>
                <w:highlight w:val="none"/>
              </w:rPr>
            </w:pPr>
            <w:r>
              <w:rPr>
                <w:rFonts w:hint="eastAsia"/>
                <w:color w:val="000000"/>
                <w:sz w:val="24"/>
                <w:highlight w:val="none"/>
              </w:rPr>
              <w:t>2、</w:t>
            </w:r>
            <w:r>
              <w:rPr>
                <w:color w:val="000000"/>
                <w:sz w:val="24"/>
                <w:highlight w:val="none"/>
              </w:rPr>
              <w:t>隔声、</w:t>
            </w:r>
            <w:r>
              <w:rPr>
                <w:rFonts w:hint="eastAsia"/>
                <w:color w:val="000000"/>
                <w:sz w:val="24"/>
                <w:highlight w:val="none"/>
              </w:rPr>
              <w:t>减</w:t>
            </w:r>
            <w:r>
              <w:rPr>
                <w:rFonts w:hint="eastAsia"/>
                <w:color w:val="000000"/>
                <w:sz w:val="24"/>
                <w:highlight w:val="none"/>
                <w:lang w:val="en-US" w:eastAsia="zh-CN"/>
              </w:rPr>
              <w:t>振</w:t>
            </w:r>
            <w:r>
              <w:rPr>
                <w:rFonts w:hint="eastAsia"/>
                <w:color w:val="000000"/>
                <w:sz w:val="24"/>
                <w:highlight w:val="none"/>
              </w:rPr>
              <w:t>、消声</w:t>
            </w:r>
          </w:p>
          <w:p w14:paraId="4C9C5138">
            <w:pPr>
              <w:spacing w:line="360" w:lineRule="auto"/>
              <w:ind w:firstLine="480" w:firstLineChars="200"/>
              <w:rPr>
                <w:rFonts w:hint="eastAsia"/>
                <w:color w:val="000000"/>
                <w:sz w:val="24"/>
                <w:highlight w:val="none"/>
              </w:rPr>
            </w:pPr>
            <w:bookmarkStart w:id="35" w:name="_Hlk32396308"/>
            <w:r>
              <w:rPr>
                <w:rFonts w:hint="eastAsia"/>
                <w:color w:val="000000"/>
                <w:sz w:val="24"/>
                <w:highlight w:val="none"/>
              </w:rPr>
              <w:t>高噪声设备如水泵、脱水机泵等尽量安排在室内，基础均设置橡胶隔震垫，以减震降噪。水泵吸水管和出水管上均加设可曲绕橡胶接头以减震；风机接口处采用软性接头和保温及加强筋，改变钢板震动频率等以达到降噪效果。</w:t>
            </w:r>
          </w:p>
          <w:p w14:paraId="6A4D5C40">
            <w:pPr>
              <w:spacing w:line="360" w:lineRule="auto"/>
              <w:ind w:firstLine="480" w:firstLineChars="200"/>
              <w:rPr>
                <w:rFonts w:hint="eastAsia"/>
                <w:color w:val="000000"/>
                <w:sz w:val="24"/>
                <w:highlight w:val="none"/>
              </w:rPr>
            </w:pPr>
            <w:r>
              <w:rPr>
                <w:rFonts w:hint="eastAsia"/>
                <w:color w:val="000000"/>
                <w:sz w:val="24"/>
                <w:highlight w:val="none"/>
              </w:rPr>
              <w:t>加强鼓风机、水泵、脱水机房等墙壁的隔声、吸声等处理。机房进排风安装消声器等，减少操作过程中门窗的开启。</w:t>
            </w:r>
          </w:p>
          <w:p w14:paraId="3FC98C18">
            <w:pPr>
              <w:spacing w:line="360" w:lineRule="auto"/>
              <w:ind w:firstLine="480" w:firstLineChars="200"/>
              <w:rPr>
                <w:rFonts w:hint="eastAsia"/>
                <w:color w:val="000000"/>
                <w:sz w:val="24"/>
                <w:highlight w:val="none"/>
              </w:rPr>
            </w:pPr>
            <w:r>
              <w:rPr>
                <w:rFonts w:hint="eastAsia"/>
                <w:color w:val="000000"/>
                <w:sz w:val="24"/>
                <w:highlight w:val="none"/>
              </w:rPr>
              <w:t>3、加强对各类机械设备的定期检查、维护和保养。设备出现故障要及时更换，以减少机械故障引起的噪声污染。</w:t>
            </w:r>
          </w:p>
          <w:bookmarkEnd w:id="35"/>
          <w:p w14:paraId="286B3057">
            <w:pPr>
              <w:spacing w:line="360" w:lineRule="auto"/>
              <w:ind w:firstLine="480" w:firstLineChars="200"/>
              <w:rPr>
                <w:color w:val="000000"/>
                <w:sz w:val="24"/>
                <w:highlight w:val="none"/>
              </w:rPr>
            </w:pPr>
            <w:r>
              <w:rPr>
                <w:color w:val="000000"/>
                <w:sz w:val="24"/>
                <w:highlight w:val="none"/>
              </w:rPr>
              <w:t>通过采取以上措施</w:t>
            </w:r>
            <w:r>
              <w:rPr>
                <w:rFonts w:hint="eastAsia"/>
                <w:color w:val="000000"/>
                <w:sz w:val="24"/>
                <w:highlight w:val="none"/>
              </w:rPr>
              <w:t>后</w:t>
            </w:r>
            <w:r>
              <w:rPr>
                <w:color w:val="000000"/>
                <w:sz w:val="24"/>
                <w:highlight w:val="none"/>
              </w:rPr>
              <w:t>，</w:t>
            </w:r>
            <w:r>
              <w:rPr>
                <w:rFonts w:hint="eastAsia"/>
                <w:color w:val="000000"/>
                <w:sz w:val="24"/>
                <w:highlight w:val="none"/>
              </w:rPr>
              <w:t>项目机械</w:t>
            </w:r>
            <w:r>
              <w:rPr>
                <w:color w:val="000000"/>
                <w:sz w:val="24"/>
                <w:highlight w:val="none"/>
              </w:rPr>
              <w:t>设备可降噪20-25dB(A)。</w:t>
            </w:r>
          </w:p>
          <w:p w14:paraId="06600EDE">
            <w:pPr>
              <w:spacing w:line="360" w:lineRule="auto"/>
              <w:ind w:firstLine="480" w:firstLineChars="200"/>
              <w:rPr>
                <w:color w:val="000000"/>
                <w:sz w:val="24"/>
                <w:highlight w:val="none"/>
              </w:rPr>
            </w:pPr>
            <w:r>
              <w:rPr>
                <w:rFonts w:hint="eastAsia"/>
                <w:color w:val="000000"/>
                <w:sz w:val="24"/>
                <w:highlight w:val="none"/>
              </w:rPr>
              <w:t>4、</w:t>
            </w:r>
            <w:r>
              <w:rPr>
                <w:color w:val="000000"/>
                <w:sz w:val="24"/>
                <w:highlight w:val="none"/>
              </w:rPr>
              <w:t>合理布局防治噪声</w:t>
            </w:r>
          </w:p>
          <w:p w14:paraId="62D73AE7">
            <w:pPr>
              <w:spacing w:line="360" w:lineRule="auto"/>
              <w:ind w:firstLine="480" w:firstLineChars="200"/>
              <w:rPr>
                <w:color w:val="000000"/>
                <w:sz w:val="24"/>
                <w:highlight w:val="none"/>
              </w:rPr>
            </w:pPr>
            <w:r>
              <w:rPr>
                <w:rFonts w:hint="eastAsia"/>
                <w:color w:val="000000"/>
                <w:sz w:val="24"/>
                <w:highlight w:val="none"/>
              </w:rPr>
              <w:t>（1）</w:t>
            </w:r>
            <w:r>
              <w:rPr>
                <w:color w:val="000000"/>
                <w:sz w:val="24"/>
                <w:highlight w:val="none"/>
              </w:rPr>
              <w:t>调整布局，尽量将高噪声车间远离边界；</w:t>
            </w:r>
          </w:p>
          <w:p w14:paraId="0B821796">
            <w:pPr>
              <w:spacing w:line="360" w:lineRule="auto"/>
              <w:ind w:firstLine="480" w:firstLineChars="200"/>
              <w:rPr>
                <w:color w:val="000000"/>
                <w:sz w:val="24"/>
                <w:highlight w:val="none"/>
              </w:rPr>
            </w:pPr>
            <w:r>
              <w:rPr>
                <w:rFonts w:hint="eastAsia"/>
                <w:color w:val="000000"/>
                <w:sz w:val="24"/>
                <w:highlight w:val="none"/>
              </w:rPr>
              <w:t>（2）</w:t>
            </w:r>
            <w:r>
              <w:rPr>
                <w:color w:val="000000"/>
                <w:sz w:val="24"/>
                <w:highlight w:val="none"/>
              </w:rPr>
              <w:t>加强厂区绿化，可实施乔木落叶树与低矮的灌木病草坪构成的混合绿化屏障，这对降低厂区区噪声水平，有一定的辅助效果。</w:t>
            </w:r>
          </w:p>
          <w:p w14:paraId="16BD3B0F">
            <w:pPr>
              <w:spacing w:line="360" w:lineRule="auto"/>
              <w:ind w:firstLine="480" w:firstLineChars="200"/>
              <w:rPr>
                <w:color w:val="000000"/>
                <w:sz w:val="24"/>
                <w:highlight w:val="none"/>
              </w:rPr>
            </w:pPr>
            <w:r>
              <w:rPr>
                <w:color w:val="000000"/>
                <w:sz w:val="24"/>
                <w:highlight w:val="none"/>
              </w:rPr>
              <w:t>经</w:t>
            </w:r>
            <w:r>
              <w:rPr>
                <w:rFonts w:hint="eastAsia"/>
                <w:color w:val="000000"/>
                <w:sz w:val="24"/>
                <w:highlight w:val="none"/>
                <w:lang w:val="en-US" w:eastAsia="zh-CN"/>
              </w:rPr>
              <w:t>采取有效措施</w:t>
            </w:r>
            <w:r>
              <w:rPr>
                <w:color w:val="000000"/>
                <w:sz w:val="24"/>
                <w:highlight w:val="none"/>
              </w:rPr>
              <w:t>，项目厂界噪声值可满足《工业企业厂界环境噪声排放标准》（GB12348-2008）</w:t>
            </w:r>
            <w:r>
              <w:rPr>
                <w:rFonts w:hint="eastAsia"/>
                <w:color w:val="000000"/>
                <w:sz w:val="24"/>
                <w:highlight w:val="none"/>
                <w:lang w:val="en-US" w:eastAsia="zh-CN"/>
              </w:rPr>
              <w:t>3类</w:t>
            </w:r>
            <w:r>
              <w:rPr>
                <w:color w:val="000000"/>
                <w:sz w:val="24"/>
                <w:highlight w:val="none"/>
              </w:rPr>
              <w:t>标准要求。</w:t>
            </w:r>
          </w:p>
          <w:p w14:paraId="2C618DEC">
            <w:pPr>
              <w:pStyle w:val="19"/>
              <w:rPr>
                <w:color w:val="000000"/>
                <w:highlight w:val="none"/>
              </w:rPr>
            </w:pPr>
            <w:r>
              <w:rPr>
                <w:rFonts w:hint="eastAsia"/>
                <w:color w:val="000000"/>
                <w:highlight w:val="none"/>
                <w:lang w:val="en-US" w:eastAsia="zh-CN"/>
              </w:rPr>
              <w:t>四</w:t>
            </w:r>
            <w:r>
              <w:rPr>
                <w:color w:val="000000"/>
                <w:highlight w:val="none"/>
              </w:rPr>
              <w:t>、固体废物影响分析</w:t>
            </w:r>
          </w:p>
          <w:p w14:paraId="55A12A9D">
            <w:pPr>
              <w:snapToGrid w:val="0"/>
              <w:spacing w:line="360" w:lineRule="auto"/>
              <w:ind w:firstLine="476"/>
              <w:rPr>
                <w:color w:val="000000"/>
                <w:kern w:val="0"/>
                <w:sz w:val="24"/>
                <w:highlight w:val="none"/>
              </w:rPr>
            </w:pPr>
            <w:r>
              <w:rPr>
                <w:color w:val="000000"/>
                <w:kern w:val="0"/>
                <w:sz w:val="24"/>
                <w:highlight w:val="none"/>
              </w:rPr>
              <w:t>本项目不新增员工，不新增生活垃圾。本项目运营期间产生的固废主要有</w:t>
            </w:r>
            <w:r>
              <w:rPr>
                <w:rFonts w:hint="eastAsia"/>
                <w:color w:val="000000"/>
                <w:kern w:val="0"/>
                <w:sz w:val="24"/>
                <w:highlight w:val="none"/>
                <w:lang w:val="en-US" w:eastAsia="zh-CN"/>
              </w:rPr>
              <w:t>污水</w:t>
            </w:r>
            <w:r>
              <w:rPr>
                <w:rFonts w:hint="eastAsia"/>
                <w:color w:val="000000"/>
                <w:sz w:val="24"/>
                <w:highlight w:val="none"/>
                <w:lang w:val="en-US" w:eastAsia="zh-CN"/>
              </w:rPr>
              <w:t>处理</w:t>
            </w:r>
            <w:r>
              <w:rPr>
                <w:color w:val="000000"/>
                <w:sz w:val="24"/>
                <w:highlight w:val="none"/>
              </w:rPr>
              <w:t>污泥、</w:t>
            </w:r>
            <w:r>
              <w:rPr>
                <w:rFonts w:hint="eastAsia"/>
                <w:color w:val="000000"/>
                <w:sz w:val="24"/>
                <w:highlight w:val="none"/>
                <w:lang w:val="en-US" w:eastAsia="zh-CN"/>
              </w:rPr>
              <w:t>废反渗透膜、</w:t>
            </w:r>
            <w:r>
              <w:rPr>
                <w:color w:val="000000"/>
                <w:sz w:val="24"/>
                <w:highlight w:val="none"/>
              </w:rPr>
              <w:t>废活性炭</w:t>
            </w:r>
            <w:r>
              <w:rPr>
                <w:rFonts w:hint="eastAsia"/>
                <w:color w:val="000000"/>
                <w:sz w:val="24"/>
                <w:highlight w:val="none"/>
                <w:lang w:eastAsia="zh-CN"/>
              </w:rPr>
              <w:t>、</w:t>
            </w:r>
            <w:r>
              <w:rPr>
                <w:rFonts w:hint="eastAsia"/>
                <w:color w:val="000000"/>
                <w:spacing w:val="-4"/>
                <w:kern w:val="0"/>
                <w:sz w:val="24"/>
                <w:highlight w:val="none"/>
                <w:lang w:val="en-US" w:eastAsia="zh-CN"/>
              </w:rPr>
              <w:t>浓盐水蒸发系统结晶盐、脱硫废水</w:t>
            </w:r>
            <w:r>
              <w:rPr>
                <w:rFonts w:hint="eastAsia"/>
                <w:color w:val="000000"/>
                <w:sz w:val="24"/>
                <w:highlight w:val="none"/>
                <w:lang w:val="en-US" w:eastAsia="zh-CN"/>
              </w:rPr>
              <w:t>蒸发结晶盐</w:t>
            </w:r>
            <w:r>
              <w:rPr>
                <w:color w:val="000000"/>
                <w:sz w:val="24"/>
                <w:highlight w:val="none"/>
              </w:rPr>
              <w:t>等。</w:t>
            </w:r>
          </w:p>
          <w:p w14:paraId="0AAF551D">
            <w:pPr>
              <w:snapToGrid w:val="0"/>
              <w:spacing w:line="360" w:lineRule="auto"/>
              <w:ind w:firstLine="476"/>
              <w:rPr>
                <w:rFonts w:hint="eastAsia"/>
                <w:color w:val="000000"/>
                <w:kern w:val="0"/>
                <w:sz w:val="24"/>
                <w:highlight w:val="none"/>
              </w:rPr>
            </w:pPr>
            <w:r>
              <w:rPr>
                <w:rFonts w:hint="eastAsia"/>
                <w:color w:val="000000"/>
                <w:kern w:val="0"/>
                <w:sz w:val="24"/>
                <w:highlight w:val="none"/>
              </w:rPr>
              <w:t>1、污泥</w:t>
            </w:r>
          </w:p>
          <w:p w14:paraId="2DE54D5A">
            <w:pPr>
              <w:snapToGrid w:val="0"/>
              <w:spacing w:line="360" w:lineRule="auto"/>
              <w:ind w:firstLine="476"/>
              <w:rPr>
                <w:rFonts w:hint="default" w:eastAsia="宋体"/>
                <w:color w:val="000000"/>
                <w:kern w:val="0"/>
                <w:sz w:val="24"/>
                <w:highlight w:val="none"/>
                <w:lang w:val="en-US" w:eastAsia="zh-CN"/>
              </w:rPr>
            </w:pPr>
            <w:r>
              <w:rPr>
                <w:rFonts w:hint="eastAsia"/>
                <w:color w:val="000000"/>
                <w:kern w:val="0"/>
                <w:sz w:val="24"/>
                <w:highlight w:val="none"/>
              </w:rPr>
              <w:t>（</w:t>
            </w:r>
            <w:r>
              <w:rPr>
                <w:color w:val="000000"/>
                <w:kern w:val="0"/>
                <w:sz w:val="24"/>
                <w:highlight w:val="none"/>
              </w:rPr>
              <w:t>1</w:t>
            </w:r>
            <w:r>
              <w:rPr>
                <w:rFonts w:hint="eastAsia"/>
                <w:color w:val="000000"/>
                <w:kern w:val="0"/>
                <w:sz w:val="24"/>
                <w:highlight w:val="none"/>
              </w:rPr>
              <w:t>）生化处理系统产生的污泥，产生量为1</w:t>
            </w:r>
            <w:r>
              <w:rPr>
                <w:rFonts w:hint="eastAsia"/>
                <w:color w:val="000000"/>
                <w:kern w:val="0"/>
                <w:sz w:val="24"/>
                <w:highlight w:val="none"/>
                <w:lang w:val="en-US" w:eastAsia="zh-CN"/>
              </w:rPr>
              <w:t>25</w:t>
            </w:r>
            <w:r>
              <w:rPr>
                <w:color w:val="000000"/>
                <w:kern w:val="0"/>
                <w:sz w:val="24"/>
                <w:highlight w:val="none"/>
              </w:rPr>
              <w:t>t/a</w:t>
            </w:r>
            <w:r>
              <w:rPr>
                <w:rFonts w:hint="eastAsia"/>
                <w:color w:val="000000"/>
                <w:spacing w:val="-2"/>
                <w:kern w:val="0"/>
                <w:sz w:val="24"/>
                <w:highlight w:val="none"/>
              </w:rPr>
              <w:t>（含水率</w:t>
            </w:r>
            <w:r>
              <w:rPr>
                <w:rFonts w:hint="eastAsia"/>
                <w:color w:val="000000"/>
                <w:spacing w:val="-2"/>
                <w:kern w:val="0"/>
                <w:sz w:val="24"/>
                <w:highlight w:val="none"/>
                <w:lang w:val="en-US" w:eastAsia="zh-CN"/>
              </w:rPr>
              <w:t>6</w:t>
            </w:r>
            <w:r>
              <w:rPr>
                <w:rFonts w:hint="eastAsia"/>
                <w:color w:val="000000"/>
                <w:spacing w:val="-2"/>
                <w:kern w:val="0"/>
                <w:sz w:val="24"/>
                <w:highlight w:val="none"/>
              </w:rPr>
              <w:t>0%）</w:t>
            </w:r>
            <w:r>
              <w:rPr>
                <w:rFonts w:hint="eastAsia"/>
                <w:color w:val="000000"/>
                <w:spacing w:val="-2"/>
                <w:kern w:val="0"/>
                <w:sz w:val="24"/>
                <w:highlight w:val="none"/>
                <w:lang w:val="en-US" w:eastAsia="zh-CN"/>
              </w:rPr>
              <w:t>，改建前后不发生变化</w:t>
            </w:r>
            <w:r>
              <w:rPr>
                <w:rFonts w:hint="eastAsia"/>
                <w:color w:val="000000"/>
                <w:spacing w:val="-2"/>
                <w:kern w:val="0"/>
                <w:sz w:val="24"/>
                <w:highlight w:val="none"/>
                <w:lang w:eastAsia="zh-CN"/>
              </w:rPr>
              <w:t>。</w:t>
            </w:r>
          </w:p>
          <w:p w14:paraId="3D066446">
            <w:pPr>
              <w:snapToGrid w:val="0"/>
              <w:spacing w:line="360" w:lineRule="auto"/>
              <w:ind w:firstLine="476"/>
              <w:rPr>
                <w:rFonts w:hint="eastAsia"/>
                <w:color w:val="000000"/>
                <w:spacing w:val="-2"/>
                <w:kern w:val="0"/>
                <w:sz w:val="24"/>
                <w:highlight w:val="none"/>
              </w:rPr>
            </w:pPr>
            <w:r>
              <w:rPr>
                <w:rFonts w:hint="eastAsia"/>
                <w:color w:val="000000"/>
                <w:kern w:val="0"/>
                <w:sz w:val="24"/>
                <w:highlight w:val="none"/>
              </w:rPr>
              <w:t>（</w:t>
            </w:r>
            <w:r>
              <w:rPr>
                <w:color w:val="000000"/>
                <w:kern w:val="0"/>
                <w:sz w:val="24"/>
                <w:highlight w:val="none"/>
              </w:rPr>
              <w:t>2</w:t>
            </w:r>
            <w:r>
              <w:rPr>
                <w:rFonts w:hint="eastAsia"/>
                <w:color w:val="000000"/>
                <w:kern w:val="0"/>
                <w:sz w:val="24"/>
                <w:highlight w:val="none"/>
              </w:rPr>
              <w:t>）</w:t>
            </w:r>
            <w:r>
              <w:rPr>
                <w:rFonts w:hint="eastAsia"/>
                <w:color w:val="000000"/>
                <w:spacing w:val="-2"/>
                <w:kern w:val="0"/>
                <w:sz w:val="24"/>
                <w:highlight w:val="none"/>
                <w:lang w:val="en-US" w:eastAsia="zh-CN"/>
              </w:rPr>
              <w:t>中水回用系统及零排放</w:t>
            </w:r>
            <w:r>
              <w:rPr>
                <w:rFonts w:hint="eastAsia"/>
                <w:color w:val="000000"/>
                <w:spacing w:val="-2"/>
                <w:kern w:val="0"/>
                <w:sz w:val="24"/>
                <w:highlight w:val="none"/>
              </w:rPr>
              <w:t>系统产生的污泥，产生量为</w:t>
            </w:r>
            <w:r>
              <w:rPr>
                <w:rFonts w:hint="eastAsia"/>
                <w:color w:val="000000"/>
                <w:spacing w:val="-2"/>
                <w:kern w:val="0"/>
                <w:sz w:val="24"/>
                <w:highlight w:val="none"/>
                <w:lang w:val="en-US" w:eastAsia="zh-CN"/>
              </w:rPr>
              <w:t>100</w:t>
            </w:r>
            <w:r>
              <w:rPr>
                <w:color w:val="000000"/>
                <w:spacing w:val="-2"/>
                <w:kern w:val="0"/>
                <w:sz w:val="24"/>
                <w:highlight w:val="none"/>
              </w:rPr>
              <w:t>t/a</w:t>
            </w:r>
            <w:r>
              <w:rPr>
                <w:rFonts w:hint="eastAsia"/>
                <w:color w:val="000000"/>
                <w:spacing w:val="-2"/>
                <w:kern w:val="0"/>
                <w:sz w:val="24"/>
                <w:highlight w:val="none"/>
              </w:rPr>
              <w:t>（含水率</w:t>
            </w:r>
            <w:r>
              <w:rPr>
                <w:rFonts w:hint="eastAsia"/>
                <w:color w:val="000000"/>
                <w:spacing w:val="-2"/>
                <w:kern w:val="0"/>
                <w:sz w:val="24"/>
                <w:highlight w:val="none"/>
                <w:lang w:val="en-US" w:eastAsia="zh-CN"/>
              </w:rPr>
              <w:t>6</w:t>
            </w:r>
            <w:r>
              <w:rPr>
                <w:rFonts w:hint="eastAsia"/>
                <w:color w:val="000000"/>
                <w:spacing w:val="-2"/>
                <w:kern w:val="0"/>
                <w:sz w:val="24"/>
                <w:highlight w:val="none"/>
              </w:rPr>
              <w:t>0%）。</w:t>
            </w:r>
          </w:p>
          <w:p w14:paraId="0149BD96">
            <w:pPr>
              <w:snapToGrid w:val="0"/>
              <w:spacing w:line="360" w:lineRule="auto"/>
              <w:ind w:firstLine="476"/>
              <w:rPr>
                <w:rFonts w:hint="eastAsia"/>
                <w:color w:val="000000"/>
                <w:spacing w:val="-4"/>
                <w:kern w:val="0"/>
                <w:sz w:val="24"/>
                <w:highlight w:val="none"/>
                <w:lang w:val="en-US" w:eastAsia="zh-CN"/>
              </w:rPr>
            </w:pPr>
            <w:r>
              <w:rPr>
                <w:rFonts w:hint="eastAsia"/>
                <w:color w:val="000000"/>
                <w:kern w:val="0"/>
                <w:sz w:val="24"/>
                <w:highlight w:val="none"/>
                <w:lang w:eastAsia="zh-CN"/>
              </w:rPr>
              <w:t>由于上述污泥具有一定的毒性，贮存环节按照危废管理，暂存于危废库，定期通过厂内掺煤炼焦进行无害化处置。</w:t>
            </w:r>
          </w:p>
          <w:p w14:paraId="24E6436B">
            <w:pPr>
              <w:snapToGrid w:val="0"/>
              <w:spacing w:line="360" w:lineRule="auto"/>
              <w:ind w:firstLine="476"/>
              <w:rPr>
                <w:color w:val="000000"/>
                <w:spacing w:val="-4"/>
                <w:kern w:val="0"/>
                <w:sz w:val="24"/>
                <w:highlight w:val="none"/>
              </w:rPr>
            </w:pPr>
            <w:r>
              <w:rPr>
                <w:rFonts w:hint="eastAsia"/>
                <w:color w:val="000000"/>
                <w:spacing w:val="-4"/>
                <w:kern w:val="0"/>
                <w:sz w:val="24"/>
                <w:highlight w:val="none"/>
              </w:rPr>
              <w:t>2、废活性炭</w:t>
            </w:r>
          </w:p>
          <w:p w14:paraId="2983B03C">
            <w:pPr>
              <w:snapToGrid w:val="0"/>
              <w:spacing w:line="360" w:lineRule="auto"/>
              <w:ind w:firstLine="476"/>
              <w:rPr>
                <w:rFonts w:hint="eastAsia"/>
                <w:color w:val="000000"/>
                <w:spacing w:val="-4"/>
                <w:kern w:val="0"/>
                <w:sz w:val="24"/>
                <w:highlight w:val="none"/>
              </w:rPr>
            </w:pPr>
            <w:r>
              <w:rPr>
                <w:rFonts w:hint="eastAsia"/>
                <w:color w:val="000000"/>
                <w:spacing w:val="-4"/>
                <w:kern w:val="0"/>
                <w:sz w:val="24"/>
                <w:highlight w:val="none"/>
                <w:lang w:val="en-US" w:eastAsia="zh-CN"/>
              </w:rPr>
              <w:t>脱硫废水脱色过程</w:t>
            </w:r>
            <w:r>
              <w:rPr>
                <w:rFonts w:hint="eastAsia"/>
                <w:color w:val="000000"/>
                <w:spacing w:val="-4"/>
                <w:kern w:val="0"/>
                <w:sz w:val="24"/>
                <w:highlight w:val="none"/>
              </w:rPr>
              <w:t>产生的废活性炭为危险废物，危险废物类别为</w:t>
            </w:r>
            <w:r>
              <w:rPr>
                <w:color w:val="000000"/>
                <w:spacing w:val="-4"/>
                <w:kern w:val="0"/>
                <w:sz w:val="24"/>
                <w:highlight w:val="none"/>
              </w:rPr>
              <w:t>HW49</w:t>
            </w:r>
            <w:r>
              <w:rPr>
                <w:rFonts w:hint="eastAsia"/>
                <w:color w:val="000000"/>
                <w:spacing w:val="-4"/>
                <w:kern w:val="0"/>
                <w:sz w:val="24"/>
                <w:highlight w:val="none"/>
              </w:rPr>
              <w:t>（</w:t>
            </w:r>
            <w:r>
              <w:rPr>
                <w:color w:val="000000"/>
                <w:spacing w:val="-4"/>
                <w:kern w:val="0"/>
                <w:sz w:val="24"/>
                <w:highlight w:val="none"/>
              </w:rPr>
              <w:t>900-041-49</w:t>
            </w:r>
            <w:r>
              <w:rPr>
                <w:rFonts w:hint="eastAsia"/>
                <w:color w:val="000000"/>
                <w:spacing w:val="-4"/>
                <w:kern w:val="0"/>
                <w:sz w:val="24"/>
                <w:highlight w:val="none"/>
              </w:rPr>
              <w:t>）参照本项目的</w:t>
            </w:r>
            <w:r>
              <w:rPr>
                <w:rFonts w:hint="eastAsia"/>
                <w:color w:val="000000"/>
                <w:spacing w:val="-4"/>
                <w:kern w:val="0"/>
                <w:sz w:val="24"/>
                <w:highlight w:val="none"/>
                <w:lang w:val="en-US" w:eastAsia="zh-CN"/>
              </w:rPr>
              <w:t>提供</w:t>
            </w:r>
            <w:r>
              <w:rPr>
                <w:rFonts w:hint="eastAsia"/>
                <w:color w:val="000000"/>
                <w:spacing w:val="-4"/>
                <w:kern w:val="0"/>
                <w:sz w:val="24"/>
                <w:highlight w:val="none"/>
              </w:rPr>
              <w:t>资料，</w:t>
            </w:r>
            <w:r>
              <w:rPr>
                <w:rFonts w:hint="eastAsia"/>
                <w:color w:val="000000"/>
                <w:spacing w:val="-4"/>
                <w:kern w:val="0"/>
                <w:sz w:val="24"/>
                <w:highlight w:val="none"/>
                <w:lang w:val="en-US" w:eastAsia="zh-CN"/>
              </w:rPr>
              <w:t>脱色过程活性炭用</w:t>
            </w:r>
            <w:r>
              <w:rPr>
                <w:rFonts w:hint="eastAsia"/>
                <w:color w:val="000000"/>
                <w:spacing w:val="-4"/>
                <w:kern w:val="0"/>
                <w:sz w:val="24"/>
                <w:highlight w:val="none"/>
              </w:rPr>
              <w:t>量为</w:t>
            </w:r>
            <w:r>
              <w:rPr>
                <w:rFonts w:hint="eastAsia"/>
                <w:color w:val="000000"/>
                <w:spacing w:val="-4"/>
                <w:kern w:val="0"/>
                <w:sz w:val="24"/>
                <w:highlight w:val="none"/>
                <w:lang w:val="en-US" w:eastAsia="zh-CN"/>
              </w:rPr>
              <w:t>废液处理量（40m³/d）的5‰，约为73</w:t>
            </w:r>
            <w:r>
              <w:rPr>
                <w:color w:val="000000"/>
                <w:spacing w:val="-4"/>
                <w:kern w:val="0"/>
                <w:sz w:val="24"/>
                <w:highlight w:val="none"/>
              </w:rPr>
              <w:t>t</w:t>
            </w:r>
            <w:r>
              <w:rPr>
                <w:rFonts w:hint="eastAsia"/>
                <w:color w:val="000000"/>
                <w:spacing w:val="-4"/>
                <w:kern w:val="0"/>
                <w:sz w:val="24"/>
                <w:highlight w:val="none"/>
                <w:lang w:eastAsia="zh-CN"/>
              </w:rPr>
              <w:t>，</w:t>
            </w:r>
            <w:r>
              <w:rPr>
                <w:rFonts w:hint="eastAsia"/>
                <w:color w:val="000000"/>
                <w:spacing w:val="-4"/>
                <w:kern w:val="0"/>
                <w:sz w:val="24"/>
                <w:highlight w:val="none"/>
              </w:rPr>
              <w:t>集中收集，暂存于现有工程危废库。</w:t>
            </w:r>
          </w:p>
          <w:p w14:paraId="04D7B36A">
            <w:pPr>
              <w:snapToGrid w:val="0"/>
              <w:spacing w:line="360" w:lineRule="auto"/>
              <w:ind w:firstLine="476"/>
              <w:rPr>
                <w:color w:val="000000"/>
                <w:kern w:val="0"/>
                <w:sz w:val="24"/>
                <w:highlight w:val="none"/>
              </w:rPr>
            </w:pPr>
            <w:r>
              <w:rPr>
                <w:color w:val="000000"/>
                <w:kern w:val="0"/>
                <w:sz w:val="24"/>
                <w:highlight w:val="none"/>
              </w:rPr>
              <w:t>根据生态环境部发布的《炼焦化学工业污染防治可行技术指南》（HJ2306-2018）“5.4.1掺煤炼焦技术，废水处理污泥、废矿物油与含矿物油废物、废活性炭等可通过厂内掺煤炼焦进行无害化处置。”</w:t>
            </w:r>
          </w:p>
          <w:p w14:paraId="43E82927">
            <w:pPr>
              <w:snapToGrid w:val="0"/>
              <w:spacing w:line="360" w:lineRule="auto"/>
              <w:ind w:firstLine="476"/>
              <w:rPr>
                <w:rFonts w:hint="eastAsia"/>
                <w:color w:val="000000"/>
                <w:spacing w:val="-4"/>
                <w:kern w:val="0"/>
                <w:sz w:val="24"/>
                <w:highlight w:val="none"/>
              </w:rPr>
            </w:pPr>
            <w:r>
              <w:rPr>
                <w:rFonts w:hint="eastAsia"/>
                <w:color w:val="000000"/>
                <w:kern w:val="0"/>
                <w:sz w:val="24"/>
                <w:highlight w:val="none"/>
              </w:rPr>
              <w:t>因此，本项目污水处理过程中产生的污泥与废活性炭</w:t>
            </w:r>
            <w:r>
              <w:rPr>
                <w:rFonts w:hint="eastAsia"/>
                <w:color w:val="000000"/>
                <w:kern w:val="0"/>
                <w:sz w:val="24"/>
                <w:highlight w:val="none"/>
                <w:lang w:val="en-US" w:eastAsia="zh-CN"/>
              </w:rPr>
              <w:t>暂存于厂区危废库</w:t>
            </w:r>
            <w:r>
              <w:rPr>
                <w:rFonts w:hint="eastAsia"/>
                <w:color w:val="000000"/>
                <w:kern w:val="0"/>
                <w:sz w:val="24"/>
                <w:highlight w:val="none"/>
                <w:lang w:eastAsia="zh-CN"/>
              </w:rPr>
              <w:t>，</w:t>
            </w:r>
            <w:r>
              <w:rPr>
                <w:rFonts w:hint="eastAsia"/>
                <w:color w:val="000000"/>
                <w:kern w:val="0"/>
                <w:sz w:val="24"/>
                <w:highlight w:val="none"/>
                <w:lang w:val="en-US" w:eastAsia="zh-CN"/>
              </w:rPr>
              <w:t>定期</w:t>
            </w:r>
            <w:r>
              <w:rPr>
                <w:rFonts w:hint="eastAsia"/>
                <w:color w:val="000000"/>
                <w:kern w:val="0"/>
                <w:sz w:val="24"/>
                <w:highlight w:val="none"/>
              </w:rPr>
              <w:t>送至厂区煤场配煤综合利用，不外排。</w:t>
            </w:r>
          </w:p>
          <w:p w14:paraId="2252BFB8">
            <w:pPr>
              <w:snapToGrid w:val="0"/>
              <w:spacing w:line="360" w:lineRule="auto"/>
              <w:ind w:firstLine="476"/>
              <w:rPr>
                <w:rFonts w:hint="default" w:ascii="Times New Roman" w:hAnsi="Times New Roman" w:eastAsia="宋体" w:cs="Times New Roman"/>
                <w:color w:val="000000"/>
                <w:kern w:val="0"/>
                <w:sz w:val="24"/>
                <w:highlight w:val="none"/>
                <w:lang w:val="en-US" w:eastAsia="zh-CN"/>
              </w:rPr>
            </w:pPr>
            <w:r>
              <w:rPr>
                <w:rFonts w:hint="eastAsia" w:ascii="Times New Roman" w:hAnsi="Times New Roman" w:eastAsia="宋体" w:cs="Times New Roman"/>
                <w:color w:val="000000"/>
                <w:kern w:val="0"/>
                <w:sz w:val="24"/>
                <w:highlight w:val="none"/>
                <w:lang w:val="en-US" w:eastAsia="zh-CN"/>
              </w:rPr>
              <w:t>3、废反渗透膜</w:t>
            </w:r>
          </w:p>
          <w:p w14:paraId="03574FD1">
            <w:pPr>
              <w:snapToGrid w:val="0"/>
              <w:spacing w:line="360" w:lineRule="auto"/>
              <w:ind w:firstLine="476"/>
              <w:rPr>
                <w:rFonts w:hint="eastAsia" w:ascii="Times New Roman" w:hAnsi="Times New Roman" w:eastAsia="宋体" w:cs="Times New Roman"/>
                <w:color w:val="000000"/>
                <w:kern w:val="0"/>
                <w:sz w:val="24"/>
                <w:highlight w:val="none"/>
                <w:lang w:val="en-US" w:eastAsia="zh-CN"/>
              </w:rPr>
            </w:pPr>
            <w:r>
              <w:rPr>
                <w:rFonts w:hint="eastAsia" w:ascii="Times New Roman" w:hAnsi="Times New Roman" w:eastAsia="宋体" w:cs="Times New Roman"/>
                <w:color w:val="000000"/>
                <w:kern w:val="0"/>
                <w:sz w:val="24"/>
                <w:highlight w:val="none"/>
                <w:lang w:val="en-US" w:eastAsia="zh-CN"/>
              </w:rPr>
              <w:t>据设备设计方估算，本项目中水回用系统产生的废反渗透膜约为10t/a，主要成分中含有有机物、毒性物质，属于危险废物危废代码HW49，900-041-49含有或沾染毒性、感染性危险废物的废弃包装物、容器、过滤吸附介质，集中收集后暂存于危废库，委托有资质单位进行处理。</w:t>
            </w:r>
          </w:p>
          <w:p w14:paraId="434D4020">
            <w:pPr>
              <w:snapToGrid w:val="0"/>
              <w:spacing w:line="360" w:lineRule="auto"/>
              <w:ind w:firstLine="476"/>
              <w:rPr>
                <w:rFonts w:hint="default" w:ascii="Times New Roman" w:hAnsi="Times New Roman" w:eastAsia="宋体" w:cs="Times New Roman"/>
                <w:color w:val="000000"/>
                <w:kern w:val="0"/>
                <w:sz w:val="24"/>
                <w:highlight w:val="none"/>
                <w:lang w:val="en-US" w:eastAsia="zh-CN"/>
              </w:rPr>
            </w:pPr>
            <w:r>
              <w:rPr>
                <w:rFonts w:hint="eastAsia" w:ascii="Times New Roman" w:hAnsi="Times New Roman" w:eastAsia="宋体" w:cs="Times New Roman"/>
                <w:color w:val="000000"/>
                <w:kern w:val="0"/>
                <w:sz w:val="24"/>
                <w:highlight w:val="none"/>
                <w:lang w:val="en-US" w:eastAsia="zh-CN"/>
              </w:rPr>
              <w:t>4、浓盐水蒸发系统结晶盐</w:t>
            </w:r>
          </w:p>
          <w:p w14:paraId="71AA8860">
            <w:pPr>
              <w:snapToGrid w:val="0"/>
              <w:spacing w:line="360" w:lineRule="auto"/>
              <w:ind w:firstLine="476"/>
              <w:rPr>
                <w:rFonts w:hint="eastAsia"/>
                <w:color w:val="000000"/>
                <w:spacing w:val="-4"/>
                <w:kern w:val="0"/>
                <w:sz w:val="24"/>
                <w:highlight w:val="none"/>
              </w:rPr>
            </w:pPr>
            <w:r>
              <w:rPr>
                <w:rFonts w:hint="eastAsia" w:ascii="Times New Roman" w:hAnsi="Times New Roman" w:eastAsia="宋体" w:cs="Times New Roman"/>
                <w:color w:val="000000"/>
                <w:kern w:val="0"/>
                <w:sz w:val="24"/>
                <w:highlight w:val="none"/>
                <w:lang w:val="en-US" w:eastAsia="zh-CN"/>
              </w:rPr>
              <w:t>浓盐水蒸发系统结晶盐</w:t>
            </w:r>
            <w:r>
              <w:rPr>
                <w:rFonts w:hint="eastAsia"/>
                <w:color w:val="000000"/>
                <w:spacing w:val="-4"/>
                <w:kern w:val="0"/>
                <w:sz w:val="24"/>
                <w:highlight w:val="none"/>
                <w:lang w:val="en-US" w:eastAsia="zh-CN"/>
              </w:rPr>
              <w:t>包括硫酸钠、氯化钠、杂盐，约为5000t/a。</w:t>
            </w:r>
            <w:r>
              <w:rPr>
                <w:rFonts w:hint="eastAsia"/>
                <w:color w:val="000000"/>
                <w:spacing w:val="-4"/>
                <w:kern w:val="0"/>
                <w:sz w:val="24"/>
                <w:highlight w:val="none"/>
              </w:rPr>
              <w:t>蒸发结晶产生的结晶盐需要进行属性鉴定，若鉴定为危险废物，则作为危废管理，暂存于危废库，定期委托资质单位处理；若鉴定为一般固废，且达到相应的副产品质量标准，则按照副产品外售；若鉴定为一般固废，但不满足相应的副产品质量标准</w:t>
            </w:r>
            <w:r>
              <w:rPr>
                <w:rFonts w:hint="eastAsia"/>
                <w:color w:val="000000"/>
                <w:spacing w:val="-4"/>
                <w:kern w:val="0"/>
                <w:sz w:val="24"/>
                <w:highlight w:val="none"/>
                <w:lang w:eastAsia="zh-CN"/>
              </w:rPr>
              <w:t>（</w:t>
            </w:r>
            <w:r>
              <w:rPr>
                <w:rFonts w:hint="eastAsia"/>
                <w:color w:val="000000"/>
                <w:spacing w:val="-4"/>
                <w:kern w:val="0"/>
                <w:sz w:val="24"/>
                <w:highlight w:val="none"/>
                <w:lang w:val="en-US" w:eastAsia="zh-CN"/>
              </w:rPr>
              <w:t>杂盐除外</w:t>
            </w:r>
            <w:r>
              <w:rPr>
                <w:rFonts w:hint="eastAsia"/>
                <w:color w:val="000000"/>
                <w:spacing w:val="-4"/>
                <w:kern w:val="0"/>
                <w:sz w:val="24"/>
                <w:highlight w:val="none"/>
                <w:lang w:eastAsia="zh-CN"/>
              </w:rPr>
              <w:t>）</w:t>
            </w:r>
            <w:r>
              <w:rPr>
                <w:rFonts w:hint="eastAsia"/>
                <w:color w:val="000000"/>
                <w:spacing w:val="-4"/>
                <w:kern w:val="0"/>
                <w:sz w:val="24"/>
                <w:highlight w:val="none"/>
              </w:rPr>
              <w:t>，则按照一般固废处理。</w:t>
            </w:r>
          </w:p>
          <w:p w14:paraId="2755F6A4">
            <w:pPr>
              <w:snapToGrid w:val="0"/>
              <w:spacing w:line="360" w:lineRule="auto"/>
              <w:ind w:firstLine="476"/>
              <w:rPr>
                <w:rFonts w:hint="eastAsia" w:eastAsia="宋体"/>
                <w:color w:val="000000"/>
                <w:spacing w:val="-4"/>
                <w:kern w:val="0"/>
                <w:sz w:val="24"/>
                <w:highlight w:val="none"/>
                <w:lang w:val="en-US" w:eastAsia="zh-CN"/>
              </w:rPr>
            </w:pPr>
            <w:r>
              <w:rPr>
                <w:rFonts w:hint="eastAsia"/>
                <w:color w:val="000000"/>
                <w:spacing w:val="-4"/>
                <w:kern w:val="0"/>
                <w:sz w:val="24"/>
                <w:highlight w:val="none"/>
                <w:lang w:val="en-US" w:eastAsia="zh-CN"/>
              </w:rPr>
              <w:t>5、脱硫废水蒸发结晶盐</w:t>
            </w:r>
          </w:p>
          <w:p w14:paraId="2364FD85">
            <w:pPr>
              <w:snapToGrid w:val="0"/>
              <w:spacing w:line="360" w:lineRule="auto"/>
              <w:ind w:firstLine="476"/>
              <w:rPr>
                <w:rFonts w:hint="default"/>
                <w:color w:val="000000"/>
                <w:spacing w:val="-4"/>
                <w:kern w:val="0"/>
                <w:sz w:val="24"/>
                <w:highlight w:val="none"/>
                <w:lang w:val="en-US"/>
              </w:rPr>
            </w:pPr>
            <w:r>
              <w:rPr>
                <w:rFonts w:hint="eastAsia"/>
                <w:color w:val="000000"/>
                <w:spacing w:val="-4"/>
                <w:kern w:val="0"/>
                <w:sz w:val="24"/>
                <w:highlight w:val="none"/>
                <w:lang w:val="en-US" w:eastAsia="zh-CN"/>
              </w:rPr>
              <w:t>脱硫废水处理装置产生蒸发结晶盐包括硫酸钠、硫酸氢钠、硫代硫酸钠，约为3300t/a。</w:t>
            </w:r>
            <w:r>
              <w:rPr>
                <w:rFonts w:hint="eastAsia"/>
                <w:color w:val="000000"/>
                <w:spacing w:val="-4"/>
                <w:kern w:val="0"/>
                <w:sz w:val="24"/>
                <w:highlight w:val="none"/>
              </w:rPr>
              <w:t>蒸发结晶产生的结晶盐需要进行属性鉴定，若鉴定为危险废物，则作为危废管理，暂存于危废库，定期委托资质单位处理；若鉴定为一般固废，且达到相应的副产品质量标准，则按照副产品外售；若鉴定为一般固废，但不满足相应的副产品质量标准，则按照一般固废处理。</w:t>
            </w:r>
          </w:p>
          <w:p w14:paraId="2E142CE1">
            <w:pPr>
              <w:snapToGrid w:val="0"/>
              <w:spacing w:line="360" w:lineRule="auto"/>
              <w:ind w:firstLine="476"/>
              <w:rPr>
                <w:rFonts w:hint="eastAsia"/>
                <w:color w:val="000000"/>
                <w:kern w:val="0"/>
                <w:sz w:val="24"/>
                <w:highlight w:val="none"/>
              </w:rPr>
            </w:pPr>
            <w:r>
              <w:rPr>
                <w:rFonts w:hint="eastAsia"/>
                <w:color w:val="000000"/>
                <w:spacing w:val="-4"/>
                <w:kern w:val="0"/>
                <w:sz w:val="24"/>
                <w:highlight w:val="none"/>
              </w:rPr>
              <w:t>对于项目产生的固废，根据《国家危险废物名录》以及《危险废物鉴别标准》，判定建设项目的固体废物是否属于危险废物，判定结果见表</w:t>
            </w:r>
            <w:r>
              <w:rPr>
                <w:color w:val="000000"/>
                <w:spacing w:val="-4"/>
                <w:kern w:val="0"/>
                <w:sz w:val="24"/>
                <w:highlight w:val="none"/>
              </w:rPr>
              <w:t>4</w:t>
            </w:r>
            <w:r>
              <w:rPr>
                <w:rFonts w:hint="eastAsia"/>
                <w:color w:val="000000"/>
                <w:spacing w:val="-4"/>
                <w:kern w:val="0"/>
                <w:sz w:val="24"/>
                <w:highlight w:val="none"/>
                <w:lang w:val="en-US" w:eastAsia="zh-CN"/>
              </w:rPr>
              <w:t>-9</w:t>
            </w:r>
            <w:r>
              <w:rPr>
                <w:rFonts w:hint="eastAsia"/>
                <w:color w:val="000000"/>
                <w:spacing w:val="-4"/>
                <w:kern w:val="0"/>
                <w:sz w:val="24"/>
                <w:highlight w:val="none"/>
              </w:rPr>
              <w:t>。</w:t>
            </w:r>
            <w:r>
              <w:rPr>
                <w:rFonts w:hint="eastAsia"/>
                <w:color w:val="000000"/>
                <w:kern w:val="0"/>
                <w:sz w:val="24"/>
                <w:highlight w:val="none"/>
              </w:rPr>
              <w:t>本项目固体废物产生及排放情况详见表4</w:t>
            </w:r>
            <w:r>
              <w:rPr>
                <w:rFonts w:hint="eastAsia"/>
                <w:color w:val="000000"/>
                <w:kern w:val="0"/>
                <w:sz w:val="24"/>
                <w:highlight w:val="none"/>
                <w:lang w:val="en-US" w:eastAsia="zh-CN"/>
              </w:rPr>
              <w:t>-10</w:t>
            </w:r>
            <w:r>
              <w:rPr>
                <w:rFonts w:hint="eastAsia"/>
                <w:color w:val="000000"/>
                <w:kern w:val="0"/>
                <w:sz w:val="24"/>
                <w:highlight w:val="none"/>
              </w:rPr>
              <w:t>。</w:t>
            </w:r>
          </w:p>
          <w:p w14:paraId="42799D8C">
            <w:pPr>
              <w:ind w:firstLine="476"/>
              <w:jc w:val="center"/>
              <w:rPr>
                <w:b/>
                <w:color w:val="000000"/>
                <w:kern w:val="0"/>
                <w:sz w:val="24"/>
                <w:highlight w:val="none"/>
              </w:rPr>
            </w:pPr>
            <w:r>
              <w:rPr>
                <w:b/>
                <w:color w:val="000000"/>
                <w:kern w:val="0"/>
                <w:sz w:val="24"/>
                <w:highlight w:val="none"/>
              </w:rPr>
              <w:t>表4</w:t>
            </w:r>
            <w:r>
              <w:rPr>
                <w:rFonts w:hint="eastAsia"/>
                <w:b/>
                <w:color w:val="000000"/>
                <w:kern w:val="0"/>
                <w:sz w:val="24"/>
                <w:highlight w:val="none"/>
                <w:lang w:val="en-US" w:eastAsia="zh-CN"/>
              </w:rPr>
              <w:t>-9</w:t>
            </w:r>
            <w:r>
              <w:rPr>
                <w:b/>
                <w:color w:val="000000"/>
                <w:kern w:val="0"/>
                <w:sz w:val="24"/>
                <w:highlight w:val="none"/>
              </w:rPr>
              <w:t xml:space="preserve"> 本项目固体废物</w:t>
            </w:r>
            <w:r>
              <w:rPr>
                <w:rFonts w:hint="eastAsia"/>
                <w:b/>
                <w:color w:val="000000"/>
                <w:kern w:val="0"/>
                <w:sz w:val="24"/>
                <w:highlight w:val="none"/>
              </w:rPr>
              <w:t>鉴别</w:t>
            </w:r>
            <w:r>
              <w:rPr>
                <w:b/>
                <w:color w:val="000000"/>
                <w:kern w:val="0"/>
                <w:sz w:val="24"/>
                <w:highlight w:val="none"/>
              </w:rPr>
              <w:t>分析结果一览表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526"/>
              <w:gridCol w:w="824"/>
              <w:gridCol w:w="1107"/>
              <w:gridCol w:w="969"/>
              <w:gridCol w:w="1107"/>
              <w:gridCol w:w="691"/>
              <w:gridCol w:w="981"/>
              <w:gridCol w:w="598"/>
            </w:tblGrid>
            <w:tr w14:paraId="35F62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7BF029A7">
                  <w:pPr>
                    <w:topLinePunct/>
                    <w:adjustRightInd w:val="0"/>
                    <w:snapToGrid w:val="0"/>
                    <w:jc w:val="center"/>
                    <w:rPr>
                      <w:b/>
                      <w:color w:val="000000"/>
                      <w:kern w:val="0"/>
                      <w:sz w:val="21"/>
                      <w:szCs w:val="21"/>
                      <w:highlight w:val="none"/>
                    </w:rPr>
                  </w:pPr>
                  <w:r>
                    <w:rPr>
                      <w:b/>
                      <w:color w:val="000000"/>
                      <w:kern w:val="0"/>
                      <w:sz w:val="21"/>
                      <w:szCs w:val="21"/>
                      <w:highlight w:val="none"/>
                    </w:rPr>
                    <w:t>序号</w:t>
                  </w:r>
                </w:p>
              </w:tc>
              <w:tc>
                <w:tcPr>
                  <w:tcW w:w="916" w:type="pct"/>
                  <w:noWrap w:val="0"/>
                  <w:vAlign w:val="center"/>
                </w:tcPr>
                <w:p w14:paraId="4DC4634A">
                  <w:pPr>
                    <w:topLinePunct/>
                    <w:adjustRightInd w:val="0"/>
                    <w:snapToGrid w:val="0"/>
                    <w:jc w:val="center"/>
                    <w:rPr>
                      <w:b/>
                      <w:color w:val="000000"/>
                      <w:kern w:val="0"/>
                      <w:sz w:val="21"/>
                      <w:szCs w:val="21"/>
                      <w:highlight w:val="none"/>
                    </w:rPr>
                  </w:pPr>
                  <w:r>
                    <w:rPr>
                      <w:b/>
                      <w:color w:val="000000"/>
                      <w:kern w:val="0"/>
                      <w:sz w:val="21"/>
                      <w:szCs w:val="21"/>
                      <w:highlight w:val="none"/>
                    </w:rPr>
                    <w:t>废物名称</w:t>
                  </w:r>
                </w:p>
              </w:tc>
              <w:tc>
                <w:tcPr>
                  <w:tcW w:w="494" w:type="pct"/>
                  <w:noWrap w:val="0"/>
                  <w:vAlign w:val="center"/>
                </w:tcPr>
                <w:p w14:paraId="4E4EB270">
                  <w:pPr>
                    <w:topLinePunct/>
                    <w:adjustRightInd w:val="0"/>
                    <w:snapToGrid w:val="0"/>
                    <w:jc w:val="center"/>
                    <w:rPr>
                      <w:rFonts w:hint="eastAsia"/>
                      <w:b/>
                      <w:color w:val="000000"/>
                      <w:kern w:val="0"/>
                      <w:sz w:val="21"/>
                      <w:szCs w:val="21"/>
                      <w:highlight w:val="none"/>
                    </w:rPr>
                  </w:pPr>
                  <w:r>
                    <w:rPr>
                      <w:b/>
                      <w:color w:val="000000"/>
                      <w:kern w:val="0"/>
                      <w:sz w:val="21"/>
                      <w:szCs w:val="21"/>
                      <w:highlight w:val="none"/>
                    </w:rPr>
                    <w:t>废物</w:t>
                  </w:r>
                </w:p>
                <w:p w14:paraId="315611D1">
                  <w:pPr>
                    <w:topLinePunct/>
                    <w:adjustRightInd w:val="0"/>
                    <w:snapToGrid w:val="0"/>
                    <w:jc w:val="center"/>
                    <w:rPr>
                      <w:b/>
                      <w:color w:val="000000"/>
                      <w:kern w:val="0"/>
                      <w:sz w:val="21"/>
                      <w:szCs w:val="21"/>
                      <w:highlight w:val="none"/>
                    </w:rPr>
                  </w:pPr>
                  <w:r>
                    <w:rPr>
                      <w:b/>
                      <w:color w:val="000000"/>
                      <w:kern w:val="0"/>
                      <w:sz w:val="21"/>
                      <w:szCs w:val="21"/>
                      <w:highlight w:val="none"/>
                    </w:rPr>
                    <w:t>类别</w:t>
                  </w:r>
                </w:p>
              </w:tc>
              <w:tc>
                <w:tcPr>
                  <w:tcW w:w="664" w:type="pct"/>
                  <w:noWrap w:val="0"/>
                  <w:vAlign w:val="center"/>
                </w:tcPr>
                <w:p w14:paraId="43040150">
                  <w:pPr>
                    <w:topLinePunct/>
                    <w:adjustRightInd w:val="0"/>
                    <w:snapToGrid w:val="0"/>
                    <w:jc w:val="center"/>
                    <w:rPr>
                      <w:b/>
                      <w:color w:val="000000"/>
                      <w:kern w:val="0"/>
                      <w:sz w:val="21"/>
                      <w:szCs w:val="21"/>
                      <w:highlight w:val="none"/>
                    </w:rPr>
                  </w:pPr>
                  <w:r>
                    <w:rPr>
                      <w:b/>
                      <w:color w:val="000000"/>
                      <w:kern w:val="0"/>
                      <w:sz w:val="21"/>
                      <w:szCs w:val="21"/>
                      <w:highlight w:val="none"/>
                    </w:rPr>
                    <w:t>废物代码</w:t>
                  </w:r>
                </w:p>
              </w:tc>
              <w:tc>
                <w:tcPr>
                  <w:tcW w:w="581" w:type="pct"/>
                  <w:noWrap w:val="0"/>
                  <w:vAlign w:val="center"/>
                </w:tcPr>
                <w:p w14:paraId="17E876F5">
                  <w:pPr>
                    <w:topLinePunct/>
                    <w:adjustRightInd w:val="0"/>
                    <w:snapToGrid w:val="0"/>
                    <w:jc w:val="center"/>
                    <w:rPr>
                      <w:rFonts w:hint="eastAsia"/>
                      <w:b/>
                      <w:color w:val="000000"/>
                      <w:kern w:val="0"/>
                      <w:sz w:val="21"/>
                      <w:szCs w:val="21"/>
                      <w:highlight w:val="none"/>
                    </w:rPr>
                  </w:pPr>
                  <w:r>
                    <w:rPr>
                      <w:b/>
                      <w:color w:val="000000"/>
                      <w:kern w:val="0"/>
                      <w:sz w:val="21"/>
                      <w:szCs w:val="21"/>
                      <w:highlight w:val="none"/>
                    </w:rPr>
                    <w:t>产生量</w:t>
                  </w:r>
                </w:p>
                <w:p w14:paraId="7656AF51">
                  <w:pPr>
                    <w:topLinePunct/>
                    <w:adjustRightInd w:val="0"/>
                    <w:snapToGrid w:val="0"/>
                    <w:jc w:val="center"/>
                    <w:rPr>
                      <w:b/>
                      <w:color w:val="000000"/>
                      <w:kern w:val="0"/>
                      <w:sz w:val="21"/>
                      <w:szCs w:val="21"/>
                      <w:highlight w:val="none"/>
                    </w:rPr>
                  </w:pPr>
                  <w:r>
                    <w:rPr>
                      <w:b/>
                      <w:color w:val="000000"/>
                      <w:kern w:val="0"/>
                      <w:sz w:val="21"/>
                      <w:szCs w:val="21"/>
                      <w:highlight w:val="none"/>
                    </w:rPr>
                    <w:t>（吨/年）</w:t>
                  </w:r>
                </w:p>
              </w:tc>
              <w:tc>
                <w:tcPr>
                  <w:tcW w:w="664" w:type="pct"/>
                  <w:noWrap w:val="0"/>
                  <w:vAlign w:val="center"/>
                </w:tcPr>
                <w:p w14:paraId="147F707D">
                  <w:pPr>
                    <w:topLinePunct/>
                    <w:adjustRightInd w:val="0"/>
                    <w:snapToGrid w:val="0"/>
                    <w:jc w:val="center"/>
                    <w:rPr>
                      <w:rFonts w:hint="eastAsia"/>
                      <w:b/>
                      <w:color w:val="000000"/>
                      <w:kern w:val="0"/>
                      <w:sz w:val="21"/>
                      <w:szCs w:val="21"/>
                      <w:highlight w:val="none"/>
                    </w:rPr>
                  </w:pPr>
                  <w:r>
                    <w:rPr>
                      <w:b/>
                      <w:color w:val="000000"/>
                      <w:kern w:val="0"/>
                      <w:sz w:val="21"/>
                      <w:szCs w:val="21"/>
                      <w:highlight w:val="none"/>
                    </w:rPr>
                    <w:t>产生工序</w:t>
                  </w:r>
                </w:p>
                <w:p w14:paraId="20B82722">
                  <w:pPr>
                    <w:topLinePunct/>
                    <w:adjustRightInd w:val="0"/>
                    <w:snapToGrid w:val="0"/>
                    <w:jc w:val="center"/>
                    <w:rPr>
                      <w:b/>
                      <w:color w:val="000000"/>
                      <w:kern w:val="0"/>
                      <w:sz w:val="21"/>
                      <w:szCs w:val="21"/>
                      <w:highlight w:val="none"/>
                    </w:rPr>
                  </w:pPr>
                  <w:r>
                    <w:rPr>
                      <w:b/>
                      <w:color w:val="000000"/>
                      <w:kern w:val="0"/>
                      <w:sz w:val="21"/>
                      <w:szCs w:val="21"/>
                      <w:highlight w:val="none"/>
                    </w:rPr>
                    <w:t>及装置</w:t>
                  </w:r>
                </w:p>
              </w:tc>
              <w:tc>
                <w:tcPr>
                  <w:tcW w:w="414" w:type="pct"/>
                  <w:noWrap w:val="0"/>
                  <w:vAlign w:val="center"/>
                </w:tcPr>
                <w:p w14:paraId="06E57B58">
                  <w:pPr>
                    <w:topLinePunct/>
                    <w:adjustRightInd w:val="0"/>
                    <w:snapToGrid w:val="0"/>
                    <w:jc w:val="center"/>
                    <w:rPr>
                      <w:b/>
                      <w:color w:val="000000"/>
                      <w:kern w:val="0"/>
                      <w:sz w:val="21"/>
                      <w:szCs w:val="21"/>
                      <w:highlight w:val="none"/>
                    </w:rPr>
                  </w:pPr>
                  <w:r>
                    <w:rPr>
                      <w:b/>
                      <w:color w:val="000000"/>
                      <w:kern w:val="0"/>
                      <w:sz w:val="21"/>
                      <w:szCs w:val="21"/>
                      <w:highlight w:val="none"/>
                    </w:rPr>
                    <w:t>形态</w:t>
                  </w:r>
                </w:p>
              </w:tc>
              <w:tc>
                <w:tcPr>
                  <w:tcW w:w="589" w:type="pct"/>
                  <w:noWrap w:val="0"/>
                  <w:vAlign w:val="center"/>
                </w:tcPr>
                <w:p w14:paraId="5017436E">
                  <w:pPr>
                    <w:topLinePunct/>
                    <w:adjustRightInd w:val="0"/>
                    <w:snapToGrid w:val="0"/>
                    <w:jc w:val="center"/>
                    <w:rPr>
                      <w:b/>
                      <w:color w:val="000000"/>
                      <w:kern w:val="0"/>
                      <w:sz w:val="21"/>
                      <w:szCs w:val="21"/>
                      <w:highlight w:val="none"/>
                    </w:rPr>
                  </w:pPr>
                  <w:r>
                    <w:rPr>
                      <w:b/>
                      <w:color w:val="000000"/>
                      <w:kern w:val="0"/>
                      <w:sz w:val="21"/>
                      <w:szCs w:val="21"/>
                      <w:highlight w:val="none"/>
                    </w:rPr>
                    <w:t>有害</w:t>
                  </w:r>
                </w:p>
                <w:p w14:paraId="2B4BC6BA">
                  <w:pPr>
                    <w:topLinePunct/>
                    <w:adjustRightInd w:val="0"/>
                    <w:snapToGrid w:val="0"/>
                    <w:jc w:val="center"/>
                    <w:rPr>
                      <w:b/>
                      <w:color w:val="000000"/>
                      <w:kern w:val="0"/>
                      <w:sz w:val="21"/>
                      <w:szCs w:val="21"/>
                      <w:highlight w:val="none"/>
                    </w:rPr>
                  </w:pPr>
                  <w:r>
                    <w:rPr>
                      <w:b/>
                      <w:color w:val="000000"/>
                      <w:kern w:val="0"/>
                      <w:sz w:val="21"/>
                      <w:szCs w:val="21"/>
                      <w:highlight w:val="none"/>
                    </w:rPr>
                    <w:t>成分</w:t>
                  </w:r>
                </w:p>
              </w:tc>
              <w:tc>
                <w:tcPr>
                  <w:tcW w:w="359" w:type="pct"/>
                  <w:noWrap w:val="0"/>
                  <w:vAlign w:val="center"/>
                </w:tcPr>
                <w:p w14:paraId="37ACE551">
                  <w:pPr>
                    <w:topLinePunct/>
                    <w:adjustRightInd w:val="0"/>
                    <w:snapToGrid w:val="0"/>
                    <w:jc w:val="center"/>
                    <w:rPr>
                      <w:b/>
                      <w:color w:val="000000"/>
                      <w:kern w:val="0"/>
                      <w:sz w:val="21"/>
                      <w:szCs w:val="21"/>
                      <w:highlight w:val="none"/>
                    </w:rPr>
                  </w:pPr>
                  <w:r>
                    <w:rPr>
                      <w:b/>
                      <w:color w:val="000000"/>
                      <w:kern w:val="0"/>
                      <w:sz w:val="21"/>
                      <w:szCs w:val="21"/>
                      <w:highlight w:val="none"/>
                    </w:rPr>
                    <w:t>危险</w:t>
                  </w:r>
                </w:p>
                <w:p w14:paraId="318C0BFC">
                  <w:pPr>
                    <w:topLinePunct/>
                    <w:adjustRightInd w:val="0"/>
                    <w:snapToGrid w:val="0"/>
                    <w:jc w:val="center"/>
                    <w:rPr>
                      <w:b/>
                      <w:color w:val="000000"/>
                      <w:kern w:val="0"/>
                      <w:sz w:val="21"/>
                      <w:szCs w:val="21"/>
                      <w:highlight w:val="none"/>
                    </w:rPr>
                  </w:pPr>
                  <w:r>
                    <w:rPr>
                      <w:b/>
                      <w:color w:val="000000"/>
                      <w:kern w:val="0"/>
                      <w:sz w:val="21"/>
                      <w:szCs w:val="21"/>
                      <w:highlight w:val="none"/>
                    </w:rPr>
                    <w:t>特性</w:t>
                  </w:r>
                </w:p>
              </w:tc>
            </w:tr>
            <w:tr w14:paraId="6C43C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13A8CA50">
                  <w:pPr>
                    <w:topLinePunct/>
                    <w:adjustRightInd w:val="0"/>
                    <w:snapToGrid w:val="0"/>
                    <w:jc w:val="center"/>
                    <w:rPr>
                      <w:color w:val="000000"/>
                      <w:kern w:val="0"/>
                      <w:sz w:val="21"/>
                      <w:szCs w:val="21"/>
                      <w:highlight w:val="none"/>
                    </w:rPr>
                  </w:pPr>
                  <w:r>
                    <w:rPr>
                      <w:color w:val="000000"/>
                      <w:kern w:val="0"/>
                      <w:sz w:val="21"/>
                      <w:szCs w:val="21"/>
                      <w:highlight w:val="none"/>
                    </w:rPr>
                    <w:t>1</w:t>
                  </w:r>
                </w:p>
              </w:tc>
              <w:tc>
                <w:tcPr>
                  <w:tcW w:w="916" w:type="pct"/>
                  <w:noWrap w:val="0"/>
                  <w:vAlign w:val="center"/>
                </w:tcPr>
                <w:p w14:paraId="707C6D8F">
                  <w:pPr>
                    <w:ind w:left="105" w:leftChars="50" w:right="105" w:rightChars="50"/>
                    <w:jc w:val="center"/>
                    <w:rPr>
                      <w:color w:val="000000"/>
                      <w:kern w:val="0"/>
                      <w:sz w:val="21"/>
                      <w:szCs w:val="21"/>
                      <w:highlight w:val="none"/>
                    </w:rPr>
                  </w:pPr>
                  <w:r>
                    <w:rPr>
                      <w:rFonts w:hint="eastAsia"/>
                      <w:color w:val="000000"/>
                      <w:kern w:val="0"/>
                      <w:sz w:val="21"/>
                      <w:szCs w:val="21"/>
                      <w:highlight w:val="none"/>
                    </w:rPr>
                    <w:t>生化系统污泥</w:t>
                  </w:r>
                </w:p>
              </w:tc>
              <w:tc>
                <w:tcPr>
                  <w:tcW w:w="494" w:type="pct"/>
                  <w:noWrap w:val="0"/>
                  <w:vAlign w:val="center"/>
                </w:tcPr>
                <w:p w14:paraId="2B2F8B22">
                  <w:pPr>
                    <w:jc w:val="center"/>
                    <w:rPr>
                      <w:rFonts w:hint="eastAsia" w:eastAsia="宋体"/>
                      <w:color w:val="000000"/>
                      <w:sz w:val="21"/>
                      <w:szCs w:val="21"/>
                      <w:highlight w:val="none"/>
                      <w:lang w:eastAsia="zh-CN"/>
                    </w:rPr>
                  </w:pPr>
                  <w:r>
                    <w:rPr>
                      <w:rFonts w:hint="eastAsia"/>
                      <w:color w:val="000000"/>
                      <w:sz w:val="21"/>
                      <w:szCs w:val="21"/>
                      <w:highlight w:val="none"/>
                      <w:lang w:val="en-US" w:eastAsia="zh-CN"/>
                    </w:rPr>
                    <w:t>危险废物</w:t>
                  </w:r>
                </w:p>
              </w:tc>
              <w:tc>
                <w:tcPr>
                  <w:tcW w:w="664" w:type="pct"/>
                  <w:noWrap w:val="0"/>
                  <w:vAlign w:val="center"/>
                </w:tcPr>
                <w:p w14:paraId="0E03C745">
                  <w:pPr>
                    <w:jc w:val="center"/>
                    <w:rPr>
                      <w:color w:val="000000"/>
                      <w:sz w:val="21"/>
                      <w:szCs w:val="21"/>
                      <w:highlight w:val="none"/>
                    </w:rPr>
                  </w:pPr>
                  <w:r>
                    <w:rPr>
                      <w:rFonts w:hint="eastAsia"/>
                      <w:color w:val="000000"/>
                      <w:sz w:val="21"/>
                      <w:szCs w:val="21"/>
                      <w:highlight w:val="none"/>
                    </w:rPr>
                    <w:t>—</w:t>
                  </w:r>
                </w:p>
              </w:tc>
              <w:tc>
                <w:tcPr>
                  <w:tcW w:w="581" w:type="pct"/>
                  <w:noWrap w:val="0"/>
                  <w:vAlign w:val="center"/>
                </w:tcPr>
                <w:p w14:paraId="428AD40B">
                  <w:pPr>
                    <w:ind w:left="105" w:leftChars="50" w:right="105" w:rightChars="50"/>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125</w:t>
                  </w:r>
                </w:p>
              </w:tc>
              <w:tc>
                <w:tcPr>
                  <w:tcW w:w="664" w:type="pct"/>
                  <w:noWrap w:val="0"/>
                  <w:vAlign w:val="center"/>
                </w:tcPr>
                <w:p w14:paraId="486F8456">
                  <w:pPr>
                    <w:topLinePunct/>
                    <w:adjustRightInd w:val="0"/>
                    <w:snapToGrid w:val="0"/>
                    <w:jc w:val="center"/>
                    <w:rPr>
                      <w:rFonts w:hint="eastAsia"/>
                      <w:color w:val="000000"/>
                      <w:kern w:val="0"/>
                      <w:sz w:val="21"/>
                      <w:szCs w:val="21"/>
                      <w:highlight w:val="none"/>
                    </w:rPr>
                  </w:pPr>
                  <w:r>
                    <w:rPr>
                      <w:rFonts w:hint="eastAsia"/>
                      <w:color w:val="000000"/>
                      <w:kern w:val="0"/>
                      <w:sz w:val="21"/>
                      <w:szCs w:val="21"/>
                      <w:highlight w:val="none"/>
                    </w:rPr>
                    <w:t>生化废</w:t>
                  </w:r>
                </w:p>
                <w:p w14:paraId="7447360B">
                  <w:pPr>
                    <w:topLinePunct/>
                    <w:adjustRightInd w:val="0"/>
                    <w:snapToGrid w:val="0"/>
                    <w:jc w:val="center"/>
                    <w:rPr>
                      <w:color w:val="000000"/>
                      <w:kern w:val="0"/>
                      <w:sz w:val="21"/>
                      <w:szCs w:val="21"/>
                      <w:highlight w:val="none"/>
                    </w:rPr>
                  </w:pPr>
                  <w:r>
                    <w:rPr>
                      <w:rFonts w:hint="eastAsia"/>
                      <w:color w:val="000000"/>
                      <w:kern w:val="0"/>
                      <w:sz w:val="21"/>
                      <w:szCs w:val="21"/>
                      <w:highlight w:val="none"/>
                    </w:rPr>
                    <w:t>水处理</w:t>
                  </w:r>
                </w:p>
              </w:tc>
              <w:tc>
                <w:tcPr>
                  <w:tcW w:w="414" w:type="pct"/>
                  <w:noWrap w:val="0"/>
                  <w:vAlign w:val="center"/>
                </w:tcPr>
                <w:p w14:paraId="4A95BB2E">
                  <w:pPr>
                    <w:jc w:val="center"/>
                    <w:rPr>
                      <w:color w:val="000000"/>
                      <w:sz w:val="21"/>
                      <w:szCs w:val="21"/>
                      <w:highlight w:val="none"/>
                    </w:rPr>
                  </w:pPr>
                  <w:r>
                    <w:rPr>
                      <w:color w:val="000000"/>
                      <w:sz w:val="21"/>
                      <w:szCs w:val="21"/>
                      <w:highlight w:val="none"/>
                    </w:rPr>
                    <w:t>固态</w:t>
                  </w:r>
                </w:p>
              </w:tc>
              <w:tc>
                <w:tcPr>
                  <w:tcW w:w="589" w:type="pct"/>
                  <w:noWrap w:val="0"/>
                  <w:vAlign w:val="center"/>
                </w:tcPr>
                <w:p w14:paraId="2CF45D6C">
                  <w:pPr>
                    <w:jc w:val="center"/>
                    <w:rPr>
                      <w:color w:val="000000"/>
                      <w:sz w:val="21"/>
                      <w:szCs w:val="21"/>
                      <w:highlight w:val="none"/>
                    </w:rPr>
                  </w:pPr>
                  <w:r>
                    <w:rPr>
                      <w:rFonts w:hint="eastAsia"/>
                      <w:color w:val="000000"/>
                      <w:sz w:val="21"/>
                      <w:szCs w:val="21"/>
                      <w:highlight w:val="none"/>
                    </w:rPr>
                    <w:t>泥、水</w:t>
                  </w:r>
                </w:p>
              </w:tc>
              <w:tc>
                <w:tcPr>
                  <w:tcW w:w="359" w:type="pct"/>
                  <w:noWrap w:val="0"/>
                  <w:vAlign w:val="center"/>
                </w:tcPr>
                <w:p w14:paraId="2D108EC8">
                  <w:pPr>
                    <w:topLinePunct/>
                    <w:adjustRightInd w:val="0"/>
                    <w:snapToGrid w:val="0"/>
                    <w:jc w:val="center"/>
                    <w:rPr>
                      <w:rFonts w:hint="eastAsia" w:eastAsia="宋体"/>
                      <w:color w:val="000000"/>
                      <w:kern w:val="0"/>
                      <w:sz w:val="21"/>
                      <w:szCs w:val="21"/>
                      <w:highlight w:val="none"/>
                      <w:lang w:eastAsia="zh-CN"/>
                    </w:rPr>
                  </w:pPr>
                  <w:r>
                    <w:rPr>
                      <w:rFonts w:hint="eastAsia"/>
                      <w:color w:val="000000"/>
                      <w:kern w:val="0"/>
                      <w:sz w:val="21"/>
                      <w:szCs w:val="21"/>
                      <w:highlight w:val="none"/>
                      <w:lang w:val="en-US" w:eastAsia="zh-CN"/>
                    </w:rPr>
                    <w:t>毒性</w:t>
                  </w:r>
                </w:p>
              </w:tc>
            </w:tr>
            <w:tr w14:paraId="62E2C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6BC0A717">
                  <w:pPr>
                    <w:topLinePunct/>
                    <w:adjustRightInd w:val="0"/>
                    <w:snapToGrid w:val="0"/>
                    <w:jc w:val="center"/>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2</w:t>
                  </w:r>
                </w:p>
              </w:tc>
              <w:tc>
                <w:tcPr>
                  <w:tcW w:w="916" w:type="pct"/>
                  <w:noWrap w:val="0"/>
                  <w:vAlign w:val="center"/>
                </w:tcPr>
                <w:p w14:paraId="412850FB">
                  <w:pPr>
                    <w:ind w:left="105" w:leftChars="50" w:right="105" w:rightChars="50"/>
                    <w:jc w:val="center"/>
                    <w:rPr>
                      <w:color w:val="000000"/>
                      <w:kern w:val="0"/>
                      <w:sz w:val="21"/>
                      <w:szCs w:val="21"/>
                      <w:highlight w:val="none"/>
                    </w:rPr>
                  </w:pPr>
                  <w:r>
                    <w:rPr>
                      <w:rFonts w:hint="eastAsia"/>
                      <w:color w:val="000000"/>
                      <w:kern w:val="0"/>
                      <w:sz w:val="21"/>
                      <w:szCs w:val="21"/>
                      <w:highlight w:val="none"/>
                    </w:rPr>
                    <w:t>中水回用系统及零排放系统产生的污泥</w:t>
                  </w:r>
                </w:p>
              </w:tc>
              <w:tc>
                <w:tcPr>
                  <w:tcW w:w="494" w:type="pct"/>
                  <w:noWrap w:val="0"/>
                  <w:vAlign w:val="center"/>
                </w:tcPr>
                <w:p w14:paraId="678225B3">
                  <w:pPr>
                    <w:jc w:val="center"/>
                    <w:rPr>
                      <w:color w:val="000000"/>
                      <w:sz w:val="21"/>
                      <w:szCs w:val="21"/>
                      <w:highlight w:val="none"/>
                    </w:rPr>
                  </w:pPr>
                  <w:r>
                    <w:rPr>
                      <w:rFonts w:hint="eastAsia"/>
                      <w:color w:val="000000"/>
                      <w:sz w:val="21"/>
                      <w:szCs w:val="21"/>
                      <w:highlight w:val="none"/>
                      <w:lang w:val="en-US" w:eastAsia="zh-CN"/>
                    </w:rPr>
                    <w:t>危险废物</w:t>
                  </w:r>
                </w:p>
              </w:tc>
              <w:tc>
                <w:tcPr>
                  <w:tcW w:w="664" w:type="pct"/>
                  <w:noWrap w:val="0"/>
                  <w:vAlign w:val="center"/>
                </w:tcPr>
                <w:p w14:paraId="2A81F879">
                  <w:pPr>
                    <w:jc w:val="center"/>
                    <w:rPr>
                      <w:rFonts w:hint="default"/>
                      <w:color w:val="000000"/>
                      <w:sz w:val="21"/>
                      <w:szCs w:val="21"/>
                      <w:highlight w:val="none"/>
                      <w:lang w:val="en-US"/>
                    </w:rPr>
                  </w:pPr>
                  <w:r>
                    <w:rPr>
                      <w:rFonts w:hint="eastAsia"/>
                      <w:color w:val="000000"/>
                      <w:sz w:val="21"/>
                      <w:szCs w:val="21"/>
                      <w:highlight w:val="none"/>
                    </w:rPr>
                    <w:t>—</w:t>
                  </w:r>
                </w:p>
              </w:tc>
              <w:tc>
                <w:tcPr>
                  <w:tcW w:w="581" w:type="pct"/>
                  <w:noWrap w:val="0"/>
                  <w:vAlign w:val="center"/>
                </w:tcPr>
                <w:p w14:paraId="3CF4EFA7">
                  <w:pPr>
                    <w:ind w:left="105" w:leftChars="50" w:right="105" w:rightChars="50"/>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100</w:t>
                  </w:r>
                </w:p>
              </w:tc>
              <w:tc>
                <w:tcPr>
                  <w:tcW w:w="664" w:type="pct"/>
                  <w:noWrap w:val="0"/>
                  <w:vAlign w:val="center"/>
                </w:tcPr>
                <w:p w14:paraId="690AC39C">
                  <w:pPr>
                    <w:topLinePunct/>
                    <w:adjustRightInd w:val="0"/>
                    <w:snapToGrid w:val="0"/>
                    <w:jc w:val="center"/>
                    <w:rPr>
                      <w:color w:val="000000"/>
                      <w:kern w:val="0"/>
                      <w:sz w:val="21"/>
                      <w:szCs w:val="21"/>
                      <w:highlight w:val="none"/>
                    </w:rPr>
                  </w:pPr>
                  <w:r>
                    <w:rPr>
                      <w:rFonts w:hint="eastAsia"/>
                      <w:color w:val="000000"/>
                      <w:kern w:val="0"/>
                      <w:sz w:val="21"/>
                      <w:szCs w:val="21"/>
                      <w:highlight w:val="none"/>
                    </w:rPr>
                    <w:t>中水回用系统及零排放系统</w:t>
                  </w:r>
                </w:p>
              </w:tc>
              <w:tc>
                <w:tcPr>
                  <w:tcW w:w="414" w:type="pct"/>
                  <w:noWrap w:val="0"/>
                  <w:vAlign w:val="center"/>
                </w:tcPr>
                <w:p w14:paraId="49B69FC4">
                  <w:pPr>
                    <w:jc w:val="center"/>
                    <w:rPr>
                      <w:color w:val="000000"/>
                      <w:sz w:val="21"/>
                      <w:szCs w:val="21"/>
                      <w:highlight w:val="none"/>
                    </w:rPr>
                  </w:pPr>
                  <w:r>
                    <w:rPr>
                      <w:color w:val="000000"/>
                      <w:sz w:val="21"/>
                      <w:szCs w:val="21"/>
                      <w:highlight w:val="none"/>
                    </w:rPr>
                    <w:t>固态</w:t>
                  </w:r>
                </w:p>
              </w:tc>
              <w:tc>
                <w:tcPr>
                  <w:tcW w:w="589" w:type="pct"/>
                  <w:noWrap w:val="0"/>
                  <w:vAlign w:val="center"/>
                </w:tcPr>
                <w:p w14:paraId="15058225">
                  <w:pPr>
                    <w:jc w:val="center"/>
                    <w:rPr>
                      <w:color w:val="000000"/>
                      <w:sz w:val="21"/>
                      <w:szCs w:val="21"/>
                      <w:highlight w:val="none"/>
                    </w:rPr>
                  </w:pPr>
                  <w:r>
                    <w:rPr>
                      <w:rFonts w:hint="eastAsia"/>
                      <w:color w:val="000000"/>
                      <w:sz w:val="21"/>
                      <w:szCs w:val="21"/>
                      <w:highlight w:val="none"/>
                      <w:lang w:val="en-US" w:eastAsia="zh-CN"/>
                    </w:rPr>
                    <w:t>悬浮物</w:t>
                  </w:r>
                  <w:r>
                    <w:rPr>
                      <w:rFonts w:hint="eastAsia"/>
                      <w:color w:val="000000"/>
                      <w:sz w:val="21"/>
                      <w:szCs w:val="21"/>
                      <w:highlight w:val="none"/>
                    </w:rPr>
                    <w:t>、石油类</w:t>
                  </w:r>
                </w:p>
              </w:tc>
              <w:tc>
                <w:tcPr>
                  <w:tcW w:w="359" w:type="pct"/>
                  <w:noWrap w:val="0"/>
                  <w:vAlign w:val="center"/>
                </w:tcPr>
                <w:p w14:paraId="2FA87F1C">
                  <w:pPr>
                    <w:topLinePunct/>
                    <w:adjustRightInd w:val="0"/>
                    <w:snapToGrid w:val="0"/>
                    <w:jc w:val="center"/>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毒性</w:t>
                  </w:r>
                </w:p>
              </w:tc>
            </w:tr>
            <w:tr w14:paraId="520D9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4383BFE1">
                  <w:pPr>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w:t>
                  </w:r>
                </w:p>
              </w:tc>
              <w:tc>
                <w:tcPr>
                  <w:tcW w:w="916" w:type="pct"/>
                  <w:noWrap w:val="0"/>
                  <w:vAlign w:val="center"/>
                </w:tcPr>
                <w:p w14:paraId="662CCA71">
                  <w:pPr>
                    <w:ind w:left="105" w:leftChars="50" w:right="105" w:rightChars="50"/>
                    <w:jc w:val="center"/>
                    <w:rPr>
                      <w:rFonts w:hint="eastAsia"/>
                      <w:color w:val="000000"/>
                      <w:kern w:val="0"/>
                      <w:sz w:val="21"/>
                      <w:szCs w:val="21"/>
                      <w:highlight w:val="none"/>
                    </w:rPr>
                  </w:pPr>
                  <w:r>
                    <w:rPr>
                      <w:rFonts w:hint="eastAsia"/>
                      <w:color w:val="000000"/>
                      <w:kern w:val="0"/>
                      <w:sz w:val="21"/>
                      <w:szCs w:val="21"/>
                      <w:highlight w:val="none"/>
                    </w:rPr>
                    <w:t>废活性炭</w:t>
                  </w:r>
                </w:p>
              </w:tc>
              <w:tc>
                <w:tcPr>
                  <w:tcW w:w="494" w:type="pct"/>
                  <w:noWrap w:val="0"/>
                  <w:vAlign w:val="center"/>
                </w:tcPr>
                <w:p w14:paraId="5FF5D07D">
                  <w:pPr>
                    <w:jc w:val="center"/>
                    <w:rPr>
                      <w:color w:val="000000"/>
                      <w:sz w:val="21"/>
                      <w:szCs w:val="21"/>
                      <w:highlight w:val="none"/>
                    </w:rPr>
                  </w:pPr>
                  <w:r>
                    <w:rPr>
                      <w:color w:val="000000"/>
                      <w:sz w:val="21"/>
                      <w:szCs w:val="21"/>
                      <w:highlight w:val="none"/>
                    </w:rPr>
                    <w:t>HW</w:t>
                  </w:r>
                  <w:r>
                    <w:rPr>
                      <w:rFonts w:hint="eastAsia"/>
                      <w:color w:val="000000"/>
                      <w:sz w:val="21"/>
                      <w:szCs w:val="21"/>
                      <w:highlight w:val="none"/>
                    </w:rPr>
                    <w:t>4</w:t>
                  </w:r>
                  <w:r>
                    <w:rPr>
                      <w:color w:val="000000"/>
                      <w:sz w:val="21"/>
                      <w:szCs w:val="21"/>
                      <w:highlight w:val="none"/>
                    </w:rPr>
                    <w:t>9</w:t>
                  </w:r>
                </w:p>
              </w:tc>
              <w:tc>
                <w:tcPr>
                  <w:tcW w:w="664" w:type="pct"/>
                  <w:noWrap w:val="0"/>
                  <w:vAlign w:val="center"/>
                </w:tcPr>
                <w:p w14:paraId="595E2962">
                  <w:pPr>
                    <w:jc w:val="center"/>
                    <w:rPr>
                      <w:color w:val="000000"/>
                      <w:sz w:val="21"/>
                      <w:szCs w:val="21"/>
                      <w:highlight w:val="none"/>
                    </w:rPr>
                  </w:pPr>
                  <w:r>
                    <w:rPr>
                      <w:color w:val="000000"/>
                      <w:sz w:val="21"/>
                      <w:szCs w:val="21"/>
                      <w:highlight w:val="none"/>
                    </w:rPr>
                    <w:t>900-</w:t>
                  </w:r>
                  <w:r>
                    <w:rPr>
                      <w:rFonts w:hint="eastAsia"/>
                      <w:color w:val="000000"/>
                      <w:sz w:val="21"/>
                      <w:szCs w:val="21"/>
                      <w:highlight w:val="none"/>
                    </w:rPr>
                    <w:t>041</w:t>
                  </w:r>
                  <w:r>
                    <w:rPr>
                      <w:color w:val="000000"/>
                      <w:sz w:val="21"/>
                      <w:szCs w:val="21"/>
                      <w:highlight w:val="none"/>
                    </w:rPr>
                    <w:t>-</w:t>
                  </w:r>
                  <w:r>
                    <w:rPr>
                      <w:rFonts w:hint="eastAsia"/>
                      <w:color w:val="000000"/>
                      <w:sz w:val="21"/>
                      <w:szCs w:val="21"/>
                      <w:highlight w:val="none"/>
                    </w:rPr>
                    <w:t>49</w:t>
                  </w:r>
                </w:p>
              </w:tc>
              <w:tc>
                <w:tcPr>
                  <w:tcW w:w="581" w:type="pct"/>
                  <w:noWrap w:val="0"/>
                  <w:vAlign w:val="center"/>
                </w:tcPr>
                <w:p w14:paraId="7380A216">
                  <w:pPr>
                    <w:ind w:left="105" w:leftChars="50" w:right="105" w:rightChars="50"/>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73</w:t>
                  </w:r>
                </w:p>
              </w:tc>
              <w:tc>
                <w:tcPr>
                  <w:tcW w:w="664" w:type="pct"/>
                  <w:noWrap w:val="0"/>
                  <w:vAlign w:val="center"/>
                </w:tcPr>
                <w:p w14:paraId="52A7BC77">
                  <w:pPr>
                    <w:jc w:val="center"/>
                    <w:rPr>
                      <w:color w:val="000000"/>
                      <w:sz w:val="21"/>
                      <w:szCs w:val="21"/>
                      <w:highlight w:val="none"/>
                    </w:rPr>
                  </w:pPr>
                  <w:r>
                    <w:rPr>
                      <w:rFonts w:hint="eastAsia"/>
                      <w:color w:val="000000"/>
                      <w:kern w:val="0"/>
                      <w:sz w:val="21"/>
                      <w:szCs w:val="21"/>
                      <w:highlight w:val="none"/>
                    </w:rPr>
                    <w:t>废气处理</w:t>
                  </w:r>
                </w:p>
              </w:tc>
              <w:tc>
                <w:tcPr>
                  <w:tcW w:w="414" w:type="pct"/>
                  <w:noWrap w:val="0"/>
                  <w:vAlign w:val="center"/>
                </w:tcPr>
                <w:p w14:paraId="67FB0FEE">
                  <w:pPr>
                    <w:jc w:val="center"/>
                    <w:rPr>
                      <w:color w:val="000000"/>
                      <w:sz w:val="21"/>
                      <w:szCs w:val="21"/>
                      <w:highlight w:val="none"/>
                    </w:rPr>
                  </w:pPr>
                  <w:r>
                    <w:rPr>
                      <w:color w:val="000000"/>
                      <w:sz w:val="21"/>
                      <w:szCs w:val="21"/>
                      <w:highlight w:val="none"/>
                    </w:rPr>
                    <w:t>固态</w:t>
                  </w:r>
                </w:p>
              </w:tc>
              <w:tc>
                <w:tcPr>
                  <w:tcW w:w="589" w:type="pct"/>
                  <w:noWrap w:val="0"/>
                  <w:vAlign w:val="center"/>
                </w:tcPr>
                <w:p w14:paraId="1D3D5D65">
                  <w:pPr>
                    <w:jc w:val="center"/>
                    <w:rPr>
                      <w:color w:val="000000"/>
                      <w:sz w:val="21"/>
                      <w:szCs w:val="21"/>
                      <w:highlight w:val="none"/>
                    </w:rPr>
                  </w:pPr>
                  <w:r>
                    <w:rPr>
                      <w:color w:val="000000"/>
                      <w:sz w:val="21"/>
                      <w:szCs w:val="21"/>
                      <w:highlight w:val="none"/>
                    </w:rPr>
                    <w:t>废</w:t>
                  </w:r>
                  <w:r>
                    <w:rPr>
                      <w:rFonts w:hint="eastAsia"/>
                      <w:color w:val="000000"/>
                      <w:sz w:val="21"/>
                      <w:szCs w:val="21"/>
                      <w:highlight w:val="none"/>
                    </w:rPr>
                    <w:t>活性炭</w:t>
                  </w:r>
                </w:p>
              </w:tc>
              <w:tc>
                <w:tcPr>
                  <w:tcW w:w="359" w:type="pct"/>
                  <w:noWrap w:val="0"/>
                  <w:vAlign w:val="center"/>
                </w:tcPr>
                <w:p w14:paraId="6BFF4B89">
                  <w:pPr>
                    <w:topLinePunct/>
                    <w:adjustRightInd w:val="0"/>
                    <w:snapToGrid w:val="0"/>
                    <w:jc w:val="center"/>
                    <w:rPr>
                      <w:color w:val="000000"/>
                      <w:kern w:val="0"/>
                      <w:sz w:val="21"/>
                      <w:szCs w:val="21"/>
                      <w:highlight w:val="none"/>
                    </w:rPr>
                  </w:pPr>
                  <w:r>
                    <w:rPr>
                      <w:color w:val="000000"/>
                      <w:kern w:val="0"/>
                      <w:sz w:val="21"/>
                      <w:szCs w:val="21"/>
                      <w:highlight w:val="none"/>
                    </w:rPr>
                    <w:t>T/In</w:t>
                  </w:r>
                </w:p>
              </w:tc>
            </w:tr>
            <w:tr w14:paraId="5C62B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5EE0C029">
                  <w:pPr>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w:t>
                  </w:r>
                </w:p>
              </w:tc>
              <w:tc>
                <w:tcPr>
                  <w:tcW w:w="916" w:type="pct"/>
                  <w:noWrap w:val="0"/>
                  <w:vAlign w:val="center"/>
                </w:tcPr>
                <w:p w14:paraId="1F0BBC66">
                  <w:pPr>
                    <w:ind w:left="105" w:leftChars="50" w:right="105" w:rightChars="50"/>
                    <w:jc w:val="center"/>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废反渗透膜</w:t>
                  </w:r>
                </w:p>
              </w:tc>
              <w:tc>
                <w:tcPr>
                  <w:tcW w:w="494" w:type="pct"/>
                  <w:noWrap w:val="0"/>
                  <w:vAlign w:val="center"/>
                </w:tcPr>
                <w:p w14:paraId="588FDF64">
                  <w:pPr>
                    <w:jc w:val="center"/>
                    <w:rPr>
                      <w:color w:val="000000"/>
                      <w:sz w:val="21"/>
                      <w:szCs w:val="21"/>
                      <w:highlight w:val="none"/>
                    </w:rPr>
                  </w:pPr>
                  <w:r>
                    <w:rPr>
                      <w:color w:val="000000"/>
                      <w:sz w:val="21"/>
                      <w:szCs w:val="21"/>
                      <w:highlight w:val="none"/>
                    </w:rPr>
                    <w:t>HW</w:t>
                  </w:r>
                  <w:r>
                    <w:rPr>
                      <w:rFonts w:hint="eastAsia"/>
                      <w:color w:val="000000"/>
                      <w:sz w:val="21"/>
                      <w:szCs w:val="21"/>
                      <w:highlight w:val="none"/>
                    </w:rPr>
                    <w:t>4</w:t>
                  </w:r>
                  <w:r>
                    <w:rPr>
                      <w:color w:val="000000"/>
                      <w:sz w:val="21"/>
                      <w:szCs w:val="21"/>
                      <w:highlight w:val="none"/>
                    </w:rPr>
                    <w:t>9</w:t>
                  </w:r>
                </w:p>
              </w:tc>
              <w:tc>
                <w:tcPr>
                  <w:tcW w:w="664" w:type="pct"/>
                  <w:noWrap w:val="0"/>
                  <w:vAlign w:val="center"/>
                </w:tcPr>
                <w:p w14:paraId="6C7AAD6D">
                  <w:pPr>
                    <w:jc w:val="center"/>
                    <w:rPr>
                      <w:color w:val="000000"/>
                      <w:sz w:val="21"/>
                      <w:szCs w:val="21"/>
                      <w:highlight w:val="none"/>
                    </w:rPr>
                  </w:pPr>
                  <w:r>
                    <w:rPr>
                      <w:color w:val="000000"/>
                      <w:sz w:val="21"/>
                      <w:szCs w:val="21"/>
                      <w:highlight w:val="none"/>
                    </w:rPr>
                    <w:t>900-</w:t>
                  </w:r>
                  <w:r>
                    <w:rPr>
                      <w:rFonts w:hint="eastAsia"/>
                      <w:color w:val="000000"/>
                      <w:sz w:val="21"/>
                      <w:szCs w:val="21"/>
                      <w:highlight w:val="none"/>
                    </w:rPr>
                    <w:t>041</w:t>
                  </w:r>
                  <w:r>
                    <w:rPr>
                      <w:color w:val="000000"/>
                      <w:sz w:val="21"/>
                      <w:szCs w:val="21"/>
                      <w:highlight w:val="none"/>
                    </w:rPr>
                    <w:t>-</w:t>
                  </w:r>
                  <w:r>
                    <w:rPr>
                      <w:rFonts w:hint="eastAsia"/>
                      <w:color w:val="000000"/>
                      <w:sz w:val="21"/>
                      <w:szCs w:val="21"/>
                      <w:highlight w:val="none"/>
                    </w:rPr>
                    <w:t>49</w:t>
                  </w:r>
                </w:p>
              </w:tc>
              <w:tc>
                <w:tcPr>
                  <w:tcW w:w="581" w:type="pct"/>
                  <w:noWrap w:val="0"/>
                  <w:vAlign w:val="center"/>
                </w:tcPr>
                <w:p w14:paraId="2515808A">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10</w:t>
                  </w:r>
                </w:p>
              </w:tc>
              <w:tc>
                <w:tcPr>
                  <w:tcW w:w="664" w:type="pct"/>
                  <w:noWrap w:val="0"/>
                  <w:vAlign w:val="center"/>
                </w:tcPr>
                <w:p w14:paraId="51A78E4E">
                  <w:pPr>
                    <w:jc w:val="center"/>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中水回用</w:t>
                  </w:r>
                </w:p>
              </w:tc>
              <w:tc>
                <w:tcPr>
                  <w:tcW w:w="414" w:type="pct"/>
                  <w:noWrap w:val="0"/>
                  <w:vAlign w:val="center"/>
                </w:tcPr>
                <w:p w14:paraId="472C92EE">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固态</w:t>
                  </w:r>
                </w:p>
              </w:tc>
              <w:tc>
                <w:tcPr>
                  <w:tcW w:w="589" w:type="pct"/>
                  <w:noWrap w:val="0"/>
                  <w:vAlign w:val="center"/>
                </w:tcPr>
                <w:p w14:paraId="4EF42480">
                  <w:pPr>
                    <w:jc w:val="center"/>
                    <w:rPr>
                      <w:color w:val="000000"/>
                      <w:sz w:val="21"/>
                      <w:szCs w:val="21"/>
                      <w:highlight w:val="none"/>
                    </w:rPr>
                  </w:pPr>
                  <w:r>
                    <w:rPr>
                      <w:rFonts w:hint="eastAsia"/>
                      <w:color w:val="000000"/>
                      <w:sz w:val="21"/>
                      <w:szCs w:val="21"/>
                      <w:highlight w:val="none"/>
                    </w:rPr>
                    <w:t>有机物、毒性物质</w:t>
                  </w:r>
                </w:p>
              </w:tc>
              <w:tc>
                <w:tcPr>
                  <w:tcW w:w="359" w:type="pct"/>
                  <w:noWrap w:val="0"/>
                  <w:vAlign w:val="center"/>
                </w:tcPr>
                <w:p w14:paraId="7D3BA655">
                  <w:pPr>
                    <w:topLinePunct/>
                    <w:adjustRightInd w:val="0"/>
                    <w:snapToGrid w:val="0"/>
                    <w:jc w:val="center"/>
                    <w:rPr>
                      <w:color w:val="000000"/>
                      <w:kern w:val="0"/>
                      <w:sz w:val="21"/>
                      <w:szCs w:val="21"/>
                      <w:highlight w:val="none"/>
                    </w:rPr>
                  </w:pPr>
                  <w:r>
                    <w:rPr>
                      <w:color w:val="000000"/>
                      <w:kern w:val="0"/>
                      <w:sz w:val="21"/>
                      <w:szCs w:val="21"/>
                      <w:highlight w:val="none"/>
                    </w:rPr>
                    <w:t>T/In</w:t>
                  </w:r>
                </w:p>
              </w:tc>
            </w:tr>
            <w:tr w14:paraId="2D571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773F503B">
                  <w:pPr>
                    <w:topLinePunct/>
                    <w:adjustRightInd w:val="0"/>
                    <w:snapToGrid w:val="0"/>
                    <w:jc w:val="center"/>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5</w:t>
                  </w:r>
                </w:p>
              </w:tc>
              <w:tc>
                <w:tcPr>
                  <w:tcW w:w="916" w:type="pct"/>
                  <w:noWrap w:val="0"/>
                  <w:vAlign w:val="center"/>
                </w:tcPr>
                <w:p w14:paraId="43B4897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000000"/>
                      <w:kern w:val="0"/>
                      <w:sz w:val="21"/>
                      <w:szCs w:val="21"/>
                      <w:highlight w:val="none"/>
                      <w:lang w:eastAsia="zh-CN"/>
                    </w:rPr>
                  </w:pPr>
                  <w:r>
                    <w:rPr>
                      <w:rFonts w:hint="eastAsia"/>
                      <w:color w:val="000000"/>
                      <w:kern w:val="0"/>
                      <w:sz w:val="21"/>
                      <w:szCs w:val="21"/>
                      <w:highlight w:val="none"/>
                      <w:lang w:val="en-US" w:eastAsia="zh-CN"/>
                    </w:rPr>
                    <w:t>浓盐水蒸发结晶盐</w:t>
                  </w:r>
                </w:p>
              </w:tc>
              <w:tc>
                <w:tcPr>
                  <w:tcW w:w="494" w:type="pct"/>
                  <w:noWrap w:val="0"/>
                  <w:vAlign w:val="center"/>
                </w:tcPr>
                <w:p w14:paraId="5677EA7D">
                  <w:pPr>
                    <w:jc w:val="center"/>
                    <w:rPr>
                      <w:rFonts w:hint="eastAsia" w:eastAsia="宋体"/>
                      <w:color w:val="000000"/>
                      <w:sz w:val="21"/>
                      <w:szCs w:val="21"/>
                      <w:highlight w:val="none"/>
                      <w:lang w:eastAsia="zh-CN"/>
                    </w:rPr>
                  </w:pPr>
                  <w:r>
                    <w:rPr>
                      <w:rFonts w:hint="eastAsia"/>
                      <w:color w:val="000000"/>
                      <w:sz w:val="21"/>
                      <w:szCs w:val="21"/>
                      <w:highlight w:val="none"/>
                      <w:lang w:val="en-US" w:eastAsia="zh-CN"/>
                    </w:rPr>
                    <w:t>疑似危废</w:t>
                  </w:r>
                </w:p>
              </w:tc>
              <w:tc>
                <w:tcPr>
                  <w:tcW w:w="664" w:type="pct"/>
                  <w:noWrap w:val="0"/>
                  <w:vAlign w:val="center"/>
                </w:tcPr>
                <w:p w14:paraId="3CB7784C">
                  <w:pPr>
                    <w:jc w:val="center"/>
                    <w:rPr>
                      <w:rFonts w:hint="eastAsia" w:eastAsia="宋体"/>
                      <w:color w:val="000000"/>
                      <w:sz w:val="21"/>
                      <w:szCs w:val="21"/>
                      <w:highlight w:val="none"/>
                      <w:lang w:eastAsia="zh-CN"/>
                    </w:rPr>
                  </w:pPr>
                  <w:r>
                    <w:rPr>
                      <w:rFonts w:hint="eastAsia"/>
                      <w:bCs/>
                      <w:color w:val="000000"/>
                      <w:sz w:val="21"/>
                      <w:szCs w:val="21"/>
                      <w:highlight w:val="none"/>
                      <w:lang w:val="en-US" w:eastAsia="zh-CN"/>
                    </w:rPr>
                    <w:t>/</w:t>
                  </w:r>
                </w:p>
              </w:tc>
              <w:tc>
                <w:tcPr>
                  <w:tcW w:w="581" w:type="pct"/>
                  <w:noWrap w:val="0"/>
                  <w:vAlign w:val="center"/>
                </w:tcPr>
                <w:p w14:paraId="4F176D32">
                  <w:pPr>
                    <w:ind w:left="105" w:leftChars="50" w:right="105" w:rightChars="50"/>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5000</w:t>
                  </w:r>
                </w:p>
              </w:tc>
              <w:tc>
                <w:tcPr>
                  <w:tcW w:w="664" w:type="pct"/>
                  <w:noWrap w:val="0"/>
                  <w:vAlign w:val="center"/>
                </w:tcPr>
                <w:p w14:paraId="1CF9B8F0">
                  <w:pPr>
                    <w:topLinePunct/>
                    <w:adjustRightInd w:val="0"/>
                    <w:snapToGrid w:val="0"/>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蒸发结晶</w:t>
                  </w:r>
                </w:p>
              </w:tc>
              <w:tc>
                <w:tcPr>
                  <w:tcW w:w="414" w:type="pct"/>
                  <w:noWrap w:val="0"/>
                  <w:vAlign w:val="center"/>
                </w:tcPr>
                <w:p w14:paraId="4AA049BA">
                  <w:pPr>
                    <w:jc w:val="center"/>
                    <w:rPr>
                      <w:rFonts w:hint="eastAsia" w:eastAsia="宋体"/>
                      <w:color w:val="000000"/>
                      <w:sz w:val="21"/>
                      <w:szCs w:val="21"/>
                      <w:highlight w:val="none"/>
                      <w:lang w:eastAsia="zh-CN"/>
                    </w:rPr>
                  </w:pPr>
                  <w:r>
                    <w:rPr>
                      <w:rFonts w:hint="eastAsia"/>
                      <w:color w:val="000000"/>
                      <w:sz w:val="21"/>
                      <w:szCs w:val="21"/>
                      <w:highlight w:val="none"/>
                      <w:lang w:val="en-US" w:eastAsia="zh-CN"/>
                    </w:rPr>
                    <w:t>固态</w:t>
                  </w:r>
                </w:p>
              </w:tc>
              <w:tc>
                <w:tcPr>
                  <w:tcW w:w="589" w:type="pct"/>
                  <w:noWrap w:val="0"/>
                  <w:vAlign w:val="center"/>
                </w:tcPr>
                <w:p w14:paraId="30195132">
                  <w:pPr>
                    <w:jc w:val="center"/>
                    <w:rPr>
                      <w:rFonts w:hint="eastAsia" w:eastAsia="宋体"/>
                      <w:color w:val="000000"/>
                      <w:sz w:val="21"/>
                      <w:szCs w:val="21"/>
                      <w:highlight w:val="none"/>
                      <w:lang w:eastAsia="zh-CN"/>
                    </w:rPr>
                  </w:pPr>
                  <w:r>
                    <w:rPr>
                      <w:rFonts w:hint="eastAsia"/>
                      <w:color w:val="000000"/>
                      <w:sz w:val="21"/>
                      <w:szCs w:val="21"/>
                      <w:highlight w:val="none"/>
                      <w:lang w:val="en-US" w:eastAsia="zh-CN"/>
                    </w:rPr>
                    <w:t>/</w:t>
                  </w:r>
                </w:p>
              </w:tc>
              <w:tc>
                <w:tcPr>
                  <w:tcW w:w="359" w:type="pct"/>
                  <w:noWrap w:val="0"/>
                  <w:vAlign w:val="center"/>
                </w:tcPr>
                <w:p w14:paraId="64C69EEF">
                  <w:pPr>
                    <w:topLinePunct/>
                    <w:adjustRightInd w:val="0"/>
                    <w:snapToGrid w:val="0"/>
                    <w:jc w:val="center"/>
                    <w:rPr>
                      <w:rFonts w:hint="eastAsia" w:eastAsia="宋体"/>
                      <w:color w:val="000000"/>
                      <w:kern w:val="0"/>
                      <w:sz w:val="21"/>
                      <w:szCs w:val="21"/>
                      <w:highlight w:val="none"/>
                      <w:lang w:eastAsia="zh-CN"/>
                    </w:rPr>
                  </w:pPr>
                  <w:r>
                    <w:rPr>
                      <w:rFonts w:hint="eastAsia"/>
                      <w:color w:val="000000"/>
                      <w:kern w:val="0"/>
                      <w:sz w:val="21"/>
                      <w:szCs w:val="21"/>
                      <w:highlight w:val="none"/>
                      <w:lang w:val="en-US" w:eastAsia="zh-CN"/>
                    </w:rPr>
                    <w:t>/</w:t>
                  </w:r>
                </w:p>
              </w:tc>
            </w:tr>
            <w:tr w14:paraId="3BD1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4" w:type="pct"/>
                  <w:noWrap w:val="0"/>
                  <w:vAlign w:val="center"/>
                </w:tcPr>
                <w:p w14:paraId="43A1BEA9">
                  <w:pPr>
                    <w:topLinePunct/>
                    <w:adjustRightInd w:val="0"/>
                    <w:snapToGrid w:val="0"/>
                    <w:jc w:val="center"/>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6</w:t>
                  </w:r>
                </w:p>
              </w:tc>
              <w:tc>
                <w:tcPr>
                  <w:tcW w:w="916" w:type="pct"/>
                  <w:noWrap w:val="0"/>
                  <w:vAlign w:val="center"/>
                </w:tcPr>
                <w:p w14:paraId="5A222EF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脱硫废水蒸发结晶盐</w:t>
                  </w:r>
                </w:p>
              </w:tc>
              <w:tc>
                <w:tcPr>
                  <w:tcW w:w="494" w:type="pct"/>
                  <w:noWrap w:val="0"/>
                  <w:vAlign w:val="center"/>
                </w:tcPr>
                <w:p w14:paraId="7F38DAA7">
                  <w:pPr>
                    <w:jc w:val="center"/>
                    <w:rPr>
                      <w:rFonts w:hint="default"/>
                      <w:color w:val="000000"/>
                      <w:sz w:val="21"/>
                      <w:szCs w:val="21"/>
                      <w:highlight w:val="none"/>
                      <w:lang w:val="en-US" w:eastAsia="zh-CN"/>
                    </w:rPr>
                  </w:pPr>
                  <w:r>
                    <w:rPr>
                      <w:rFonts w:hint="eastAsia"/>
                      <w:color w:val="000000"/>
                      <w:sz w:val="21"/>
                      <w:szCs w:val="21"/>
                      <w:highlight w:val="none"/>
                      <w:lang w:val="en-US" w:eastAsia="zh-CN"/>
                    </w:rPr>
                    <w:t>疑似危废</w:t>
                  </w:r>
                </w:p>
              </w:tc>
              <w:tc>
                <w:tcPr>
                  <w:tcW w:w="664" w:type="pct"/>
                  <w:noWrap w:val="0"/>
                  <w:vAlign w:val="center"/>
                </w:tcPr>
                <w:p w14:paraId="632F58E1">
                  <w:pPr>
                    <w:jc w:val="center"/>
                    <w:rPr>
                      <w:rFonts w:hint="default"/>
                      <w:bCs/>
                      <w:color w:val="000000"/>
                      <w:sz w:val="21"/>
                      <w:szCs w:val="21"/>
                      <w:highlight w:val="none"/>
                      <w:lang w:val="en-US" w:eastAsia="zh-CN"/>
                    </w:rPr>
                  </w:pPr>
                  <w:r>
                    <w:rPr>
                      <w:rFonts w:hint="eastAsia"/>
                      <w:bCs/>
                      <w:color w:val="000000"/>
                      <w:sz w:val="21"/>
                      <w:szCs w:val="21"/>
                      <w:highlight w:val="none"/>
                      <w:lang w:val="en-US" w:eastAsia="zh-CN"/>
                    </w:rPr>
                    <w:t>/</w:t>
                  </w:r>
                </w:p>
              </w:tc>
              <w:tc>
                <w:tcPr>
                  <w:tcW w:w="581" w:type="pct"/>
                  <w:noWrap w:val="0"/>
                  <w:vAlign w:val="center"/>
                </w:tcPr>
                <w:p w14:paraId="563E54C5">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3300</w:t>
                  </w:r>
                </w:p>
              </w:tc>
              <w:tc>
                <w:tcPr>
                  <w:tcW w:w="664" w:type="pct"/>
                  <w:noWrap w:val="0"/>
                  <w:vAlign w:val="center"/>
                </w:tcPr>
                <w:p w14:paraId="2F3D4470">
                  <w:pPr>
                    <w:topLinePunct/>
                    <w:adjustRightInd w:val="0"/>
                    <w:snapToGrid w:val="0"/>
                    <w:jc w:val="center"/>
                    <w:rPr>
                      <w:rFonts w:hint="eastAsia"/>
                      <w:color w:val="000000"/>
                      <w:kern w:val="0"/>
                      <w:sz w:val="21"/>
                      <w:szCs w:val="21"/>
                      <w:highlight w:val="none"/>
                      <w:lang w:val="en-US" w:eastAsia="zh-CN"/>
                    </w:rPr>
                  </w:pPr>
                  <w:r>
                    <w:rPr>
                      <w:rFonts w:hint="eastAsia"/>
                      <w:color w:val="000000"/>
                      <w:kern w:val="0"/>
                      <w:sz w:val="21"/>
                      <w:szCs w:val="21"/>
                      <w:highlight w:val="none"/>
                      <w:lang w:val="en-US" w:eastAsia="zh-CN"/>
                    </w:rPr>
                    <w:t>蒸发结晶</w:t>
                  </w:r>
                </w:p>
              </w:tc>
              <w:tc>
                <w:tcPr>
                  <w:tcW w:w="414" w:type="pct"/>
                  <w:noWrap w:val="0"/>
                  <w:vAlign w:val="center"/>
                </w:tcPr>
                <w:p w14:paraId="09C11361">
                  <w:pPr>
                    <w:jc w:val="center"/>
                    <w:rPr>
                      <w:rFonts w:hint="eastAsia"/>
                      <w:color w:val="000000"/>
                      <w:sz w:val="21"/>
                      <w:szCs w:val="21"/>
                      <w:highlight w:val="none"/>
                      <w:lang w:val="en-US" w:eastAsia="zh-CN"/>
                    </w:rPr>
                  </w:pPr>
                  <w:r>
                    <w:rPr>
                      <w:rFonts w:hint="eastAsia"/>
                      <w:color w:val="000000"/>
                      <w:sz w:val="21"/>
                      <w:szCs w:val="21"/>
                      <w:highlight w:val="none"/>
                      <w:lang w:val="en-US" w:eastAsia="zh-CN"/>
                    </w:rPr>
                    <w:t>固态</w:t>
                  </w:r>
                </w:p>
              </w:tc>
              <w:tc>
                <w:tcPr>
                  <w:tcW w:w="589" w:type="pct"/>
                  <w:noWrap w:val="0"/>
                  <w:vAlign w:val="center"/>
                </w:tcPr>
                <w:p w14:paraId="013A931A">
                  <w:pPr>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c>
                <w:tcPr>
                  <w:tcW w:w="359" w:type="pct"/>
                  <w:noWrap w:val="0"/>
                  <w:vAlign w:val="center"/>
                </w:tcPr>
                <w:p w14:paraId="505A627B">
                  <w:pPr>
                    <w:topLinePunct/>
                    <w:adjustRightInd w:val="0"/>
                    <w:snapToGrid w:val="0"/>
                    <w:jc w:val="center"/>
                    <w:rPr>
                      <w:rFonts w:hint="eastAsia"/>
                      <w:color w:val="000000"/>
                      <w:kern w:val="0"/>
                      <w:sz w:val="21"/>
                      <w:szCs w:val="21"/>
                      <w:highlight w:val="none"/>
                      <w:lang w:val="en-US" w:eastAsia="zh-CN"/>
                    </w:rPr>
                  </w:pPr>
                  <w:r>
                    <w:rPr>
                      <w:rFonts w:hint="eastAsia"/>
                      <w:color w:val="000000"/>
                      <w:kern w:val="0"/>
                      <w:sz w:val="21"/>
                      <w:szCs w:val="21"/>
                      <w:highlight w:val="none"/>
                      <w:lang w:val="en-US" w:eastAsia="zh-CN"/>
                    </w:rPr>
                    <w:t>/</w:t>
                  </w:r>
                </w:p>
              </w:tc>
            </w:tr>
            <w:tr w14:paraId="22D64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90" w:type="pct"/>
                  <w:gridSpan w:val="4"/>
                  <w:noWrap w:val="0"/>
                  <w:vAlign w:val="center"/>
                </w:tcPr>
                <w:p w14:paraId="1B235775">
                  <w:pPr>
                    <w:jc w:val="center"/>
                    <w:rPr>
                      <w:color w:val="000000"/>
                      <w:sz w:val="21"/>
                      <w:szCs w:val="21"/>
                      <w:highlight w:val="none"/>
                    </w:rPr>
                  </w:pPr>
                  <w:r>
                    <w:rPr>
                      <w:color w:val="000000"/>
                      <w:sz w:val="21"/>
                      <w:szCs w:val="21"/>
                      <w:highlight w:val="none"/>
                    </w:rPr>
                    <w:t>合计</w:t>
                  </w:r>
                </w:p>
              </w:tc>
              <w:tc>
                <w:tcPr>
                  <w:tcW w:w="581" w:type="pct"/>
                  <w:noWrap w:val="0"/>
                  <w:vAlign w:val="center"/>
                </w:tcPr>
                <w:p w14:paraId="595D00F2">
                  <w:pPr>
                    <w:keepNext w:val="0"/>
                    <w:keepLines w:val="0"/>
                    <w:pageBreakBefore w:val="0"/>
                    <w:widowControl/>
                    <w:suppressLineNumbers w:val="0"/>
                    <w:kinsoku/>
                    <w:wordWrap/>
                    <w:overflowPunct/>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8608</w:t>
                  </w:r>
                </w:p>
              </w:tc>
              <w:tc>
                <w:tcPr>
                  <w:tcW w:w="664" w:type="pct"/>
                  <w:noWrap w:val="0"/>
                  <w:vAlign w:val="center"/>
                </w:tcPr>
                <w:p w14:paraId="3422793D">
                  <w:pPr>
                    <w:keepNext w:val="0"/>
                    <w:keepLines w:val="0"/>
                    <w:pageBreakBefore w:val="0"/>
                    <w:kinsoku/>
                    <w:wordWrap/>
                    <w:overflowPunct/>
                    <w:topLinePunct/>
                    <w:autoSpaceDE/>
                    <w:autoSpaceDN/>
                    <w:bidi w:val="0"/>
                    <w:adjustRightInd/>
                    <w:snapToGrid w:val="0"/>
                    <w:ind w:left="-105" w:leftChars="-50" w:right="-105" w:rightChars="-5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w:t>
                  </w:r>
                </w:p>
              </w:tc>
              <w:tc>
                <w:tcPr>
                  <w:tcW w:w="414" w:type="pct"/>
                  <w:noWrap w:val="0"/>
                  <w:vAlign w:val="center"/>
                </w:tcPr>
                <w:p w14:paraId="2A9B97E3">
                  <w:pPr>
                    <w:topLinePunct/>
                    <w:adjustRightInd w:val="0"/>
                    <w:snapToGrid w:val="0"/>
                    <w:jc w:val="center"/>
                    <w:rPr>
                      <w:color w:val="000000"/>
                      <w:sz w:val="21"/>
                      <w:szCs w:val="21"/>
                      <w:highlight w:val="none"/>
                    </w:rPr>
                  </w:pPr>
                  <w:r>
                    <w:rPr>
                      <w:color w:val="000000"/>
                      <w:sz w:val="21"/>
                      <w:szCs w:val="21"/>
                      <w:highlight w:val="none"/>
                    </w:rPr>
                    <w:t>—</w:t>
                  </w:r>
                </w:p>
              </w:tc>
              <w:tc>
                <w:tcPr>
                  <w:tcW w:w="589" w:type="pct"/>
                  <w:noWrap w:val="0"/>
                  <w:vAlign w:val="center"/>
                </w:tcPr>
                <w:p w14:paraId="5605226C">
                  <w:pPr>
                    <w:jc w:val="center"/>
                    <w:rPr>
                      <w:color w:val="000000"/>
                      <w:sz w:val="21"/>
                      <w:szCs w:val="21"/>
                      <w:highlight w:val="none"/>
                    </w:rPr>
                  </w:pPr>
                  <w:r>
                    <w:rPr>
                      <w:color w:val="000000"/>
                      <w:sz w:val="21"/>
                      <w:szCs w:val="21"/>
                      <w:highlight w:val="none"/>
                    </w:rPr>
                    <w:t>—</w:t>
                  </w:r>
                </w:p>
              </w:tc>
              <w:tc>
                <w:tcPr>
                  <w:tcW w:w="359" w:type="pct"/>
                  <w:noWrap w:val="0"/>
                  <w:vAlign w:val="center"/>
                </w:tcPr>
                <w:p w14:paraId="4658AE98">
                  <w:pPr>
                    <w:topLinePunct/>
                    <w:adjustRightInd w:val="0"/>
                    <w:snapToGrid w:val="0"/>
                    <w:jc w:val="center"/>
                    <w:rPr>
                      <w:color w:val="000000"/>
                      <w:kern w:val="0"/>
                      <w:sz w:val="21"/>
                      <w:szCs w:val="21"/>
                      <w:highlight w:val="none"/>
                    </w:rPr>
                  </w:pPr>
                  <w:r>
                    <w:rPr>
                      <w:color w:val="000000"/>
                      <w:kern w:val="0"/>
                      <w:sz w:val="21"/>
                      <w:szCs w:val="21"/>
                      <w:highlight w:val="none"/>
                    </w:rPr>
                    <w:t>—</w:t>
                  </w:r>
                </w:p>
              </w:tc>
            </w:tr>
            <w:tr w14:paraId="3A652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noWrap w:val="0"/>
                  <w:vAlign w:val="center"/>
                </w:tcPr>
                <w:p w14:paraId="61440F04">
                  <w:pPr>
                    <w:topLinePunct/>
                    <w:adjustRightInd w:val="0"/>
                    <w:snapToGrid w:val="0"/>
                    <w:jc w:val="left"/>
                    <w:rPr>
                      <w:rFonts w:eastAsia="楷体"/>
                      <w:b/>
                      <w:color w:val="000000"/>
                      <w:kern w:val="0"/>
                      <w:sz w:val="21"/>
                      <w:szCs w:val="21"/>
                      <w:highlight w:val="none"/>
                    </w:rPr>
                  </w:pPr>
                  <w:r>
                    <w:rPr>
                      <w:rFonts w:hAnsi="楷体" w:eastAsia="楷体"/>
                      <w:b/>
                      <w:color w:val="000000"/>
                      <w:kern w:val="0"/>
                      <w:sz w:val="21"/>
                      <w:szCs w:val="21"/>
                      <w:highlight w:val="none"/>
                    </w:rPr>
                    <w:t>注：</w:t>
                  </w:r>
                  <w:r>
                    <w:rPr>
                      <w:rFonts w:eastAsia="楷体"/>
                      <w:b/>
                      <w:color w:val="000000"/>
                      <w:kern w:val="0"/>
                      <w:sz w:val="21"/>
                      <w:szCs w:val="21"/>
                      <w:highlight w:val="none"/>
                    </w:rPr>
                    <w:t>C</w:t>
                  </w:r>
                  <w:r>
                    <w:rPr>
                      <w:rFonts w:hAnsi="楷体" w:eastAsia="楷体"/>
                      <w:b/>
                      <w:color w:val="000000"/>
                      <w:kern w:val="0"/>
                      <w:sz w:val="21"/>
                      <w:szCs w:val="21"/>
                      <w:highlight w:val="none"/>
                    </w:rPr>
                    <w:t>：腐蚀性；</w:t>
                  </w:r>
                  <w:r>
                    <w:rPr>
                      <w:rFonts w:eastAsia="楷体"/>
                      <w:b/>
                      <w:color w:val="000000"/>
                      <w:kern w:val="0"/>
                      <w:sz w:val="21"/>
                      <w:szCs w:val="21"/>
                      <w:highlight w:val="none"/>
                    </w:rPr>
                    <w:t>T</w:t>
                  </w:r>
                  <w:r>
                    <w:rPr>
                      <w:rFonts w:hAnsi="楷体" w:eastAsia="楷体"/>
                      <w:b/>
                      <w:color w:val="000000"/>
                      <w:kern w:val="0"/>
                      <w:sz w:val="21"/>
                      <w:szCs w:val="21"/>
                      <w:highlight w:val="none"/>
                    </w:rPr>
                    <w:t>：毒性；</w:t>
                  </w:r>
                  <w:r>
                    <w:rPr>
                      <w:rFonts w:eastAsia="楷体"/>
                      <w:b/>
                      <w:color w:val="000000"/>
                      <w:kern w:val="0"/>
                      <w:sz w:val="21"/>
                      <w:szCs w:val="21"/>
                      <w:highlight w:val="none"/>
                    </w:rPr>
                    <w:t>I</w:t>
                  </w:r>
                  <w:r>
                    <w:rPr>
                      <w:rFonts w:hAnsi="楷体" w:eastAsia="楷体"/>
                      <w:b/>
                      <w:color w:val="000000"/>
                      <w:kern w:val="0"/>
                      <w:sz w:val="21"/>
                      <w:szCs w:val="21"/>
                      <w:highlight w:val="none"/>
                    </w:rPr>
                    <w:t>：易燃性；</w:t>
                  </w:r>
                  <w:r>
                    <w:rPr>
                      <w:rFonts w:eastAsia="楷体"/>
                      <w:b/>
                      <w:color w:val="000000"/>
                      <w:kern w:val="0"/>
                      <w:sz w:val="21"/>
                      <w:szCs w:val="21"/>
                      <w:highlight w:val="none"/>
                    </w:rPr>
                    <w:t>R</w:t>
                  </w:r>
                  <w:r>
                    <w:rPr>
                      <w:rFonts w:hAnsi="楷体" w:eastAsia="楷体"/>
                      <w:b/>
                      <w:color w:val="000000"/>
                      <w:kern w:val="0"/>
                      <w:sz w:val="21"/>
                      <w:szCs w:val="21"/>
                      <w:highlight w:val="none"/>
                    </w:rPr>
                    <w:t>：反应性；</w:t>
                  </w:r>
                  <w:r>
                    <w:rPr>
                      <w:rFonts w:eastAsia="楷体"/>
                      <w:b/>
                      <w:color w:val="000000"/>
                      <w:kern w:val="0"/>
                      <w:sz w:val="21"/>
                      <w:szCs w:val="21"/>
                      <w:highlight w:val="none"/>
                    </w:rPr>
                    <w:t>In</w:t>
                  </w:r>
                  <w:r>
                    <w:rPr>
                      <w:rFonts w:hAnsi="楷体" w:eastAsia="楷体"/>
                      <w:b/>
                      <w:color w:val="000000"/>
                      <w:kern w:val="0"/>
                      <w:sz w:val="21"/>
                      <w:szCs w:val="21"/>
                      <w:highlight w:val="none"/>
                    </w:rPr>
                    <w:t>：感染性</w:t>
                  </w:r>
                </w:p>
              </w:tc>
            </w:tr>
          </w:tbl>
          <w:p w14:paraId="67C52338">
            <w:pPr>
              <w:tabs>
                <w:tab w:val="left" w:pos="1935"/>
              </w:tabs>
              <w:ind w:right="232"/>
              <w:jc w:val="center"/>
              <w:rPr>
                <w:b/>
                <w:bCs/>
                <w:color w:val="000000"/>
                <w:sz w:val="24"/>
                <w:highlight w:val="none"/>
              </w:rPr>
            </w:pPr>
            <w:r>
              <w:rPr>
                <w:rFonts w:hAnsi="宋体"/>
                <w:b/>
                <w:bCs/>
                <w:color w:val="000000"/>
                <w:sz w:val="24"/>
                <w:highlight w:val="none"/>
              </w:rPr>
              <w:t>表</w:t>
            </w:r>
            <w:r>
              <w:rPr>
                <w:b/>
                <w:bCs/>
                <w:color w:val="000000"/>
                <w:sz w:val="24"/>
                <w:highlight w:val="none"/>
              </w:rPr>
              <w:t xml:space="preserve"> </w:t>
            </w:r>
            <w:r>
              <w:rPr>
                <w:rFonts w:hint="eastAsia"/>
                <w:b/>
                <w:bCs/>
                <w:color w:val="000000"/>
                <w:sz w:val="24"/>
                <w:highlight w:val="none"/>
              </w:rPr>
              <w:t>4</w:t>
            </w:r>
            <w:r>
              <w:rPr>
                <w:rFonts w:hint="eastAsia"/>
                <w:b/>
                <w:bCs/>
                <w:color w:val="000000"/>
                <w:sz w:val="24"/>
                <w:highlight w:val="none"/>
                <w:lang w:val="en-US" w:eastAsia="zh-CN"/>
              </w:rPr>
              <w:t>-10</w:t>
            </w:r>
            <w:r>
              <w:rPr>
                <w:rFonts w:hint="eastAsia"/>
                <w:b/>
                <w:bCs/>
                <w:color w:val="000000"/>
                <w:sz w:val="24"/>
                <w:highlight w:val="none"/>
              </w:rPr>
              <w:t xml:space="preserve">  </w:t>
            </w:r>
            <w:r>
              <w:rPr>
                <w:rFonts w:hint="eastAsia" w:hAnsi="宋体"/>
                <w:b/>
                <w:bCs/>
                <w:color w:val="000000"/>
                <w:sz w:val="24"/>
                <w:highlight w:val="none"/>
              </w:rPr>
              <w:t>本项目固体废物</w:t>
            </w:r>
            <w:r>
              <w:rPr>
                <w:rFonts w:hAnsi="宋体"/>
                <w:b/>
                <w:bCs/>
                <w:color w:val="000000"/>
                <w:sz w:val="24"/>
                <w:highlight w:val="none"/>
              </w:rPr>
              <w:t>产生及排放情况汇总表</w:t>
            </w:r>
          </w:p>
          <w:tbl>
            <w:tblPr>
              <w:tblStyle w:val="13"/>
              <w:tblW w:w="83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0"/>
              <w:gridCol w:w="2843"/>
              <w:gridCol w:w="1161"/>
              <w:gridCol w:w="743"/>
              <w:gridCol w:w="1296"/>
              <w:gridCol w:w="1824"/>
            </w:tblGrid>
            <w:tr w14:paraId="524F7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6" w:hRule="atLeast"/>
                <w:tblHeader/>
                <w:jc w:val="center"/>
              </w:trPr>
              <w:tc>
                <w:tcPr>
                  <w:tcW w:w="293" w:type="pct"/>
                  <w:noWrap w:val="0"/>
                  <w:vAlign w:val="center"/>
                </w:tcPr>
                <w:p w14:paraId="6B5B763D">
                  <w:pPr>
                    <w:ind w:right="-2" w:rightChars="-1"/>
                    <w:jc w:val="center"/>
                    <w:rPr>
                      <w:b/>
                      <w:color w:val="000000"/>
                      <w:kern w:val="0"/>
                      <w:szCs w:val="21"/>
                      <w:highlight w:val="none"/>
                    </w:rPr>
                  </w:pPr>
                  <w:r>
                    <w:rPr>
                      <w:rFonts w:hint="eastAsia"/>
                      <w:b/>
                      <w:color w:val="000000"/>
                      <w:kern w:val="0"/>
                      <w:szCs w:val="21"/>
                      <w:highlight w:val="none"/>
                    </w:rPr>
                    <w:t>序号</w:t>
                  </w:r>
                </w:p>
              </w:tc>
              <w:tc>
                <w:tcPr>
                  <w:tcW w:w="1700" w:type="pct"/>
                  <w:noWrap w:val="0"/>
                  <w:vAlign w:val="center"/>
                </w:tcPr>
                <w:p w14:paraId="21A51652">
                  <w:pPr>
                    <w:jc w:val="center"/>
                    <w:rPr>
                      <w:b/>
                      <w:color w:val="000000"/>
                      <w:kern w:val="0"/>
                      <w:szCs w:val="21"/>
                      <w:highlight w:val="none"/>
                    </w:rPr>
                  </w:pPr>
                  <w:r>
                    <w:rPr>
                      <w:rFonts w:hint="eastAsia"/>
                      <w:b/>
                      <w:color w:val="000000"/>
                      <w:kern w:val="0"/>
                      <w:szCs w:val="21"/>
                      <w:highlight w:val="none"/>
                    </w:rPr>
                    <w:t>固废</w:t>
                  </w:r>
                  <w:r>
                    <w:rPr>
                      <w:b/>
                      <w:color w:val="000000"/>
                      <w:kern w:val="0"/>
                      <w:szCs w:val="21"/>
                      <w:highlight w:val="none"/>
                    </w:rPr>
                    <w:t>名称</w:t>
                  </w:r>
                </w:p>
              </w:tc>
              <w:tc>
                <w:tcPr>
                  <w:tcW w:w="694" w:type="pct"/>
                  <w:noWrap w:val="0"/>
                  <w:vAlign w:val="center"/>
                </w:tcPr>
                <w:p w14:paraId="63CB0D1F">
                  <w:pPr>
                    <w:jc w:val="center"/>
                    <w:rPr>
                      <w:b/>
                      <w:color w:val="000000"/>
                      <w:kern w:val="0"/>
                      <w:szCs w:val="21"/>
                      <w:highlight w:val="none"/>
                    </w:rPr>
                  </w:pPr>
                  <w:r>
                    <w:rPr>
                      <w:b/>
                      <w:color w:val="000000"/>
                      <w:kern w:val="0"/>
                      <w:szCs w:val="21"/>
                      <w:highlight w:val="none"/>
                    </w:rPr>
                    <w:t>产生量</w:t>
                  </w:r>
                </w:p>
                <w:p w14:paraId="08A1B276">
                  <w:pPr>
                    <w:jc w:val="center"/>
                    <w:rPr>
                      <w:b/>
                      <w:color w:val="000000"/>
                      <w:kern w:val="0"/>
                      <w:szCs w:val="21"/>
                      <w:highlight w:val="none"/>
                    </w:rPr>
                  </w:pPr>
                  <w:r>
                    <w:rPr>
                      <w:b/>
                      <w:color w:val="000000"/>
                      <w:kern w:val="0"/>
                      <w:szCs w:val="21"/>
                      <w:highlight w:val="none"/>
                    </w:rPr>
                    <w:t>（t/a）</w:t>
                  </w:r>
                </w:p>
              </w:tc>
              <w:tc>
                <w:tcPr>
                  <w:tcW w:w="444" w:type="pct"/>
                  <w:noWrap w:val="0"/>
                  <w:vAlign w:val="center"/>
                </w:tcPr>
                <w:p w14:paraId="4DBBC32D">
                  <w:pPr>
                    <w:jc w:val="center"/>
                    <w:rPr>
                      <w:b/>
                      <w:color w:val="000000"/>
                      <w:kern w:val="0"/>
                      <w:szCs w:val="21"/>
                      <w:highlight w:val="none"/>
                    </w:rPr>
                  </w:pPr>
                  <w:r>
                    <w:rPr>
                      <w:b/>
                      <w:color w:val="000000"/>
                      <w:kern w:val="0"/>
                      <w:szCs w:val="21"/>
                      <w:highlight w:val="none"/>
                    </w:rPr>
                    <w:t>排放量</w:t>
                  </w:r>
                </w:p>
                <w:p w14:paraId="329EC27B">
                  <w:pPr>
                    <w:jc w:val="center"/>
                    <w:rPr>
                      <w:b/>
                      <w:color w:val="000000"/>
                      <w:kern w:val="0"/>
                      <w:szCs w:val="21"/>
                      <w:highlight w:val="none"/>
                    </w:rPr>
                  </w:pPr>
                  <w:r>
                    <w:rPr>
                      <w:b/>
                      <w:color w:val="000000"/>
                      <w:kern w:val="0"/>
                      <w:szCs w:val="21"/>
                      <w:highlight w:val="none"/>
                    </w:rPr>
                    <w:t>（t/a）</w:t>
                  </w:r>
                </w:p>
              </w:tc>
              <w:tc>
                <w:tcPr>
                  <w:tcW w:w="775" w:type="pct"/>
                  <w:noWrap w:val="0"/>
                  <w:vAlign w:val="center"/>
                </w:tcPr>
                <w:p w14:paraId="5E0A76BA">
                  <w:pPr>
                    <w:spacing w:line="240" w:lineRule="auto"/>
                    <w:jc w:val="center"/>
                    <w:rPr>
                      <w:b/>
                      <w:color w:val="000000"/>
                      <w:kern w:val="0"/>
                      <w:szCs w:val="21"/>
                      <w:highlight w:val="none"/>
                    </w:rPr>
                  </w:pPr>
                  <w:r>
                    <w:rPr>
                      <w:rFonts w:hint="default" w:ascii="Times New Roman" w:hAnsi="Times New Roman" w:eastAsia="宋体" w:cs="Times New Roman"/>
                      <w:b/>
                      <w:bCs/>
                      <w:color w:val="000000"/>
                      <w:sz w:val="21"/>
                      <w:szCs w:val="21"/>
                      <w:highlight w:val="none"/>
                      <w:lang w:val="en-US" w:eastAsia="zh-CN"/>
                    </w:rPr>
                    <w:t>贮存方式</w:t>
                  </w:r>
                </w:p>
              </w:tc>
              <w:tc>
                <w:tcPr>
                  <w:tcW w:w="1091" w:type="pct"/>
                  <w:noWrap w:val="0"/>
                  <w:vAlign w:val="center"/>
                </w:tcPr>
                <w:p w14:paraId="730E94CD">
                  <w:pPr>
                    <w:jc w:val="center"/>
                    <w:rPr>
                      <w:b/>
                      <w:color w:val="000000"/>
                      <w:kern w:val="0"/>
                      <w:szCs w:val="21"/>
                      <w:highlight w:val="none"/>
                    </w:rPr>
                  </w:pPr>
                  <w:r>
                    <w:rPr>
                      <w:b/>
                      <w:color w:val="000000"/>
                      <w:kern w:val="0"/>
                      <w:szCs w:val="21"/>
                      <w:highlight w:val="none"/>
                    </w:rPr>
                    <w:t>处理去向</w:t>
                  </w:r>
                </w:p>
              </w:tc>
            </w:tr>
            <w:tr w14:paraId="6DBCA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293" w:type="pct"/>
                  <w:noWrap w:val="0"/>
                  <w:vAlign w:val="center"/>
                </w:tcPr>
                <w:p w14:paraId="7BD37062">
                  <w:pPr>
                    <w:ind w:left="105" w:leftChars="50" w:right="105" w:rightChars="50"/>
                    <w:jc w:val="center"/>
                    <w:rPr>
                      <w:color w:val="000000"/>
                      <w:kern w:val="0"/>
                      <w:szCs w:val="21"/>
                      <w:highlight w:val="none"/>
                    </w:rPr>
                  </w:pPr>
                  <w:r>
                    <w:rPr>
                      <w:rFonts w:hint="eastAsia"/>
                      <w:color w:val="000000"/>
                      <w:kern w:val="0"/>
                      <w:szCs w:val="21"/>
                      <w:highlight w:val="none"/>
                    </w:rPr>
                    <w:t>1</w:t>
                  </w:r>
                </w:p>
              </w:tc>
              <w:tc>
                <w:tcPr>
                  <w:tcW w:w="1700" w:type="pct"/>
                  <w:noWrap w:val="0"/>
                  <w:vAlign w:val="center"/>
                </w:tcPr>
                <w:p w14:paraId="5043FB66">
                  <w:pPr>
                    <w:ind w:left="105" w:leftChars="50" w:right="105" w:rightChars="50"/>
                    <w:jc w:val="center"/>
                    <w:rPr>
                      <w:color w:val="000000"/>
                      <w:kern w:val="0"/>
                      <w:szCs w:val="21"/>
                      <w:highlight w:val="none"/>
                    </w:rPr>
                  </w:pPr>
                  <w:r>
                    <w:rPr>
                      <w:rFonts w:hint="eastAsia"/>
                      <w:color w:val="000000"/>
                      <w:kern w:val="0"/>
                      <w:sz w:val="21"/>
                      <w:szCs w:val="21"/>
                      <w:highlight w:val="none"/>
                    </w:rPr>
                    <w:t>生化系统污泥</w:t>
                  </w:r>
                </w:p>
              </w:tc>
              <w:tc>
                <w:tcPr>
                  <w:tcW w:w="694" w:type="pct"/>
                  <w:noWrap w:val="0"/>
                  <w:vAlign w:val="center"/>
                </w:tcPr>
                <w:p w14:paraId="40D15335">
                  <w:pPr>
                    <w:ind w:left="105" w:leftChars="50" w:right="105" w:rightChars="50"/>
                    <w:jc w:val="center"/>
                    <w:rPr>
                      <w:color w:val="000000"/>
                      <w:kern w:val="0"/>
                      <w:szCs w:val="21"/>
                      <w:highlight w:val="none"/>
                    </w:rPr>
                  </w:pPr>
                  <w:r>
                    <w:rPr>
                      <w:rFonts w:hint="eastAsia"/>
                      <w:color w:val="000000"/>
                      <w:kern w:val="0"/>
                      <w:sz w:val="21"/>
                      <w:szCs w:val="21"/>
                      <w:highlight w:val="none"/>
                      <w:lang w:val="en-US" w:eastAsia="zh-CN"/>
                    </w:rPr>
                    <w:t>125</w:t>
                  </w:r>
                </w:p>
              </w:tc>
              <w:tc>
                <w:tcPr>
                  <w:tcW w:w="444" w:type="pct"/>
                  <w:noWrap w:val="0"/>
                  <w:vAlign w:val="center"/>
                </w:tcPr>
                <w:p w14:paraId="030DFD3C">
                  <w:pPr>
                    <w:ind w:left="105" w:leftChars="50" w:right="105" w:rightChars="50"/>
                    <w:jc w:val="center"/>
                    <w:rPr>
                      <w:color w:val="000000"/>
                      <w:kern w:val="0"/>
                      <w:szCs w:val="21"/>
                      <w:highlight w:val="none"/>
                    </w:rPr>
                  </w:pPr>
                  <w:r>
                    <w:rPr>
                      <w:rFonts w:hint="eastAsia"/>
                      <w:color w:val="000000"/>
                      <w:kern w:val="0"/>
                      <w:szCs w:val="21"/>
                      <w:highlight w:val="none"/>
                    </w:rPr>
                    <w:t>0</w:t>
                  </w:r>
                </w:p>
              </w:tc>
              <w:tc>
                <w:tcPr>
                  <w:tcW w:w="775" w:type="pct"/>
                  <w:noWrap w:val="0"/>
                  <w:vAlign w:val="center"/>
                </w:tcPr>
                <w:p w14:paraId="0D49EF0D">
                  <w:pPr>
                    <w:jc w:val="center"/>
                    <w:rPr>
                      <w:color w:val="000000"/>
                      <w:kern w:val="0"/>
                      <w:szCs w:val="21"/>
                      <w:highlight w:val="none"/>
                    </w:rPr>
                  </w:pPr>
                  <w:r>
                    <w:rPr>
                      <w:rFonts w:hint="default" w:ascii="Times New Roman" w:hAnsi="Times New Roman" w:eastAsia="宋体" w:cs="Times New Roman"/>
                      <w:color w:val="000000"/>
                      <w:sz w:val="21"/>
                      <w:szCs w:val="21"/>
                      <w:highlight w:val="none"/>
                      <w:lang w:val="en-US" w:eastAsia="zh-CN"/>
                    </w:rPr>
                    <w:t>桶装</w:t>
                  </w:r>
                </w:p>
              </w:tc>
              <w:tc>
                <w:tcPr>
                  <w:tcW w:w="1091" w:type="pct"/>
                  <w:noWrap w:val="0"/>
                  <w:vAlign w:val="center"/>
                </w:tcPr>
                <w:p w14:paraId="713A59D2">
                  <w:pPr>
                    <w:ind w:left="105" w:leftChars="50" w:right="105" w:rightChars="50"/>
                    <w:jc w:val="center"/>
                    <w:rPr>
                      <w:rFonts w:hint="eastAsia"/>
                      <w:color w:val="000000"/>
                      <w:kern w:val="0"/>
                      <w:szCs w:val="21"/>
                      <w:highlight w:val="none"/>
                    </w:rPr>
                  </w:pPr>
                  <w:r>
                    <w:rPr>
                      <w:rFonts w:hint="eastAsia"/>
                      <w:color w:val="000000"/>
                      <w:kern w:val="0"/>
                      <w:szCs w:val="21"/>
                      <w:highlight w:val="none"/>
                    </w:rPr>
                    <w:t>煤场配煤</w:t>
                  </w:r>
                </w:p>
              </w:tc>
            </w:tr>
            <w:tr w14:paraId="603B3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5" w:hRule="atLeast"/>
                <w:jc w:val="center"/>
              </w:trPr>
              <w:tc>
                <w:tcPr>
                  <w:tcW w:w="293" w:type="pct"/>
                  <w:noWrap w:val="0"/>
                  <w:vAlign w:val="center"/>
                </w:tcPr>
                <w:p w14:paraId="26F93A6F">
                  <w:pPr>
                    <w:ind w:left="105" w:leftChars="50" w:right="105" w:rightChars="50"/>
                    <w:jc w:val="center"/>
                    <w:rPr>
                      <w:rFonts w:hint="eastAsia" w:eastAsia="宋体"/>
                      <w:color w:val="000000"/>
                      <w:szCs w:val="21"/>
                      <w:highlight w:val="none"/>
                      <w:lang w:val="en-US" w:eastAsia="zh-CN"/>
                    </w:rPr>
                  </w:pPr>
                  <w:r>
                    <w:rPr>
                      <w:rFonts w:hint="eastAsia"/>
                      <w:color w:val="000000"/>
                      <w:szCs w:val="21"/>
                      <w:highlight w:val="none"/>
                      <w:lang w:val="en-US" w:eastAsia="zh-CN"/>
                    </w:rPr>
                    <w:t>2</w:t>
                  </w:r>
                </w:p>
              </w:tc>
              <w:tc>
                <w:tcPr>
                  <w:tcW w:w="1700" w:type="pct"/>
                  <w:noWrap w:val="0"/>
                  <w:vAlign w:val="center"/>
                </w:tcPr>
                <w:p w14:paraId="26752496">
                  <w:pPr>
                    <w:ind w:left="105" w:leftChars="50" w:right="105" w:rightChars="50"/>
                    <w:jc w:val="center"/>
                    <w:rPr>
                      <w:color w:val="000000"/>
                      <w:kern w:val="0"/>
                      <w:szCs w:val="21"/>
                      <w:highlight w:val="none"/>
                    </w:rPr>
                  </w:pPr>
                  <w:r>
                    <w:rPr>
                      <w:rFonts w:hint="eastAsia"/>
                      <w:color w:val="000000"/>
                      <w:kern w:val="0"/>
                      <w:sz w:val="21"/>
                      <w:szCs w:val="21"/>
                      <w:highlight w:val="none"/>
                    </w:rPr>
                    <w:t>中水回用系统及零排放系统产生的污泥</w:t>
                  </w:r>
                </w:p>
              </w:tc>
              <w:tc>
                <w:tcPr>
                  <w:tcW w:w="694" w:type="pct"/>
                  <w:noWrap w:val="0"/>
                  <w:vAlign w:val="center"/>
                </w:tcPr>
                <w:p w14:paraId="010D3EEC">
                  <w:pPr>
                    <w:ind w:left="105" w:leftChars="50" w:right="105" w:rightChars="50"/>
                    <w:jc w:val="center"/>
                    <w:rPr>
                      <w:color w:val="000000"/>
                      <w:kern w:val="0"/>
                      <w:szCs w:val="21"/>
                      <w:highlight w:val="none"/>
                    </w:rPr>
                  </w:pPr>
                  <w:r>
                    <w:rPr>
                      <w:rFonts w:hint="eastAsia"/>
                      <w:color w:val="000000"/>
                      <w:kern w:val="0"/>
                      <w:sz w:val="21"/>
                      <w:szCs w:val="21"/>
                      <w:highlight w:val="none"/>
                      <w:lang w:val="en-US" w:eastAsia="zh-CN"/>
                    </w:rPr>
                    <w:t>100</w:t>
                  </w:r>
                </w:p>
              </w:tc>
              <w:tc>
                <w:tcPr>
                  <w:tcW w:w="444" w:type="pct"/>
                  <w:noWrap w:val="0"/>
                  <w:vAlign w:val="center"/>
                </w:tcPr>
                <w:p w14:paraId="1C9ED7DD">
                  <w:pPr>
                    <w:ind w:left="105" w:leftChars="50" w:right="105" w:rightChars="50"/>
                    <w:jc w:val="center"/>
                    <w:rPr>
                      <w:color w:val="000000"/>
                      <w:kern w:val="0"/>
                      <w:szCs w:val="21"/>
                      <w:highlight w:val="none"/>
                    </w:rPr>
                  </w:pPr>
                  <w:r>
                    <w:rPr>
                      <w:rFonts w:hint="eastAsia"/>
                      <w:color w:val="000000"/>
                      <w:kern w:val="0"/>
                      <w:szCs w:val="21"/>
                      <w:highlight w:val="none"/>
                    </w:rPr>
                    <w:t>0</w:t>
                  </w:r>
                </w:p>
              </w:tc>
              <w:tc>
                <w:tcPr>
                  <w:tcW w:w="775" w:type="pct"/>
                  <w:noWrap w:val="0"/>
                  <w:vAlign w:val="center"/>
                </w:tcPr>
                <w:p w14:paraId="70ED4A46">
                  <w:pPr>
                    <w:jc w:val="center"/>
                    <w:rPr>
                      <w:color w:val="000000"/>
                      <w:kern w:val="0"/>
                      <w:szCs w:val="21"/>
                      <w:highlight w:val="none"/>
                    </w:rPr>
                  </w:pPr>
                  <w:r>
                    <w:rPr>
                      <w:rFonts w:hint="eastAsia" w:ascii="Times New Roman" w:hAnsi="Times New Roman" w:eastAsia="宋体" w:cs="Times New Roman"/>
                      <w:color w:val="000000"/>
                      <w:sz w:val="21"/>
                      <w:szCs w:val="21"/>
                      <w:highlight w:val="none"/>
                      <w:lang w:val="en-US" w:eastAsia="zh-CN"/>
                    </w:rPr>
                    <w:t>桶装</w:t>
                  </w:r>
                </w:p>
              </w:tc>
              <w:tc>
                <w:tcPr>
                  <w:tcW w:w="1091" w:type="pct"/>
                  <w:noWrap w:val="0"/>
                  <w:vAlign w:val="center"/>
                </w:tcPr>
                <w:p w14:paraId="356AB003">
                  <w:pPr>
                    <w:ind w:left="105" w:leftChars="50" w:right="105" w:rightChars="50"/>
                    <w:jc w:val="center"/>
                    <w:rPr>
                      <w:rFonts w:hint="eastAsia"/>
                      <w:color w:val="000000"/>
                      <w:kern w:val="0"/>
                      <w:szCs w:val="21"/>
                      <w:highlight w:val="none"/>
                    </w:rPr>
                  </w:pPr>
                  <w:r>
                    <w:rPr>
                      <w:rFonts w:hint="eastAsia"/>
                      <w:color w:val="000000"/>
                      <w:kern w:val="0"/>
                      <w:szCs w:val="21"/>
                      <w:highlight w:val="none"/>
                    </w:rPr>
                    <w:t>煤场配煤</w:t>
                  </w:r>
                </w:p>
              </w:tc>
            </w:tr>
            <w:tr w14:paraId="218B2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293" w:type="pct"/>
                  <w:noWrap w:val="0"/>
                  <w:vAlign w:val="center"/>
                </w:tcPr>
                <w:p w14:paraId="39FC0B10">
                  <w:pPr>
                    <w:ind w:left="105" w:leftChars="50" w:right="105" w:rightChars="50"/>
                    <w:jc w:val="center"/>
                    <w:rPr>
                      <w:rFonts w:hint="eastAsia" w:eastAsia="宋体"/>
                      <w:color w:val="000000"/>
                      <w:szCs w:val="21"/>
                      <w:highlight w:val="none"/>
                      <w:lang w:val="en-US" w:eastAsia="zh-CN"/>
                    </w:rPr>
                  </w:pPr>
                  <w:r>
                    <w:rPr>
                      <w:rFonts w:hint="eastAsia"/>
                      <w:color w:val="000000"/>
                      <w:szCs w:val="21"/>
                      <w:highlight w:val="none"/>
                      <w:lang w:val="en-US" w:eastAsia="zh-CN"/>
                    </w:rPr>
                    <w:t>3</w:t>
                  </w:r>
                </w:p>
              </w:tc>
              <w:tc>
                <w:tcPr>
                  <w:tcW w:w="1700" w:type="pct"/>
                  <w:noWrap w:val="0"/>
                  <w:vAlign w:val="center"/>
                </w:tcPr>
                <w:p w14:paraId="1422E651">
                  <w:pPr>
                    <w:ind w:left="105" w:leftChars="50" w:right="105" w:rightChars="50"/>
                    <w:jc w:val="center"/>
                    <w:rPr>
                      <w:rFonts w:hint="eastAsia"/>
                      <w:color w:val="000000"/>
                      <w:kern w:val="0"/>
                      <w:szCs w:val="21"/>
                      <w:highlight w:val="none"/>
                    </w:rPr>
                  </w:pPr>
                  <w:r>
                    <w:rPr>
                      <w:rFonts w:hint="eastAsia"/>
                      <w:color w:val="000000"/>
                      <w:kern w:val="0"/>
                      <w:sz w:val="21"/>
                      <w:szCs w:val="21"/>
                      <w:highlight w:val="none"/>
                    </w:rPr>
                    <w:t>废活性炭</w:t>
                  </w:r>
                </w:p>
              </w:tc>
              <w:tc>
                <w:tcPr>
                  <w:tcW w:w="694" w:type="pct"/>
                  <w:noWrap w:val="0"/>
                  <w:vAlign w:val="center"/>
                </w:tcPr>
                <w:p w14:paraId="3160C34C">
                  <w:pPr>
                    <w:ind w:left="105" w:leftChars="50" w:right="105" w:rightChars="50"/>
                    <w:jc w:val="center"/>
                    <w:rPr>
                      <w:rFonts w:hint="default" w:eastAsia="宋体"/>
                      <w:color w:val="000000"/>
                      <w:kern w:val="0"/>
                      <w:szCs w:val="21"/>
                      <w:highlight w:val="none"/>
                      <w:lang w:val="en-US" w:eastAsia="zh-CN"/>
                    </w:rPr>
                  </w:pPr>
                  <w:r>
                    <w:rPr>
                      <w:rFonts w:hint="eastAsia"/>
                      <w:color w:val="000000"/>
                      <w:kern w:val="0"/>
                      <w:sz w:val="21"/>
                      <w:szCs w:val="21"/>
                      <w:highlight w:val="none"/>
                      <w:lang w:val="en-US" w:eastAsia="zh-CN"/>
                    </w:rPr>
                    <w:t>73</w:t>
                  </w:r>
                </w:p>
              </w:tc>
              <w:tc>
                <w:tcPr>
                  <w:tcW w:w="444" w:type="pct"/>
                  <w:noWrap w:val="0"/>
                  <w:vAlign w:val="center"/>
                </w:tcPr>
                <w:p w14:paraId="06E8D230">
                  <w:pPr>
                    <w:ind w:left="105" w:leftChars="50" w:right="105" w:rightChars="50"/>
                    <w:jc w:val="center"/>
                    <w:rPr>
                      <w:rFonts w:hint="eastAsia"/>
                      <w:color w:val="000000"/>
                      <w:kern w:val="0"/>
                      <w:szCs w:val="21"/>
                      <w:highlight w:val="none"/>
                    </w:rPr>
                  </w:pPr>
                  <w:r>
                    <w:rPr>
                      <w:rFonts w:hint="eastAsia"/>
                      <w:color w:val="000000"/>
                      <w:kern w:val="0"/>
                      <w:szCs w:val="21"/>
                      <w:highlight w:val="none"/>
                    </w:rPr>
                    <w:t>0</w:t>
                  </w:r>
                </w:p>
              </w:tc>
              <w:tc>
                <w:tcPr>
                  <w:tcW w:w="775" w:type="pct"/>
                  <w:noWrap w:val="0"/>
                  <w:vAlign w:val="center"/>
                </w:tcPr>
                <w:p w14:paraId="6BD0479B">
                  <w:pPr>
                    <w:jc w:val="center"/>
                    <w:rPr>
                      <w:rFonts w:hint="default" w:eastAsia="宋体"/>
                      <w:color w:val="000000"/>
                      <w:kern w:val="0"/>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桶装</w:t>
                  </w:r>
                </w:p>
              </w:tc>
              <w:tc>
                <w:tcPr>
                  <w:tcW w:w="1091" w:type="pct"/>
                  <w:noWrap w:val="0"/>
                  <w:vAlign w:val="center"/>
                </w:tcPr>
                <w:p w14:paraId="3EE56147">
                  <w:pPr>
                    <w:ind w:left="105" w:leftChars="50" w:right="105" w:rightChars="50"/>
                    <w:jc w:val="center"/>
                    <w:rPr>
                      <w:rFonts w:hint="eastAsia"/>
                      <w:color w:val="000000"/>
                      <w:kern w:val="0"/>
                      <w:szCs w:val="21"/>
                      <w:highlight w:val="none"/>
                      <w:lang w:val="en-US" w:eastAsia="zh-CN"/>
                    </w:rPr>
                  </w:pPr>
                  <w:r>
                    <w:rPr>
                      <w:rFonts w:hint="eastAsia"/>
                      <w:color w:val="000000"/>
                      <w:kern w:val="0"/>
                      <w:szCs w:val="21"/>
                      <w:highlight w:val="none"/>
                    </w:rPr>
                    <w:t>煤场配煤</w:t>
                  </w:r>
                </w:p>
              </w:tc>
            </w:tr>
            <w:tr w14:paraId="538B0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293" w:type="pct"/>
                  <w:noWrap w:val="0"/>
                  <w:vAlign w:val="center"/>
                </w:tcPr>
                <w:p w14:paraId="4181F7E3">
                  <w:pPr>
                    <w:ind w:left="105" w:leftChars="50" w:right="105" w:rightChars="50"/>
                    <w:jc w:val="center"/>
                    <w:rPr>
                      <w:rFonts w:hint="default"/>
                      <w:color w:val="000000"/>
                      <w:szCs w:val="21"/>
                      <w:highlight w:val="none"/>
                      <w:lang w:val="en-US" w:eastAsia="zh-CN"/>
                    </w:rPr>
                  </w:pPr>
                  <w:r>
                    <w:rPr>
                      <w:rFonts w:hint="eastAsia"/>
                      <w:color w:val="000000"/>
                      <w:szCs w:val="21"/>
                      <w:highlight w:val="none"/>
                      <w:lang w:val="en-US" w:eastAsia="zh-CN"/>
                    </w:rPr>
                    <w:t>4</w:t>
                  </w:r>
                </w:p>
              </w:tc>
              <w:tc>
                <w:tcPr>
                  <w:tcW w:w="1700" w:type="pct"/>
                  <w:noWrap w:val="0"/>
                  <w:vAlign w:val="center"/>
                </w:tcPr>
                <w:p w14:paraId="38E53DE2">
                  <w:pPr>
                    <w:ind w:left="105" w:leftChars="50" w:right="105" w:rightChars="50"/>
                    <w:jc w:val="center"/>
                    <w:rPr>
                      <w:rFonts w:hint="eastAsia"/>
                      <w:color w:val="000000"/>
                      <w:kern w:val="0"/>
                      <w:sz w:val="21"/>
                      <w:szCs w:val="21"/>
                      <w:highlight w:val="none"/>
                    </w:rPr>
                  </w:pPr>
                  <w:r>
                    <w:rPr>
                      <w:rFonts w:hint="eastAsia"/>
                      <w:color w:val="000000"/>
                      <w:kern w:val="0"/>
                      <w:sz w:val="21"/>
                      <w:szCs w:val="21"/>
                      <w:highlight w:val="none"/>
                      <w:lang w:val="en-US" w:eastAsia="zh-CN"/>
                    </w:rPr>
                    <w:t>废反渗透膜</w:t>
                  </w:r>
                </w:p>
              </w:tc>
              <w:tc>
                <w:tcPr>
                  <w:tcW w:w="694" w:type="pct"/>
                  <w:noWrap w:val="0"/>
                  <w:vAlign w:val="center"/>
                </w:tcPr>
                <w:p w14:paraId="2EF7263F">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10ta</w:t>
                  </w:r>
                </w:p>
              </w:tc>
              <w:tc>
                <w:tcPr>
                  <w:tcW w:w="444" w:type="pct"/>
                  <w:noWrap w:val="0"/>
                  <w:vAlign w:val="center"/>
                </w:tcPr>
                <w:p w14:paraId="391E2FC7">
                  <w:pPr>
                    <w:ind w:left="105" w:leftChars="50" w:right="105" w:rightChars="50"/>
                    <w:jc w:val="center"/>
                    <w:rPr>
                      <w:rFonts w:hint="eastAsia" w:eastAsia="宋体"/>
                      <w:color w:val="000000"/>
                      <w:kern w:val="0"/>
                      <w:szCs w:val="21"/>
                      <w:highlight w:val="none"/>
                      <w:lang w:val="en-US" w:eastAsia="zh-CN"/>
                    </w:rPr>
                  </w:pPr>
                  <w:r>
                    <w:rPr>
                      <w:rFonts w:hint="eastAsia"/>
                      <w:color w:val="000000"/>
                      <w:kern w:val="0"/>
                      <w:szCs w:val="21"/>
                      <w:highlight w:val="none"/>
                      <w:lang w:val="en-US" w:eastAsia="zh-CN"/>
                    </w:rPr>
                    <w:t>0</w:t>
                  </w:r>
                </w:p>
              </w:tc>
              <w:tc>
                <w:tcPr>
                  <w:tcW w:w="775" w:type="pct"/>
                  <w:noWrap w:val="0"/>
                  <w:vAlign w:val="center"/>
                </w:tcPr>
                <w:p w14:paraId="191A6A67">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袋装</w:t>
                  </w:r>
                </w:p>
              </w:tc>
              <w:tc>
                <w:tcPr>
                  <w:tcW w:w="1091" w:type="pct"/>
                  <w:noWrap w:val="0"/>
                  <w:vAlign w:val="center"/>
                </w:tcPr>
                <w:p w14:paraId="3A490708">
                  <w:pPr>
                    <w:ind w:left="105" w:leftChars="50" w:right="105" w:rightChars="50"/>
                    <w:jc w:val="center"/>
                    <w:rPr>
                      <w:rFonts w:hint="eastAsia" w:eastAsia="宋体"/>
                      <w:color w:val="000000"/>
                      <w:kern w:val="0"/>
                      <w:szCs w:val="21"/>
                      <w:highlight w:val="none"/>
                      <w:lang w:val="en-US" w:eastAsia="zh-CN"/>
                    </w:rPr>
                  </w:pPr>
                  <w:r>
                    <w:rPr>
                      <w:rFonts w:hint="eastAsia"/>
                      <w:color w:val="000000"/>
                      <w:kern w:val="0"/>
                      <w:szCs w:val="21"/>
                      <w:highlight w:val="none"/>
                      <w:lang w:val="en-US" w:eastAsia="zh-CN"/>
                    </w:rPr>
                    <w:t>危废库</w:t>
                  </w:r>
                </w:p>
              </w:tc>
            </w:tr>
            <w:tr w14:paraId="5B690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47" w:hRule="atLeast"/>
                <w:jc w:val="center"/>
              </w:trPr>
              <w:tc>
                <w:tcPr>
                  <w:tcW w:w="293" w:type="pct"/>
                  <w:noWrap w:val="0"/>
                  <w:vAlign w:val="center"/>
                </w:tcPr>
                <w:p w14:paraId="526B2974">
                  <w:pPr>
                    <w:ind w:left="105" w:leftChars="50" w:right="105" w:rightChars="50"/>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5</w:t>
                  </w:r>
                </w:p>
              </w:tc>
              <w:tc>
                <w:tcPr>
                  <w:tcW w:w="2843" w:type="dxa"/>
                  <w:noWrap w:val="0"/>
                  <w:vAlign w:val="center"/>
                </w:tcPr>
                <w:p w14:paraId="7355F62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kern w:val="0"/>
                      <w:szCs w:val="21"/>
                      <w:highlight w:val="none"/>
                    </w:rPr>
                  </w:pPr>
                  <w:r>
                    <w:rPr>
                      <w:rFonts w:hint="eastAsia"/>
                      <w:color w:val="000000"/>
                      <w:kern w:val="0"/>
                      <w:sz w:val="21"/>
                      <w:szCs w:val="21"/>
                      <w:highlight w:val="none"/>
                      <w:lang w:val="en-US" w:eastAsia="zh-CN"/>
                    </w:rPr>
                    <w:t>浓盐水蒸发结晶盐</w:t>
                  </w:r>
                </w:p>
              </w:tc>
              <w:tc>
                <w:tcPr>
                  <w:tcW w:w="694" w:type="pct"/>
                  <w:noWrap w:val="0"/>
                  <w:vAlign w:val="center"/>
                </w:tcPr>
                <w:p w14:paraId="2CBB4EF4">
                  <w:pPr>
                    <w:ind w:left="105" w:leftChars="50" w:right="105" w:rightChars="50"/>
                    <w:jc w:val="center"/>
                    <w:rPr>
                      <w:rFonts w:hint="eastAsia"/>
                      <w:color w:val="000000"/>
                      <w:kern w:val="0"/>
                      <w:szCs w:val="21"/>
                      <w:highlight w:val="none"/>
                    </w:rPr>
                  </w:pPr>
                  <w:r>
                    <w:rPr>
                      <w:rFonts w:hint="eastAsia"/>
                      <w:color w:val="000000"/>
                      <w:kern w:val="0"/>
                      <w:sz w:val="21"/>
                      <w:szCs w:val="21"/>
                      <w:highlight w:val="none"/>
                      <w:lang w:val="en-US" w:eastAsia="zh-CN"/>
                    </w:rPr>
                    <w:t>5000</w:t>
                  </w:r>
                </w:p>
              </w:tc>
              <w:tc>
                <w:tcPr>
                  <w:tcW w:w="444" w:type="pct"/>
                  <w:noWrap w:val="0"/>
                  <w:vAlign w:val="center"/>
                </w:tcPr>
                <w:p w14:paraId="32C7AE84">
                  <w:pPr>
                    <w:ind w:left="105" w:leftChars="50" w:right="105" w:rightChars="50"/>
                    <w:jc w:val="center"/>
                    <w:rPr>
                      <w:color w:val="000000"/>
                      <w:kern w:val="0"/>
                      <w:szCs w:val="21"/>
                      <w:highlight w:val="none"/>
                    </w:rPr>
                  </w:pPr>
                  <w:r>
                    <w:rPr>
                      <w:rFonts w:hint="eastAsia"/>
                      <w:color w:val="000000"/>
                      <w:kern w:val="0"/>
                      <w:szCs w:val="21"/>
                      <w:highlight w:val="none"/>
                    </w:rPr>
                    <w:t>0</w:t>
                  </w:r>
                </w:p>
              </w:tc>
              <w:tc>
                <w:tcPr>
                  <w:tcW w:w="775" w:type="pct"/>
                  <w:noWrap w:val="0"/>
                  <w:vAlign w:val="center"/>
                </w:tcPr>
                <w:p w14:paraId="3D8C5815">
                  <w:pPr>
                    <w:jc w:val="center"/>
                    <w:rPr>
                      <w:color w:val="000000"/>
                      <w:kern w:val="0"/>
                      <w:szCs w:val="21"/>
                      <w:highlight w:val="none"/>
                    </w:rPr>
                  </w:pPr>
                  <w:r>
                    <w:rPr>
                      <w:rFonts w:hint="eastAsia" w:ascii="Times New Roman" w:hAnsi="Times New Roman" w:eastAsia="宋体" w:cs="Times New Roman"/>
                      <w:color w:val="000000"/>
                      <w:sz w:val="21"/>
                      <w:szCs w:val="21"/>
                      <w:highlight w:val="none"/>
                      <w:lang w:val="en-US" w:eastAsia="zh-CN"/>
                    </w:rPr>
                    <w:t>袋装</w:t>
                  </w:r>
                </w:p>
              </w:tc>
              <w:tc>
                <w:tcPr>
                  <w:tcW w:w="1091" w:type="pct"/>
                  <w:noWrap w:val="0"/>
                  <w:vAlign w:val="center"/>
                </w:tcPr>
                <w:p w14:paraId="07E9BC42">
                  <w:pPr>
                    <w:ind w:left="105" w:leftChars="50" w:right="105" w:rightChars="50"/>
                    <w:jc w:val="center"/>
                    <w:rPr>
                      <w:rFonts w:hint="default" w:eastAsia="宋体"/>
                      <w:color w:val="000000"/>
                      <w:kern w:val="0"/>
                      <w:szCs w:val="21"/>
                      <w:highlight w:val="none"/>
                      <w:lang w:val="en-US" w:eastAsia="zh-CN"/>
                    </w:rPr>
                  </w:pPr>
                  <w:r>
                    <w:rPr>
                      <w:rFonts w:hint="eastAsia"/>
                      <w:color w:val="000000"/>
                      <w:kern w:val="0"/>
                      <w:szCs w:val="21"/>
                      <w:highlight w:val="none"/>
                    </w:rPr>
                    <w:t>属性鉴定</w:t>
                  </w:r>
                  <w:r>
                    <w:rPr>
                      <w:rFonts w:hint="eastAsia"/>
                      <w:color w:val="000000"/>
                      <w:kern w:val="0"/>
                      <w:szCs w:val="21"/>
                      <w:highlight w:val="none"/>
                      <w:lang w:val="en-US" w:eastAsia="zh-CN"/>
                    </w:rPr>
                    <w:t>后判断去向</w:t>
                  </w:r>
                </w:p>
              </w:tc>
            </w:tr>
            <w:tr w14:paraId="53542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47" w:hRule="atLeast"/>
                <w:jc w:val="center"/>
              </w:trPr>
              <w:tc>
                <w:tcPr>
                  <w:tcW w:w="293" w:type="pct"/>
                  <w:noWrap w:val="0"/>
                  <w:vAlign w:val="center"/>
                </w:tcPr>
                <w:p w14:paraId="7F68F9DB">
                  <w:pPr>
                    <w:ind w:left="105" w:leftChars="50" w:right="105" w:rightChars="50"/>
                    <w:jc w:val="center"/>
                    <w:rPr>
                      <w:rFonts w:hint="default"/>
                      <w:color w:val="000000"/>
                      <w:szCs w:val="21"/>
                      <w:highlight w:val="none"/>
                      <w:lang w:val="en-US" w:eastAsia="zh-CN"/>
                    </w:rPr>
                  </w:pPr>
                  <w:r>
                    <w:rPr>
                      <w:rFonts w:hint="eastAsia"/>
                      <w:color w:val="000000"/>
                      <w:szCs w:val="21"/>
                      <w:highlight w:val="none"/>
                      <w:lang w:val="en-US" w:eastAsia="zh-CN"/>
                    </w:rPr>
                    <w:t>6</w:t>
                  </w:r>
                </w:p>
              </w:tc>
              <w:tc>
                <w:tcPr>
                  <w:tcW w:w="2843" w:type="dxa"/>
                  <w:noWrap w:val="0"/>
                  <w:vAlign w:val="center"/>
                </w:tcPr>
                <w:p w14:paraId="31AB091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kern w:val="0"/>
                      <w:sz w:val="21"/>
                      <w:szCs w:val="21"/>
                      <w:highlight w:val="none"/>
                      <w:lang w:val="en-US" w:eastAsia="zh-CN"/>
                    </w:rPr>
                  </w:pPr>
                  <w:r>
                    <w:rPr>
                      <w:rFonts w:hint="eastAsia"/>
                      <w:color w:val="000000"/>
                      <w:kern w:val="0"/>
                      <w:sz w:val="21"/>
                      <w:szCs w:val="21"/>
                      <w:highlight w:val="none"/>
                      <w:lang w:val="en-US" w:eastAsia="zh-CN"/>
                    </w:rPr>
                    <w:t>脱硫废水蒸发结晶盐</w:t>
                  </w:r>
                </w:p>
              </w:tc>
              <w:tc>
                <w:tcPr>
                  <w:tcW w:w="694" w:type="pct"/>
                  <w:noWrap w:val="0"/>
                  <w:vAlign w:val="center"/>
                </w:tcPr>
                <w:p w14:paraId="6D121FE8">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3300</w:t>
                  </w:r>
                </w:p>
              </w:tc>
              <w:tc>
                <w:tcPr>
                  <w:tcW w:w="743" w:type="dxa"/>
                  <w:noWrap w:val="0"/>
                  <w:vAlign w:val="center"/>
                </w:tcPr>
                <w:p w14:paraId="6B212E27">
                  <w:pPr>
                    <w:ind w:left="105" w:leftChars="50" w:right="105" w:rightChars="50"/>
                    <w:jc w:val="center"/>
                    <w:rPr>
                      <w:rFonts w:hint="eastAsia"/>
                      <w:color w:val="000000"/>
                      <w:kern w:val="0"/>
                      <w:szCs w:val="21"/>
                      <w:highlight w:val="none"/>
                    </w:rPr>
                  </w:pPr>
                  <w:r>
                    <w:rPr>
                      <w:rFonts w:hint="eastAsia"/>
                      <w:color w:val="000000"/>
                      <w:kern w:val="0"/>
                      <w:szCs w:val="21"/>
                      <w:highlight w:val="none"/>
                    </w:rPr>
                    <w:t>0</w:t>
                  </w:r>
                </w:p>
              </w:tc>
              <w:tc>
                <w:tcPr>
                  <w:tcW w:w="1296" w:type="dxa"/>
                  <w:noWrap w:val="0"/>
                  <w:vAlign w:val="center"/>
                </w:tcPr>
                <w:p w14:paraId="08BD26B2">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袋装</w:t>
                  </w:r>
                </w:p>
              </w:tc>
              <w:tc>
                <w:tcPr>
                  <w:tcW w:w="1824" w:type="dxa"/>
                  <w:noWrap w:val="0"/>
                  <w:vAlign w:val="center"/>
                </w:tcPr>
                <w:p w14:paraId="390ED9B3">
                  <w:pPr>
                    <w:ind w:left="105" w:leftChars="50" w:right="105" w:rightChars="50"/>
                    <w:jc w:val="center"/>
                    <w:rPr>
                      <w:rFonts w:hint="eastAsia"/>
                      <w:color w:val="000000"/>
                      <w:kern w:val="0"/>
                      <w:szCs w:val="21"/>
                      <w:highlight w:val="none"/>
                    </w:rPr>
                  </w:pPr>
                  <w:r>
                    <w:rPr>
                      <w:rFonts w:hint="eastAsia"/>
                      <w:color w:val="000000"/>
                      <w:kern w:val="0"/>
                      <w:szCs w:val="21"/>
                      <w:highlight w:val="none"/>
                    </w:rPr>
                    <w:t>属性鉴定</w:t>
                  </w:r>
                  <w:r>
                    <w:rPr>
                      <w:rFonts w:hint="eastAsia"/>
                      <w:color w:val="000000"/>
                      <w:kern w:val="0"/>
                      <w:szCs w:val="21"/>
                      <w:highlight w:val="none"/>
                      <w:lang w:val="en-US" w:eastAsia="zh-CN"/>
                    </w:rPr>
                    <w:t>后判断去向</w:t>
                  </w:r>
                </w:p>
              </w:tc>
            </w:tr>
          </w:tbl>
          <w:p w14:paraId="16055DBA">
            <w:pPr>
              <w:pStyle w:val="4"/>
              <w:spacing w:after="0" w:line="360" w:lineRule="auto"/>
              <w:ind w:right="103" w:firstLine="480" w:firstLineChars="200"/>
              <w:rPr>
                <w:rFonts w:hint="eastAsia"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rPr>
              <w:t>本项目运营期产生的危险废物的收集、暂存和保管等均应按照</w:t>
            </w:r>
            <w:r>
              <w:rPr>
                <w:rFonts w:ascii="Times New Roman" w:hAnsi="Times New Roman" w:eastAsia="宋体"/>
                <w:b w:val="0"/>
                <w:color w:val="000000"/>
                <w:kern w:val="0"/>
                <w:sz w:val="24"/>
                <w:szCs w:val="24"/>
                <w:highlight w:val="none"/>
              </w:rPr>
              <w:t>危险废物执行《危险废物贮存污染控制标准》（GB18597-20</w:t>
            </w:r>
            <w:r>
              <w:rPr>
                <w:rFonts w:hint="eastAsia" w:ascii="Times New Roman" w:hAnsi="Times New Roman" w:eastAsia="宋体"/>
                <w:b w:val="0"/>
                <w:color w:val="000000"/>
                <w:kern w:val="0"/>
                <w:sz w:val="24"/>
                <w:szCs w:val="24"/>
                <w:highlight w:val="none"/>
                <w:lang w:val="en-US" w:eastAsia="zh-CN"/>
              </w:rPr>
              <w:t>23</w:t>
            </w:r>
            <w:r>
              <w:rPr>
                <w:rFonts w:ascii="Times New Roman" w:hAnsi="Times New Roman" w:eastAsia="宋体"/>
                <w:b w:val="0"/>
                <w:color w:val="000000"/>
                <w:kern w:val="0"/>
                <w:sz w:val="24"/>
                <w:szCs w:val="24"/>
                <w:highlight w:val="none"/>
              </w:rPr>
              <w:t>）。另外，危险废物收集、运输、包装等应符合《危险废物污染防治技术政策》和《危险废物转移联单管理办法》中的规定。</w:t>
            </w:r>
            <w:r>
              <w:rPr>
                <w:rFonts w:hint="eastAsia" w:ascii="Times New Roman" w:hAnsi="Times New Roman" w:eastAsia="宋体"/>
                <w:b w:val="0"/>
                <w:color w:val="000000"/>
                <w:kern w:val="0"/>
                <w:sz w:val="24"/>
                <w:szCs w:val="24"/>
                <w:highlight w:val="none"/>
              </w:rPr>
              <w:t>具体要求如下：</w:t>
            </w:r>
          </w:p>
          <w:p w14:paraId="788C2499">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1</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暂存地点地面及裙角应做耐腐蚀硬化、防渗漏处理，且表面无裂隙，所使用的材料要与危险废物相容。</w:t>
            </w:r>
          </w:p>
          <w:p w14:paraId="73252D8B">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2</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应选择防腐、防漏、防磕碰、密封严密的容器进行贮存和运输，储存于阴凉、通风良好的库房，远离火种、热源，库房应有专门的人员看管。贮存库看管人员和危险废物运输人员在工作中应佩带防护用具，并应配备医疗急救用品。</w:t>
            </w:r>
          </w:p>
          <w:p w14:paraId="05850714">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3</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为避免泥饼长期存储后，厌氧发酵散发异味，污泥脱水机房的脱水污泥等暂存后，应做到及时运走处置。</w:t>
            </w:r>
          </w:p>
          <w:p w14:paraId="75E89B8D">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4</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在运往污泥处置场所过程中，应采用密闭车辆进行运输，不得使用敞棚车辆运输，运输过程中，应采取防渗漏和撒落的措施。</w:t>
            </w:r>
          </w:p>
          <w:p w14:paraId="10F2306E">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5</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日常运营过程中应对</w:t>
            </w:r>
            <w:r>
              <w:rPr>
                <w:rFonts w:hint="eastAsia" w:ascii="Times New Roman" w:hAnsi="Times New Roman" w:eastAsia="宋体"/>
                <w:b w:val="0"/>
                <w:color w:val="000000"/>
                <w:sz w:val="24"/>
                <w:szCs w:val="24"/>
                <w:highlight w:val="none"/>
                <w:lang w:val="en-US" w:eastAsia="zh-CN"/>
              </w:rPr>
              <w:t>蒸发结晶盐</w:t>
            </w:r>
            <w:r>
              <w:rPr>
                <w:rFonts w:ascii="Times New Roman" w:hAnsi="Times New Roman" w:eastAsia="宋体"/>
                <w:b w:val="0"/>
                <w:color w:val="000000"/>
                <w:sz w:val="24"/>
                <w:szCs w:val="24"/>
                <w:highlight w:val="none"/>
              </w:rPr>
              <w:t>进行取样监测，调查</w:t>
            </w:r>
            <w:r>
              <w:rPr>
                <w:rFonts w:hint="eastAsia" w:ascii="Times New Roman" w:hAnsi="Times New Roman" w:eastAsia="宋体"/>
                <w:b w:val="0"/>
                <w:color w:val="000000"/>
                <w:sz w:val="24"/>
                <w:szCs w:val="24"/>
                <w:highlight w:val="none"/>
                <w:lang w:val="en-US" w:eastAsia="zh-CN"/>
              </w:rPr>
              <w:t>结晶盐</w:t>
            </w:r>
            <w:r>
              <w:rPr>
                <w:rFonts w:ascii="Times New Roman" w:hAnsi="Times New Roman" w:eastAsia="宋体"/>
                <w:b w:val="0"/>
                <w:color w:val="000000"/>
                <w:sz w:val="24"/>
                <w:szCs w:val="24"/>
                <w:highlight w:val="none"/>
              </w:rPr>
              <w:t>中的重金属元素和有毒有害成分，按照《危险废物鉴别标准浸出毒性鉴别》（GB5085.3-2007）进行鉴别，满足《危险废弃物鉴别标准浸出毒性鉴别》要求的，应作为危险废物</w:t>
            </w:r>
            <w:r>
              <w:rPr>
                <w:rFonts w:hint="eastAsia" w:ascii="Times New Roman" w:hAnsi="Times New Roman" w:eastAsia="宋体"/>
                <w:b w:val="0"/>
                <w:color w:val="000000"/>
                <w:sz w:val="24"/>
                <w:szCs w:val="24"/>
                <w:highlight w:val="none"/>
                <w:lang w:val="en-US" w:eastAsia="zh-CN"/>
              </w:rPr>
              <w:t>管</w:t>
            </w:r>
            <w:r>
              <w:rPr>
                <w:rFonts w:ascii="Times New Roman" w:hAnsi="Times New Roman" w:eastAsia="宋体"/>
                <w:b w:val="0"/>
                <w:color w:val="000000"/>
                <w:sz w:val="24"/>
                <w:szCs w:val="24"/>
                <w:highlight w:val="none"/>
              </w:rPr>
              <w:t>理。</w:t>
            </w:r>
          </w:p>
          <w:p w14:paraId="0BE698FA">
            <w:pPr>
              <w:pStyle w:val="4"/>
              <w:spacing w:after="0" w:line="360" w:lineRule="auto"/>
              <w:ind w:right="103" w:firstLine="480" w:firstLineChars="200"/>
              <w:rPr>
                <w:rFonts w:ascii="Times New Roman" w:hAnsi="Times New Roman" w:eastAsia="宋体"/>
                <w:b w:val="0"/>
                <w:color w:val="000000"/>
                <w:sz w:val="24"/>
                <w:szCs w:val="24"/>
                <w:highlight w:val="none"/>
              </w:rPr>
            </w:pPr>
            <w:r>
              <w:rPr>
                <w:rFonts w:hint="eastAsia" w:ascii="Times New Roman" w:hAnsi="Times New Roman" w:eastAsia="宋体"/>
                <w:b w:val="0"/>
                <w:color w:val="000000"/>
                <w:sz w:val="24"/>
                <w:szCs w:val="24"/>
                <w:highlight w:val="none"/>
                <w:lang w:eastAsia="zh-CN"/>
              </w:rPr>
              <w:t>（</w:t>
            </w:r>
            <w:r>
              <w:rPr>
                <w:rFonts w:hint="eastAsia" w:ascii="Times New Roman" w:hAnsi="Times New Roman" w:eastAsia="宋体"/>
                <w:b w:val="0"/>
                <w:color w:val="000000"/>
                <w:sz w:val="24"/>
                <w:szCs w:val="24"/>
                <w:highlight w:val="none"/>
                <w:lang w:val="en-US" w:eastAsia="zh-CN"/>
              </w:rPr>
              <w:t>6</w:t>
            </w:r>
            <w:r>
              <w:rPr>
                <w:rFonts w:hint="eastAsia" w:ascii="Times New Roman" w:hAnsi="Times New Roman" w:eastAsia="宋体"/>
                <w:b w:val="0"/>
                <w:color w:val="000000"/>
                <w:sz w:val="24"/>
                <w:szCs w:val="24"/>
                <w:highlight w:val="none"/>
                <w:lang w:eastAsia="zh-CN"/>
              </w:rPr>
              <w:t>）</w:t>
            </w:r>
            <w:r>
              <w:rPr>
                <w:rFonts w:ascii="Times New Roman" w:hAnsi="Times New Roman" w:eastAsia="宋体"/>
                <w:b w:val="0"/>
                <w:color w:val="000000"/>
                <w:sz w:val="24"/>
                <w:szCs w:val="24"/>
                <w:highlight w:val="none"/>
              </w:rPr>
              <w:t>建立档案制度，对暂存的废物种类、数量、特性、包装容器类别、存放库位、存入日期、运出日期等详细记录并长期保存。建立定期巡查、维护制度；参照危险废物管理，建立</w:t>
            </w:r>
            <w:r>
              <w:rPr>
                <w:rFonts w:hint="eastAsia" w:ascii="Times New Roman" w:hAnsi="Times New Roman" w:eastAsia="宋体"/>
                <w:b w:val="0"/>
                <w:color w:val="000000"/>
                <w:sz w:val="24"/>
                <w:szCs w:val="24"/>
                <w:highlight w:val="none"/>
                <w:lang w:val="en-US" w:eastAsia="zh-CN"/>
              </w:rPr>
              <w:t>危险废物</w:t>
            </w:r>
            <w:r>
              <w:rPr>
                <w:rFonts w:ascii="Times New Roman" w:hAnsi="Times New Roman" w:eastAsia="宋体"/>
                <w:b w:val="0"/>
                <w:color w:val="000000"/>
                <w:sz w:val="24"/>
                <w:szCs w:val="24"/>
                <w:highlight w:val="none"/>
              </w:rPr>
              <w:t>转移联单制度。污水处理</w:t>
            </w:r>
            <w:r>
              <w:rPr>
                <w:rFonts w:hint="eastAsia" w:ascii="Times New Roman" w:hAnsi="Times New Roman" w:eastAsia="宋体"/>
                <w:b w:val="0"/>
                <w:color w:val="000000"/>
                <w:sz w:val="24"/>
                <w:szCs w:val="24"/>
                <w:highlight w:val="none"/>
                <w:lang w:val="en-US" w:eastAsia="zh-CN"/>
              </w:rPr>
              <w:t>站</w:t>
            </w:r>
            <w:r>
              <w:rPr>
                <w:rFonts w:ascii="Times New Roman" w:hAnsi="Times New Roman" w:eastAsia="宋体"/>
                <w:b w:val="0"/>
                <w:color w:val="000000"/>
                <w:sz w:val="24"/>
                <w:szCs w:val="24"/>
                <w:highlight w:val="none"/>
              </w:rPr>
              <w:t>转出</w:t>
            </w:r>
            <w:r>
              <w:rPr>
                <w:rFonts w:hint="eastAsia" w:ascii="Times New Roman" w:hAnsi="Times New Roman" w:eastAsia="宋体"/>
                <w:b w:val="0"/>
                <w:color w:val="000000"/>
                <w:sz w:val="24"/>
                <w:szCs w:val="24"/>
                <w:highlight w:val="none"/>
                <w:lang w:val="en-US" w:eastAsia="zh-CN"/>
              </w:rPr>
              <w:t>危险废物</w:t>
            </w:r>
            <w:r>
              <w:rPr>
                <w:rFonts w:ascii="Times New Roman" w:hAnsi="Times New Roman" w:eastAsia="宋体"/>
                <w:b w:val="0"/>
                <w:color w:val="000000"/>
                <w:sz w:val="24"/>
                <w:szCs w:val="24"/>
                <w:highlight w:val="none"/>
              </w:rPr>
              <w:t>时应如实填写转移联单；禁止</w:t>
            </w:r>
            <w:r>
              <w:rPr>
                <w:rFonts w:hint="eastAsia" w:ascii="Times New Roman" w:hAnsi="Times New Roman" w:eastAsia="宋体"/>
                <w:b w:val="0"/>
                <w:color w:val="000000"/>
                <w:sz w:val="24"/>
                <w:szCs w:val="24"/>
                <w:highlight w:val="none"/>
                <w:lang w:val="en-US" w:eastAsia="zh-CN"/>
              </w:rPr>
              <w:t>危险废物</w:t>
            </w:r>
            <w:r>
              <w:rPr>
                <w:rFonts w:ascii="Times New Roman" w:hAnsi="Times New Roman" w:eastAsia="宋体"/>
                <w:b w:val="0"/>
                <w:color w:val="000000"/>
                <w:sz w:val="24"/>
                <w:szCs w:val="24"/>
                <w:highlight w:val="none"/>
              </w:rPr>
              <w:t>运输单位、处理处置单位接收无转移联单的</w:t>
            </w:r>
            <w:r>
              <w:rPr>
                <w:rFonts w:hint="eastAsia" w:ascii="Times New Roman" w:hAnsi="Times New Roman" w:eastAsia="宋体"/>
                <w:b w:val="0"/>
                <w:color w:val="000000"/>
                <w:sz w:val="24"/>
                <w:szCs w:val="24"/>
                <w:highlight w:val="none"/>
                <w:lang w:val="en-US" w:eastAsia="zh-CN"/>
              </w:rPr>
              <w:t>危险废物</w:t>
            </w:r>
            <w:r>
              <w:rPr>
                <w:rFonts w:ascii="Times New Roman" w:hAnsi="Times New Roman" w:eastAsia="宋体"/>
                <w:b w:val="0"/>
                <w:color w:val="000000"/>
                <w:sz w:val="24"/>
                <w:szCs w:val="24"/>
                <w:highlight w:val="none"/>
              </w:rPr>
              <w:t>。</w:t>
            </w:r>
          </w:p>
          <w:p w14:paraId="23C0F7AB">
            <w:pPr>
              <w:pStyle w:val="4"/>
              <w:keepNext w:val="0"/>
              <w:keepLines w:val="0"/>
              <w:pageBreakBefore w:val="0"/>
              <w:kinsoku/>
              <w:wordWrap/>
              <w:overflowPunct/>
              <w:topLinePunct w:val="0"/>
              <w:autoSpaceDE/>
              <w:autoSpaceDN/>
              <w:bidi w:val="0"/>
              <w:adjustRightInd w:val="0"/>
              <w:snapToGrid w:val="0"/>
              <w:spacing w:before="0" w:after="0" w:line="360" w:lineRule="auto"/>
              <w:ind w:right="0" w:firstLine="482" w:firstLineChars="200"/>
              <w:rPr>
                <w:rFonts w:hint="default" w:ascii="Times New Roman" w:hAnsi="宋体" w:eastAsia="宋体"/>
                <w:b w:val="0"/>
                <w:color w:val="000000"/>
                <w:kern w:val="2"/>
                <w:sz w:val="24"/>
                <w:szCs w:val="24"/>
                <w:highlight w:val="none"/>
                <w:lang w:val="en-US" w:eastAsia="zh-CN"/>
              </w:rPr>
            </w:pPr>
            <w:r>
              <w:rPr>
                <w:rFonts w:hint="eastAsia" w:ascii="Times New Roman" w:hAnsi="宋体" w:eastAsia="宋体"/>
                <w:b/>
                <w:bCs/>
                <w:color w:val="000000"/>
                <w:kern w:val="2"/>
                <w:sz w:val="24"/>
                <w:szCs w:val="24"/>
                <w:highlight w:val="none"/>
                <w:lang w:val="en-US" w:eastAsia="zh-CN"/>
              </w:rPr>
              <w:t>危废库依托可行性分析</w:t>
            </w:r>
            <w:r>
              <w:rPr>
                <w:rFonts w:hint="eastAsia" w:ascii="Times New Roman" w:hAnsi="宋体" w:eastAsia="宋体"/>
                <w:b w:val="0"/>
                <w:color w:val="000000"/>
                <w:kern w:val="2"/>
                <w:sz w:val="24"/>
                <w:szCs w:val="24"/>
                <w:highlight w:val="none"/>
                <w:lang w:val="en-US" w:eastAsia="zh-CN"/>
              </w:rPr>
              <w:t>：</w:t>
            </w:r>
          </w:p>
          <w:p w14:paraId="07D1E739">
            <w:pPr>
              <w:pStyle w:val="4"/>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rPr>
                <w:rFonts w:hint="default" w:ascii="Times New Roman" w:hAnsi="Times New Roman" w:eastAsia="宋体"/>
                <w:b w:val="0"/>
                <w:color w:val="000000"/>
                <w:sz w:val="24"/>
                <w:highlight w:val="none"/>
                <w:lang w:val="en-US"/>
              </w:rPr>
            </w:pPr>
            <w:r>
              <w:rPr>
                <w:rFonts w:ascii="Times New Roman" w:hAnsi="宋体" w:eastAsia="宋体"/>
                <w:b w:val="0"/>
                <w:color w:val="000000"/>
                <w:kern w:val="2"/>
                <w:sz w:val="24"/>
                <w:szCs w:val="24"/>
                <w:highlight w:val="none"/>
              </w:rPr>
              <w:t>本项目所在</w:t>
            </w:r>
            <w:r>
              <w:rPr>
                <w:rFonts w:ascii="Times New Roman" w:hAnsi="宋体" w:eastAsia="宋体"/>
                <w:b w:val="0"/>
                <w:color w:val="000000"/>
                <w:sz w:val="24"/>
                <w:szCs w:val="24"/>
                <w:highlight w:val="none"/>
              </w:rPr>
              <w:t>厂区</w:t>
            </w:r>
            <w:r>
              <w:rPr>
                <w:rFonts w:hint="eastAsia" w:ascii="Times New Roman" w:hAnsi="宋体" w:eastAsia="宋体"/>
                <w:b w:val="0"/>
                <w:color w:val="000000"/>
                <w:sz w:val="24"/>
                <w:szCs w:val="24"/>
                <w:highlight w:val="none"/>
              </w:rPr>
              <w:t>已经</w:t>
            </w:r>
            <w:r>
              <w:rPr>
                <w:rFonts w:ascii="Times New Roman" w:hAnsi="宋体" w:eastAsia="宋体"/>
                <w:b w:val="0"/>
                <w:color w:val="000000"/>
                <w:sz w:val="24"/>
                <w:szCs w:val="24"/>
                <w:highlight w:val="none"/>
              </w:rPr>
              <w:t>设有</w:t>
            </w:r>
            <w:r>
              <w:rPr>
                <w:rFonts w:hint="eastAsia" w:ascii="Times New Roman" w:hAnsi="宋体" w:eastAsia="宋体"/>
                <w:b w:val="0"/>
                <w:color w:val="000000"/>
                <w:sz w:val="24"/>
                <w:szCs w:val="24"/>
                <w:highlight w:val="none"/>
                <w:lang w:val="en-US" w:eastAsia="zh-CN"/>
              </w:rPr>
              <w:t>45</w:t>
            </w:r>
            <w:r>
              <w:rPr>
                <w:rFonts w:ascii="Times New Roman" w:hAnsi="Times New Roman" w:eastAsia="宋体"/>
                <w:b w:val="0"/>
                <w:color w:val="000000"/>
                <w:sz w:val="24"/>
                <w:szCs w:val="24"/>
                <w:highlight w:val="none"/>
              </w:rPr>
              <w:t>0m</w:t>
            </w:r>
            <w:r>
              <w:rPr>
                <w:rFonts w:ascii="Times New Roman" w:hAnsi="Times New Roman" w:eastAsia="宋体"/>
                <w:b w:val="0"/>
                <w:color w:val="000000"/>
                <w:sz w:val="24"/>
                <w:szCs w:val="24"/>
                <w:highlight w:val="none"/>
                <w:vertAlign w:val="superscript"/>
              </w:rPr>
              <w:t>2</w:t>
            </w:r>
            <w:r>
              <w:rPr>
                <w:rFonts w:ascii="Times New Roman" w:hAnsi="宋体" w:eastAsia="宋体"/>
                <w:b w:val="0"/>
                <w:color w:val="000000"/>
                <w:sz w:val="24"/>
                <w:szCs w:val="24"/>
                <w:highlight w:val="none"/>
              </w:rPr>
              <w:t>危废暂存间，</w:t>
            </w:r>
            <w:r>
              <w:rPr>
                <w:rFonts w:hint="eastAsia" w:ascii="Times New Roman" w:hAnsi="宋体" w:eastAsia="宋体"/>
                <w:b w:val="0"/>
                <w:color w:val="000000"/>
                <w:sz w:val="24"/>
                <w:szCs w:val="24"/>
                <w:highlight w:val="none"/>
              </w:rPr>
              <w:t>地面及裙角应做耐腐蚀硬化、防渗漏处理</w:t>
            </w:r>
            <w:r>
              <w:rPr>
                <w:rFonts w:hint="eastAsia" w:ascii="Times New Roman" w:hAnsi="宋体" w:eastAsia="宋体"/>
                <w:b w:val="0"/>
                <w:color w:val="000000"/>
                <w:sz w:val="24"/>
                <w:szCs w:val="24"/>
                <w:highlight w:val="none"/>
                <w:lang w:eastAsia="zh-CN"/>
              </w:rPr>
              <w:t>，</w:t>
            </w:r>
            <w:r>
              <w:rPr>
                <w:rFonts w:hint="eastAsia" w:ascii="Times New Roman" w:hAnsi="宋体" w:eastAsia="宋体"/>
                <w:b w:val="0"/>
                <w:color w:val="000000"/>
                <w:sz w:val="24"/>
                <w:szCs w:val="24"/>
                <w:highlight w:val="none"/>
                <w:lang w:val="en-US" w:eastAsia="zh-CN"/>
              </w:rPr>
              <w:t>满足</w:t>
            </w:r>
            <w:r>
              <w:rPr>
                <w:rFonts w:hint="eastAsia" w:ascii="Times New Roman" w:hAnsi="宋体" w:eastAsia="宋体"/>
                <w:b w:val="0"/>
                <w:color w:val="000000"/>
                <w:sz w:val="24"/>
                <w:szCs w:val="24"/>
                <w:highlight w:val="none"/>
              </w:rPr>
              <w:t>《危险废物贮存污染控制标准》（GB18597-2023）</w:t>
            </w:r>
            <w:r>
              <w:rPr>
                <w:rFonts w:hint="eastAsia" w:ascii="Times New Roman" w:hAnsi="宋体" w:eastAsia="宋体"/>
                <w:b w:val="0"/>
                <w:color w:val="000000"/>
                <w:sz w:val="24"/>
                <w:szCs w:val="24"/>
                <w:highlight w:val="none"/>
                <w:lang w:val="en-US" w:eastAsia="zh-CN"/>
              </w:rPr>
              <w:t>中相关要求。现有危废库</w:t>
            </w:r>
            <w:r>
              <w:rPr>
                <w:rFonts w:ascii="Times New Roman" w:hAnsi="Times New Roman" w:eastAsia="宋体"/>
                <w:b w:val="0"/>
                <w:color w:val="000000"/>
                <w:sz w:val="24"/>
                <w:highlight w:val="none"/>
              </w:rPr>
              <w:t>可以同时容纳2000吨的危险废物，每个月委托资质单位清运一次，根据企业提供的资料可知，现有工程产生的</w:t>
            </w:r>
            <w:r>
              <w:rPr>
                <w:rFonts w:hint="eastAsia" w:ascii="Times New Roman" w:hAnsi="Times New Roman" w:eastAsia="宋体"/>
                <w:b w:val="0"/>
                <w:color w:val="000000"/>
                <w:sz w:val="24"/>
                <w:highlight w:val="none"/>
              </w:rPr>
              <w:t>焦油渣、沥青残渣、再生器残渣、</w:t>
            </w:r>
            <w:r>
              <w:rPr>
                <w:rFonts w:hint="eastAsia" w:ascii="Times New Roman" w:hAnsi="Times New Roman" w:eastAsia="宋体"/>
                <w:b w:val="0"/>
                <w:color w:val="000000"/>
                <w:sz w:val="24"/>
                <w:highlight w:val="none"/>
                <w:lang w:eastAsia="zh-CN"/>
              </w:rPr>
              <w:t>脱硫废水</w:t>
            </w:r>
            <w:r>
              <w:rPr>
                <w:rFonts w:hint="eastAsia" w:ascii="Times New Roman" w:hAnsi="Times New Roman" w:eastAsia="宋体"/>
                <w:b w:val="0"/>
                <w:color w:val="000000"/>
                <w:sz w:val="24"/>
                <w:highlight w:val="none"/>
              </w:rPr>
              <w:t>、污泥等集中送备煤车间配入炼焦煤中</w:t>
            </w:r>
            <w:r>
              <w:rPr>
                <w:rFonts w:ascii="Times New Roman" w:hAnsi="Times New Roman" w:eastAsia="宋体"/>
                <w:b w:val="0"/>
                <w:color w:val="000000"/>
                <w:sz w:val="24"/>
                <w:highlight w:val="none"/>
              </w:rPr>
              <w:t>，需要在危废库房存放的危废量</w:t>
            </w:r>
            <w:r>
              <w:rPr>
                <w:rFonts w:hint="eastAsia" w:ascii="Times New Roman" w:hAnsi="Times New Roman" w:eastAsia="宋体"/>
                <w:b w:val="0"/>
                <w:color w:val="000000"/>
                <w:sz w:val="24"/>
                <w:highlight w:val="none"/>
              </w:rPr>
              <w:t>很少，</w:t>
            </w:r>
            <w:r>
              <w:rPr>
                <w:rFonts w:ascii="Times New Roman" w:hAnsi="Times New Roman" w:eastAsia="宋体"/>
                <w:b w:val="0"/>
                <w:color w:val="000000"/>
                <w:sz w:val="24"/>
                <w:highlight w:val="none"/>
              </w:rPr>
              <w:t>约为8.19吨/年（0.68吨/月）</w:t>
            </w:r>
            <w:r>
              <w:rPr>
                <w:rFonts w:hint="eastAsia" w:ascii="Times New Roman" w:hAnsi="Times New Roman" w:eastAsia="宋体"/>
                <w:b w:val="0"/>
                <w:color w:val="000000"/>
                <w:sz w:val="24"/>
                <w:highlight w:val="none"/>
                <w:lang w:eastAsia="zh-CN"/>
              </w:rPr>
              <w:t>。</w:t>
            </w:r>
            <w:r>
              <w:rPr>
                <w:rFonts w:hint="eastAsia" w:ascii="Times New Roman" w:hAnsi="Times New Roman" w:eastAsia="宋体"/>
                <w:b w:val="0"/>
                <w:color w:val="000000"/>
                <w:sz w:val="24"/>
                <w:highlight w:val="none"/>
              </w:rPr>
              <w:t>本项目产生的污泥、废活性炭暂存于厂区危废库，</w:t>
            </w:r>
            <w:r>
              <w:rPr>
                <w:rFonts w:hint="eastAsia" w:ascii="Times New Roman" w:hAnsi="Times New Roman" w:eastAsia="宋体"/>
                <w:b w:val="0"/>
                <w:color w:val="000000"/>
                <w:sz w:val="24"/>
                <w:highlight w:val="none"/>
                <w:lang w:val="en-US" w:eastAsia="zh-CN"/>
              </w:rPr>
              <w:t>按时</w:t>
            </w:r>
            <w:r>
              <w:rPr>
                <w:rFonts w:hint="eastAsia" w:ascii="Times New Roman" w:hAnsi="Times New Roman" w:eastAsia="宋体"/>
                <w:b w:val="0"/>
                <w:color w:val="000000"/>
                <w:sz w:val="24"/>
                <w:highlight w:val="none"/>
              </w:rPr>
              <w:t>送至厂区煤场配煤综合利用，不外排；</w:t>
            </w:r>
            <w:r>
              <w:rPr>
                <w:rFonts w:hint="eastAsia" w:ascii="Times New Roman" w:hAnsi="Times New Roman" w:eastAsia="宋体"/>
                <w:b w:val="0"/>
                <w:color w:val="000000"/>
                <w:sz w:val="24"/>
                <w:highlight w:val="none"/>
                <w:lang w:val="en-US" w:eastAsia="zh-CN"/>
              </w:rPr>
              <w:t>蒸发结晶盐按批次进行属性鉴定，根据判定结果及时处理，每月最大暂存量约为667吨</w:t>
            </w:r>
            <w:r>
              <w:rPr>
                <w:rFonts w:hint="eastAsia" w:ascii="Times New Roman" w:hAnsi="Times New Roman" w:eastAsia="宋体"/>
                <w:b w:val="0"/>
                <w:color w:val="000000"/>
                <w:sz w:val="24"/>
                <w:highlight w:val="none"/>
                <w:lang w:eastAsia="zh-CN"/>
              </w:rPr>
              <w:t>。</w:t>
            </w:r>
            <w:r>
              <w:rPr>
                <w:rFonts w:ascii="Times New Roman" w:hAnsi="Times New Roman" w:eastAsia="宋体"/>
                <w:b w:val="0"/>
                <w:color w:val="000000"/>
                <w:sz w:val="24"/>
                <w:highlight w:val="none"/>
              </w:rPr>
              <w:t>厂区现有危废</w:t>
            </w:r>
            <w:r>
              <w:rPr>
                <w:rFonts w:hint="eastAsia" w:ascii="Times New Roman" w:hAnsi="Times New Roman" w:eastAsia="宋体"/>
                <w:b w:val="0"/>
                <w:color w:val="000000"/>
                <w:sz w:val="24"/>
                <w:highlight w:val="none"/>
                <w:lang w:val="en-US" w:eastAsia="zh-CN"/>
              </w:rPr>
              <w:t>库剩余容量</w:t>
            </w:r>
            <w:r>
              <w:rPr>
                <w:rFonts w:ascii="Times New Roman" w:hAnsi="Times New Roman" w:eastAsia="宋体"/>
                <w:b w:val="0"/>
                <w:color w:val="000000"/>
                <w:sz w:val="24"/>
                <w:highlight w:val="none"/>
              </w:rPr>
              <w:t>完全有能力周转、储存本项目产生的危险废物。</w:t>
            </w:r>
            <w:r>
              <w:rPr>
                <w:rFonts w:hint="eastAsia" w:ascii="Times New Roman" w:hAnsi="Times New Roman" w:eastAsia="宋体"/>
                <w:b w:val="0"/>
                <w:color w:val="000000"/>
                <w:sz w:val="24"/>
                <w:highlight w:val="none"/>
                <w:lang w:val="en-US" w:eastAsia="zh-CN"/>
              </w:rPr>
              <w:t>因此，本项目产生的危险废物依托现有危废库暂存可行。</w:t>
            </w:r>
          </w:p>
          <w:p w14:paraId="7C3805E2">
            <w:pPr>
              <w:pStyle w:val="4"/>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rPr>
                <w:rFonts w:hint="eastAsia" w:ascii="Times New Roman" w:hAnsi="宋体" w:eastAsia="宋体"/>
                <w:b w:val="0"/>
                <w:color w:val="000000"/>
                <w:sz w:val="24"/>
                <w:szCs w:val="24"/>
                <w:highlight w:val="none"/>
              </w:rPr>
            </w:pPr>
            <w:r>
              <w:rPr>
                <w:rFonts w:hint="eastAsia" w:ascii="Times New Roman" w:hAnsi="宋体" w:eastAsia="宋体"/>
                <w:b w:val="0"/>
                <w:color w:val="000000"/>
                <w:sz w:val="24"/>
                <w:szCs w:val="24"/>
                <w:highlight w:val="none"/>
              </w:rPr>
              <w:t>本项目应设置专人专职负责危险废物的收集、暂存和保管。加强危险废物的管理，保证得到及时有效的处理，防止造成二次污染。</w:t>
            </w:r>
          </w:p>
          <w:p w14:paraId="07C5B013">
            <w:pPr>
              <w:pStyle w:val="2"/>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jc w:val="both"/>
              <w:rPr>
                <w:color w:val="000000"/>
                <w:sz w:val="24"/>
                <w:szCs w:val="24"/>
                <w:highlight w:val="none"/>
              </w:rPr>
            </w:pPr>
            <w:r>
              <w:rPr>
                <w:rFonts w:hint="eastAsia" w:ascii="Times New Roman" w:hAnsi="宋体" w:eastAsia="宋体"/>
                <w:b w:val="0"/>
                <w:color w:val="000000"/>
                <w:sz w:val="24"/>
                <w:szCs w:val="24"/>
                <w:highlight w:val="none"/>
              </w:rPr>
              <w:t>通过采取以上措后，本项目产生的危险固废均得到了妥善处置和综合利用，储存场所采取防风、防雨、防晒、防渗漏或者其他防止污染环境的措施后，可降低对环境产生的影响。本项目在严格执行</w:t>
            </w:r>
            <w:r>
              <w:rPr>
                <w:rFonts w:ascii="Times New Roman" w:hAnsi="Times New Roman" w:eastAsia="宋体"/>
                <w:b w:val="0"/>
                <w:color w:val="000000"/>
                <w:kern w:val="0"/>
                <w:sz w:val="24"/>
                <w:szCs w:val="24"/>
                <w:highlight w:val="none"/>
              </w:rPr>
              <w:t>《危险废物贮存污染控制标准》（GB18597-20</w:t>
            </w:r>
            <w:r>
              <w:rPr>
                <w:rFonts w:hint="eastAsia" w:ascii="Times New Roman" w:hAnsi="Times New Roman" w:eastAsia="宋体"/>
                <w:b w:val="0"/>
                <w:color w:val="000000"/>
                <w:kern w:val="0"/>
                <w:sz w:val="24"/>
                <w:szCs w:val="24"/>
                <w:highlight w:val="none"/>
                <w:lang w:val="en-US" w:eastAsia="zh-CN"/>
              </w:rPr>
              <w:t>2</w:t>
            </w:r>
            <w:r>
              <w:rPr>
                <w:rFonts w:hint="eastAsia" w:eastAsia="宋体"/>
                <w:color w:val="000000"/>
                <w:kern w:val="0"/>
                <w:sz w:val="24"/>
                <w:szCs w:val="24"/>
                <w:highlight w:val="none"/>
                <w:lang w:val="en-US" w:eastAsia="zh-CN"/>
              </w:rPr>
              <w:t>3</w:t>
            </w:r>
            <w:r>
              <w:rPr>
                <w:color w:val="000000"/>
                <w:kern w:val="0"/>
                <w:sz w:val="24"/>
                <w:szCs w:val="24"/>
                <w:highlight w:val="none"/>
              </w:rPr>
              <w:t>）</w:t>
            </w:r>
            <w:r>
              <w:rPr>
                <w:rFonts w:hint="eastAsia" w:ascii="Times New Roman" w:hAnsi="Times New Roman" w:eastAsia="宋体"/>
                <w:b w:val="0"/>
                <w:color w:val="000000"/>
                <w:kern w:val="0"/>
                <w:sz w:val="24"/>
                <w:szCs w:val="24"/>
                <w:highlight w:val="none"/>
              </w:rPr>
              <w:t>要求后，正常状态下本项目固体废物不会对地下水及土壤环境产生不利的影响。</w:t>
            </w:r>
          </w:p>
          <w:p w14:paraId="43C6F030">
            <w:pPr>
              <w:pStyle w:val="2"/>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rPr>
                <w:color w:val="000000"/>
                <w:highlight w:val="none"/>
              </w:rPr>
            </w:pPr>
            <w:r>
              <w:rPr>
                <w:color w:val="000000"/>
                <w:sz w:val="24"/>
                <w:szCs w:val="24"/>
                <w:highlight w:val="none"/>
              </w:rPr>
              <w:t>综上，本项目产生的固体废物均得到合理处理及资源化利用，不会对周围环境造成影响。</w:t>
            </w:r>
          </w:p>
          <w:p w14:paraId="758E9140">
            <w:pPr>
              <w:keepNext w:val="0"/>
              <w:keepLines w:val="0"/>
              <w:pageBreakBefore w:val="0"/>
              <w:kinsoku/>
              <w:wordWrap/>
              <w:overflowPunct/>
              <w:topLinePunct w:val="0"/>
              <w:autoSpaceDE/>
              <w:autoSpaceDN/>
              <w:bidi w:val="0"/>
              <w:adjustRightInd w:val="0"/>
              <w:snapToGrid w:val="0"/>
              <w:spacing w:line="360" w:lineRule="auto"/>
              <w:ind w:right="0" w:firstLine="482" w:firstLineChars="200"/>
              <w:jc w:val="left"/>
              <w:rPr>
                <w:rFonts w:hint="eastAsia"/>
                <w:color w:val="000000"/>
                <w:sz w:val="24"/>
                <w:highlight w:val="none"/>
                <w:lang w:val="en-GB"/>
              </w:rPr>
            </w:pPr>
            <w:r>
              <w:rPr>
                <w:rFonts w:hint="eastAsia"/>
                <w:b/>
                <w:bCs/>
                <w:color w:val="000000"/>
                <w:sz w:val="24"/>
                <w:highlight w:val="none"/>
                <w:lang w:val="en-US" w:eastAsia="zh-CN"/>
              </w:rPr>
              <w:t>五</w:t>
            </w:r>
            <w:r>
              <w:rPr>
                <w:rFonts w:hint="eastAsia"/>
                <w:b/>
                <w:bCs/>
                <w:color w:val="000000"/>
                <w:sz w:val="24"/>
                <w:highlight w:val="none"/>
                <w:lang w:val="en-GB"/>
              </w:rPr>
              <w:t>、地下水</w:t>
            </w:r>
            <w:r>
              <w:rPr>
                <w:rFonts w:hint="eastAsia"/>
                <w:b/>
                <w:bCs/>
                <w:color w:val="000000"/>
                <w:sz w:val="24"/>
                <w:highlight w:val="none"/>
                <w:lang w:val="en-GB" w:eastAsia="zh-CN"/>
              </w:rPr>
              <w:t>、</w:t>
            </w:r>
            <w:r>
              <w:rPr>
                <w:rFonts w:hint="eastAsia"/>
                <w:b/>
                <w:bCs/>
                <w:color w:val="000000"/>
                <w:sz w:val="24"/>
                <w:highlight w:val="none"/>
                <w:lang w:val="en-US" w:eastAsia="zh-CN"/>
              </w:rPr>
              <w:t>土壤</w:t>
            </w:r>
            <w:r>
              <w:rPr>
                <w:rFonts w:hint="eastAsia"/>
                <w:b/>
                <w:bCs/>
                <w:color w:val="000000"/>
                <w:sz w:val="24"/>
                <w:highlight w:val="none"/>
                <w:lang w:val="en-GB"/>
              </w:rPr>
              <w:t>环境影响分析</w:t>
            </w:r>
          </w:p>
          <w:p w14:paraId="67B9119A">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1、环境影响分析</w:t>
            </w:r>
          </w:p>
          <w:p w14:paraId="0BA68E80">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经分析，本项目的水污染物进入地下水、土壤的途径可能有∶正常状况主要考虑污水管道、阀门、池体等跑冒滴漏对地下水、土壤的影响，非正常状况主要考虑污水池发生污水泄漏对地下水、土壤环境的影响。</w:t>
            </w:r>
            <w:r>
              <w:rPr>
                <w:rFonts w:hint="default" w:ascii="Times New Roman" w:hAnsi="Times New Roman" w:eastAsia="宋体" w:cs="Times New Roman"/>
                <w:color w:val="000000"/>
                <w:sz w:val="24"/>
                <w:highlight w:val="none"/>
              </w:rPr>
              <w:t>污染因子</w:t>
            </w:r>
            <w:r>
              <w:rPr>
                <w:rFonts w:hint="eastAsia" w:ascii="Times New Roman" w:hAnsi="Times New Roman" w:eastAsia="宋体" w:cs="Times New Roman"/>
                <w:color w:val="000000"/>
                <w:sz w:val="24"/>
                <w:highlight w:val="none"/>
                <w:lang w:val="en-US" w:eastAsia="zh-CN"/>
              </w:rPr>
              <w:t>主要</w:t>
            </w:r>
            <w:r>
              <w:rPr>
                <w:rFonts w:hint="default" w:ascii="Times New Roman" w:hAnsi="Times New Roman" w:eastAsia="宋体" w:cs="Times New Roman"/>
                <w:color w:val="000000"/>
                <w:sz w:val="24"/>
                <w:highlight w:val="none"/>
              </w:rPr>
              <w:t>为 COD、氨氮等，污水经池底裂缝经过土层进入含水层造成地下水</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土壤</w:t>
            </w:r>
            <w:r>
              <w:rPr>
                <w:rFonts w:hint="default" w:ascii="Times New Roman" w:hAnsi="Times New Roman" w:eastAsia="宋体" w:cs="Times New Roman"/>
                <w:color w:val="000000"/>
                <w:sz w:val="24"/>
                <w:highlight w:val="none"/>
              </w:rPr>
              <w:t>污染</w:t>
            </w:r>
            <w:r>
              <w:rPr>
                <w:rFonts w:hint="eastAsia" w:ascii="Times New Roman" w:hAnsi="Times New Roman" w:eastAsia="宋体" w:cs="Times New Roman"/>
                <w:color w:val="000000"/>
                <w:sz w:val="24"/>
                <w:highlight w:val="none"/>
                <w:lang w:eastAsia="zh-CN"/>
              </w:rPr>
              <w:t>，</w:t>
            </w:r>
            <w:r>
              <w:rPr>
                <w:rFonts w:hint="eastAsia"/>
                <w:color w:val="000000"/>
                <w:sz w:val="24"/>
                <w:highlight w:val="none"/>
                <w:lang w:val="en-US" w:eastAsia="zh-CN"/>
              </w:rPr>
              <w:t>防止地下水、土壤污染，要以防为主、防治结合，把预防污染作为基本原则，把治理作为补救措施。</w:t>
            </w:r>
          </w:p>
          <w:p w14:paraId="78514DFE">
            <w:pPr>
              <w:spacing w:line="520" w:lineRule="exact"/>
              <w:ind w:firstLine="480" w:firstLineChars="200"/>
              <w:jc w:val="left"/>
              <w:rPr>
                <w:rFonts w:hint="default"/>
                <w:color w:val="000000"/>
                <w:sz w:val="24"/>
                <w:highlight w:val="none"/>
                <w:lang w:val="en-US" w:eastAsia="zh-CN"/>
              </w:rPr>
            </w:pPr>
            <w:r>
              <w:rPr>
                <w:rFonts w:hint="eastAsia"/>
                <w:color w:val="000000"/>
                <w:sz w:val="24"/>
                <w:highlight w:val="none"/>
                <w:lang w:val="en-US" w:eastAsia="zh-CN"/>
              </w:rPr>
              <w:t>2、污染防渗措施</w:t>
            </w:r>
          </w:p>
          <w:p w14:paraId="78F88241">
            <w:pPr>
              <w:spacing w:line="520" w:lineRule="exact"/>
              <w:ind w:firstLine="480" w:firstLineChars="200"/>
              <w:jc w:val="left"/>
              <w:rPr>
                <w:rFonts w:hint="default"/>
                <w:color w:val="000000"/>
                <w:sz w:val="24"/>
                <w:highlight w:val="none"/>
                <w:lang w:val="en-US" w:eastAsia="zh-CN"/>
              </w:rPr>
            </w:pPr>
            <w:r>
              <w:rPr>
                <w:rFonts w:hint="eastAsia"/>
                <w:color w:val="000000"/>
                <w:sz w:val="24"/>
                <w:highlight w:val="none"/>
                <w:lang w:val="en-US" w:eastAsia="zh-CN"/>
              </w:rPr>
              <w:t>项目分区防渗情况如下：</w:t>
            </w:r>
          </w:p>
          <w:p w14:paraId="3F34A29D">
            <w:pPr>
              <w:spacing w:line="520" w:lineRule="exact"/>
              <w:ind w:firstLine="482" w:firstLineChars="200"/>
              <w:jc w:val="center"/>
              <w:rPr>
                <w:rFonts w:hint="default"/>
                <w:color w:val="000000"/>
                <w:sz w:val="24"/>
                <w:highlight w:val="none"/>
                <w:lang w:val="en-US" w:eastAsia="zh-CN"/>
              </w:rPr>
            </w:pPr>
            <w:r>
              <w:rPr>
                <w:rFonts w:hint="eastAsia"/>
                <w:b/>
                <w:bCs/>
                <w:color w:val="000000"/>
                <w:sz w:val="24"/>
                <w:highlight w:val="none"/>
                <w:lang w:val="en-US" w:eastAsia="zh-CN"/>
              </w:rPr>
              <w:t>表4-11 分区防渗工程一览表</w:t>
            </w:r>
          </w:p>
          <w:tbl>
            <w:tblPr>
              <w:tblStyle w:val="13"/>
              <w:tblW w:w="8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0"/>
              <w:gridCol w:w="1563"/>
              <w:gridCol w:w="1095"/>
              <w:gridCol w:w="1478"/>
              <w:gridCol w:w="1178"/>
              <w:gridCol w:w="887"/>
              <w:gridCol w:w="1275"/>
            </w:tblGrid>
            <w:tr w14:paraId="4139E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5CF16E29">
                  <w:pPr>
                    <w:jc w:val="center"/>
                    <w:rPr>
                      <w:color w:val="000000"/>
                      <w:sz w:val="21"/>
                      <w:szCs w:val="21"/>
                      <w:highlight w:val="none"/>
                    </w:rPr>
                  </w:pPr>
                  <w:r>
                    <w:rPr>
                      <w:color w:val="000000"/>
                      <w:sz w:val="21"/>
                      <w:szCs w:val="21"/>
                      <w:highlight w:val="none"/>
                    </w:rPr>
                    <w:t>防渗分区</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6953C034">
                  <w:pPr>
                    <w:jc w:val="center"/>
                    <w:rPr>
                      <w:color w:val="000000"/>
                      <w:sz w:val="21"/>
                      <w:szCs w:val="21"/>
                      <w:highlight w:val="none"/>
                    </w:rPr>
                  </w:pPr>
                  <w:r>
                    <w:rPr>
                      <w:color w:val="000000"/>
                      <w:sz w:val="21"/>
                      <w:szCs w:val="21"/>
                      <w:highlight w:val="none"/>
                    </w:rPr>
                    <w:t>本项目单元</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EEE0254">
                  <w:pPr>
                    <w:jc w:val="center"/>
                    <w:rPr>
                      <w:color w:val="000000"/>
                      <w:sz w:val="21"/>
                      <w:szCs w:val="21"/>
                      <w:highlight w:val="none"/>
                    </w:rPr>
                  </w:pPr>
                  <w:r>
                    <w:rPr>
                      <w:color w:val="000000"/>
                      <w:sz w:val="21"/>
                      <w:szCs w:val="21"/>
                      <w:highlight w:val="none"/>
                    </w:rPr>
                    <w:t>防渗等级要求</w:t>
                  </w:r>
                </w:p>
              </w:tc>
              <w:tc>
                <w:tcPr>
                  <w:tcW w:w="1478" w:type="dxa"/>
                  <w:tcBorders>
                    <w:top w:val="single" w:color="auto" w:sz="4" w:space="0"/>
                    <w:left w:val="single" w:color="auto" w:sz="4" w:space="0"/>
                    <w:bottom w:val="single" w:color="auto" w:sz="4" w:space="0"/>
                    <w:right w:val="single" w:color="auto" w:sz="4" w:space="0"/>
                  </w:tcBorders>
                  <w:noWrap w:val="0"/>
                  <w:vAlign w:val="center"/>
                </w:tcPr>
                <w:p w14:paraId="426CA478">
                  <w:pPr>
                    <w:jc w:val="center"/>
                    <w:rPr>
                      <w:color w:val="000000"/>
                      <w:sz w:val="21"/>
                      <w:szCs w:val="21"/>
                      <w:highlight w:val="none"/>
                    </w:rPr>
                  </w:pPr>
                  <w:r>
                    <w:rPr>
                      <w:color w:val="000000"/>
                      <w:sz w:val="21"/>
                      <w:szCs w:val="21"/>
                      <w:highlight w:val="none"/>
                    </w:rPr>
                    <w:t>防渗</w:t>
                  </w:r>
                  <w:r>
                    <w:rPr>
                      <w:rFonts w:hint="eastAsia"/>
                      <w:color w:val="000000"/>
                      <w:sz w:val="21"/>
                      <w:szCs w:val="21"/>
                      <w:highlight w:val="none"/>
                    </w:rPr>
                    <w:t>要求</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42CED7A1">
                  <w:pPr>
                    <w:jc w:val="center"/>
                    <w:rPr>
                      <w:color w:val="000000"/>
                      <w:sz w:val="21"/>
                      <w:szCs w:val="21"/>
                      <w:highlight w:val="none"/>
                    </w:rPr>
                  </w:pPr>
                  <w:r>
                    <w:rPr>
                      <w:color w:val="000000"/>
                      <w:sz w:val="21"/>
                      <w:szCs w:val="21"/>
                      <w:highlight w:val="none"/>
                    </w:rPr>
                    <w:t>参考标准</w:t>
                  </w:r>
                </w:p>
              </w:tc>
              <w:tc>
                <w:tcPr>
                  <w:tcW w:w="887" w:type="dxa"/>
                  <w:tcBorders>
                    <w:top w:val="single" w:color="auto" w:sz="4" w:space="0"/>
                    <w:left w:val="single" w:color="auto" w:sz="4" w:space="0"/>
                    <w:bottom w:val="single" w:color="auto" w:sz="4" w:space="0"/>
                    <w:right w:val="single" w:color="auto" w:sz="4" w:space="0"/>
                  </w:tcBorders>
                  <w:noWrap w:val="0"/>
                  <w:vAlign w:val="center"/>
                </w:tcPr>
                <w:p w14:paraId="03071ABB">
                  <w:pPr>
                    <w:jc w:val="center"/>
                    <w:rPr>
                      <w:rFonts w:hint="eastAsia" w:eastAsia="宋体"/>
                      <w:color w:val="000000"/>
                      <w:sz w:val="21"/>
                      <w:szCs w:val="21"/>
                      <w:highlight w:val="none"/>
                      <w:lang w:eastAsia="zh-CN"/>
                    </w:rPr>
                  </w:pPr>
                  <w:r>
                    <w:rPr>
                      <w:rFonts w:hint="eastAsia"/>
                      <w:color w:val="000000"/>
                      <w:sz w:val="21"/>
                      <w:szCs w:val="21"/>
                      <w:highlight w:val="none"/>
                    </w:rPr>
                    <w:t>现状</w:t>
                  </w:r>
                  <w:r>
                    <w:rPr>
                      <w:rFonts w:hint="eastAsia"/>
                      <w:color w:val="000000"/>
                      <w:sz w:val="21"/>
                      <w:szCs w:val="21"/>
                      <w:highlight w:val="none"/>
                      <w:lang w:val="en-US" w:eastAsia="zh-CN"/>
                    </w:rPr>
                    <w:t>情况</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A287C23">
                  <w:pPr>
                    <w:jc w:val="center"/>
                    <w:rPr>
                      <w:rFonts w:hint="eastAsia"/>
                      <w:color w:val="000000"/>
                      <w:sz w:val="21"/>
                      <w:szCs w:val="21"/>
                      <w:highlight w:val="none"/>
                    </w:rPr>
                  </w:pPr>
                  <w:r>
                    <w:rPr>
                      <w:rFonts w:hint="eastAsia"/>
                      <w:color w:val="000000"/>
                      <w:sz w:val="21"/>
                      <w:szCs w:val="21"/>
                      <w:highlight w:val="none"/>
                    </w:rPr>
                    <w:t>要求</w:t>
                  </w:r>
                </w:p>
              </w:tc>
            </w:tr>
            <w:tr w14:paraId="4BCC5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5" w:hRule="atLeast"/>
                <w:jc w:val="center"/>
              </w:trPr>
              <w:tc>
                <w:tcPr>
                  <w:tcW w:w="980" w:type="dxa"/>
                  <w:vMerge w:val="restart"/>
                  <w:noWrap w:val="0"/>
                  <w:vAlign w:val="center"/>
                </w:tcPr>
                <w:p w14:paraId="3590F3BA">
                  <w:pPr>
                    <w:jc w:val="center"/>
                    <w:rPr>
                      <w:rFonts w:hint="eastAsia"/>
                      <w:color w:val="000000"/>
                      <w:sz w:val="21"/>
                      <w:szCs w:val="21"/>
                      <w:highlight w:val="none"/>
                    </w:rPr>
                  </w:pPr>
                  <w:r>
                    <w:rPr>
                      <w:rFonts w:hint="eastAsia"/>
                      <w:color w:val="000000"/>
                      <w:sz w:val="21"/>
                      <w:szCs w:val="21"/>
                      <w:highlight w:val="none"/>
                    </w:rPr>
                    <w:t>重点防渗区</w:t>
                  </w:r>
                </w:p>
              </w:tc>
              <w:tc>
                <w:tcPr>
                  <w:tcW w:w="1563" w:type="dxa"/>
                  <w:noWrap w:val="0"/>
                  <w:vAlign w:val="center"/>
                </w:tcPr>
                <w:p w14:paraId="75E5AD6E">
                  <w:pPr>
                    <w:jc w:val="center"/>
                    <w:rPr>
                      <w:rFonts w:hint="eastAsia"/>
                      <w:color w:val="000000"/>
                      <w:sz w:val="21"/>
                      <w:szCs w:val="21"/>
                      <w:highlight w:val="none"/>
                    </w:rPr>
                  </w:pPr>
                  <w:r>
                    <w:rPr>
                      <w:rFonts w:hint="eastAsia"/>
                      <w:color w:val="000000"/>
                      <w:sz w:val="21"/>
                      <w:szCs w:val="21"/>
                      <w:highlight w:val="none"/>
                      <w:lang w:val="en-US" w:eastAsia="zh-CN"/>
                    </w:rPr>
                    <w:t>生化处理站</w:t>
                  </w:r>
                  <w:r>
                    <w:rPr>
                      <w:rFonts w:hint="eastAsia"/>
                      <w:color w:val="000000"/>
                      <w:sz w:val="21"/>
                      <w:szCs w:val="21"/>
                      <w:highlight w:val="none"/>
                    </w:rPr>
                    <w:t>、</w:t>
                  </w:r>
                  <w:r>
                    <w:rPr>
                      <w:rFonts w:hint="eastAsia"/>
                      <w:color w:val="000000"/>
                      <w:sz w:val="21"/>
                      <w:szCs w:val="21"/>
                      <w:highlight w:val="none"/>
                      <w:lang w:val="en-US" w:eastAsia="zh-CN"/>
                    </w:rPr>
                    <w:t>污水</w:t>
                  </w:r>
                  <w:r>
                    <w:rPr>
                      <w:rFonts w:hint="eastAsia"/>
                      <w:color w:val="000000"/>
                      <w:sz w:val="21"/>
                      <w:szCs w:val="21"/>
                      <w:highlight w:val="none"/>
                    </w:rPr>
                    <w:t>管线</w:t>
                  </w:r>
                </w:p>
              </w:tc>
              <w:tc>
                <w:tcPr>
                  <w:tcW w:w="1095" w:type="dxa"/>
                  <w:vMerge w:val="restart"/>
                  <w:noWrap w:val="0"/>
                  <w:vAlign w:val="center"/>
                </w:tcPr>
                <w:p w14:paraId="32801249">
                  <w:pPr>
                    <w:jc w:val="center"/>
                    <w:rPr>
                      <w:rFonts w:hint="eastAsia"/>
                      <w:color w:val="000000"/>
                      <w:sz w:val="21"/>
                      <w:szCs w:val="21"/>
                      <w:highlight w:val="none"/>
                    </w:rPr>
                  </w:pPr>
                  <w:r>
                    <w:rPr>
                      <w:rFonts w:hint="eastAsia"/>
                      <w:color w:val="000000"/>
                      <w:sz w:val="21"/>
                      <w:szCs w:val="21"/>
                      <w:highlight w:val="none"/>
                    </w:rPr>
                    <w:t>重点防渗</w:t>
                  </w:r>
                </w:p>
                <w:p w14:paraId="3F90C2B2">
                  <w:pPr>
                    <w:jc w:val="center"/>
                    <w:rPr>
                      <w:color w:val="000000"/>
                      <w:sz w:val="21"/>
                      <w:szCs w:val="21"/>
                      <w:highlight w:val="none"/>
                    </w:rPr>
                  </w:pPr>
                </w:p>
              </w:tc>
              <w:tc>
                <w:tcPr>
                  <w:tcW w:w="1478" w:type="dxa"/>
                  <w:vMerge w:val="restart"/>
                  <w:noWrap w:val="0"/>
                  <w:vAlign w:val="center"/>
                </w:tcPr>
                <w:p w14:paraId="7C30EA59">
                  <w:pPr>
                    <w:jc w:val="center"/>
                    <w:rPr>
                      <w:rFonts w:hint="eastAsia"/>
                      <w:color w:val="000000"/>
                      <w:sz w:val="21"/>
                      <w:szCs w:val="21"/>
                      <w:highlight w:val="none"/>
                    </w:rPr>
                  </w:pPr>
                  <w:r>
                    <w:rPr>
                      <w:color w:val="000000"/>
                      <w:sz w:val="21"/>
                      <w:szCs w:val="21"/>
                      <w:highlight w:val="none"/>
                    </w:rPr>
                    <w:t>等效黏土防渗层Mb≥6.0m，K≤1.0×10</w:t>
                  </w:r>
                  <w:r>
                    <w:rPr>
                      <w:color w:val="000000"/>
                      <w:sz w:val="21"/>
                      <w:szCs w:val="21"/>
                      <w:highlight w:val="none"/>
                      <w:vertAlign w:val="superscript"/>
                    </w:rPr>
                    <w:t>-7</w:t>
                  </w:r>
                  <w:r>
                    <w:rPr>
                      <w:color w:val="000000"/>
                      <w:sz w:val="21"/>
                      <w:szCs w:val="21"/>
                      <w:highlight w:val="none"/>
                    </w:rPr>
                    <w:t>cm/s</w:t>
                  </w:r>
                </w:p>
              </w:tc>
              <w:tc>
                <w:tcPr>
                  <w:tcW w:w="1178" w:type="dxa"/>
                  <w:vMerge w:val="restart"/>
                  <w:noWrap w:val="0"/>
                  <w:vAlign w:val="center"/>
                </w:tcPr>
                <w:p w14:paraId="0EB3083B">
                  <w:pPr>
                    <w:jc w:val="center"/>
                    <w:rPr>
                      <w:color w:val="000000"/>
                      <w:sz w:val="21"/>
                      <w:szCs w:val="21"/>
                      <w:highlight w:val="none"/>
                    </w:rPr>
                  </w:pPr>
                  <w:r>
                    <w:rPr>
                      <w:color w:val="000000"/>
                      <w:sz w:val="21"/>
                      <w:szCs w:val="21"/>
                      <w:highlight w:val="none"/>
                    </w:rPr>
                    <w:t>参照</w:t>
                  </w:r>
                  <w:r>
                    <w:rPr>
                      <w:color w:val="000000"/>
                      <w:sz w:val="21"/>
                      <w:szCs w:val="21"/>
                      <w:highlight w:val="none"/>
                    </w:rPr>
                    <w:fldChar w:fldCharType="begin"/>
                  </w:r>
                  <w:r>
                    <w:rPr>
                      <w:color w:val="000000"/>
                      <w:sz w:val="21"/>
                      <w:szCs w:val="21"/>
                      <w:highlight w:val="none"/>
                    </w:rPr>
                    <w:instrText xml:space="preserve"> HYPERLINK "https://www.baidu.com/link?url=KAQgsaA_bbJG8999CHiang5FKBJvRk6hvCbojKBfU9B1jWV4O3AUatUB4Bzfu75esIIgpgmt8wFebrXXHSaSZ76otHmvWdNYet2TA0iJ4TW&amp;amp;wd&amp;amp;eqid=aad07ca4000116230000000361371908" \h </w:instrText>
                  </w:r>
                  <w:r>
                    <w:rPr>
                      <w:color w:val="000000"/>
                      <w:sz w:val="21"/>
                      <w:szCs w:val="21"/>
                      <w:highlight w:val="none"/>
                    </w:rPr>
                    <w:fldChar w:fldCharType="separate"/>
                  </w:r>
                  <w:r>
                    <w:rPr>
                      <w:color w:val="000000"/>
                      <w:sz w:val="21"/>
                      <w:szCs w:val="21"/>
                      <w:highlight w:val="none"/>
                    </w:rPr>
                    <w:t>《石油化工工程防</w:t>
                  </w:r>
                  <w:r>
                    <w:rPr>
                      <w:color w:val="000000"/>
                      <w:sz w:val="21"/>
                      <w:szCs w:val="21"/>
                      <w:highlight w:val="none"/>
                    </w:rPr>
                    <w:fldChar w:fldCharType="end"/>
                  </w:r>
                  <w:r>
                    <w:rPr>
                      <w:color w:val="000000"/>
                      <w:sz w:val="21"/>
                      <w:szCs w:val="21"/>
                      <w:highlight w:val="none"/>
                    </w:rPr>
                    <w:t>渗技术规范》(GB/T50934-2013)</w:t>
                  </w:r>
                  <w:r>
                    <w:rPr>
                      <w:rFonts w:hint="eastAsia"/>
                      <w:color w:val="000000"/>
                      <w:sz w:val="21"/>
                      <w:szCs w:val="21"/>
                      <w:highlight w:val="none"/>
                    </w:rPr>
                    <w:t>重点防渗要求</w:t>
                  </w:r>
                  <w:r>
                    <w:rPr>
                      <w:color w:val="000000"/>
                      <w:sz w:val="21"/>
                      <w:szCs w:val="21"/>
                      <w:highlight w:val="none"/>
                    </w:rPr>
                    <w:t>执行</w:t>
                  </w:r>
                </w:p>
              </w:tc>
              <w:tc>
                <w:tcPr>
                  <w:tcW w:w="887" w:type="dxa"/>
                  <w:noWrap w:val="0"/>
                  <w:vAlign w:val="center"/>
                </w:tcPr>
                <w:p w14:paraId="3F59E46A">
                  <w:pPr>
                    <w:jc w:val="center"/>
                    <w:rPr>
                      <w:color w:val="000000"/>
                      <w:sz w:val="21"/>
                      <w:szCs w:val="21"/>
                      <w:highlight w:val="none"/>
                    </w:rPr>
                  </w:pPr>
                  <w:r>
                    <w:rPr>
                      <w:rFonts w:hint="eastAsia"/>
                      <w:color w:val="000000"/>
                      <w:sz w:val="21"/>
                      <w:szCs w:val="21"/>
                      <w:highlight w:val="none"/>
                    </w:rPr>
                    <w:t>各类水池已进行防渗硬化，部分导排管线未进行重点防渗</w:t>
                  </w:r>
                </w:p>
              </w:tc>
              <w:tc>
                <w:tcPr>
                  <w:tcW w:w="1275" w:type="dxa"/>
                  <w:noWrap w:val="0"/>
                  <w:vAlign w:val="center"/>
                </w:tcPr>
                <w:p w14:paraId="6BA0C1A2">
                  <w:pPr>
                    <w:adjustRightInd w:val="0"/>
                    <w:snapToGrid w:val="0"/>
                    <w:ind w:left="-63" w:leftChars="-30" w:right="-63" w:rightChars="-30"/>
                    <w:jc w:val="center"/>
                    <w:rPr>
                      <w:rFonts w:hint="eastAsia"/>
                      <w:color w:val="000000"/>
                      <w:sz w:val="21"/>
                      <w:szCs w:val="21"/>
                      <w:highlight w:val="none"/>
                    </w:rPr>
                  </w:pPr>
                  <w:r>
                    <w:rPr>
                      <w:rFonts w:hint="eastAsia"/>
                      <w:color w:val="000000"/>
                      <w:sz w:val="21"/>
                      <w:szCs w:val="21"/>
                      <w:highlight w:val="none"/>
                    </w:rPr>
                    <w:t>按照</w:t>
                  </w:r>
                  <w:r>
                    <w:rPr>
                      <w:color w:val="000000"/>
                      <w:sz w:val="21"/>
                      <w:szCs w:val="21"/>
                      <w:highlight w:val="none"/>
                    </w:rPr>
                    <w:t>等效黏土防渗层Mb≥6.0m，K≤1.0×10</w:t>
                  </w:r>
                  <w:r>
                    <w:rPr>
                      <w:color w:val="000000"/>
                      <w:sz w:val="21"/>
                      <w:szCs w:val="21"/>
                      <w:highlight w:val="none"/>
                      <w:vertAlign w:val="superscript"/>
                    </w:rPr>
                    <w:t>-7</w:t>
                  </w:r>
                  <w:r>
                    <w:rPr>
                      <w:color w:val="000000"/>
                      <w:sz w:val="21"/>
                      <w:szCs w:val="21"/>
                      <w:highlight w:val="none"/>
                    </w:rPr>
                    <w:t>cm/s</w:t>
                  </w:r>
                  <w:r>
                    <w:rPr>
                      <w:rFonts w:hint="eastAsia"/>
                      <w:color w:val="000000"/>
                      <w:sz w:val="21"/>
                      <w:szCs w:val="21"/>
                      <w:highlight w:val="none"/>
                    </w:rPr>
                    <w:t>的防渗要求进行防渗硬化。</w:t>
                  </w:r>
                </w:p>
              </w:tc>
            </w:tr>
            <w:tr w14:paraId="1A5CD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980" w:type="dxa"/>
                  <w:vMerge w:val="continue"/>
                  <w:noWrap w:val="0"/>
                  <w:vAlign w:val="center"/>
                </w:tcPr>
                <w:p w14:paraId="0146D235">
                  <w:pPr>
                    <w:jc w:val="center"/>
                    <w:rPr>
                      <w:rFonts w:hint="eastAsia"/>
                      <w:color w:val="000000"/>
                      <w:sz w:val="21"/>
                      <w:szCs w:val="21"/>
                      <w:highlight w:val="none"/>
                    </w:rPr>
                  </w:pPr>
                </w:p>
              </w:tc>
              <w:tc>
                <w:tcPr>
                  <w:tcW w:w="1563" w:type="dxa"/>
                  <w:noWrap w:val="0"/>
                  <w:vAlign w:val="center"/>
                </w:tcPr>
                <w:p w14:paraId="2573F25F">
                  <w:pPr>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脱硫废液处理装置区</w:t>
                  </w:r>
                </w:p>
              </w:tc>
              <w:tc>
                <w:tcPr>
                  <w:tcW w:w="1095" w:type="dxa"/>
                  <w:vMerge w:val="continue"/>
                  <w:noWrap w:val="0"/>
                  <w:vAlign w:val="center"/>
                </w:tcPr>
                <w:p w14:paraId="7148EFAC">
                  <w:pPr>
                    <w:jc w:val="center"/>
                    <w:rPr>
                      <w:rFonts w:hint="eastAsia"/>
                      <w:color w:val="000000"/>
                      <w:sz w:val="21"/>
                      <w:szCs w:val="21"/>
                      <w:highlight w:val="none"/>
                    </w:rPr>
                  </w:pPr>
                </w:p>
              </w:tc>
              <w:tc>
                <w:tcPr>
                  <w:tcW w:w="1478" w:type="dxa"/>
                  <w:vMerge w:val="continue"/>
                  <w:noWrap w:val="0"/>
                  <w:vAlign w:val="center"/>
                </w:tcPr>
                <w:p w14:paraId="1CA447F1">
                  <w:pPr>
                    <w:jc w:val="center"/>
                    <w:rPr>
                      <w:rFonts w:hint="eastAsia"/>
                      <w:color w:val="000000"/>
                      <w:sz w:val="21"/>
                      <w:szCs w:val="21"/>
                      <w:highlight w:val="none"/>
                    </w:rPr>
                  </w:pPr>
                </w:p>
              </w:tc>
              <w:tc>
                <w:tcPr>
                  <w:tcW w:w="1178" w:type="dxa"/>
                  <w:vMerge w:val="continue"/>
                  <w:noWrap w:val="0"/>
                  <w:vAlign w:val="center"/>
                </w:tcPr>
                <w:p w14:paraId="7DB0A1A4">
                  <w:pPr>
                    <w:jc w:val="center"/>
                    <w:rPr>
                      <w:color w:val="000000"/>
                      <w:sz w:val="21"/>
                      <w:szCs w:val="21"/>
                      <w:highlight w:val="none"/>
                    </w:rPr>
                  </w:pPr>
                </w:p>
              </w:tc>
              <w:tc>
                <w:tcPr>
                  <w:tcW w:w="887" w:type="dxa"/>
                  <w:noWrap w:val="0"/>
                  <w:vAlign w:val="center"/>
                </w:tcPr>
                <w:p w14:paraId="62E29F53">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275" w:type="dxa"/>
                  <w:noWrap w:val="0"/>
                  <w:vAlign w:val="center"/>
                </w:tcPr>
                <w:p w14:paraId="643AB9F0">
                  <w:pPr>
                    <w:adjustRightInd w:val="0"/>
                    <w:snapToGrid w:val="0"/>
                    <w:ind w:left="-63" w:leftChars="-30" w:right="-63" w:rightChars="-3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按照</w:t>
                  </w:r>
                  <w:r>
                    <w:rPr>
                      <w:color w:val="000000"/>
                      <w:sz w:val="21"/>
                      <w:szCs w:val="21"/>
                      <w:highlight w:val="none"/>
                    </w:rPr>
                    <w:t>GB/T50934-2013</w:t>
                  </w:r>
                  <w:r>
                    <w:rPr>
                      <w:rFonts w:hint="eastAsia"/>
                      <w:color w:val="000000"/>
                      <w:sz w:val="21"/>
                      <w:szCs w:val="21"/>
                      <w:highlight w:val="none"/>
                    </w:rPr>
                    <w:t>重点防渗要求</w:t>
                  </w:r>
                  <w:r>
                    <w:rPr>
                      <w:color w:val="000000"/>
                      <w:sz w:val="21"/>
                      <w:szCs w:val="21"/>
                      <w:highlight w:val="none"/>
                    </w:rPr>
                    <w:t>执行</w:t>
                  </w:r>
                </w:p>
              </w:tc>
            </w:tr>
            <w:tr w14:paraId="22BC4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6" w:hRule="atLeast"/>
                <w:jc w:val="center"/>
              </w:trPr>
              <w:tc>
                <w:tcPr>
                  <w:tcW w:w="980" w:type="dxa"/>
                  <w:vMerge w:val="continue"/>
                  <w:tcBorders>
                    <w:left w:val="single" w:color="auto" w:sz="4" w:space="0"/>
                    <w:bottom w:val="single" w:color="auto" w:sz="4" w:space="0"/>
                    <w:right w:val="single" w:color="auto" w:sz="4" w:space="0"/>
                  </w:tcBorders>
                  <w:noWrap w:val="0"/>
                  <w:vAlign w:val="center"/>
                </w:tcPr>
                <w:p w14:paraId="6723A5B6">
                  <w:pPr>
                    <w:jc w:val="center"/>
                    <w:rPr>
                      <w:rFonts w:hint="eastAsia"/>
                      <w:color w:val="000000"/>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noWrap w:val="0"/>
                  <w:vAlign w:val="center"/>
                </w:tcPr>
                <w:p w14:paraId="78E1EA86">
                  <w:pPr>
                    <w:jc w:val="center"/>
                    <w:rPr>
                      <w:rFonts w:hint="eastAsia"/>
                      <w:color w:val="000000"/>
                      <w:sz w:val="21"/>
                      <w:szCs w:val="21"/>
                      <w:highlight w:val="none"/>
                    </w:rPr>
                  </w:pPr>
                  <w:r>
                    <w:rPr>
                      <w:rFonts w:hint="eastAsia"/>
                      <w:color w:val="000000"/>
                      <w:sz w:val="21"/>
                      <w:szCs w:val="21"/>
                      <w:highlight w:val="none"/>
                    </w:rPr>
                    <w:t>危废库</w:t>
                  </w:r>
                </w:p>
              </w:tc>
              <w:tc>
                <w:tcPr>
                  <w:tcW w:w="1095" w:type="dxa"/>
                  <w:vMerge w:val="continue"/>
                  <w:tcBorders>
                    <w:left w:val="single" w:color="auto" w:sz="4" w:space="0"/>
                    <w:bottom w:val="single" w:color="auto" w:sz="4" w:space="0"/>
                    <w:right w:val="single" w:color="auto" w:sz="4" w:space="0"/>
                  </w:tcBorders>
                  <w:noWrap w:val="0"/>
                  <w:vAlign w:val="center"/>
                </w:tcPr>
                <w:p w14:paraId="1D31EC5E">
                  <w:pPr>
                    <w:jc w:val="center"/>
                    <w:rPr>
                      <w:color w:val="000000"/>
                      <w:sz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136D08C7">
                  <w:pPr>
                    <w:jc w:val="center"/>
                    <w:rPr>
                      <w:color w:val="000000"/>
                      <w:sz w:val="21"/>
                      <w:szCs w:val="21"/>
                      <w:highlight w:val="none"/>
                    </w:rPr>
                  </w:pPr>
                  <w:r>
                    <w:rPr>
                      <w:color w:val="000000"/>
                      <w:sz w:val="21"/>
                      <w:szCs w:val="21"/>
                      <w:highlight w:val="none"/>
                    </w:rPr>
                    <w:t>防渗等级不低于2mm厚高密度聚乙烯防渗层，或至少2mm厚的其他人工材料，渗透系数不大于10</w:t>
                  </w:r>
                  <w:r>
                    <w:rPr>
                      <w:color w:val="000000"/>
                      <w:sz w:val="21"/>
                      <w:szCs w:val="21"/>
                      <w:highlight w:val="none"/>
                      <w:vertAlign w:val="superscript"/>
                    </w:rPr>
                    <w:t>-10</w:t>
                  </w:r>
                  <w:r>
                    <w:rPr>
                      <w:color w:val="000000"/>
                      <w:sz w:val="21"/>
                      <w:szCs w:val="21"/>
                      <w:highlight w:val="none"/>
                    </w:rPr>
                    <w:t>cm/s</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29984407">
                  <w:pPr>
                    <w:jc w:val="center"/>
                    <w:rPr>
                      <w:color w:val="000000"/>
                      <w:sz w:val="21"/>
                      <w:szCs w:val="21"/>
                      <w:highlight w:val="none"/>
                    </w:rPr>
                  </w:pPr>
                  <w:r>
                    <w:rPr>
                      <w:color w:val="000000"/>
                      <w:sz w:val="21"/>
                      <w:szCs w:val="21"/>
                      <w:highlight w:val="none"/>
                    </w:rPr>
                    <w:t>参照GB18597-20</w:t>
                  </w:r>
                  <w:r>
                    <w:rPr>
                      <w:rFonts w:hint="eastAsia"/>
                      <w:color w:val="000000"/>
                      <w:sz w:val="21"/>
                      <w:szCs w:val="21"/>
                      <w:highlight w:val="none"/>
                      <w:lang w:val="en-US" w:eastAsia="zh-CN"/>
                    </w:rPr>
                    <w:t>23</w:t>
                  </w:r>
                  <w:r>
                    <w:rPr>
                      <w:color w:val="000000"/>
                      <w:sz w:val="21"/>
                      <w:szCs w:val="21"/>
                      <w:highlight w:val="none"/>
                    </w:rPr>
                    <w:t>执行</w:t>
                  </w:r>
                </w:p>
              </w:tc>
              <w:tc>
                <w:tcPr>
                  <w:tcW w:w="887" w:type="dxa"/>
                  <w:tcBorders>
                    <w:top w:val="single" w:color="auto" w:sz="4" w:space="0"/>
                    <w:left w:val="single" w:color="auto" w:sz="4" w:space="0"/>
                    <w:bottom w:val="single" w:color="auto" w:sz="4" w:space="0"/>
                    <w:right w:val="single" w:color="auto" w:sz="4" w:space="0"/>
                  </w:tcBorders>
                  <w:noWrap w:val="0"/>
                  <w:vAlign w:val="center"/>
                </w:tcPr>
                <w:p w14:paraId="08EF71EF">
                  <w:pPr>
                    <w:jc w:val="center"/>
                    <w:rPr>
                      <w:rFonts w:hint="eastAsia"/>
                      <w:color w:val="000000"/>
                      <w:sz w:val="21"/>
                      <w:szCs w:val="21"/>
                      <w:highlight w:val="none"/>
                    </w:rPr>
                  </w:pPr>
                  <w:r>
                    <w:rPr>
                      <w:rFonts w:hint="eastAsia"/>
                      <w:color w:val="000000"/>
                      <w:sz w:val="21"/>
                      <w:szCs w:val="21"/>
                      <w:highlight w:val="none"/>
                    </w:rPr>
                    <w:t>已按照要求进行防渗，并设置滤液收集池</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49AAD38">
                  <w:pPr>
                    <w:jc w:val="center"/>
                    <w:rPr>
                      <w:rFonts w:hint="default" w:eastAsia="宋体"/>
                      <w:color w:val="000000"/>
                      <w:sz w:val="21"/>
                      <w:szCs w:val="21"/>
                      <w:highlight w:val="none"/>
                      <w:lang w:val="en-US" w:eastAsia="zh-CN"/>
                    </w:rPr>
                  </w:pPr>
                  <w:r>
                    <w:rPr>
                      <w:rFonts w:hint="eastAsia"/>
                      <w:color w:val="000000"/>
                      <w:sz w:val="21"/>
                      <w:szCs w:val="21"/>
                      <w:highlight w:val="none"/>
                    </w:rPr>
                    <w:t>满足GB18597-20</w:t>
                  </w:r>
                  <w:r>
                    <w:rPr>
                      <w:rFonts w:hint="eastAsia"/>
                      <w:color w:val="000000"/>
                      <w:sz w:val="21"/>
                      <w:szCs w:val="21"/>
                      <w:highlight w:val="none"/>
                      <w:lang w:val="en-US" w:eastAsia="zh-CN"/>
                    </w:rPr>
                    <w:t>23</w:t>
                  </w:r>
                </w:p>
              </w:tc>
            </w:tr>
            <w:tr w14:paraId="51EAE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4" w:hRule="atLeast"/>
                <w:jc w:val="center"/>
              </w:trPr>
              <w:tc>
                <w:tcPr>
                  <w:tcW w:w="980" w:type="dxa"/>
                  <w:tcBorders>
                    <w:top w:val="single" w:color="auto" w:sz="4" w:space="0"/>
                    <w:left w:val="single" w:color="auto" w:sz="4" w:space="0"/>
                    <w:bottom w:val="single" w:color="auto" w:sz="4" w:space="0"/>
                    <w:right w:val="single" w:color="auto" w:sz="4" w:space="0"/>
                  </w:tcBorders>
                  <w:noWrap w:val="0"/>
                  <w:vAlign w:val="center"/>
                </w:tcPr>
                <w:p w14:paraId="302E81CC">
                  <w:pPr>
                    <w:jc w:val="center"/>
                    <w:rPr>
                      <w:color w:val="000000"/>
                      <w:sz w:val="21"/>
                      <w:szCs w:val="21"/>
                      <w:highlight w:val="none"/>
                    </w:rPr>
                  </w:pPr>
                  <w:r>
                    <w:rPr>
                      <w:color w:val="000000"/>
                      <w:sz w:val="21"/>
                      <w:szCs w:val="21"/>
                      <w:highlight w:val="none"/>
                    </w:rPr>
                    <w:t>一般污染防渗区</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124D429E">
                  <w:pPr>
                    <w:jc w:val="center"/>
                    <w:rPr>
                      <w:rFonts w:hint="eastAsia"/>
                      <w:color w:val="000000"/>
                      <w:sz w:val="21"/>
                      <w:szCs w:val="21"/>
                      <w:highlight w:val="none"/>
                    </w:rPr>
                  </w:pPr>
                  <w:r>
                    <w:rPr>
                      <w:rFonts w:hint="eastAsia"/>
                      <w:color w:val="000000"/>
                      <w:sz w:val="21"/>
                      <w:szCs w:val="21"/>
                      <w:highlight w:val="none"/>
                    </w:rPr>
                    <w:t>中水回用系统及浓盐水处理系统</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651E6F">
                  <w:pPr>
                    <w:jc w:val="center"/>
                    <w:rPr>
                      <w:color w:val="000000"/>
                      <w:sz w:val="21"/>
                      <w:szCs w:val="21"/>
                      <w:highlight w:val="none"/>
                    </w:rPr>
                  </w:pPr>
                  <w:r>
                    <w:rPr>
                      <w:color w:val="000000"/>
                      <w:sz w:val="21"/>
                      <w:szCs w:val="21"/>
                      <w:highlight w:val="none"/>
                    </w:rPr>
                    <w:t>一般防渗</w:t>
                  </w:r>
                </w:p>
              </w:tc>
              <w:tc>
                <w:tcPr>
                  <w:tcW w:w="1478" w:type="dxa"/>
                  <w:tcBorders>
                    <w:top w:val="single" w:color="auto" w:sz="4" w:space="0"/>
                    <w:left w:val="single" w:color="auto" w:sz="4" w:space="0"/>
                    <w:bottom w:val="single" w:color="auto" w:sz="4" w:space="0"/>
                    <w:right w:val="single" w:color="auto" w:sz="4" w:space="0"/>
                  </w:tcBorders>
                  <w:noWrap w:val="0"/>
                  <w:vAlign w:val="center"/>
                </w:tcPr>
                <w:p w14:paraId="25BFE4AA">
                  <w:pPr>
                    <w:jc w:val="center"/>
                    <w:rPr>
                      <w:color w:val="000000"/>
                      <w:sz w:val="21"/>
                      <w:szCs w:val="21"/>
                      <w:highlight w:val="none"/>
                    </w:rPr>
                  </w:pPr>
                  <w:r>
                    <w:rPr>
                      <w:color w:val="000000"/>
                      <w:sz w:val="21"/>
                      <w:szCs w:val="21"/>
                      <w:highlight w:val="none"/>
                    </w:rPr>
                    <w:t>等效黏土防渗层Mb≥1.5m， ≤1.0×1</w:t>
                  </w:r>
                  <w:r>
                    <w:rPr>
                      <w:color w:val="000000"/>
                      <w:sz w:val="21"/>
                      <w:szCs w:val="21"/>
                      <w:highlight w:val="none"/>
                      <w:vertAlign w:val="baseline"/>
                    </w:rPr>
                    <w:t>0</w:t>
                  </w:r>
                  <w:r>
                    <w:rPr>
                      <w:color w:val="000000"/>
                      <w:sz w:val="21"/>
                      <w:szCs w:val="21"/>
                      <w:highlight w:val="none"/>
                      <w:vertAlign w:val="superscript"/>
                    </w:rPr>
                    <w:t>-7</w:t>
                  </w:r>
                  <w:r>
                    <w:rPr>
                      <w:color w:val="000000"/>
                      <w:sz w:val="21"/>
                      <w:szCs w:val="21"/>
                      <w:highlight w:val="none"/>
                    </w:rPr>
                    <w:t>cm/s</w:t>
                  </w:r>
                </w:p>
              </w:tc>
              <w:tc>
                <w:tcPr>
                  <w:tcW w:w="1178" w:type="dxa"/>
                  <w:tcBorders>
                    <w:top w:val="single" w:color="auto" w:sz="4" w:space="0"/>
                    <w:left w:val="single" w:color="auto" w:sz="4" w:space="0"/>
                    <w:bottom w:val="single" w:color="auto" w:sz="4" w:space="0"/>
                    <w:right w:val="single" w:color="auto" w:sz="4" w:space="0"/>
                  </w:tcBorders>
                  <w:noWrap w:val="0"/>
                  <w:vAlign w:val="center"/>
                </w:tcPr>
                <w:p w14:paraId="5ED48F2D">
                  <w:pPr>
                    <w:jc w:val="center"/>
                    <w:rPr>
                      <w:color w:val="000000"/>
                      <w:sz w:val="21"/>
                      <w:szCs w:val="21"/>
                      <w:highlight w:val="none"/>
                    </w:rPr>
                  </w:pPr>
                  <w:r>
                    <w:rPr>
                      <w:color w:val="000000"/>
                      <w:sz w:val="21"/>
                      <w:szCs w:val="21"/>
                      <w:highlight w:val="none"/>
                    </w:rPr>
                    <w:t>参照</w:t>
                  </w:r>
                  <w:r>
                    <w:rPr>
                      <w:color w:val="000000"/>
                      <w:sz w:val="21"/>
                      <w:szCs w:val="21"/>
                      <w:highlight w:val="none"/>
                    </w:rPr>
                    <w:fldChar w:fldCharType="begin"/>
                  </w:r>
                  <w:r>
                    <w:rPr>
                      <w:color w:val="000000"/>
                      <w:sz w:val="21"/>
                      <w:szCs w:val="21"/>
                      <w:highlight w:val="none"/>
                    </w:rPr>
                    <w:instrText xml:space="preserve"> HYPERLINK "https://www.baidu.com/link?url=KAQgsaA_bbJG8999CHiang5FKBJvRk6hvCbojKBfU9B1jWV4O3AUatUB4Bzfu75esIIgpgmt8wFebrXXHSaSZ76otHmvWdNYet2TA0iJ4TW&amp;amp;wd&amp;amp;eqid=aad07ca4000116230000000361371908" \h </w:instrText>
                  </w:r>
                  <w:r>
                    <w:rPr>
                      <w:color w:val="000000"/>
                      <w:sz w:val="21"/>
                      <w:szCs w:val="21"/>
                      <w:highlight w:val="none"/>
                    </w:rPr>
                    <w:fldChar w:fldCharType="separate"/>
                  </w:r>
                  <w:r>
                    <w:rPr>
                      <w:color w:val="000000"/>
                      <w:sz w:val="21"/>
                      <w:szCs w:val="21"/>
                      <w:highlight w:val="none"/>
                    </w:rPr>
                    <w:t>《石油化工工程防</w:t>
                  </w:r>
                  <w:r>
                    <w:rPr>
                      <w:color w:val="000000"/>
                      <w:sz w:val="21"/>
                      <w:szCs w:val="21"/>
                      <w:highlight w:val="none"/>
                    </w:rPr>
                    <w:fldChar w:fldCharType="end"/>
                  </w:r>
                  <w:r>
                    <w:rPr>
                      <w:color w:val="000000"/>
                      <w:sz w:val="21"/>
                      <w:szCs w:val="21"/>
                      <w:highlight w:val="none"/>
                    </w:rPr>
                    <w:t>渗技术规范》</w:t>
                  </w:r>
                </w:p>
                <w:p w14:paraId="6536E0A6">
                  <w:pPr>
                    <w:jc w:val="center"/>
                    <w:rPr>
                      <w:color w:val="000000"/>
                      <w:sz w:val="21"/>
                      <w:szCs w:val="21"/>
                      <w:highlight w:val="none"/>
                    </w:rPr>
                  </w:pPr>
                  <w:r>
                    <w:rPr>
                      <w:color w:val="000000"/>
                      <w:sz w:val="21"/>
                      <w:szCs w:val="21"/>
                      <w:highlight w:val="none"/>
                    </w:rPr>
                    <w:t>（GB/T50934-2013）</w:t>
                  </w:r>
                  <w:r>
                    <w:rPr>
                      <w:rFonts w:hint="eastAsia"/>
                      <w:color w:val="000000"/>
                      <w:sz w:val="21"/>
                      <w:szCs w:val="21"/>
                      <w:highlight w:val="none"/>
                    </w:rPr>
                    <w:t>一般防渗要求</w:t>
                  </w:r>
                  <w:r>
                    <w:rPr>
                      <w:color w:val="000000"/>
                      <w:sz w:val="21"/>
                      <w:szCs w:val="21"/>
                      <w:highlight w:val="none"/>
                    </w:rPr>
                    <w:t>执行</w:t>
                  </w:r>
                </w:p>
              </w:tc>
              <w:tc>
                <w:tcPr>
                  <w:tcW w:w="887" w:type="dxa"/>
                  <w:tcBorders>
                    <w:top w:val="single" w:color="auto" w:sz="4" w:space="0"/>
                    <w:left w:val="single" w:color="auto" w:sz="4" w:space="0"/>
                    <w:bottom w:val="single" w:color="auto" w:sz="4" w:space="0"/>
                    <w:right w:val="single" w:color="auto" w:sz="4" w:space="0"/>
                  </w:tcBorders>
                  <w:noWrap w:val="0"/>
                  <w:vAlign w:val="center"/>
                </w:tcPr>
                <w:p w14:paraId="66D39051">
                  <w:pPr>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A0362F2">
                  <w:pPr>
                    <w:jc w:val="center"/>
                    <w:rPr>
                      <w:color w:val="000000"/>
                      <w:sz w:val="21"/>
                      <w:szCs w:val="21"/>
                      <w:highlight w:val="none"/>
                    </w:rPr>
                  </w:pPr>
                  <w:r>
                    <w:rPr>
                      <w:rFonts w:hint="eastAsia"/>
                      <w:color w:val="000000"/>
                      <w:sz w:val="21"/>
                      <w:szCs w:val="21"/>
                      <w:highlight w:val="none"/>
                      <w:lang w:val="en-US" w:eastAsia="zh-CN"/>
                    </w:rPr>
                    <w:t>按照</w:t>
                  </w:r>
                  <w:r>
                    <w:rPr>
                      <w:color w:val="000000"/>
                      <w:sz w:val="21"/>
                      <w:szCs w:val="21"/>
                      <w:highlight w:val="none"/>
                    </w:rPr>
                    <w:fldChar w:fldCharType="begin"/>
                  </w:r>
                  <w:r>
                    <w:rPr>
                      <w:color w:val="000000"/>
                      <w:sz w:val="21"/>
                      <w:szCs w:val="21"/>
                      <w:highlight w:val="none"/>
                    </w:rPr>
                    <w:instrText xml:space="preserve"> HYPERLINK "https://www.baidu.com/link?url=KAQgsaA_bbJG8999CHiang5FKBJvRk6hvCbojKBfU9B1jWV4O3AUatUB4Bzfu75esIIgpgmt8wFebrXXHSaSZ76otHmvWdNYet2TA0iJ4TW&amp;amp;wd&amp;amp;eqid=aad07ca4000116230000000361371908" \h </w:instrText>
                  </w:r>
                  <w:r>
                    <w:rPr>
                      <w:color w:val="000000"/>
                      <w:sz w:val="21"/>
                      <w:szCs w:val="21"/>
                      <w:highlight w:val="none"/>
                    </w:rPr>
                    <w:fldChar w:fldCharType="separate"/>
                  </w:r>
                  <w:r>
                    <w:rPr>
                      <w:color w:val="000000"/>
                      <w:sz w:val="21"/>
                      <w:szCs w:val="21"/>
                      <w:highlight w:val="none"/>
                    </w:rPr>
                    <w:t>《石油化工工程防</w:t>
                  </w:r>
                  <w:r>
                    <w:rPr>
                      <w:color w:val="000000"/>
                      <w:sz w:val="21"/>
                      <w:szCs w:val="21"/>
                      <w:highlight w:val="none"/>
                    </w:rPr>
                    <w:fldChar w:fldCharType="end"/>
                  </w:r>
                  <w:r>
                    <w:rPr>
                      <w:color w:val="000000"/>
                      <w:sz w:val="21"/>
                      <w:szCs w:val="21"/>
                      <w:highlight w:val="none"/>
                    </w:rPr>
                    <w:t>渗技术规范》</w:t>
                  </w:r>
                </w:p>
                <w:p w14:paraId="367C22C2">
                  <w:pPr>
                    <w:jc w:val="center"/>
                    <w:rPr>
                      <w:rFonts w:hint="eastAsia" w:eastAsia="宋体"/>
                      <w:color w:val="000000"/>
                      <w:sz w:val="21"/>
                      <w:szCs w:val="21"/>
                      <w:highlight w:val="none"/>
                      <w:lang w:val="en-US" w:eastAsia="zh-CN"/>
                    </w:rPr>
                  </w:pPr>
                  <w:r>
                    <w:rPr>
                      <w:color w:val="000000"/>
                      <w:sz w:val="21"/>
                      <w:szCs w:val="21"/>
                      <w:highlight w:val="none"/>
                    </w:rPr>
                    <w:t>（GB/T50934-2013）</w:t>
                  </w:r>
                  <w:r>
                    <w:rPr>
                      <w:rFonts w:hint="eastAsia"/>
                      <w:color w:val="000000"/>
                      <w:sz w:val="21"/>
                      <w:szCs w:val="21"/>
                      <w:highlight w:val="none"/>
                      <w:lang w:val="en-US" w:eastAsia="zh-CN"/>
                    </w:rPr>
                    <w:t>执行</w:t>
                  </w:r>
                </w:p>
              </w:tc>
            </w:tr>
          </w:tbl>
          <w:p w14:paraId="527597F4">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结合项目实际，主要做好以下措施：</w:t>
            </w:r>
          </w:p>
          <w:p w14:paraId="327176E8">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（一）源头控制</w:t>
            </w:r>
          </w:p>
          <w:p w14:paraId="0A75911B">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（1）对管道、阀门严格检查，有质量问题的及时更换，管道、阀门都应采用优质耐腐蚀材料制成的产品。</w:t>
            </w:r>
          </w:p>
          <w:p w14:paraId="7DB16962">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2）对工艺要求必须地下走管的管道、阀门设专用防渗管沟，管沟上设活动观察顶盖，以便出现渗漏问题及时观察、解决，管沟与集水池相连，并设计合理的排水坡度，便于污水排入集水池，便于发现污染物的跑、冒、滴、漏，将污染物泄漏的环境风险事故降至最低限度。</w:t>
            </w:r>
          </w:p>
          <w:p w14:paraId="0D4E6285">
            <w:pPr>
              <w:spacing w:line="520" w:lineRule="exact"/>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3）所有污水排水管材采用钢塑复合管，以无缝钢管、焊接钢管为基管，采用180°砂石垫层基础，内壁涂装高附着力、防腐、耐酸碱型的聚乙烯末涂料或环氧树脂涂料，采用焊接接口，对地基松软或不均匀沉降地段，管道基础采取加固措施。</w:t>
            </w:r>
          </w:p>
          <w:p w14:paraId="5F1F2414">
            <w:pPr>
              <w:spacing w:line="360" w:lineRule="auto"/>
              <w:ind w:firstLine="480"/>
              <w:rPr>
                <w:color w:val="000000"/>
                <w:sz w:val="24"/>
                <w:highlight w:val="none"/>
              </w:rPr>
            </w:pPr>
            <w:r>
              <w:rPr>
                <w:rFonts w:hint="eastAsia"/>
                <w:color w:val="000000"/>
                <w:sz w:val="24"/>
                <w:highlight w:val="none"/>
                <w:lang w:val="en-US" w:eastAsia="zh-CN"/>
              </w:rPr>
              <w:t>（二）</w:t>
            </w:r>
            <w:r>
              <w:rPr>
                <w:color w:val="000000"/>
                <w:sz w:val="24"/>
                <w:highlight w:val="none"/>
              </w:rPr>
              <w:t>地下水风险事故应急预案</w:t>
            </w:r>
          </w:p>
          <w:p w14:paraId="0AA08A98">
            <w:pPr>
              <w:snapToGrid w:val="0"/>
              <w:spacing w:line="360" w:lineRule="auto"/>
              <w:ind w:firstLine="480" w:firstLineChars="200"/>
              <w:jc w:val="left"/>
              <w:rPr>
                <w:color w:val="000000"/>
                <w:kern w:val="0"/>
                <w:sz w:val="24"/>
                <w:highlight w:val="none"/>
              </w:rPr>
            </w:pPr>
            <w:r>
              <w:rPr>
                <w:color w:val="000000"/>
                <w:kern w:val="0"/>
                <w:sz w:val="24"/>
                <w:highlight w:val="none"/>
              </w:rPr>
              <w:t>项目投入运行后若发生突发污染事故时，建设单位首先尽快对污染物进行收集和处理，修缮发生污染的设施和防渗结构。具体措施如下：</w:t>
            </w:r>
          </w:p>
          <w:p w14:paraId="2E9B99DA">
            <w:pPr>
              <w:snapToGrid w:val="0"/>
              <w:spacing w:line="360" w:lineRule="auto"/>
              <w:ind w:firstLine="480" w:firstLineChars="200"/>
              <w:jc w:val="left"/>
              <w:rPr>
                <w:color w:val="000000"/>
                <w:kern w:val="0"/>
                <w:sz w:val="24"/>
                <w:highlight w:val="none"/>
              </w:rPr>
            </w:pPr>
            <w:r>
              <w:rPr>
                <w:rFonts w:hint="eastAsia"/>
                <w:color w:val="000000"/>
                <w:kern w:val="0"/>
                <w:sz w:val="24"/>
                <w:highlight w:val="none"/>
              </w:rPr>
              <w:t>（1）</w:t>
            </w:r>
            <w:r>
              <w:rPr>
                <w:color w:val="000000"/>
                <w:kern w:val="0"/>
                <w:sz w:val="24"/>
                <w:highlight w:val="none"/>
              </w:rPr>
              <w:t>在发生污染处，采取工程措施，将污染处的污水及时清理，装运集中后进行排污降污处理。</w:t>
            </w:r>
          </w:p>
          <w:p w14:paraId="2A978CE0">
            <w:pPr>
              <w:snapToGrid w:val="0"/>
              <w:spacing w:line="360" w:lineRule="auto"/>
              <w:ind w:firstLine="480" w:firstLineChars="200"/>
              <w:jc w:val="left"/>
              <w:rPr>
                <w:rFonts w:hint="eastAsia"/>
                <w:color w:val="000000"/>
                <w:kern w:val="0"/>
                <w:sz w:val="24"/>
                <w:highlight w:val="none"/>
              </w:rPr>
            </w:pPr>
            <w:r>
              <w:rPr>
                <w:rFonts w:hint="eastAsia"/>
                <w:color w:val="000000"/>
                <w:kern w:val="0"/>
                <w:sz w:val="24"/>
                <w:highlight w:val="none"/>
                <w:lang w:eastAsia="zh-CN"/>
              </w:rPr>
              <w:t>（</w:t>
            </w:r>
            <w:r>
              <w:rPr>
                <w:rFonts w:hint="eastAsia"/>
                <w:color w:val="000000"/>
                <w:kern w:val="0"/>
                <w:sz w:val="24"/>
                <w:highlight w:val="none"/>
                <w:lang w:val="en-US" w:eastAsia="zh-CN"/>
              </w:rPr>
              <w:t>2</w:t>
            </w:r>
            <w:r>
              <w:rPr>
                <w:rFonts w:hint="eastAsia"/>
                <w:color w:val="000000"/>
                <w:kern w:val="0"/>
                <w:sz w:val="24"/>
                <w:highlight w:val="none"/>
                <w:lang w:eastAsia="zh-CN"/>
              </w:rPr>
              <w:t>）</w:t>
            </w:r>
            <w:r>
              <w:rPr>
                <w:rFonts w:hint="eastAsia"/>
                <w:color w:val="000000"/>
                <w:kern w:val="0"/>
                <w:sz w:val="24"/>
                <w:highlight w:val="none"/>
              </w:rPr>
              <w:t>考虑本项目所在厂区现有已建项目，全厂</w:t>
            </w:r>
            <w:r>
              <w:rPr>
                <w:rFonts w:hint="eastAsia"/>
                <w:color w:val="000000"/>
                <w:kern w:val="0"/>
                <w:sz w:val="24"/>
                <w:highlight w:val="none"/>
                <w:lang w:val="en-US" w:eastAsia="zh-CN"/>
              </w:rPr>
              <w:t>已</w:t>
            </w:r>
            <w:r>
              <w:rPr>
                <w:rFonts w:hint="eastAsia"/>
                <w:color w:val="000000"/>
                <w:kern w:val="0"/>
                <w:sz w:val="24"/>
                <w:highlight w:val="none"/>
              </w:rPr>
              <w:t>布设5口监测井，监测井同时作为事故污染时的应急处理截获井和抽水井；</w:t>
            </w:r>
          </w:p>
          <w:p w14:paraId="15D9AC3B">
            <w:pPr>
              <w:snapToGrid w:val="0"/>
              <w:spacing w:line="360" w:lineRule="auto"/>
              <w:ind w:firstLine="480" w:firstLineChars="200"/>
              <w:jc w:val="left"/>
              <w:rPr>
                <w:rFonts w:hint="eastAsia"/>
                <w:color w:val="000000"/>
                <w:kern w:val="0"/>
                <w:sz w:val="24"/>
                <w:highlight w:val="none"/>
              </w:rPr>
            </w:pPr>
            <w:r>
              <w:rPr>
                <w:rFonts w:hint="eastAsia"/>
                <w:color w:val="000000"/>
                <w:kern w:val="0"/>
                <w:sz w:val="24"/>
                <w:highlight w:val="none"/>
                <w:lang w:eastAsia="zh-CN"/>
              </w:rPr>
              <w:t>（</w:t>
            </w:r>
            <w:r>
              <w:rPr>
                <w:rFonts w:hint="eastAsia"/>
                <w:color w:val="000000"/>
                <w:kern w:val="0"/>
                <w:sz w:val="24"/>
                <w:highlight w:val="none"/>
                <w:lang w:val="en-US" w:eastAsia="zh-CN"/>
              </w:rPr>
              <w:t>3</w:t>
            </w:r>
            <w:r>
              <w:rPr>
                <w:rFonts w:hint="eastAsia"/>
                <w:color w:val="000000"/>
                <w:kern w:val="0"/>
                <w:sz w:val="24"/>
                <w:highlight w:val="none"/>
                <w:lang w:eastAsia="zh-CN"/>
              </w:rPr>
              <w:t>）</w:t>
            </w:r>
            <w:r>
              <w:rPr>
                <w:rFonts w:hint="eastAsia"/>
                <w:color w:val="000000"/>
                <w:kern w:val="0"/>
                <w:sz w:val="24"/>
                <w:highlight w:val="none"/>
              </w:rPr>
              <w:t>地下水水质监测频率参照《工业企业土壤和地下水自行监测技术指南(试行)》(HJ 1209—2021)；</w:t>
            </w:r>
          </w:p>
          <w:p w14:paraId="77E4455F">
            <w:pPr>
              <w:snapToGrid w:val="0"/>
              <w:spacing w:line="360" w:lineRule="auto"/>
              <w:ind w:firstLine="480" w:firstLineChars="200"/>
              <w:jc w:val="left"/>
              <w:rPr>
                <w:rFonts w:hint="eastAsia"/>
                <w:color w:val="000000"/>
                <w:kern w:val="0"/>
                <w:sz w:val="24"/>
                <w:highlight w:val="none"/>
              </w:rPr>
            </w:pPr>
            <w:r>
              <w:rPr>
                <w:rFonts w:hint="eastAsia"/>
                <w:color w:val="000000"/>
                <w:kern w:val="0"/>
                <w:sz w:val="24"/>
                <w:highlight w:val="none"/>
                <w:lang w:eastAsia="zh-CN"/>
              </w:rPr>
              <w:t>（</w:t>
            </w:r>
            <w:r>
              <w:rPr>
                <w:rFonts w:hint="eastAsia"/>
                <w:color w:val="000000"/>
                <w:kern w:val="0"/>
                <w:sz w:val="24"/>
                <w:highlight w:val="none"/>
                <w:lang w:val="en-US" w:eastAsia="zh-CN"/>
              </w:rPr>
              <w:t>4</w:t>
            </w:r>
            <w:r>
              <w:rPr>
                <w:rFonts w:hint="eastAsia"/>
                <w:color w:val="000000"/>
                <w:kern w:val="0"/>
                <w:sz w:val="24"/>
                <w:highlight w:val="none"/>
                <w:lang w:eastAsia="zh-CN"/>
              </w:rPr>
              <w:t>）</w:t>
            </w:r>
            <w:r>
              <w:rPr>
                <w:rFonts w:hint="eastAsia"/>
                <w:color w:val="000000"/>
                <w:kern w:val="0"/>
                <w:sz w:val="24"/>
                <w:highlight w:val="none"/>
              </w:rPr>
              <w:t>在污染事故等情况下，要加密监测点，同时增加监测频率，加密监测点以能控制污染扩散范围为原则，应结合污染物特征和水文地质条件进行布设。</w:t>
            </w:r>
          </w:p>
          <w:p w14:paraId="6E3F62F4">
            <w:pPr>
              <w:snapToGrid w:val="0"/>
              <w:spacing w:line="360" w:lineRule="auto"/>
              <w:ind w:firstLine="480" w:firstLineChars="200"/>
              <w:jc w:val="left"/>
              <w:rPr>
                <w:rFonts w:hint="eastAsia"/>
                <w:color w:val="000000"/>
                <w:kern w:val="0"/>
                <w:sz w:val="24"/>
                <w:highlight w:val="none"/>
              </w:rPr>
            </w:pPr>
            <w:r>
              <w:rPr>
                <w:rFonts w:hint="eastAsia"/>
                <w:color w:val="000000"/>
                <w:kern w:val="0"/>
                <w:sz w:val="24"/>
                <w:highlight w:val="none"/>
                <w:lang w:eastAsia="zh-CN"/>
              </w:rPr>
              <w:t>（</w:t>
            </w:r>
            <w:r>
              <w:rPr>
                <w:rFonts w:hint="eastAsia"/>
                <w:color w:val="000000"/>
                <w:kern w:val="0"/>
                <w:sz w:val="24"/>
                <w:highlight w:val="none"/>
                <w:lang w:val="en-US" w:eastAsia="zh-CN"/>
              </w:rPr>
              <w:t>5</w:t>
            </w:r>
            <w:r>
              <w:rPr>
                <w:rFonts w:hint="eastAsia"/>
                <w:color w:val="000000"/>
                <w:kern w:val="0"/>
                <w:sz w:val="24"/>
                <w:highlight w:val="none"/>
                <w:lang w:eastAsia="zh-CN"/>
              </w:rPr>
              <w:t>）</w:t>
            </w:r>
            <w:r>
              <w:rPr>
                <w:rFonts w:hint="eastAsia"/>
                <w:color w:val="000000"/>
                <w:kern w:val="0"/>
                <w:sz w:val="24"/>
                <w:highlight w:val="none"/>
              </w:rPr>
              <w:t>监测数据管理</w:t>
            </w:r>
          </w:p>
          <w:p w14:paraId="1E9E6FC3">
            <w:pPr>
              <w:adjustRightInd w:val="0"/>
              <w:snapToGrid w:val="0"/>
              <w:spacing w:line="360" w:lineRule="auto"/>
              <w:ind w:firstLine="480" w:firstLineChars="200"/>
              <w:jc w:val="both"/>
              <w:rPr>
                <w:rFonts w:hint="default" w:ascii="宋体" w:hAnsi="宋体" w:eastAsia="宋体" w:cs="宋体"/>
                <w:b w:val="0"/>
                <w:bCs w:val="0"/>
                <w:color w:val="000000"/>
                <w:sz w:val="24"/>
                <w:szCs w:val="24"/>
                <w:highlight w:val="none"/>
                <w:lang w:val="en-US" w:eastAsia="zh-CN"/>
              </w:rPr>
            </w:pPr>
            <w:r>
              <w:rPr>
                <w:rFonts w:hint="eastAsia"/>
                <w:color w:val="000000"/>
                <w:kern w:val="0"/>
                <w:sz w:val="24"/>
                <w:highlight w:val="none"/>
              </w:rPr>
              <w:t>上述监测结果应按相关规定及时建立档案，并定期向所在地环境保护行政主管部门汇报。公开常规监测资料。如发现异常或发生事故，应加密监测频次，并分析污染原因，及时采取相应措施，防止污染范围进一步扩大</w:t>
            </w:r>
            <w:r>
              <w:rPr>
                <w:color w:val="000000"/>
                <w:kern w:val="0"/>
                <w:sz w:val="24"/>
                <w:highlight w:val="none"/>
              </w:rPr>
              <w:t>。</w:t>
            </w:r>
          </w:p>
          <w:p w14:paraId="0857A5AA">
            <w:pPr>
              <w:spacing w:line="520" w:lineRule="exact"/>
              <w:ind w:firstLine="482" w:firstLineChars="200"/>
              <w:jc w:val="left"/>
              <w:rPr>
                <w:rFonts w:hint="eastAsia"/>
                <w:color w:val="000000"/>
                <w:sz w:val="24"/>
                <w:highlight w:val="none"/>
                <w:lang w:val="en-GB"/>
              </w:rPr>
            </w:pPr>
            <w:r>
              <w:rPr>
                <w:rFonts w:hint="eastAsia"/>
                <w:b/>
                <w:bCs/>
                <w:color w:val="000000"/>
                <w:sz w:val="24"/>
                <w:highlight w:val="none"/>
                <w:lang w:val="en-US" w:eastAsia="zh-CN"/>
              </w:rPr>
              <w:t>七</w:t>
            </w:r>
            <w:r>
              <w:rPr>
                <w:rFonts w:hint="eastAsia"/>
                <w:b/>
                <w:bCs/>
                <w:color w:val="000000"/>
                <w:sz w:val="24"/>
                <w:highlight w:val="none"/>
                <w:lang w:val="en-GB"/>
              </w:rPr>
              <w:t>、环境风险分析</w:t>
            </w:r>
          </w:p>
          <w:p w14:paraId="3EE6D8C7">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US" w:eastAsia="zh-CN"/>
              </w:rPr>
              <w:t>7.1</w:t>
            </w:r>
            <w:r>
              <w:rPr>
                <w:rFonts w:hint="eastAsia"/>
                <w:color w:val="000000"/>
                <w:sz w:val="24"/>
                <w:highlight w:val="none"/>
                <w:lang w:val="en-GB"/>
              </w:rPr>
              <w:t>物质危险性识别</w:t>
            </w:r>
          </w:p>
          <w:p w14:paraId="6152BA0B">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80" w:firstLineChars="200"/>
              <w:jc w:val="both"/>
              <w:textAlignment w:val="auto"/>
              <w:rPr>
                <w:rFonts w:hint="eastAsia" w:eastAsia="宋体"/>
                <w:color w:val="000000"/>
                <w:sz w:val="24"/>
                <w:highlight w:val="none"/>
                <w:lang w:eastAsia="zh-CN"/>
              </w:rPr>
            </w:pPr>
            <w:r>
              <w:rPr>
                <w:rFonts w:hint="eastAsia"/>
                <w:color w:val="000000"/>
                <w:sz w:val="24"/>
                <w:highlight w:val="none"/>
                <w:lang w:val="en-GB"/>
              </w:rPr>
              <w:t>本项目为焦化企业污水处理</w:t>
            </w:r>
            <w:r>
              <w:rPr>
                <w:rFonts w:hint="eastAsia"/>
                <w:color w:val="000000"/>
                <w:sz w:val="24"/>
                <w:highlight w:val="none"/>
                <w:lang w:val="en-US" w:eastAsia="zh-CN"/>
              </w:rPr>
              <w:t>工程建设</w:t>
            </w:r>
            <w:r>
              <w:rPr>
                <w:rFonts w:hint="eastAsia"/>
                <w:color w:val="000000"/>
                <w:sz w:val="24"/>
                <w:highlight w:val="none"/>
                <w:lang w:val="en-GB"/>
              </w:rPr>
              <w:t>项目，</w:t>
            </w:r>
            <w:r>
              <w:rPr>
                <w:rFonts w:hint="default" w:ascii="Times New Roman" w:hAnsi="Times New Roman" w:eastAsia="宋体" w:cs="Times New Roman"/>
                <w:color w:val="000000"/>
                <w:kern w:val="0"/>
                <w:sz w:val="24"/>
                <w:szCs w:val="22"/>
                <w:highlight w:val="none"/>
                <w:lang w:val="en-US" w:eastAsia="zh-CN"/>
              </w:rPr>
              <w:t>根据《建设项目环境风险评价技术导则》（HJ169-2018）附录B</w:t>
            </w:r>
            <w:r>
              <w:rPr>
                <w:rFonts w:hint="eastAsia" w:ascii="Times New Roman" w:hAnsi="Times New Roman" w:eastAsia="宋体" w:cs="Times New Roman"/>
                <w:color w:val="000000"/>
                <w:kern w:val="0"/>
                <w:sz w:val="24"/>
                <w:szCs w:val="22"/>
                <w:highlight w:val="none"/>
                <w:lang w:val="en-US" w:eastAsia="zh-CN"/>
              </w:rPr>
              <w:t>，本项目生产过程中涉及的风险物质主要为硫酸（浓度98%）、次氯酸钠（浓度10%）、盐酸（浓度32%，最大储存量为3t，折算为37%盐酸约为2.59t）</w:t>
            </w:r>
            <w:r>
              <w:rPr>
                <w:rFonts w:hint="eastAsia"/>
                <w:color w:val="000000"/>
                <w:kern w:val="0"/>
                <w:sz w:val="24"/>
                <w:szCs w:val="22"/>
                <w:highlight w:val="none"/>
              </w:rPr>
              <w:t>。</w:t>
            </w:r>
            <w:r>
              <w:rPr>
                <w:color w:val="000000"/>
                <w:sz w:val="24"/>
                <w:highlight w:val="none"/>
              </w:rPr>
              <w:t>本项目的危险物质数量与临界量比值（Q），计算结果如下表所示</w:t>
            </w:r>
            <w:r>
              <w:rPr>
                <w:rFonts w:hint="eastAsia"/>
                <w:color w:val="000000"/>
                <w:sz w:val="24"/>
                <w:highlight w:val="none"/>
                <w:lang w:eastAsia="zh-CN"/>
              </w:rPr>
              <w:t>：</w:t>
            </w:r>
          </w:p>
          <w:p w14:paraId="3BF5C0DF">
            <w:pPr>
              <w:spacing w:line="480" w:lineRule="exact"/>
              <w:ind w:firstLine="482" w:firstLineChars="200"/>
              <w:jc w:val="center"/>
              <w:rPr>
                <w:b/>
                <w:bCs/>
                <w:color w:val="000000"/>
                <w:sz w:val="24"/>
                <w:highlight w:val="none"/>
              </w:rPr>
            </w:pPr>
            <w:r>
              <w:rPr>
                <w:b/>
                <w:bCs/>
                <w:color w:val="000000"/>
                <w:sz w:val="24"/>
                <w:highlight w:val="none"/>
              </w:rPr>
              <w:t>表</w:t>
            </w:r>
            <w:r>
              <w:rPr>
                <w:rFonts w:hint="eastAsia"/>
                <w:b/>
                <w:bCs/>
                <w:color w:val="000000"/>
                <w:sz w:val="24"/>
                <w:highlight w:val="none"/>
              </w:rPr>
              <w:t>4-1</w:t>
            </w:r>
            <w:r>
              <w:rPr>
                <w:rFonts w:hint="eastAsia"/>
                <w:b/>
                <w:bCs/>
                <w:color w:val="000000"/>
                <w:sz w:val="24"/>
                <w:highlight w:val="none"/>
                <w:lang w:val="en-US" w:eastAsia="zh-CN"/>
              </w:rPr>
              <w:t>2</w:t>
            </w:r>
            <w:r>
              <w:rPr>
                <w:b/>
                <w:bCs/>
                <w:color w:val="000000"/>
                <w:sz w:val="24"/>
                <w:highlight w:val="none"/>
              </w:rPr>
              <w:t xml:space="preserve"> 危险物质数量与临界量比值（Q）</w:t>
            </w:r>
          </w:p>
          <w:tbl>
            <w:tblPr>
              <w:tblStyle w:val="13"/>
              <w:tblW w:w="787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08"/>
              <w:gridCol w:w="2317"/>
              <w:gridCol w:w="1994"/>
              <w:gridCol w:w="1578"/>
              <w:gridCol w:w="1380"/>
            </w:tblGrid>
            <w:tr w14:paraId="5EC3C2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1" w:hRule="atLeast"/>
                <w:jc w:val="center"/>
              </w:trPr>
              <w:tc>
                <w:tcPr>
                  <w:tcW w:w="608" w:type="dxa"/>
                  <w:tcBorders>
                    <w:tl2br w:val="nil"/>
                    <w:tr2bl w:val="nil"/>
                  </w:tcBorders>
                  <w:noWrap w:val="0"/>
                  <w:vAlign w:val="center"/>
                </w:tcPr>
                <w:p w14:paraId="10726324">
                  <w:pPr>
                    <w:jc w:val="center"/>
                    <w:textAlignment w:val="baseline"/>
                    <w:rPr>
                      <w:b/>
                      <w:bCs/>
                      <w:color w:val="000000"/>
                      <w:kern w:val="24"/>
                      <w:szCs w:val="21"/>
                      <w:highlight w:val="none"/>
                    </w:rPr>
                  </w:pPr>
                  <w:r>
                    <w:rPr>
                      <w:b/>
                      <w:bCs/>
                      <w:color w:val="000000"/>
                      <w:kern w:val="24"/>
                      <w:szCs w:val="21"/>
                      <w:highlight w:val="none"/>
                    </w:rPr>
                    <w:t>序号</w:t>
                  </w:r>
                </w:p>
              </w:tc>
              <w:tc>
                <w:tcPr>
                  <w:tcW w:w="2317" w:type="dxa"/>
                  <w:tcBorders>
                    <w:tl2br w:val="nil"/>
                    <w:tr2bl w:val="nil"/>
                  </w:tcBorders>
                  <w:noWrap w:val="0"/>
                  <w:vAlign w:val="center"/>
                </w:tcPr>
                <w:p w14:paraId="1B99C5CA">
                  <w:pPr>
                    <w:jc w:val="center"/>
                    <w:textAlignment w:val="baseline"/>
                    <w:rPr>
                      <w:b/>
                      <w:bCs/>
                      <w:color w:val="000000"/>
                      <w:kern w:val="24"/>
                      <w:szCs w:val="21"/>
                      <w:highlight w:val="none"/>
                    </w:rPr>
                  </w:pPr>
                  <w:r>
                    <w:rPr>
                      <w:b/>
                      <w:bCs/>
                      <w:color w:val="000000"/>
                      <w:kern w:val="24"/>
                      <w:szCs w:val="21"/>
                      <w:highlight w:val="none"/>
                    </w:rPr>
                    <w:t>危险物质名称</w:t>
                  </w:r>
                </w:p>
              </w:tc>
              <w:tc>
                <w:tcPr>
                  <w:tcW w:w="1994" w:type="dxa"/>
                  <w:tcBorders>
                    <w:tl2br w:val="nil"/>
                    <w:tr2bl w:val="nil"/>
                  </w:tcBorders>
                  <w:noWrap w:val="0"/>
                  <w:vAlign w:val="center"/>
                </w:tcPr>
                <w:p w14:paraId="4465A2A6">
                  <w:pPr>
                    <w:jc w:val="center"/>
                    <w:textAlignment w:val="baseline"/>
                    <w:rPr>
                      <w:b/>
                      <w:bCs/>
                      <w:color w:val="000000"/>
                      <w:kern w:val="24"/>
                      <w:szCs w:val="21"/>
                      <w:highlight w:val="none"/>
                    </w:rPr>
                  </w:pPr>
                  <w:r>
                    <w:rPr>
                      <w:b/>
                      <w:bCs/>
                      <w:color w:val="000000"/>
                      <w:kern w:val="24"/>
                      <w:szCs w:val="21"/>
                      <w:highlight w:val="none"/>
                    </w:rPr>
                    <w:t>最大</w:t>
                  </w:r>
                  <w:r>
                    <w:rPr>
                      <w:rFonts w:hint="eastAsia"/>
                      <w:b/>
                      <w:bCs/>
                      <w:color w:val="000000"/>
                      <w:kern w:val="24"/>
                      <w:szCs w:val="21"/>
                      <w:highlight w:val="none"/>
                    </w:rPr>
                    <w:t>储存</w:t>
                  </w:r>
                  <w:r>
                    <w:rPr>
                      <w:b/>
                      <w:bCs/>
                      <w:color w:val="000000"/>
                      <w:kern w:val="24"/>
                      <w:szCs w:val="21"/>
                      <w:highlight w:val="none"/>
                    </w:rPr>
                    <w:t>总量qn/t</w:t>
                  </w:r>
                </w:p>
              </w:tc>
              <w:tc>
                <w:tcPr>
                  <w:tcW w:w="1578" w:type="dxa"/>
                  <w:tcBorders>
                    <w:tl2br w:val="nil"/>
                    <w:tr2bl w:val="nil"/>
                  </w:tcBorders>
                  <w:noWrap w:val="0"/>
                  <w:vAlign w:val="center"/>
                </w:tcPr>
                <w:p w14:paraId="28E53E83">
                  <w:pPr>
                    <w:jc w:val="center"/>
                    <w:textAlignment w:val="baseline"/>
                    <w:rPr>
                      <w:b/>
                      <w:bCs/>
                      <w:color w:val="000000"/>
                      <w:kern w:val="24"/>
                      <w:szCs w:val="21"/>
                      <w:highlight w:val="none"/>
                    </w:rPr>
                  </w:pPr>
                  <w:r>
                    <w:rPr>
                      <w:b/>
                      <w:bCs/>
                      <w:color w:val="000000"/>
                      <w:kern w:val="24"/>
                      <w:szCs w:val="21"/>
                      <w:highlight w:val="none"/>
                    </w:rPr>
                    <w:t>临界量Qn/t</w:t>
                  </w:r>
                </w:p>
              </w:tc>
              <w:tc>
                <w:tcPr>
                  <w:tcW w:w="1380" w:type="dxa"/>
                  <w:tcBorders>
                    <w:tl2br w:val="nil"/>
                    <w:tr2bl w:val="nil"/>
                  </w:tcBorders>
                  <w:noWrap w:val="0"/>
                  <w:vAlign w:val="center"/>
                </w:tcPr>
                <w:p w14:paraId="518F3780">
                  <w:pPr>
                    <w:jc w:val="center"/>
                    <w:textAlignment w:val="baseline"/>
                    <w:rPr>
                      <w:b/>
                      <w:bCs/>
                      <w:color w:val="000000"/>
                      <w:kern w:val="24"/>
                      <w:szCs w:val="21"/>
                      <w:highlight w:val="none"/>
                    </w:rPr>
                  </w:pPr>
                  <w:r>
                    <w:rPr>
                      <w:b/>
                      <w:bCs/>
                      <w:color w:val="000000"/>
                      <w:kern w:val="24"/>
                      <w:szCs w:val="21"/>
                      <w:highlight w:val="none"/>
                    </w:rPr>
                    <w:t>该危险物质Q值</w:t>
                  </w:r>
                </w:p>
              </w:tc>
            </w:tr>
            <w:tr w14:paraId="009495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608" w:type="dxa"/>
                  <w:tcBorders>
                    <w:tl2br w:val="nil"/>
                    <w:tr2bl w:val="nil"/>
                  </w:tcBorders>
                  <w:noWrap w:val="0"/>
                  <w:vAlign w:val="center"/>
                </w:tcPr>
                <w:p w14:paraId="76AFC810">
                  <w:pPr>
                    <w:jc w:val="center"/>
                    <w:textAlignment w:val="baseline"/>
                    <w:rPr>
                      <w:color w:val="000000"/>
                      <w:kern w:val="24"/>
                      <w:szCs w:val="21"/>
                      <w:highlight w:val="none"/>
                    </w:rPr>
                  </w:pPr>
                  <w:r>
                    <w:rPr>
                      <w:color w:val="000000"/>
                      <w:kern w:val="24"/>
                      <w:szCs w:val="21"/>
                      <w:highlight w:val="none"/>
                    </w:rPr>
                    <w:t>1</w:t>
                  </w:r>
                </w:p>
              </w:tc>
              <w:tc>
                <w:tcPr>
                  <w:tcW w:w="2317" w:type="dxa"/>
                  <w:tcBorders>
                    <w:tl2br w:val="nil"/>
                    <w:tr2bl w:val="nil"/>
                  </w:tcBorders>
                  <w:noWrap w:val="0"/>
                  <w:vAlign w:val="center"/>
                </w:tcPr>
                <w:p w14:paraId="208A0227">
                  <w:pPr>
                    <w:jc w:val="center"/>
                    <w:textAlignment w:val="baseline"/>
                    <w:rPr>
                      <w:rFonts w:hint="eastAsia" w:eastAsia="宋体"/>
                      <w:color w:val="000000"/>
                      <w:szCs w:val="21"/>
                      <w:highlight w:val="none"/>
                      <w:lang w:val="en-US" w:eastAsia="zh-CN"/>
                    </w:rPr>
                  </w:pPr>
                  <w:r>
                    <w:rPr>
                      <w:rFonts w:hint="eastAsia"/>
                      <w:color w:val="000000"/>
                      <w:szCs w:val="21"/>
                      <w:highlight w:val="none"/>
                      <w:lang w:val="en-US" w:eastAsia="zh-CN"/>
                    </w:rPr>
                    <w:t>98%硫酸</w:t>
                  </w:r>
                </w:p>
              </w:tc>
              <w:tc>
                <w:tcPr>
                  <w:tcW w:w="1994" w:type="dxa"/>
                  <w:tcBorders>
                    <w:tl2br w:val="nil"/>
                    <w:tr2bl w:val="nil"/>
                  </w:tcBorders>
                  <w:noWrap w:val="0"/>
                  <w:vAlign w:val="center"/>
                </w:tcPr>
                <w:p w14:paraId="00A2C518">
                  <w:pPr>
                    <w:jc w:val="center"/>
                    <w:textAlignment w:val="baseline"/>
                    <w:rPr>
                      <w:rFonts w:hint="default" w:eastAsia="宋体"/>
                      <w:color w:val="000000"/>
                      <w:kern w:val="24"/>
                      <w:szCs w:val="21"/>
                      <w:highlight w:val="none"/>
                      <w:lang w:val="en-US" w:eastAsia="zh-CN"/>
                    </w:rPr>
                  </w:pPr>
                  <w:r>
                    <w:rPr>
                      <w:rFonts w:hint="eastAsia"/>
                      <w:color w:val="000000"/>
                      <w:kern w:val="24"/>
                      <w:szCs w:val="21"/>
                      <w:highlight w:val="none"/>
                      <w:lang w:val="en-US" w:eastAsia="zh-CN"/>
                    </w:rPr>
                    <w:t>2.94</w:t>
                  </w:r>
                </w:p>
              </w:tc>
              <w:tc>
                <w:tcPr>
                  <w:tcW w:w="1578" w:type="dxa"/>
                  <w:tcBorders>
                    <w:tl2br w:val="nil"/>
                    <w:tr2bl w:val="nil"/>
                  </w:tcBorders>
                  <w:noWrap w:val="0"/>
                  <w:vAlign w:val="center"/>
                </w:tcPr>
                <w:p w14:paraId="769EEA7B">
                  <w:pPr>
                    <w:jc w:val="center"/>
                    <w:textAlignment w:val="baseline"/>
                    <w:rPr>
                      <w:rFonts w:hint="default" w:eastAsia="宋体"/>
                      <w:color w:val="000000"/>
                      <w:kern w:val="24"/>
                      <w:szCs w:val="21"/>
                      <w:highlight w:val="none"/>
                      <w:lang w:val="en-US" w:eastAsia="zh-CN"/>
                    </w:rPr>
                  </w:pPr>
                  <w:r>
                    <w:rPr>
                      <w:rFonts w:hint="eastAsia"/>
                      <w:color w:val="000000"/>
                      <w:kern w:val="24"/>
                      <w:szCs w:val="21"/>
                      <w:highlight w:val="none"/>
                      <w:lang w:val="en-US" w:eastAsia="zh-CN"/>
                    </w:rPr>
                    <w:t>10</w:t>
                  </w:r>
                </w:p>
              </w:tc>
              <w:tc>
                <w:tcPr>
                  <w:tcW w:w="1380" w:type="dxa"/>
                  <w:tcBorders>
                    <w:tl2br w:val="nil"/>
                    <w:tr2bl w:val="nil"/>
                  </w:tcBorders>
                  <w:noWrap w:val="0"/>
                  <w:vAlign w:val="center"/>
                </w:tcPr>
                <w:p w14:paraId="14AA4590">
                  <w:pPr>
                    <w:widowControl/>
                    <w:jc w:val="center"/>
                    <w:textAlignment w:val="center"/>
                    <w:rPr>
                      <w:rFonts w:hint="default" w:eastAsia="宋体"/>
                      <w:color w:val="000000"/>
                      <w:kern w:val="24"/>
                      <w:szCs w:val="21"/>
                      <w:highlight w:val="none"/>
                      <w:lang w:val="en-US" w:eastAsia="zh-CN"/>
                    </w:rPr>
                  </w:pPr>
                  <w:r>
                    <w:rPr>
                      <w:rFonts w:hint="eastAsia" w:eastAsia="宋体"/>
                      <w:color w:val="000000"/>
                      <w:kern w:val="24"/>
                      <w:szCs w:val="21"/>
                      <w:highlight w:val="none"/>
                      <w:lang w:val="en-US" w:eastAsia="zh-CN"/>
                    </w:rPr>
                    <w:t>0.294</w:t>
                  </w:r>
                </w:p>
              </w:tc>
            </w:tr>
            <w:tr w14:paraId="328C83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608" w:type="dxa"/>
                  <w:tcBorders>
                    <w:tl2br w:val="nil"/>
                    <w:tr2bl w:val="nil"/>
                  </w:tcBorders>
                  <w:noWrap w:val="0"/>
                  <w:vAlign w:val="center"/>
                </w:tcPr>
                <w:p w14:paraId="5385502C">
                  <w:pPr>
                    <w:jc w:val="center"/>
                    <w:textAlignment w:val="baseline"/>
                    <w:rPr>
                      <w:rFonts w:hint="default" w:eastAsia="宋体"/>
                      <w:color w:val="000000"/>
                      <w:kern w:val="24"/>
                      <w:szCs w:val="21"/>
                      <w:highlight w:val="none"/>
                      <w:lang w:val="en-US" w:eastAsia="zh-CN"/>
                    </w:rPr>
                  </w:pPr>
                  <w:r>
                    <w:rPr>
                      <w:rFonts w:hint="eastAsia" w:eastAsia="宋体"/>
                      <w:color w:val="000000"/>
                      <w:kern w:val="24"/>
                      <w:szCs w:val="21"/>
                      <w:highlight w:val="none"/>
                      <w:lang w:val="en-US" w:eastAsia="zh-CN"/>
                    </w:rPr>
                    <w:t>2</w:t>
                  </w:r>
                </w:p>
              </w:tc>
              <w:tc>
                <w:tcPr>
                  <w:tcW w:w="2317" w:type="dxa"/>
                  <w:tcBorders>
                    <w:tl2br w:val="nil"/>
                    <w:tr2bl w:val="nil"/>
                  </w:tcBorders>
                  <w:noWrap w:val="0"/>
                  <w:vAlign w:val="center"/>
                </w:tcPr>
                <w:p w14:paraId="07B3D4C4">
                  <w:pPr>
                    <w:jc w:val="center"/>
                    <w:textAlignment w:val="baseline"/>
                    <w:rPr>
                      <w:rFonts w:hint="default"/>
                      <w:color w:val="000000"/>
                      <w:szCs w:val="21"/>
                      <w:highlight w:val="none"/>
                      <w:lang w:val="en-US" w:eastAsia="zh-CN"/>
                    </w:rPr>
                  </w:pPr>
                  <w:r>
                    <w:rPr>
                      <w:rFonts w:hint="eastAsia"/>
                      <w:color w:val="000000"/>
                      <w:szCs w:val="21"/>
                      <w:highlight w:val="none"/>
                      <w:lang w:val="en-US" w:eastAsia="zh-CN"/>
                    </w:rPr>
                    <w:t>10%次氯酸钠</w:t>
                  </w:r>
                </w:p>
              </w:tc>
              <w:tc>
                <w:tcPr>
                  <w:tcW w:w="1994" w:type="dxa"/>
                  <w:tcBorders>
                    <w:tl2br w:val="nil"/>
                    <w:tr2bl w:val="nil"/>
                  </w:tcBorders>
                  <w:noWrap w:val="0"/>
                  <w:vAlign w:val="center"/>
                </w:tcPr>
                <w:p w14:paraId="59B171B6">
                  <w:pPr>
                    <w:jc w:val="center"/>
                    <w:textAlignment w:val="baseline"/>
                    <w:rPr>
                      <w:rFonts w:hint="default"/>
                      <w:color w:val="000000"/>
                      <w:kern w:val="24"/>
                      <w:szCs w:val="21"/>
                      <w:highlight w:val="none"/>
                      <w:lang w:val="en-US" w:eastAsia="zh-CN"/>
                    </w:rPr>
                  </w:pPr>
                  <w:r>
                    <w:rPr>
                      <w:rFonts w:hint="eastAsia"/>
                      <w:color w:val="000000"/>
                      <w:kern w:val="24"/>
                      <w:szCs w:val="21"/>
                      <w:highlight w:val="none"/>
                      <w:lang w:val="en-US" w:eastAsia="zh-CN"/>
                    </w:rPr>
                    <w:t>0.1</w:t>
                  </w:r>
                </w:p>
              </w:tc>
              <w:tc>
                <w:tcPr>
                  <w:tcW w:w="1578" w:type="dxa"/>
                  <w:tcBorders>
                    <w:tl2br w:val="nil"/>
                    <w:tr2bl w:val="nil"/>
                  </w:tcBorders>
                  <w:noWrap w:val="0"/>
                  <w:vAlign w:val="center"/>
                </w:tcPr>
                <w:p w14:paraId="4F9DC42C">
                  <w:pPr>
                    <w:jc w:val="center"/>
                    <w:textAlignment w:val="baseline"/>
                    <w:rPr>
                      <w:rFonts w:hint="default"/>
                      <w:color w:val="000000"/>
                      <w:kern w:val="24"/>
                      <w:szCs w:val="21"/>
                      <w:highlight w:val="none"/>
                      <w:lang w:val="en-US" w:eastAsia="zh-CN"/>
                    </w:rPr>
                  </w:pPr>
                  <w:r>
                    <w:rPr>
                      <w:rFonts w:hint="eastAsia"/>
                      <w:color w:val="000000"/>
                      <w:kern w:val="24"/>
                      <w:szCs w:val="21"/>
                      <w:highlight w:val="none"/>
                      <w:lang w:val="en-US" w:eastAsia="zh-CN"/>
                    </w:rPr>
                    <w:t>5</w:t>
                  </w:r>
                </w:p>
              </w:tc>
              <w:tc>
                <w:tcPr>
                  <w:tcW w:w="1380" w:type="dxa"/>
                  <w:tcBorders>
                    <w:tl2br w:val="nil"/>
                    <w:tr2bl w:val="nil"/>
                  </w:tcBorders>
                  <w:noWrap w:val="0"/>
                  <w:vAlign w:val="center"/>
                </w:tcPr>
                <w:p w14:paraId="5EA153DF">
                  <w:pPr>
                    <w:widowControl/>
                    <w:jc w:val="center"/>
                    <w:textAlignment w:val="center"/>
                    <w:rPr>
                      <w:rFonts w:hint="default"/>
                      <w:color w:val="000000"/>
                      <w:kern w:val="24"/>
                      <w:szCs w:val="21"/>
                      <w:highlight w:val="none"/>
                      <w:lang w:val="en-US" w:eastAsia="zh-CN"/>
                    </w:rPr>
                  </w:pPr>
                  <w:r>
                    <w:rPr>
                      <w:rFonts w:hint="eastAsia"/>
                      <w:color w:val="000000"/>
                      <w:kern w:val="24"/>
                      <w:szCs w:val="21"/>
                      <w:highlight w:val="none"/>
                      <w:lang w:val="en-US" w:eastAsia="zh-CN"/>
                    </w:rPr>
                    <w:t>0.05</w:t>
                  </w:r>
                </w:p>
              </w:tc>
            </w:tr>
            <w:tr w14:paraId="34BC8D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 w:hRule="exact"/>
                <w:jc w:val="center"/>
              </w:trPr>
              <w:tc>
                <w:tcPr>
                  <w:tcW w:w="608" w:type="dxa"/>
                  <w:tcBorders>
                    <w:tl2br w:val="nil"/>
                    <w:tr2bl w:val="nil"/>
                  </w:tcBorders>
                  <w:noWrap w:val="0"/>
                  <w:vAlign w:val="center"/>
                </w:tcPr>
                <w:p w14:paraId="75073117">
                  <w:pPr>
                    <w:jc w:val="center"/>
                    <w:textAlignment w:val="baseline"/>
                    <w:rPr>
                      <w:rFonts w:hint="eastAsia"/>
                      <w:color w:val="000000"/>
                      <w:kern w:val="24"/>
                      <w:szCs w:val="21"/>
                      <w:highlight w:val="none"/>
                      <w:lang w:val="en-US" w:eastAsia="zh-CN"/>
                    </w:rPr>
                  </w:pPr>
                  <w:r>
                    <w:rPr>
                      <w:rFonts w:hint="eastAsia"/>
                      <w:color w:val="000000"/>
                      <w:kern w:val="24"/>
                      <w:szCs w:val="21"/>
                      <w:highlight w:val="none"/>
                      <w:lang w:val="en-US" w:eastAsia="zh-CN"/>
                    </w:rPr>
                    <w:t>3</w:t>
                  </w:r>
                </w:p>
              </w:tc>
              <w:tc>
                <w:tcPr>
                  <w:tcW w:w="2317" w:type="dxa"/>
                  <w:tcBorders>
                    <w:tl2br w:val="nil"/>
                    <w:tr2bl w:val="nil"/>
                  </w:tcBorders>
                  <w:noWrap w:val="0"/>
                  <w:vAlign w:val="center"/>
                </w:tcPr>
                <w:p w14:paraId="4D3AADD3">
                  <w:pPr>
                    <w:jc w:val="center"/>
                    <w:textAlignment w:val="baseline"/>
                    <w:rPr>
                      <w:rFonts w:hint="default"/>
                      <w:color w:val="000000"/>
                      <w:szCs w:val="21"/>
                      <w:highlight w:val="none"/>
                      <w:lang w:val="en-US" w:eastAsia="zh-CN"/>
                    </w:rPr>
                  </w:pPr>
                  <w:r>
                    <w:rPr>
                      <w:rFonts w:hint="eastAsia"/>
                      <w:color w:val="000000"/>
                      <w:szCs w:val="21"/>
                      <w:highlight w:val="none"/>
                      <w:lang w:val="en-US" w:eastAsia="zh-CN"/>
                    </w:rPr>
                    <w:t>37%盐酸</w:t>
                  </w:r>
                </w:p>
              </w:tc>
              <w:tc>
                <w:tcPr>
                  <w:tcW w:w="1994" w:type="dxa"/>
                  <w:tcBorders>
                    <w:tl2br w:val="nil"/>
                    <w:tr2bl w:val="nil"/>
                  </w:tcBorders>
                  <w:noWrap w:val="0"/>
                  <w:vAlign w:val="center"/>
                </w:tcPr>
                <w:p w14:paraId="26BF7FDA">
                  <w:pPr>
                    <w:jc w:val="center"/>
                    <w:textAlignment w:val="baseline"/>
                    <w:rPr>
                      <w:rFonts w:hint="default"/>
                      <w:color w:val="000000"/>
                      <w:kern w:val="24"/>
                      <w:szCs w:val="21"/>
                      <w:highlight w:val="none"/>
                      <w:lang w:val="en-US" w:eastAsia="zh-CN"/>
                    </w:rPr>
                  </w:pPr>
                  <w:r>
                    <w:rPr>
                      <w:rFonts w:hint="eastAsia"/>
                      <w:color w:val="000000"/>
                      <w:kern w:val="24"/>
                      <w:szCs w:val="21"/>
                      <w:highlight w:val="none"/>
                      <w:lang w:val="en-US" w:eastAsia="zh-CN"/>
                    </w:rPr>
                    <w:t>2.59</w:t>
                  </w:r>
                </w:p>
              </w:tc>
              <w:tc>
                <w:tcPr>
                  <w:tcW w:w="1578" w:type="dxa"/>
                  <w:tcBorders>
                    <w:tl2br w:val="nil"/>
                    <w:tr2bl w:val="nil"/>
                  </w:tcBorders>
                  <w:noWrap w:val="0"/>
                  <w:vAlign w:val="center"/>
                </w:tcPr>
                <w:p w14:paraId="58617578">
                  <w:pPr>
                    <w:jc w:val="center"/>
                    <w:textAlignment w:val="baseline"/>
                    <w:rPr>
                      <w:rFonts w:hint="default"/>
                      <w:color w:val="000000"/>
                      <w:kern w:val="24"/>
                      <w:szCs w:val="21"/>
                      <w:highlight w:val="none"/>
                      <w:lang w:val="en-US" w:eastAsia="zh-CN"/>
                    </w:rPr>
                  </w:pPr>
                  <w:r>
                    <w:rPr>
                      <w:rFonts w:hint="eastAsia"/>
                      <w:color w:val="000000"/>
                      <w:kern w:val="24"/>
                      <w:szCs w:val="21"/>
                      <w:highlight w:val="none"/>
                      <w:lang w:val="en-US" w:eastAsia="zh-CN"/>
                    </w:rPr>
                    <w:t>7.5</w:t>
                  </w:r>
                </w:p>
              </w:tc>
              <w:tc>
                <w:tcPr>
                  <w:tcW w:w="1380" w:type="dxa"/>
                  <w:tcBorders>
                    <w:tl2br w:val="nil"/>
                    <w:tr2bl w:val="nil"/>
                  </w:tcBorders>
                  <w:noWrap w:val="0"/>
                  <w:vAlign w:val="center"/>
                </w:tcPr>
                <w:p w14:paraId="405DF69D">
                  <w:pPr>
                    <w:widowControl/>
                    <w:jc w:val="center"/>
                    <w:textAlignment w:val="center"/>
                    <w:rPr>
                      <w:rFonts w:hint="default"/>
                      <w:color w:val="000000"/>
                      <w:kern w:val="24"/>
                      <w:szCs w:val="21"/>
                      <w:highlight w:val="none"/>
                      <w:lang w:val="en-US" w:eastAsia="zh-CN"/>
                    </w:rPr>
                  </w:pPr>
                  <w:r>
                    <w:rPr>
                      <w:rFonts w:hint="eastAsia"/>
                      <w:color w:val="000000"/>
                      <w:kern w:val="24"/>
                      <w:szCs w:val="21"/>
                      <w:highlight w:val="none"/>
                      <w:lang w:val="en-US" w:eastAsia="zh-CN"/>
                    </w:rPr>
                    <w:t>0.345</w:t>
                  </w:r>
                </w:p>
              </w:tc>
            </w:tr>
            <w:tr w14:paraId="2BCA48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6497" w:type="dxa"/>
                  <w:gridSpan w:val="4"/>
                  <w:tcBorders>
                    <w:tl2br w:val="nil"/>
                    <w:tr2bl w:val="nil"/>
                  </w:tcBorders>
                  <w:noWrap w:val="0"/>
                  <w:vAlign w:val="center"/>
                </w:tcPr>
                <w:p w14:paraId="449AF613">
                  <w:pPr>
                    <w:jc w:val="center"/>
                    <w:textAlignment w:val="baseline"/>
                    <w:rPr>
                      <w:color w:val="000000"/>
                      <w:kern w:val="24"/>
                      <w:szCs w:val="21"/>
                      <w:highlight w:val="none"/>
                    </w:rPr>
                  </w:pPr>
                  <w:r>
                    <w:rPr>
                      <w:color w:val="000000"/>
                      <w:kern w:val="24"/>
                      <w:szCs w:val="21"/>
                      <w:highlight w:val="none"/>
                    </w:rPr>
                    <w:t>合计</w:t>
                  </w:r>
                </w:p>
              </w:tc>
              <w:tc>
                <w:tcPr>
                  <w:tcW w:w="1380" w:type="dxa"/>
                  <w:tcBorders>
                    <w:tl2br w:val="nil"/>
                    <w:tr2bl w:val="nil"/>
                  </w:tcBorders>
                  <w:noWrap w:val="0"/>
                  <w:vAlign w:val="center"/>
                </w:tcPr>
                <w:p w14:paraId="7CD24598">
                  <w:pPr>
                    <w:jc w:val="center"/>
                    <w:textAlignment w:val="baseline"/>
                    <w:rPr>
                      <w:rFonts w:hint="default" w:eastAsia="宋体"/>
                      <w:color w:val="000000"/>
                      <w:kern w:val="24"/>
                      <w:szCs w:val="21"/>
                      <w:highlight w:val="none"/>
                      <w:lang w:val="en-US" w:eastAsia="zh-CN"/>
                    </w:rPr>
                  </w:pPr>
                  <w:r>
                    <w:rPr>
                      <w:rFonts w:hint="eastAsia" w:eastAsia="宋体"/>
                      <w:color w:val="000000"/>
                      <w:kern w:val="24"/>
                      <w:szCs w:val="21"/>
                      <w:highlight w:val="none"/>
                      <w:lang w:val="en-US" w:eastAsia="zh-CN"/>
                    </w:rPr>
                    <w:t>0.689</w:t>
                  </w:r>
                </w:p>
              </w:tc>
            </w:tr>
          </w:tbl>
          <w:p w14:paraId="6D0EB2FA">
            <w:pPr>
              <w:keepNext w:val="0"/>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color w:val="000000"/>
                <w:sz w:val="24"/>
                <w:highlight w:val="none"/>
              </w:rPr>
            </w:pPr>
            <w:r>
              <w:rPr>
                <w:color w:val="000000"/>
                <w:sz w:val="24"/>
                <w:highlight w:val="none"/>
              </w:rPr>
              <w:t>由上可知，Q=0.</w:t>
            </w:r>
            <w:r>
              <w:rPr>
                <w:rFonts w:hint="eastAsia"/>
                <w:color w:val="000000"/>
                <w:sz w:val="24"/>
                <w:highlight w:val="none"/>
                <w:lang w:val="en-US" w:eastAsia="zh-CN"/>
              </w:rPr>
              <w:t>689</w:t>
            </w:r>
            <w:r>
              <w:rPr>
                <w:color w:val="000000"/>
                <w:sz w:val="24"/>
                <w:highlight w:val="none"/>
              </w:rPr>
              <w:t>&lt;1，则本项目环境风险潜势为</w:t>
            </w:r>
            <w:r>
              <w:rPr>
                <w:rFonts w:hint="eastAsia" w:ascii="宋体" w:hAnsi="宋体" w:cs="宋体"/>
                <w:color w:val="000000"/>
                <w:sz w:val="24"/>
                <w:highlight w:val="none"/>
              </w:rPr>
              <w:t>Ⅰ</w:t>
            </w:r>
            <w:r>
              <w:rPr>
                <w:color w:val="000000"/>
                <w:sz w:val="24"/>
                <w:highlight w:val="none"/>
              </w:rPr>
              <w:t>。</w:t>
            </w:r>
          </w:p>
          <w:p w14:paraId="0F91C853">
            <w:pPr>
              <w:keepNext w:val="0"/>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color w:val="000000"/>
                <w:sz w:val="24"/>
                <w:highlight w:val="none"/>
                <w:lang w:val="en-GB"/>
              </w:rPr>
            </w:pPr>
            <w:r>
              <w:rPr>
                <w:rFonts w:hint="eastAsia"/>
                <w:color w:val="000000"/>
                <w:sz w:val="24"/>
                <w:highlight w:val="none"/>
                <w:lang w:val="en-US" w:eastAsia="zh-CN"/>
              </w:rPr>
              <w:t>因此，风险评价等级为简单分析</w:t>
            </w:r>
            <w:r>
              <w:rPr>
                <w:rFonts w:hint="eastAsia"/>
                <w:color w:val="000000"/>
                <w:sz w:val="24"/>
                <w:highlight w:val="none"/>
                <w:lang w:val="en-GB"/>
              </w:rPr>
              <w:t>。</w:t>
            </w:r>
          </w:p>
          <w:p w14:paraId="359DCF48">
            <w:pPr>
              <w:spacing w:line="520" w:lineRule="exact"/>
              <w:ind w:firstLine="480" w:firstLineChars="200"/>
              <w:jc w:val="left"/>
              <w:rPr>
                <w:rFonts w:hint="default" w:eastAsia="宋体"/>
                <w:color w:val="000000"/>
                <w:sz w:val="24"/>
                <w:highlight w:val="none"/>
                <w:lang w:val="en-US" w:eastAsia="zh-CN"/>
              </w:rPr>
            </w:pPr>
            <w:r>
              <w:rPr>
                <w:rFonts w:hint="eastAsia"/>
                <w:color w:val="000000"/>
                <w:sz w:val="24"/>
                <w:highlight w:val="none"/>
                <w:lang w:val="en-US" w:eastAsia="zh-CN"/>
              </w:rPr>
              <w:t>7.2风险分析</w:t>
            </w:r>
          </w:p>
          <w:p w14:paraId="2212F42F">
            <w:pPr>
              <w:spacing w:line="520" w:lineRule="exact"/>
              <w:ind w:firstLine="480" w:firstLineChars="200"/>
              <w:jc w:val="left"/>
              <w:rPr>
                <w:rFonts w:hint="default" w:eastAsia="宋体"/>
                <w:color w:val="000000"/>
                <w:sz w:val="24"/>
                <w:highlight w:val="none"/>
                <w:lang w:val="en-US" w:eastAsia="zh-CN"/>
              </w:rPr>
            </w:pPr>
            <w:r>
              <w:rPr>
                <w:rFonts w:hint="eastAsia"/>
                <w:color w:val="000000"/>
                <w:sz w:val="24"/>
                <w:highlight w:val="none"/>
                <w:lang w:val="en-GB"/>
              </w:rPr>
              <w:t>本项目</w:t>
            </w:r>
            <w:r>
              <w:rPr>
                <w:rFonts w:hint="eastAsia"/>
                <w:color w:val="000000"/>
                <w:sz w:val="24"/>
                <w:highlight w:val="none"/>
                <w:lang w:val="en-US" w:eastAsia="zh-CN"/>
              </w:rPr>
              <w:t>风险主要为硫酸、次氯酸钠意外泄露或污水处理过程中发生意外泄露，若不及时发现并处理，泄露物流入或渗入地下，从而对水体造成污染。</w:t>
            </w:r>
          </w:p>
          <w:p w14:paraId="5A2E7923">
            <w:pPr>
              <w:spacing w:line="520" w:lineRule="exact"/>
              <w:ind w:firstLine="480" w:firstLineChars="200"/>
              <w:jc w:val="left"/>
              <w:rPr>
                <w:rFonts w:hint="default"/>
                <w:color w:val="000000"/>
                <w:sz w:val="24"/>
                <w:highlight w:val="none"/>
                <w:lang w:val="en-US" w:eastAsia="zh-CN"/>
              </w:rPr>
            </w:pPr>
            <w:r>
              <w:rPr>
                <w:rFonts w:hint="eastAsia"/>
                <w:color w:val="000000"/>
                <w:sz w:val="24"/>
                <w:highlight w:val="none"/>
                <w:lang w:val="en-US" w:eastAsia="zh-CN"/>
              </w:rPr>
              <w:t>7.3环境风险防范措施</w:t>
            </w:r>
          </w:p>
          <w:p w14:paraId="77315EA9">
            <w:pPr>
              <w:spacing w:line="520" w:lineRule="exact"/>
              <w:ind w:firstLine="480" w:firstLineChars="200"/>
              <w:jc w:val="left"/>
              <w:rPr>
                <w:rFonts w:hint="default"/>
                <w:color w:val="000000"/>
                <w:sz w:val="24"/>
                <w:highlight w:val="none"/>
                <w:lang w:val="en-US" w:eastAsia="zh-CN"/>
              </w:rPr>
            </w:pPr>
            <w:r>
              <w:rPr>
                <w:rFonts w:hint="eastAsia"/>
                <w:color w:val="000000"/>
                <w:sz w:val="24"/>
                <w:highlight w:val="none"/>
                <w:lang w:val="en-US" w:eastAsia="zh-CN"/>
              </w:rPr>
              <w:t>1、污水事故排放风险措施</w:t>
            </w:r>
          </w:p>
          <w:p w14:paraId="5F614BD1">
            <w:pPr>
              <w:spacing w:line="520" w:lineRule="exact"/>
              <w:ind w:firstLine="480" w:firstLineChars="200"/>
              <w:jc w:val="both"/>
              <w:rPr>
                <w:rFonts w:hint="eastAsia"/>
                <w:color w:val="000000"/>
                <w:sz w:val="24"/>
                <w:highlight w:val="none"/>
                <w:lang w:val="en-GB"/>
              </w:rPr>
            </w:pPr>
            <w:r>
              <w:rPr>
                <w:rFonts w:hint="eastAsia"/>
                <w:color w:val="000000"/>
                <w:sz w:val="24"/>
                <w:highlight w:val="none"/>
                <w:lang w:val="en-GB"/>
              </w:rPr>
              <w:t>本项目污水处理站处理的废水为焦化生产过程中产生的焦化生产废水和生活污水，废水处理达标后全部回用不外排，针对废水处理及排放过程的环境风险采取的风险防范措施如下：</w:t>
            </w:r>
          </w:p>
          <w:p w14:paraId="369828FD">
            <w:pPr>
              <w:spacing w:line="520" w:lineRule="exact"/>
              <w:ind w:firstLine="480" w:firstLineChars="200"/>
              <w:jc w:val="both"/>
              <w:rPr>
                <w:rFonts w:hint="eastAsia"/>
                <w:color w:val="000000"/>
                <w:sz w:val="24"/>
                <w:highlight w:val="none"/>
                <w:lang w:val="en-GB"/>
              </w:rPr>
            </w:pPr>
            <w:r>
              <w:rPr>
                <w:rFonts w:hint="eastAsia"/>
                <w:color w:val="000000"/>
                <w:sz w:val="24"/>
                <w:highlight w:val="none"/>
                <w:lang w:val="en-GB"/>
              </w:rPr>
              <w:t>（1）24小时监控尾水中</w:t>
            </w:r>
            <w:r>
              <w:rPr>
                <w:rFonts w:hint="eastAsia"/>
                <w:color w:val="000000"/>
                <w:sz w:val="24"/>
                <w:highlight w:val="none"/>
                <w:lang w:val="en-US" w:eastAsia="zh-CN"/>
              </w:rPr>
              <w:t>C</w:t>
            </w:r>
            <w:r>
              <w:rPr>
                <w:rFonts w:hint="eastAsia"/>
                <w:color w:val="000000"/>
                <w:sz w:val="24"/>
                <w:highlight w:val="none"/>
                <w:lang w:val="en-GB"/>
              </w:rPr>
              <w:t>OD、NH</w:t>
            </w:r>
            <w:r>
              <w:rPr>
                <w:rFonts w:hint="eastAsia"/>
                <w:color w:val="000000"/>
                <w:sz w:val="24"/>
                <w:highlight w:val="none"/>
                <w:vertAlign w:val="subscript"/>
                <w:lang w:val="en-GB"/>
              </w:rPr>
              <w:t>3</w:t>
            </w:r>
            <w:r>
              <w:rPr>
                <w:rFonts w:hint="eastAsia"/>
                <w:color w:val="000000"/>
                <w:sz w:val="24"/>
                <w:highlight w:val="none"/>
                <w:lang w:val="en-GB"/>
              </w:rPr>
              <w:t>-N、pH以及流量指标，一旦发生异常及时分析原因，根据不同情况采取相应措施并及时通知应急指挥部。</w:t>
            </w:r>
          </w:p>
          <w:p w14:paraId="773B10F9">
            <w:pPr>
              <w:spacing w:line="520" w:lineRule="exact"/>
              <w:ind w:firstLine="480" w:firstLineChars="200"/>
              <w:jc w:val="both"/>
              <w:rPr>
                <w:rFonts w:hint="eastAsia"/>
                <w:color w:val="000000"/>
                <w:sz w:val="24"/>
                <w:highlight w:val="none"/>
                <w:lang w:val="en-GB"/>
              </w:rPr>
            </w:pPr>
            <w:r>
              <w:rPr>
                <w:rFonts w:hint="eastAsia"/>
                <w:color w:val="000000"/>
                <w:sz w:val="24"/>
                <w:highlight w:val="none"/>
                <w:lang w:val="en-GB"/>
              </w:rPr>
              <w:t>（2）定期对进水污染物进行人工自测，核实进水水质、水量符合要求，一旦发生污染物超标、应及时通知应急指挥部分析。</w:t>
            </w:r>
          </w:p>
          <w:p w14:paraId="14205330">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（3）提高事故缓冲能力，主要水工构筑物必须留有足够的缓冲余地，本厂配有回流泵、回流管道、尾水排放口（清水池）附近备有截留沙袋、挡板及事故水池。厂区现有3000m</w:t>
            </w:r>
            <w:r>
              <w:rPr>
                <w:rFonts w:hint="eastAsia"/>
                <w:color w:val="000000"/>
                <w:sz w:val="24"/>
                <w:highlight w:val="none"/>
                <w:vertAlign w:val="superscript"/>
                <w:lang w:val="en-GB"/>
              </w:rPr>
              <w:t>3</w:t>
            </w:r>
            <w:r>
              <w:rPr>
                <w:rFonts w:hint="eastAsia"/>
                <w:color w:val="000000"/>
                <w:sz w:val="24"/>
                <w:highlight w:val="none"/>
                <w:lang w:val="en-GB"/>
              </w:rPr>
              <w:t>消防事故废水收集池和1717m</w:t>
            </w:r>
            <w:r>
              <w:rPr>
                <w:rFonts w:hint="eastAsia"/>
                <w:color w:val="000000"/>
                <w:sz w:val="24"/>
                <w:highlight w:val="none"/>
                <w:vertAlign w:val="superscript"/>
                <w:lang w:val="en-GB"/>
              </w:rPr>
              <w:t>3</w:t>
            </w:r>
            <w:r>
              <w:rPr>
                <w:rFonts w:hint="eastAsia"/>
                <w:color w:val="000000"/>
                <w:sz w:val="24"/>
                <w:highlight w:val="none"/>
                <w:lang w:val="en-GB"/>
              </w:rPr>
              <w:t>初期雨水收集池，确保事故状况下废水不外排。</w:t>
            </w:r>
          </w:p>
          <w:p w14:paraId="1EE884D2">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（4）严格控制处理单元的水量、水质、停留时间、负荷强度等工艺参数，加强提升泵房、变电所、鼓风机房等动力设备以及污水管网的日常检修。</w:t>
            </w:r>
          </w:p>
          <w:p w14:paraId="5207673A">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（5）污水处理工程管理人员应有较高的业务水平和管理水平，主要操作人员上岗前应严格进行理论和实际操作培训。</w:t>
            </w:r>
          </w:p>
          <w:p w14:paraId="7E203B48">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6）污水处理厂的稳定运行与管网及泵站的维护关系密切。应十分重视管网及泵站的维护及管理。防止泥沙沉积堵塞而影响管道的过水能力。管道衔接应防止泄漏污染地下水和掏空地基，淤塞应及时疏浚，保证管道通畅。</w:t>
            </w:r>
          </w:p>
          <w:p w14:paraId="26A6CCBD">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（7）各泵站应设有专人负责，平日加强对机械设备的维护，一旦发生事故应及时进行维修，避免因此而造成的污水溢流污染土壤和地下水。</w:t>
            </w:r>
          </w:p>
          <w:p w14:paraId="22A9BA98">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（8）污水管网应制定严格的维修制度，用户应严格执行国家、地方的有关排放标准，特别需加强对所接纳工业废水进水水质的管理，确保污水处理厂的进水水质。</w:t>
            </w:r>
          </w:p>
          <w:p w14:paraId="7668EE47">
            <w:pPr>
              <w:spacing w:line="520" w:lineRule="exact"/>
              <w:ind w:firstLine="480" w:firstLineChars="200"/>
              <w:jc w:val="left"/>
              <w:rPr>
                <w:rFonts w:hint="eastAsia"/>
                <w:color w:val="000000"/>
                <w:sz w:val="24"/>
                <w:highlight w:val="none"/>
                <w:lang w:val="en-GB"/>
              </w:rPr>
            </w:pPr>
            <w:r>
              <w:rPr>
                <w:rFonts w:hint="eastAsia"/>
                <w:color w:val="000000"/>
                <w:sz w:val="24"/>
                <w:highlight w:val="none"/>
                <w:lang w:val="en-GB"/>
              </w:rPr>
              <w:t>（9）加强对污水</w:t>
            </w:r>
            <w:r>
              <w:rPr>
                <w:rFonts w:hint="eastAsia"/>
                <w:color w:val="000000"/>
                <w:sz w:val="24"/>
                <w:highlight w:val="none"/>
                <w:lang w:val="en-US" w:eastAsia="zh-CN"/>
              </w:rPr>
              <w:t>处理</w:t>
            </w:r>
            <w:r>
              <w:rPr>
                <w:rFonts w:hint="eastAsia"/>
                <w:color w:val="000000"/>
                <w:sz w:val="24"/>
                <w:highlight w:val="none"/>
                <w:lang w:val="en-GB"/>
              </w:rPr>
              <w:t>厂设备维护、保养；关键设备一备一用；电能供应必须有双重线路，配备备用电源，确保污水处理设施正常运行。</w:t>
            </w:r>
          </w:p>
          <w:p w14:paraId="58ED8617">
            <w:pPr>
              <w:pStyle w:val="3"/>
              <w:bidi w:val="0"/>
              <w:ind w:left="477" w:leftChars="223" w:hanging="9" w:hangingChars="4"/>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2、液态物料泄露事故风险防范措施</w:t>
            </w:r>
          </w:p>
          <w:p w14:paraId="2EE9B975">
            <w:pPr>
              <w:keepNext/>
              <w:overflowPunct w:val="0"/>
              <w:adjustRightInd w:val="0"/>
              <w:snapToGri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①本项目采购的原料包装本身具有一定的密封性和防潮性，厂内储存时保持仓库环境要干燥，阴凉低温，经常通风。</w:t>
            </w:r>
          </w:p>
          <w:p w14:paraId="154AA1A9">
            <w:pPr>
              <w:keepNext/>
              <w:overflowPunct w:val="0"/>
              <w:adjustRightInd w:val="0"/>
              <w:snapToGri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②原料运输均为货车开进生产车间卸货。运输注意事项：起运时包装要完整，装载应稳妥。运输过程中要确保容器不泄露、不倒塌、不坠落、不损坏。严禁与氧化剂、食用化学品等混装混运。运输途中应防</w:t>
            </w:r>
            <w:r>
              <w:rPr>
                <w:rFonts w:hint="eastAsia" w:ascii="宋体" w:hAnsi="宋体" w:cs="宋体"/>
                <w:b w:val="0"/>
                <w:bCs w:val="0"/>
                <w:color w:val="000000"/>
                <w:sz w:val="24"/>
                <w:szCs w:val="24"/>
                <w:highlight w:val="none"/>
                <w:lang w:val="en-US" w:eastAsia="zh-CN"/>
              </w:rPr>
              <w:t>暴</w:t>
            </w:r>
            <w:r>
              <w:rPr>
                <w:rFonts w:hint="eastAsia" w:ascii="宋体" w:hAnsi="宋体" w:eastAsia="宋体" w:cs="宋体"/>
                <w:b w:val="0"/>
                <w:bCs w:val="0"/>
                <w:color w:val="000000"/>
                <w:sz w:val="24"/>
                <w:szCs w:val="24"/>
                <w:highlight w:val="none"/>
                <w:lang w:val="en-US" w:eastAsia="zh-CN"/>
              </w:rPr>
              <w:t>晒、雨淋，防高温。车辆运输完毕应进行彻底清扫。</w:t>
            </w:r>
          </w:p>
          <w:p w14:paraId="7FC0E76E">
            <w:pPr>
              <w:keepNext/>
              <w:overflowPunct w:val="0"/>
              <w:adjustRightInd w:val="0"/>
              <w:snapToGri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③库房内液体物料储存区、液体罐区必须设置围堰，配备必要的设施确保事故状态下能及时封堵厂区内外流地沟或流水沟，切断排放口与外部水体之间的联系，防止污染介质外流扩散造成水体、土壤的大面积环境污染。</w:t>
            </w:r>
          </w:p>
          <w:p w14:paraId="501BEDCC">
            <w:pPr>
              <w:keepNext/>
              <w:overflowPunct w:val="0"/>
              <w:adjustRightInd w:val="0"/>
              <w:snapToGri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泄漏处理措施：隔离泄漏污染区，限制出入。建议应急处理人员戴防尘口罩，穿一般作业工作服。不要直接接触泄漏物。小量泄漏：避免扬尘，小心扫起，收集运至废物处理场所处置。大量泄漏：收集回收或运至废物处理场所处置。</w:t>
            </w:r>
          </w:p>
          <w:p w14:paraId="03BC44DA">
            <w:pPr>
              <w:keepNext/>
              <w:overflowPunct w:val="0"/>
              <w:adjustRightInd w:val="0"/>
              <w:snapToGrid w:val="0"/>
              <w:spacing w:before="0" w:after="0" w:line="360" w:lineRule="auto"/>
              <w:ind w:left="0" w:leftChars="0" w:firstLine="480" w:firstLineChars="200"/>
              <w:outlineLvl w:val="9"/>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7F8FA17A">
            <w:pPr>
              <w:adjustRightIn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7.4环境风险评价结论与建议</w:t>
            </w:r>
          </w:p>
          <w:p w14:paraId="6C043AB3">
            <w:pPr>
              <w:adjustRightIn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项目已建设环境风险防控体系。项目总图布置严格执行国家有关部门现行的设计规范、规定及标准。各装置均选择成熟、可靠、先进、能耗低的工艺技术和设备，严防“跑、 冒、滴、漏”，实现全过程密闭化，减少泄露、火灾、爆炸和中毒的可能性，在设计中考虑余量，具有一定的操作弹性。拟建事故水池1座及环境污染三级防控体系。主要风险源设立风险监控及应急监测系统。企业设置完善的环境风险应急预案，厂区内一旦发生泄漏、火灾事故后，需要及时进行应急监测。企业应加强与地方政府环境风险应急预案的衔接，进行联合演练，确保一旦发生事故能够及时响应、各负其责、联合行动。开展与区域内相关企业建立联合应急防范制度。</w:t>
            </w:r>
          </w:p>
          <w:p w14:paraId="1621DC45">
            <w:pPr>
              <w:adjustRightInd w:val="0"/>
              <w:spacing w:before="0" w:after="0" w:line="360" w:lineRule="auto"/>
              <w:ind w:left="0" w:leftChars="0" w:firstLine="480" w:firstLineChars="200"/>
              <w:outlineLvl w:val="9"/>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本项目具有潜在的事故风险，但风险概率较小。建设单位严格落实环评提出的各项防范措施和应急预案后，其环境风险可防可控，项目建设是可行的。</w:t>
            </w:r>
          </w:p>
          <w:p w14:paraId="02389BCE">
            <w:pPr>
              <w:pStyle w:val="3"/>
              <w:bidi w:val="0"/>
              <w:ind w:left="477" w:leftChars="223" w:hanging="9" w:hangingChars="4"/>
              <w:rPr>
                <w:rFonts w:hint="default"/>
                <w:color w:val="000000"/>
                <w:highlight w:val="none"/>
                <w:lang w:val="en-US" w:eastAsia="zh-CN"/>
              </w:rPr>
            </w:pPr>
            <w:r>
              <w:rPr>
                <w:rFonts w:hint="eastAsia" w:ascii="宋体" w:hAnsi="宋体" w:eastAsia="宋体" w:cs="宋体"/>
                <w:b w:val="0"/>
                <w:bCs w:val="0"/>
                <w:color w:val="000000"/>
                <w:sz w:val="24"/>
                <w:szCs w:val="24"/>
                <w:highlight w:val="none"/>
                <w:lang w:val="en-US" w:eastAsia="zh-CN"/>
              </w:rPr>
              <w:t>八、监测计划</w:t>
            </w:r>
          </w:p>
          <w:p w14:paraId="0E8DCA05">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 xml:space="preserve">根据《排污单位自行监测技术指南 </w:t>
            </w:r>
            <w:r>
              <w:rPr>
                <w:rFonts w:hint="eastAsia" w:ascii="Times New Roman" w:hAnsi="Times New Roman" w:eastAsia="宋体" w:cs="Times New Roman"/>
                <w:color w:val="000000"/>
                <w:kern w:val="2"/>
                <w:sz w:val="24"/>
                <w:szCs w:val="24"/>
                <w:highlight w:val="none"/>
                <w:lang w:val="en-US" w:eastAsia="zh-CN" w:bidi="ar-SA"/>
              </w:rPr>
              <w:t>钢铁工业及炼焦化学工业</w:t>
            </w:r>
            <w:r>
              <w:rPr>
                <w:rFonts w:hint="default" w:ascii="Times New Roman" w:hAnsi="Times New Roman" w:eastAsia="宋体" w:cs="Times New Roman"/>
                <w:color w:val="000000"/>
                <w:kern w:val="2"/>
                <w:sz w:val="24"/>
                <w:szCs w:val="24"/>
                <w:highlight w:val="none"/>
                <w:lang w:val="en-US" w:eastAsia="zh-CN" w:bidi="ar-SA"/>
              </w:rPr>
              <w:t xml:space="preserve">》（HJ </w:t>
            </w:r>
            <w:r>
              <w:rPr>
                <w:rFonts w:hint="eastAsia" w:ascii="Times New Roman" w:hAnsi="Times New Roman" w:eastAsia="宋体" w:cs="Times New Roman"/>
                <w:color w:val="000000"/>
                <w:kern w:val="2"/>
                <w:sz w:val="24"/>
                <w:szCs w:val="24"/>
                <w:highlight w:val="none"/>
                <w:lang w:val="en-US" w:eastAsia="zh-CN" w:bidi="ar-SA"/>
              </w:rPr>
              <w:t>878</w:t>
            </w:r>
            <w:r>
              <w:rPr>
                <w:rFonts w:hint="default" w:ascii="Times New Roman" w:hAnsi="Times New Roman" w:eastAsia="宋体" w:cs="Times New Roman"/>
                <w:color w:val="000000"/>
                <w:kern w:val="2"/>
                <w:sz w:val="24"/>
                <w:szCs w:val="24"/>
                <w:highlight w:val="none"/>
                <w:lang w:val="en-US" w:eastAsia="zh-CN" w:bidi="ar-SA"/>
              </w:rPr>
              <w:t>-201</w:t>
            </w:r>
            <w:r>
              <w:rPr>
                <w:rFonts w:hint="eastAsia" w:ascii="Times New Roman" w:hAnsi="Times New Roman" w:eastAsia="宋体" w:cs="Times New Roman"/>
                <w:color w:val="000000"/>
                <w:kern w:val="2"/>
                <w:sz w:val="24"/>
                <w:szCs w:val="24"/>
                <w:highlight w:val="none"/>
                <w:lang w:val="en-US" w:eastAsia="zh-CN" w:bidi="ar-SA"/>
              </w:rPr>
              <w:t>7</w:t>
            </w:r>
            <w:r>
              <w:rPr>
                <w:rFonts w:hint="default" w:ascii="Times New Roman" w:hAnsi="Times New Roman" w:eastAsia="宋体" w:cs="Times New Roman"/>
                <w:color w:val="000000"/>
                <w:kern w:val="2"/>
                <w:sz w:val="24"/>
                <w:szCs w:val="24"/>
                <w:highlight w:val="none"/>
                <w:lang w:val="en-US" w:eastAsia="zh-CN" w:bidi="ar-SA"/>
              </w:rPr>
              <w:t>）、《排污单位自行监测技术指南 总则》（HJ819-2017）对主要污染源的污染物排放情况进行监测，本项目污染源监测计划见表4-</w:t>
            </w:r>
            <w:r>
              <w:rPr>
                <w:rFonts w:hint="eastAsia" w:ascii="Times New Roman" w:hAnsi="Times New Roman" w:eastAsia="宋体" w:cs="Times New Roman"/>
                <w:color w:val="000000"/>
                <w:kern w:val="2"/>
                <w:sz w:val="24"/>
                <w:szCs w:val="24"/>
                <w:highlight w:val="none"/>
                <w:lang w:val="en-US" w:eastAsia="zh-CN" w:bidi="ar-SA"/>
              </w:rPr>
              <w:t>14</w:t>
            </w:r>
            <w:r>
              <w:rPr>
                <w:rFonts w:hint="default" w:ascii="Times New Roman" w:hAnsi="Times New Roman" w:eastAsia="宋体" w:cs="Times New Roman"/>
                <w:color w:val="000000"/>
                <w:kern w:val="2"/>
                <w:sz w:val="24"/>
                <w:szCs w:val="24"/>
                <w:highlight w:val="none"/>
                <w:lang w:val="en-US" w:eastAsia="zh-CN" w:bidi="ar-SA"/>
              </w:rPr>
              <w:t xml:space="preserve">。 </w:t>
            </w:r>
          </w:p>
          <w:p w14:paraId="14B53E91">
            <w:pPr>
              <w:pStyle w:val="4"/>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jc w:val="center"/>
              <w:textAlignment w:val="auto"/>
              <w:rPr>
                <w:rFonts w:hint="default"/>
                <w:b/>
                <w:bCs/>
                <w:color w:val="000000"/>
                <w:highlight w:val="none"/>
                <w:lang w:val="en-US" w:eastAsia="zh-CN"/>
              </w:rPr>
            </w:pPr>
            <w:r>
              <w:rPr>
                <w:rFonts w:hint="default" w:ascii="Times New Roman" w:hAnsi="Times New Roman" w:eastAsia="宋体" w:cs="Times New Roman"/>
                <w:b/>
                <w:bCs/>
                <w:color w:val="000000"/>
                <w:kern w:val="2"/>
                <w:sz w:val="24"/>
                <w:szCs w:val="24"/>
                <w:highlight w:val="none"/>
                <w:lang w:val="en-US" w:eastAsia="zh-CN" w:bidi="ar-SA"/>
              </w:rPr>
              <w:t>表4-</w:t>
            </w:r>
            <w:r>
              <w:rPr>
                <w:rFonts w:hint="eastAsia" w:ascii="Times New Roman" w:hAnsi="Times New Roman" w:eastAsia="宋体" w:cs="Times New Roman"/>
                <w:b/>
                <w:bCs/>
                <w:color w:val="000000"/>
                <w:kern w:val="2"/>
                <w:sz w:val="24"/>
                <w:szCs w:val="24"/>
                <w:highlight w:val="none"/>
                <w:lang w:val="en-US" w:eastAsia="zh-CN" w:bidi="ar-SA"/>
              </w:rPr>
              <w:t xml:space="preserve">14  </w:t>
            </w:r>
            <w:r>
              <w:rPr>
                <w:rFonts w:hint="default" w:ascii="Times New Roman" w:hAnsi="Times New Roman" w:eastAsia="宋体" w:cs="Times New Roman"/>
                <w:b/>
                <w:bCs/>
                <w:color w:val="000000"/>
                <w:kern w:val="2"/>
                <w:sz w:val="24"/>
                <w:szCs w:val="24"/>
                <w:highlight w:val="none"/>
                <w:lang w:val="en-US" w:eastAsia="zh-CN" w:bidi="ar-SA"/>
              </w:rPr>
              <w:t>污染源监测计划</w:t>
            </w:r>
          </w:p>
          <w:tbl>
            <w:tblPr>
              <w:tblStyle w:val="14"/>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10"/>
              <w:gridCol w:w="1925"/>
              <w:gridCol w:w="1478"/>
              <w:gridCol w:w="3334"/>
            </w:tblGrid>
            <w:tr w14:paraId="6ADA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0"/>
                  <w:vAlign w:val="center"/>
                </w:tcPr>
                <w:p w14:paraId="6B77B0A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eastAsia" w:ascii="Times New Roman" w:hAnsi="Times New Roman" w:eastAsia="宋体" w:cs="Times New Roman"/>
                      <w:b/>
                      <w:bCs/>
                      <w:color w:val="000000"/>
                      <w:kern w:val="2"/>
                      <w:sz w:val="21"/>
                      <w:szCs w:val="21"/>
                      <w:highlight w:val="none"/>
                      <w:vertAlign w:val="baseline"/>
                      <w:lang w:val="en-US" w:eastAsia="zh-CN" w:bidi="ar-SA"/>
                    </w:rPr>
                    <w:t>类别</w:t>
                  </w:r>
                </w:p>
              </w:tc>
              <w:tc>
                <w:tcPr>
                  <w:tcW w:w="710" w:type="dxa"/>
                  <w:noWrap w:val="0"/>
                  <w:vAlign w:val="center"/>
                </w:tcPr>
                <w:p w14:paraId="591004A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000000"/>
                      <w:sz w:val="21"/>
                      <w:szCs w:val="21"/>
                      <w:highlight w:val="none"/>
                      <w:vertAlign w:val="baseline"/>
                      <w:lang w:val="en-US" w:eastAsia="zh-CN"/>
                    </w:rPr>
                  </w:pPr>
                  <w:r>
                    <w:rPr>
                      <w:rFonts w:hint="default" w:ascii="Times New Roman" w:hAnsi="Times New Roman" w:eastAsia="宋体" w:cs="Times New Roman"/>
                      <w:b/>
                      <w:bCs/>
                      <w:color w:val="000000"/>
                      <w:sz w:val="21"/>
                      <w:szCs w:val="21"/>
                      <w:highlight w:val="none"/>
                      <w:vertAlign w:val="baseline"/>
                      <w:lang w:val="en-US" w:eastAsia="zh-CN"/>
                    </w:rPr>
                    <w:t>监测点位</w:t>
                  </w:r>
                </w:p>
              </w:tc>
              <w:tc>
                <w:tcPr>
                  <w:tcW w:w="1925" w:type="dxa"/>
                  <w:noWrap w:val="0"/>
                  <w:vAlign w:val="center"/>
                </w:tcPr>
                <w:p w14:paraId="685419A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default" w:ascii="Times New Roman" w:hAnsi="Times New Roman" w:eastAsia="宋体" w:cs="Times New Roman"/>
                      <w:b/>
                      <w:bCs/>
                      <w:color w:val="000000"/>
                      <w:sz w:val="21"/>
                      <w:szCs w:val="21"/>
                      <w:highlight w:val="none"/>
                      <w:vertAlign w:val="baseline"/>
                      <w:lang w:val="en-US" w:eastAsia="zh-CN"/>
                    </w:rPr>
                    <w:t>监测因子</w:t>
                  </w:r>
                </w:p>
              </w:tc>
              <w:tc>
                <w:tcPr>
                  <w:tcW w:w="1478" w:type="dxa"/>
                  <w:noWrap w:val="0"/>
                  <w:vAlign w:val="center"/>
                </w:tcPr>
                <w:p w14:paraId="5915358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default" w:ascii="Times New Roman" w:hAnsi="Times New Roman" w:eastAsia="宋体" w:cs="Times New Roman"/>
                      <w:b/>
                      <w:bCs/>
                      <w:color w:val="000000"/>
                      <w:sz w:val="21"/>
                      <w:szCs w:val="21"/>
                      <w:highlight w:val="none"/>
                      <w:vertAlign w:val="baseline"/>
                      <w:lang w:val="en-US" w:eastAsia="zh-CN"/>
                    </w:rPr>
                    <w:t>监测频次</w:t>
                  </w:r>
                </w:p>
              </w:tc>
              <w:tc>
                <w:tcPr>
                  <w:tcW w:w="3334" w:type="dxa"/>
                  <w:noWrap w:val="0"/>
                  <w:vAlign w:val="center"/>
                </w:tcPr>
                <w:p w14:paraId="6195B37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color w:val="000000"/>
                      <w:kern w:val="2"/>
                      <w:sz w:val="21"/>
                      <w:szCs w:val="21"/>
                      <w:highlight w:val="none"/>
                      <w:vertAlign w:val="baseline"/>
                      <w:lang w:val="en-US" w:eastAsia="zh-CN" w:bidi="ar-SA"/>
                    </w:rPr>
                  </w:pPr>
                  <w:r>
                    <w:rPr>
                      <w:rFonts w:hint="default" w:ascii="Times New Roman" w:hAnsi="Times New Roman" w:eastAsia="宋体" w:cs="Times New Roman"/>
                      <w:b/>
                      <w:bCs/>
                      <w:color w:val="000000"/>
                      <w:sz w:val="21"/>
                      <w:szCs w:val="21"/>
                      <w:highlight w:val="none"/>
                      <w:vertAlign w:val="baseline"/>
                      <w:lang w:val="en-US" w:eastAsia="zh-CN"/>
                    </w:rPr>
                    <w:t>执行标准</w:t>
                  </w:r>
                </w:p>
              </w:tc>
            </w:tr>
            <w:tr w14:paraId="5612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10" w:type="dxa"/>
                  <w:noWrap w:val="0"/>
                  <w:vAlign w:val="center"/>
                </w:tcPr>
                <w:p w14:paraId="45007224">
                  <w:pPr>
                    <w:jc w:val="center"/>
                    <w:rPr>
                      <w:rFonts w:hint="default" w:eastAsia="宋体"/>
                      <w:color w:val="000000"/>
                      <w:sz w:val="21"/>
                      <w:szCs w:val="21"/>
                      <w:highlight w:val="none"/>
                      <w:vertAlign w:val="baseline"/>
                      <w:lang w:val="en-US" w:eastAsia="zh-CN"/>
                    </w:rPr>
                  </w:pPr>
                  <w:r>
                    <w:rPr>
                      <w:rFonts w:hint="eastAsia" w:eastAsia="宋体"/>
                      <w:color w:val="000000"/>
                      <w:sz w:val="21"/>
                      <w:szCs w:val="21"/>
                      <w:highlight w:val="none"/>
                      <w:vertAlign w:val="baseline"/>
                      <w:lang w:val="en-US" w:eastAsia="zh-CN"/>
                    </w:rPr>
                    <w:t>废气</w:t>
                  </w:r>
                </w:p>
              </w:tc>
              <w:tc>
                <w:tcPr>
                  <w:tcW w:w="710" w:type="dxa"/>
                  <w:noWrap w:val="0"/>
                  <w:vAlign w:val="center"/>
                </w:tcPr>
                <w:p w14:paraId="4F09BE1A">
                  <w:pPr>
                    <w:jc w:val="center"/>
                    <w:rPr>
                      <w:rFonts w:hint="default"/>
                      <w:color w:val="000000"/>
                      <w:sz w:val="21"/>
                      <w:szCs w:val="21"/>
                      <w:highlight w:val="none"/>
                      <w:vertAlign w:val="baseline"/>
                      <w:lang w:val="en-US" w:eastAsia="zh-CN"/>
                    </w:rPr>
                  </w:pPr>
                  <w:r>
                    <w:rPr>
                      <w:rFonts w:hint="eastAsia"/>
                      <w:color w:val="000000"/>
                      <w:sz w:val="21"/>
                      <w:szCs w:val="21"/>
                      <w:highlight w:val="none"/>
                      <w:vertAlign w:val="baseline"/>
                      <w:lang w:val="en-US" w:eastAsia="zh-CN"/>
                    </w:rPr>
                    <w:t>厂界</w:t>
                  </w:r>
                </w:p>
              </w:tc>
              <w:tc>
                <w:tcPr>
                  <w:tcW w:w="1925" w:type="dxa"/>
                  <w:noWrap w:val="0"/>
                  <w:vAlign w:val="center"/>
                </w:tcPr>
                <w:p w14:paraId="7A1FC187">
                  <w:pPr>
                    <w:jc w:val="center"/>
                    <w:rPr>
                      <w:rFonts w:hint="eastAsia" w:ascii="Times New Roman" w:hAnsi="Times New Roman" w:eastAsia="宋体" w:cs="Times New Roman"/>
                      <w:color w:val="000000"/>
                      <w:kern w:val="0"/>
                      <w:sz w:val="21"/>
                      <w:szCs w:val="21"/>
                      <w:highlight w:val="none"/>
                      <w:vertAlign w:val="baseline"/>
                      <w:lang w:val="en-US" w:eastAsia="zh-CN" w:bidi="ar"/>
                    </w:rPr>
                  </w:pPr>
                  <w:r>
                    <w:rPr>
                      <w:rFonts w:hint="eastAsia" w:ascii="Times New Roman" w:hAnsi="Times New Roman" w:eastAsia="宋体" w:cs="Times New Roman"/>
                      <w:color w:val="000000"/>
                      <w:kern w:val="0"/>
                      <w:sz w:val="21"/>
                      <w:szCs w:val="21"/>
                      <w:highlight w:val="none"/>
                      <w:vertAlign w:val="baseline"/>
                      <w:lang w:val="en-US" w:eastAsia="zh-CN" w:bidi="ar"/>
                    </w:rPr>
                    <w:t>氨、硫化氢</w:t>
                  </w:r>
                </w:p>
              </w:tc>
              <w:tc>
                <w:tcPr>
                  <w:tcW w:w="1478" w:type="dxa"/>
                  <w:noWrap w:val="0"/>
                  <w:vAlign w:val="center"/>
                </w:tcPr>
                <w:p w14:paraId="5FB21C76">
                  <w:pPr>
                    <w:jc w:val="center"/>
                    <w:rPr>
                      <w:rFonts w:hint="eastAsia"/>
                      <w:color w:val="000000"/>
                      <w:sz w:val="21"/>
                      <w:szCs w:val="21"/>
                      <w:highlight w:val="none"/>
                      <w:vertAlign w:val="baseline"/>
                      <w:lang w:val="en-US" w:eastAsia="zh-CN"/>
                    </w:rPr>
                  </w:pPr>
                  <w:r>
                    <w:rPr>
                      <w:rFonts w:hint="eastAsia"/>
                      <w:color w:val="000000"/>
                      <w:sz w:val="21"/>
                      <w:szCs w:val="21"/>
                      <w:highlight w:val="none"/>
                      <w:vertAlign w:val="baseline"/>
                      <w:lang w:val="en-US" w:eastAsia="zh-CN"/>
                    </w:rPr>
                    <w:t>1次/季度</w:t>
                  </w:r>
                </w:p>
              </w:tc>
              <w:tc>
                <w:tcPr>
                  <w:tcW w:w="3334" w:type="dxa"/>
                  <w:noWrap w:val="0"/>
                  <w:vAlign w:val="center"/>
                </w:tcPr>
                <w:p w14:paraId="687B34BC">
                  <w:pPr>
                    <w:jc w:val="center"/>
                    <w:rPr>
                      <w:rFonts w:hint="default"/>
                      <w:color w:val="000000"/>
                      <w:sz w:val="21"/>
                      <w:szCs w:val="21"/>
                      <w:highlight w:val="none"/>
                      <w:vertAlign w:val="baseline"/>
                    </w:rPr>
                  </w:pPr>
                  <w:r>
                    <w:rPr>
                      <w:rFonts w:hint="default"/>
                      <w:color w:val="000000"/>
                      <w:sz w:val="21"/>
                      <w:szCs w:val="21"/>
                      <w:highlight w:val="none"/>
                      <w:vertAlign w:val="baseline"/>
                    </w:rPr>
                    <w:t>《炼焦化学工业污染物排放标准》表7中企业边界任何1小时平均浓度限值</w:t>
                  </w:r>
                </w:p>
              </w:tc>
            </w:tr>
            <w:tr w14:paraId="73BD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noWrap w:val="0"/>
                  <w:vAlign w:val="center"/>
                </w:tcPr>
                <w:p w14:paraId="3D086AA7">
                  <w:pPr>
                    <w:jc w:val="center"/>
                    <w:rPr>
                      <w:rFonts w:hint="default"/>
                      <w:color w:val="000000"/>
                      <w:sz w:val="21"/>
                      <w:szCs w:val="21"/>
                      <w:highlight w:val="none"/>
                      <w:vertAlign w:val="baseline"/>
                      <w:lang w:val="en-US" w:eastAsia="zh-CN"/>
                    </w:rPr>
                  </w:pPr>
                  <w:r>
                    <w:rPr>
                      <w:rFonts w:hint="eastAsia"/>
                      <w:color w:val="000000"/>
                      <w:sz w:val="21"/>
                      <w:szCs w:val="21"/>
                      <w:highlight w:val="none"/>
                      <w:vertAlign w:val="baseline"/>
                      <w:lang w:val="en-US" w:eastAsia="zh-CN"/>
                    </w:rPr>
                    <w:t>噪声</w:t>
                  </w:r>
                </w:p>
              </w:tc>
              <w:tc>
                <w:tcPr>
                  <w:tcW w:w="710" w:type="dxa"/>
                  <w:noWrap w:val="0"/>
                  <w:vAlign w:val="center"/>
                </w:tcPr>
                <w:p w14:paraId="1A6CDF6E">
                  <w:pPr>
                    <w:jc w:val="center"/>
                    <w:rPr>
                      <w:rFonts w:hint="default"/>
                      <w:color w:val="000000"/>
                      <w:sz w:val="21"/>
                      <w:szCs w:val="21"/>
                      <w:highlight w:val="none"/>
                      <w:vertAlign w:val="baseline"/>
                      <w:lang w:val="en-US" w:eastAsia="zh-CN"/>
                    </w:rPr>
                  </w:pPr>
                  <w:r>
                    <w:rPr>
                      <w:rFonts w:hint="eastAsia"/>
                      <w:color w:val="000000"/>
                      <w:sz w:val="21"/>
                      <w:szCs w:val="21"/>
                      <w:highlight w:val="none"/>
                      <w:vertAlign w:val="baseline"/>
                      <w:lang w:val="en-US" w:eastAsia="zh-CN"/>
                    </w:rPr>
                    <w:t>厂界</w:t>
                  </w:r>
                </w:p>
              </w:tc>
              <w:tc>
                <w:tcPr>
                  <w:tcW w:w="1925" w:type="dxa"/>
                  <w:noWrap w:val="0"/>
                  <w:vAlign w:val="center"/>
                </w:tcPr>
                <w:p w14:paraId="1E634721">
                  <w:pPr>
                    <w:jc w:val="center"/>
                    <w:rPr>
                      <w:rFonts w:hint="default" w:ascii="Times New Roman" w:hAnsi="Times New Roman" w:eastAsia="宋体" w:cs="Times New Roman"/>
                      <w:color w:val="000000"/>
                      <w:kern w:val="0"/>
                      <w:sz w:val="21"/>
                      <w:szCs w:val="21"/>
                      <w:highlight w:val="none"/>
                      <w:vertAlign w:val="baseline"/>
                      <w:lang w:val="en-US" w:eastAsia="zh-CN" w:bidi="ar"/>
                    </w:rPr>
                  </w:pPr>
                  <w:r>
                    <w:rPr>
                      <w:rFonts w:hint="eastAsia" w:ascii="Times New Roman" w:hAnsi="Times New Roman" w:eastAsia="宋体" w:cs="Times New Roman"/>
                      <w:color w:val="000000"/>
                      <w:kern w:val="0"/>
                      <w:sz w:val="21"/>
                      <w:szCs w:val="21"/>
                      <w:highlight w:val="none"/>
                      <w:vertAlign w:val="baseline"/>
                      <w:lang w:val="en-US" w:eastAsia="zh-CN" w:bidi="ar"/>
                    </w:rPr>
                    <w:t>噪声</w:t>
                  </w:r>
                </w:p>
              </w:tc>
              <w:tc>
                <w:tcPr>
                  <w:tcW w:w="1478" w:type="dxa"/>
                  <w:noWrap w:val="0"/>
                  <w:vAlign w:val="center"/>
                </w:tcPr>
                <w:p w14:paraId="17AB864C">
                  <w:pPr>
                    <w:jc w:val="center"/>
                    <w:rPr>
                      <w:rFonts w:hint="default"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1次/季度</w:t>
                  </w:r>
                </w:p>
              </w:tc>
              <w:tc>
                <w:tcPr>
                  <w:tcW w:w="3334" w:type="dxa"/>
                  <w:noWrap w:val="0"/>
                  <w:vAlign w:val="center"/>
                </w:tcPr>
                <w:p w14:paraId="2F786781">
                  <w:pPr>
                    <w:jc w:val="center"/>
                    <w:rPr>
                      <w:rFonts w:hint="default"/>
                      <w:color w:val="000000"/>
                      <w:sz w:val="21"/>
                      <w:szCs w:val="21"/>
                      <w:highlight w:val="none"/>
                      <w:vertAlign w:val="baseline"/>
                    </w:rPr>
                  </w:pPr>
                  <w:r>
                    <w:rPr>
                      <w:rFonts w:hint="default"/>
                      <w:color w:val="000000"/>
                      <w:sz w:val="21"/>
                      <w:szCs w:val="21"/>
                      <w:highlight w:val="none"/>
                      <w:vertAlign w:val="baseline"/>
                    </w:rPr>
                    <w:t>《工业企业厂界环境噪声排放标准》（GB12348-2008）的中3类标准</w:t>
                  </w:r>
                </w:p>
              </w:tc>
            </w:tr>
          </w:tbl>
          <w:p w14:paraId="5930C929">
            <w:pPr>
              <w:pStyle w:val="12"/>
              <w:numPr>
                <w:ilvl w:val="0"/>
                <w:numId w:val="0"/>
              </w:numPr>
              <w:ind w:left="420" w:leftChars="200" w:firstLine="0" w:firstLineChars="0"/>
              <w:rPr>
                <w:rFonts w:hint="default" w:eastAsia="宋体"/>
                <w:color w:val="000000"/>
                <w:highlight w:val="none"/>
                <w:lang w:val="en-US" w:eastAsia="zh-CN"/>
              </w:rPr>
            </w:pPr>
          </w:p>
        </w:tc>
      </w:tr>
    </w:tbl>
    <w:p w14:paraId="39DC9548">
      <w:pPr>
        <w:adjustRightInd w:val="0"/>
        <w:snapToGrid w:val="0"/>
        <w:spacing w:line="360" w:lineRule="auto"/>
        <w:rPr>
          <w:b/>
          <w:color w:val="000000"/>
          <w:kern w:val="0"/>
          <w:sz w:val="28"/>
          <w:szCs w:val="28"/>
          <w:highlight w:val="none"/>
        </w:rPr>
        <w:sectPr>
          <w:pgSz w:w="11907" w:h="16840"/>
          <w:pgMar w:top="1417" w:right="1134" w:bottom="1276" w:left="1531" w:header="851" w:footer="851" w:gutter="0"/>
          <w:pgBorders>
            <w:top w:val="none" w:sz="0" w:space="0"/>
            <w:left w:val="none" w:sz="0" w:space="0"/>
            <w:bottom w:val="none" w:sz="0" w:space="0"/>
            <w:right w:val="none" w:sz="0" w:space="0"/>
          </w:pgBorders>
          <w:cols w:space="720" w:num="1"/>
          <w:docGrid w:linePitch="312" w:charSpace="0"/>
        </w:sectPr>
      </w:pPr>
    </w:p>
    <w:p w14:paraId="2907D91D">
      <w:pPr>
        <w:snapToGrid w:val="0"/>
        <w:spacing w:line="288" w:lineRule="auto"/>
        <w:outlineLvl w:val="0"/>
        <w:rPr>
          <w:b/>
          <w:snapToGrid w:val="0"/>
          <w:color w:val="000000"/>
          <w:sz w:val="32"/>
          <w:szCs w:val="32"/>
          <w:highlight w:val="none"/>
        </w:rPr>
      </w:pPr>
      <w:r>
        <w:rPr>
          <w:b/>
          <w:snapToGrid w:val="0"/>
          <w:color w:val="000000"/>
          <w:sz w:val="32"/>
          <w:szCs w:val="32"/>
          <w:highlight w:val="none"/>
        </w:rPr>
        <w:t>五、</w:t>
      </w:r>
      <w:bookmarkStart w:id="36" w:name="_Hlk54167917"/>
      <w:r>
        <w:rPr>
          <w:b/>
          <w:snapToGrid w:val="0"/>
          <w:color w:val="000000"/>
          <w:sz w:val="32"/>
          <w:szCs w:val="32"/>
          <w:highlight w:val="none"/>
        </w:rPr>
        <w:t>环境保护措施监督检查清单</w:t>
      </w:r>
      <w:bookmarkEnd w:id="36"/>
    </w:p>
    <w:tbl>
      <w:tblPr>
        <w:tblStyle w:val="13"/>
        <w:tblW w:w="92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42"/>
        <w:gridCol w:w="1837"/>
        <w:gridCol w:w="1613"/>
        <w:gridCol w:w="2584"/>
        <w:gridCol w:w="1840"/>
      </w:tblGrid>
      <w:tr w14:paraId="137666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6" w:hRule="atLeast"/>
          <w:jc w:val="center"/>
        </w:trPr>
        <w:tc>
          <w:tcPr>
            <w:tcW w:w="1342" w:type="dxa"/>
            <w:tcBorders>
              <w:bottom w:val="single" w:color="000000" w:sz="4" w:space="0"/>
              <w:right w:val="single" w:color="000000" w:sz="4" w:space="0"/>
            </w:tcBorders>
            <w:noWrap w:val="0"/>
            <w:vAlign w:val="center"/>
          </w:tcPr>
          <w:p w14:paraId="4AF5595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内容</w:t>
            </w:r>
          </w:p>
          <w:p w14:paraId="4C35884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要素</w:t>
            </w:r>
          </w:p>
        </w:tc>
        <w:tc>
          <w:tcPr>
            <w:tcW w:w="1837" w:type="dxa"/>
            <w:tcBorders>
              <w:left w:val="single" w:color="000000" w:sz="4" w:space="0"/>
              <w:bottom w:val="single" w:color="000000" w:sz="4" w:space="0"/>
              <w:right w:val="single" w:color="000000" w:sz="4" w:space="0"/>
            </w:tcBorders>
            <w:noWrap w:val="0"/>
            <w:vAlign w:val="center"/>
          </w:tcPr>
          <w:p w14:paraId="6DA08CA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排放口(编号、名称)/污染源</w:t>
            </w:r>
          </w:p>
        </w:tc>
        <w:tc>
          <w:tcPr>
            <w:tcW w:w="1613" w:type="dxa"/>
            <w:tcBorders>
              <w:left w:val="single" w:color="000000" w:sz="4" w:space="0"/>
              <w:bottom w:val="single" w:color="000000" w:sz="4" w:space="0"/>
              <w:right w:val="single" w:color="000000" w:sz="4" w:space="0"/>
            </w:tcBorders>
            <w:noWrap w:val="0"/>
            <w:vAlign w:val="center"/>
          </w:tcPr>
          <w:p w14:paraId="3B0D796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污染物项目</w:t>
            </w:r>
          </w:p>
        </w:tc>
        <w:tc>
          <w:tcPr>
            <w:tcW w:w="2584" w:type="dxa"/>
            <w:tcBorders>
              <w:left w:val="single" w:color="000000" w:sz="4" w:space="0"/>
              <w:bottom w:val="single" w:color="000000" w:sz="4" w:space="0"/>
              <w:right w:val="single" w:color="000000" w:sz="4" w:space="0"/>
            </w:tcBorders>
            <w:noWrap w:val="0"/>
            <w:vAlign w:val="center"/>
          </w:tcPr>
          <w:p w14:paraId="6BB7815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环境保护措施</w:t>
            </w:r>
          </w:p>
        </w:tc>
        <w:tc>
          <w:tcPr>
            <w:tcW w:w="1840" w:type="dxa"/>
            <w:tcBorders>
              <w:left w:val="single" w:color="000000" w:sz="4" w:space="0"/>
              <w:bottom w:val="single" w:color="000000" w:sz="4" w:space="0"/>
            </w:tcBorders>
            <w:noWrap w:val="0"/>
            <w:vAlign w:val="center"/>
          </w:tcPr>
          <w:p w14:paraId="7175ADA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执行标准</w:t>
            </w:r>
          </w:p>
        </w:tc>
      </w:tr>
      <w:tr w14:paraId="04A48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342" w:type="dxa"/>
            <w:tcBorders>
              <w:top w:val="single" w:color="000000" w:sz="4" w:space="0"/>
              <w:bottom w:val="single" w:color="000000" w:sz="4" w:space="0"/>
              <w:right w:val="single" w:color="000000" w:sz="4" w:space="0"/>
            </w:tcBorders>
            <w:noWrap w:val="0"/>
            <w:vAlign w:val="center"/>
          </w:tcPr>
          <w:p w14:paraId="08B72C8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大气环境</w:t>
            </w:r>
          </w:p>
        </w:tc>
        <w:tc>
          <w:tcPr>
            <w:tcW w:w="1837" w:type="dxa"/>
            <w:tcBorders>
              <w:top w:val="single" w:color="000000" w:sz="4" w:space="0"/>
              <w:left w:val="single" w:color="000000" w:sz="4" w:space="0"/>
              <w:bottom w:val="single" w:color="000000" w:sz="4" w:space="0"/>
              <w:right w:val="single" w:color="000000" w:sz="4" w:space="0"/>
            </w:tcBorders>
            <w:noWrap w:val="0"/>
            <w:vAlign w:val="center"/>
          </w:tcPr>
          <w:p w14:paraId="4A770F7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sz w:val="24"/>
                <w:highlight w:val="none"/>
                <w:lang w:val="en-US" w:eastAsia="zh-CN"/>
              </w:rPr>
            </w:pPr>
            <w:r>
              <w:rPr>
                <w:rFonts w:ascii="Times New Roman" w:hAnsi="Times New Roman" w:cs="Times New Roman"/>
                <w:color w:val="000000"/>
                <w:sz w:val="24"/>
                <w:highlight w:val="none"/>
              </w:rPr>
              <w:t>厂</w:t>
            </w:r>
            <w:r>
              <w:rPr>
                <w:rFonts w:hint="default" w:ascii="Times New Roman" w:hAnsi="Times New Roman" w:cs="Times New Roman"/>
                <w:color w:val="000000"/>
                <w:sz w:val="24"/>
                <w:highlight w:val="none"/>
                <w:lang w:val="en-US" w:eastAsia="zh-CN"/>
              </w:rPr>
              <w:t>界</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269C1F0C">
            <w:pPr>
              <w:jc w:val="center"/>
              <w:rPr>
                <w:rFonts w:ascii="Times New Roman" w:hAnsi="Times New Roman" w:cs="Times New Roman"/>
                <w:color w:val="000000"/>
                <w:sz w:val="24"/>
                <w:highlight w:val="none"/>
              </w:rPr>
            </w:pPr>
            <w:r>
              <w:rPr>
                <w:rFonts w:hint="default" w:ascii="Times New Roman" w:hAnsi="Times New Roman" w:eastAsia="宋体" w:cs="Times New Roman"/>
                <w:color w:val="000000"/>
                <w:kern w:val="0"/>
                <w:sz w:val="24"/>
                <w:szCs w:val="24"/>
                <w:highlight w:val="none"/>
                <w:vertAlign w:val="baseline"/>
                <w:lang w:val="en-US" w:eastAsia="zh-CN" w:bidi="ar"/>
              </w:rPr>
              <w:t>氨、硫化氢</w:t>
            </w:r>
          </w:p>
        </w:tc>
        <w:tc>
          <w:tcPr>
            <w:tcW w:w="2584" w:type="dxa"/>
            <w:tcBorders>
              <w:top w:val="single" w:color="000000" w:sz="4" w:space="0"/>
              <w:left w:val="single" w:color="000000" w:sz="4" w:space="0"/>
              <w:bottom w:val="single" w:color="000000" w:sz="4" w:space="0"/>
              <w:right w:val="single" w:color="000000" w:sz="4" w:space="0"/>
            </w:tcBorders>
            <w:noWrap w:val="0"/>
            <w:vAlign w:val="center"/>
          </w:tcPr>
          <w:p w14:paraId="261F742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hint="default" w:ascii="Times New Roman" w:hAnsi="Times New Roman" w:cs="Times New Roman"/>
                <w:color w:val="000000"/>
                <w:sz w:val="24"/>
                <w:highlight w:val="none"/>
                <w:lang w:val="en-US" w:eastAsia="zh-CN"/>
              </w:rPr>
              <w:t>厂区加强绿化</w:t>
            </w:r>
            <w:r>
              <w:rPr>
                <w:rFonts w:ascii="Times New Roman" w:hAnsi="Times New Roman" w:cs="Times New Roman"/>
                <w:color w:val="000000"/>
                <w:sz w:val="24"/>
                <w:highlight w:val="none"/>
              </w:rPr>
              <w:t>等</w:t>
            </w:r>
          </w:p>
        </w:tc>
        <w:tc>
          <w:tcPr>
            <w:tcW w:w="1840" w:type="dxa"/>
            <w:tcBorders>
              <w:top w:val="single" w:color="000000" w:sz="4" w:space="0"/>
              <w:left w:val="single" w:color="000000" w:sz="4" w:space="0"/>
              <w:bottom w:val="single" w:color="000000" w:sz="4" w:space="0"/>
            </w:tcBorders>
            <w:noWrap w:val="0"/>
            <w:vAlign w:val="center"/>
          </w:tcPr>
          <w:p w14:paraId="2854DC2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hint="eastAsia" w:ascii="Times New Roman" w:hAnsi="Times New Roman" w:cs="Times New Roman"/>
                <w:color w:val="000000"/>
                <w:sz w:val="24"/>
                <w:highlight w:val="none"/>
                <w:lang w:eastAsia="zh-CN"/>
              </w:rPr>
              <w:t>《炼焦化学工业污染物排放标准》（GB16171-2012）</w:t>
            </w:r>
          </w:p>
        </w:tc>
      </w:tr>
      <w:tr w14:paraId="38A9E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6" w:hRule="atLeast"/>
          <w:jc w:val="center"/>
        </w:trPr>
        <w:tc>
          <w:tcPr>
            <w:tcW w:w="1342" w:type="dxa"/>
            <w:vMerge w:val="restart"/>
            <w:tcBorders>
              <w:top w:val="single" w:color="000000" w:sz="4" w:space="0"/>
              <w:right w:val="single" w:color="000000" w:sz="4" w:space="0"/>
            </w:tcBorders>
            <w:noWrap w:val="0"/>
            <w:vAlign w:val="center"/>
          </w:tcPr>
          <w:p w14:paraId="55E898D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地表水环境</w:t>
            </w:r>
          </w:p>
        </w:tc>
        <w:tc>
          <w:tcPr>
            <w:tcW w:w="1837" w:type="dxa"/>
            <w:tcBorders>
              <w:top w:val="single" w:color="000000" w:sz="4" w:space="0"/>
              <w:left w:val="single" w:color="000000" w:sz="4" w:space="0"/>
              <w:bottom w:val="single" w:color="000000" w:sz="4" w:space="0"/>
              <w:right w:val="single" w:color="000000" w:sz="4" w:space="0"/>
            </w:tcBorders>
            <w:noWrap w:val="0"/>
            <w:vAlign w:val="center"/>
          </w:tcPr>
          <w:p w14:paraId="20F89DB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脱硫废水</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20A03CD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SCN</w:t>
            </w:r>
            <w:r>
              <w:rPr>
                <w:rFonts w:hint="eastAsia" w:ascii="Times New Roman" w:hAnsi="Times New Roman" w:cs="Times New Roman"/>
                <w:color w:val="000000"/>
                <w:sz w:val="24"/>
                <w:highlight w:val="none"/>
                <w:vertAlign w:val="superscript"/>
                <w:lang w:val="en-US" w:eastAsia="zh-CN"/>
              </w:rPr>
              <w:t>-</w:t>
            </w:r>
            <w:r>
              <w:rPr>
                <w:rFonts w:hint="eastAsia" w:ascii="Times New Roman" w:hAnsi="Times New Roman" w:cs="Times New Roman"/>
                <w:color w:val="000000"/>
                <w:sz w:val="24"/>
                <w:highlight w:val="none"/>
                <w:lang w:val="en-US" w:eastAsia="zh-CN"/>
              </w:rPr>
              <w:t>、SO</w:t>
            </w:r>
            <w:r>
              <w:rPr>
                <w:rFonts w:hint="eastAsia" w:ascii="Times New Roman" w:hAnsi="Times New Roman" w:cs="Times New Roman"/>
                <w:color w:val="000000"/>
                <w:sz w:val="24"/>
                <w:highlight w:val="none"/>
                <w:vertAlign w:val="subscript"/>
                <w:lang w:val="en-US" w:eastAsia="zh-CN"/>
              </w:rPr>
              <w:t>4</w:t>
            </w:r>
            <w:r>
              <w:rPr>
                <w:rFonts w:hint="eastAsia" w:ascii="Times New Roman" w:hAnsi="Times New Roman" w:cs="Times New Roman"/>
                <w:color w:val="000000"/>
                <w:sz w:val="24"/>
                <w:highlight w:val="none"/>
                <w:vertAlign w:val="superscript"/>
                <w:lang w:val="en-US" w:eastAsia="zh-CN"/>
              </w:rPr>
              <w:t>2-</w:t>
            </w:r>
            <w:r>
              <w:rPr>
                <w:rFonts w:hint="eastAsia" w:ascii="Times New Roman" w:hAnsi="Times New Roman" w:cs="Times New Roman"/>
                <w:color w:val="000000"/>
                <w:sz w:val="24"/>
                <w:highlight w:val="none"/>
                <w:lang w:val="en-US" w:eastAsia="zh-CN"/>
              </w:rPr>
              <w:t>、S</w:t>
            </w:r>
            <w:r>
              <w:rPr>
                <w:rFonts w:hint="eastAsia" w:ascii="Times New Roman" w:hAnsi="Times New Roman" w:cs="Times New Roman"/>
                <w:color w:val="000000"/>
                <w:sz w:val="24"/>
                <w:highlight w:val="none"/>
                <w:vertAlign w:val="subscript"/>
                <w:lang w:val="en-US" w:eastAsia="zh-CN"/>
              </w:rPr>
              <w:t>2</w:t>
            </w:r>
            <w:r>
              <w:rPr>
                <w:rFonts w:hint="eastAsia" w:ascii="Times New Roman" w:hAnsi="Times New Roman" w:cs="Times New Roman"/>
                <w:color w:val="000000"/>
                <w:sz w:val="24"/>
                <w:highlight w:val="none"/>
                <w:lang w:val="en-US" w:eastAsia="zh-CN"/>
              </w:rPr>
              <w:t>O</w:t>
            </w:r>
            <w:r>
              <w:rPr>
                <w:rFonts w:hint="eastAsia" w:ascii="Times New Roman" w:hAnsi="Times New Roman" w:cs="Times New Roman"/>
                <w:color w:val="000000"/>
                <w:sz w:val="24"/>
                <w:highlight w:val="none"/>
                <w:vertAlign w:val="subscript"/>
                <w:lang w:val="en-US" w:eastAsia="zh-CN"/>
              </w:rPr>
              <w:t>3</w:t>
            </w:r>
            <w:r>
              <w:rPr>
                <w:rFonts w:hint="eastAsia" w:ascii="Times New Roman" w:hAnsi="Times New Roman" w:cs="Times New Roman"/>
                <w:color w:val="000000"/>
                <w:sz w:val="24"/>
                <w:highlight w:val="none"/>
                <w:vertAlign w:val="superscript"/>
                <w:lang w:val="en-US" w:eastAsia="zh-CN"/>
              </w:rPr>
              <w:t>2-</w:t>
            </w:r>
          </w:p>
        </w:tc>
        <w:tc>
          <w:tcPr>
            <w:tcW w:w="2584" w:type="dxa"/>
            <w:tcBorders>
              <w:top w:val="single" w:color="000000" w:sz="4" w:space="0"/>
              <w:left w:val="single" w:color="000000" w:sz="4" w:space="0"/>
              <w:bottom w:val="single" w:color="000000" w:sz="4" w:space="0"/>
              <w:right w:val="single" w:color="000000" w:sz="4" w:space="0"/>
            </w:tcBorders>
            <w:noWrap w:val="0"/>
            <w:vAlign w:val="center"/>
          </w:tcPr>
          <w:p w14:paraId="6104D0B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hint="default" w:ascii="Times New Roman" w:hAnsi="Times New Roman" w:cs="Times New Roman"/>
                <w:color w:val="000000"/>
                <w:sz w:val="24"/>
                <w:highlight w:val="none"/>
                <w:lang w:val="en-US" w:eastAsia="zh-CN"/>
              </w:rPr>
              <w:t>经</w:t>
            </w:r>
            <w:r>
              <w:rPr>
                <w:rFonts w:hint="eastAsia" w:ascii="Times New Roman" w:hAnsi="Times New Roman" w:cs="Times New Roman"/>
                <w:color w:val="000000"/>
                <w:sz w:val="24"/>
                <w:highlight w:val="none"/>
                <w:lang w:val="en-US" w:eastAsia="zh-CN"/>
              </w:rPr>
              <w:t>提盐装置处理后回用于脱硫</w:t>
            </w:r>
            <w:r>
              <w:rPr>
                <w:rFonts w:hint="default" w:ascii="Times New Roman" w:hAnsi="Times New Roman" w:cs="Times New Roman"/>
                <w:color w:val="000000"/>
                <w:sz w:val="24"/>
                <w:highlight w:val="none"/>
              </w:rPr>
              <w:t>。</w:t>
            </w:r>
          </w:p>
        </w:tc>
        <w:tc>
          <w:tcPr>
            <w:tcW w:w="1840" w:type="dxa"/>
            <w:tcBorders>
              <w:top w:val="single" w:color="000000" w:sz="4" w:space="0"/>
              <w:left w:val="single" w:color="000000" w:sz="4" w:space="0"/>
            </w:tcBorders>
            <w:noWrap w:val="0"/>
            <w:vAlign w:val="center"/>
          </w:tcPr>
          <w:p w14:paraId="03CA6A7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00"/>
                <w:sz w:val="24"/>
                <w:highlight w:val="none"/>
                <w:lang w:val="en-US"/>
              </w:rPr>
            </w:pPr>
            <w:r>
              <w:rPr>
                <w:rFonts w:hint="eastAsia" w:ascii="Times New Roman" w:hAnsi="Times New Roman" w:cs="Times New Roman"/>
                <w:color w:val="000000"/>
                <w:sz w:val="24"/>
                <w:highlight w:val="none"/>
                <w:lang w:val="en-US" w:eastAsia="zh-CN"/>
              </w:rPr>
              <w:t>/</w:t>
            </w:r>
          </w:p>
        </w:tc>
      </w:tr>
      <w:tr w14:paraId="58AC3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jc w:val="center"/>
        </w:trPr>
        <w:tc>
          <w:tcPr>
            <w:tcW w:w="1342" w:type="dxa"/>
            <w:vMerge w:val="continue"/>
            <w:tcBorders>
              <w:right w:val="single" w:color="000000" w:sz="4" w:space="0"/>
            </w:tcBorders>
            <w:noWrap w:val="0"/>
            <w:vAlign w:val="center"/>
          </w:tcPr>
          <w:p w14:paraId="7963777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p>
        </w:tc>
        <w:tc>
          <w:tcPr>
            <w:tcW w:w="1837" w:type="dxa"/>
            <w:tcBorders>
              <w:top w:val="single" w:color="000000" w:sz="4" w:space="0"/>
              <w:left w:val="single" w:color="000000" w:sz="4" w:space="0"/>
              <w:bottom w:val="single" w:color="000000" w:sz="4" w:space="0"/>
              <w:right w:val="single" w:color="000000" w:sz="4" w:space="0"/>
            </w:tcBorders>
            <w:noWrap w:val="0"/>
            <w:vAlign w:val="center"/>
          </w:tcPr>
          <w:p w14:paraId="531C7FD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生化出水、除盐水站排污水、循环冷却水排水、软水站排污水、炼焦余热锅炉排污水</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73AF21F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COD、</w:t>
            </w:r>
            <w:r>
              <w:rPr>
                <w:rFonts w:hint="eastAsia" w:ascii="Times New Roman" w:hAnsi="Times New Roman" w:cs="Times New Roman"/>
                <w:color w:val="000000"/>
                <w:sz w:val="24"/>
                <w:highlight w:val="none"/>
                <w:lang w:val="en-US" w:eastAsia="zh-CN"/>
              </w:rPr>
              <w:t>氨氮、</w:t>
            </w:r>
            <w:r>
              <w:rPr>
                <w:rFonts w:hint="default" w:ascii="Times New Roman" w:hAnsi="Times New Roman" w:cs="Times New Roman"/>
                <w:color w:val="000000"/>
                <w:sz w:val="24"/>
                <w:highlight w:val="none"/>
                <w:lang w:val="en-US" w:eastAsia="zh-CN"/>
              </w:rPr>
              <w:t>SS</w:t>
            </w:r>
            <w:r>
              <w:rPr>
                <w:rFonts w:hint="eastAsia" w:ascii="Times New Roman" w:hAnsi="Times New Roman" w:cs="Times New Roman"/>
                <w:color w:val="000000"/>
                <w:sz w:val="24"/>
                <w:highlight w:val="none"/>
                <w:lang w:val="en-US" w:eastAsia="zh-CN"/>
              </w:rPr>
              <w:t>、Cl</w:t>
            </w:r>
            <w:r>
              <w:rPr>
                <w:rFonts w:hint="eastAsia" w:ascii="Times New Roman" w:hAnsi="Times New Roman" w:cs="Times New Roman"/>
                <w:color w:val="000000"/>
                <w:sz w:val="24"/>
                <w:highlight w:val="none"/>
                <w:vertAlign w:val="superscript"/>
                <w:lang w:val="en-US" w:eastAsia="zh-CN"/>
              </w:rPr>
              <w:t>-</w:t>
            </w:r>
            <w:r>
              <w:rPr>
                <w:rFonts w:hint="eastAsia" w:ascii="Times New Roman" w:hAnsi="Times New Roman" w:cs="Times New Roman"/>
                <w:color w:val="000000"/>
                <w:sz w:val="24"/>
                <w:highlight w:val="none"/>
                <w:lang w:val="en-US" w:eastAsia="zh-CN"/>
              </w:rPr>
              <w:t>、TDS</w:t>
            </w:r>
          </w:p>
        </w:tc>
        <w:tc>
          <w:tcPr>
            <w:tcW w:w="2584" w:type="dxa"/>
            <w:tcBorders>
              <w:top w:val="single" w:color="000000" w:sz="4" w:space="0"/>
              <w:left w:val="single" w:color="000000" w:sz="4" w:space="0"/>
              <w:bottom w:val="single" w:color="000000" w:sz="4" w:space="0"/>
              <w:right w:val="single" w:color="000000" w:sz="4" w:space="0"/>
            </w:tcBorders>
            <w:noWrap w:val="0"/>
            <w:vAlign w:val="center"/>
          </w:tcPr>
          <w:p w14:paraId="6BDCA29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进入中水回用及零排放系统处理</w:t>
            </w:r>
            <w:r>
              <w:rPr>
                <w:rFonts w:hint="eastAsia" w:ascii="Times New Roman" w:hAnsi="Times New Roman" w:cs="Times New Roman"/>
                <w:color w:val="000000"/>
                <w:sz w:val="24"/>
                <w:highlight w:val="none"/>
                <w:lang w:val="en-US" w:eastAsia="zh-CN"/>
              </w:rPr>
              <w:t>后</w:t>
            </w:r>
            <w:r>
              <w:rPr>
                <w:rFonts w:hint="default" w:ascii="Times New Roman" w:hAnsi="Times New Roman" w:cs="Times New Roman"/>
                <w:color w:val="000000"/>
                <w:sz w:val="24"/>
                <w:highlight w:val="none"/>
                <w:lang w:val="en-US" w:eastAsia="zh-CN"/>
              </w:rPr>
              <w:t>回用于</w:t>
            </w:r>
            <w:r>
              <w:rPr>
                <w:rFonts w:hint="eastAsia" w:ascii="Times New Roman" w:hAnsi="Times New Roman" w:cs="Times New Roman"/>
                <w:color w:val="000000"/>
                <w:sz w:val="24"/>
                <w:highlight w:val="none"/>
                <w:lang w:val="en-US" w:eastAsia="zh-CN"/>
              </w:rPr>
              <w:t>生产</w:t>
            </w:r>
          </w:p>
        </w:tc>
        <w:tc>
          <w:tcPr>
            <w:tcW w:w="1840" w:type="dxa"/>
            <w:tcBorders>
              <w:left w:val="single" w:color="000000" w:sz="4" w:space="0"/>
              <w:bottom w:val="single" w:color="000000" w:sz="4" w:space="0"/>
            </w:tcBorders>
            <w:noWrap w:val="0"/>
            <w:vAlign w:val="center"/>
          </w:tcPr>
          <w:p w14:paraId="3D0D3F9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hint="eastAsia" w:ascii="Times New Roman" w:hAnsi="Times New Roman" w:cs="Times New Roman"/>
                <w:color w:val="000000"/>
                <w:sz w:val="24"/>
                <w:highlight w:val="none"/>
              </w:rPr>
              <w:t>《工业循环冷却水处理设计规范》( GB50050-2017）再生水用于间冷开式循环冷却水系统补充水水质标准</w:t>
            </w:r>
          </w:p>
        </w:tc>
      </w:tr>
      <w:tr w14:paraId="49CA0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jc w:val="center"/>
        </w:trPr>
        <w:tc>
          <w:tcPr>
            <w:tcW w:w="1342" w:type="dxa"/>
            <w:tcBorders>
              <w:bottom w:val="single" w:color="000000" w:sz="4" w:space="0"/>
              <w:right w:val="single" w:color="000000" w:sz="4" w:space="0"/>
            </w:tcBorders>
            <w:noWrap w:val="0"/>
            <w:vAlign w:val="center"/>
          </w:tcPr>
          <w:p w14:paraId="3CE739E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声环境</w:t>
            </w:r>
          </w:p>
        </w:tc>
        <w:tc>
          <w:tcPr>
            <w:tcW w:w="1837" w:type="dxa"/>
            <w:tcBorders>
              <w:left w:val="single" w:color="000000" w:sz="4" w:space="0"/>
              <w:bottom w:val="single" w:color="000000" w:sz="4" w:space="0"/>
              <w:right w:val="single" w:color="000000" w:sz="4" w:space="0"/>
            </w:tcBorders>
            <w:noWrap w:val="0"/>
            <w:vAlign w:val="center"/>
          </w:tcPr>
          <w:p w14:paraId="11F6DC5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各类机械设备</w:t>
            </w:r>
          </w:p>
        </w:tc>
        <w:tc>
          <w:tcPr>
            <w:tcW w:w="1613" w:type="dxa"/>
            <w:tcBorders>
              <w:left w:val="single" w:color="000000" w:sz="4" w:space="0"/>
              <w:bottom w:val="single" w:color="000000" w:sz="4" w:space="0"/>
              <w:right w:val="single" w:color="000000" w:sz="4" w:space="0"/>
            </w:tcBorders>
            <w:noWrap w:val="0"/>
            <w:vAlign w:val="center"/>
          </w:tcPr>
          <w:p w14:paraId="5BE3B0B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噪声</w:t>
            </w:r>
          </w:p>
        </w:tc>
        <w:tc>
          <w:tcPr>
            <w:tcW w:w="2584" w:type="dxa"/>
            <w:tcBorders>
              <w:left w:val="single" w:color="000000" w:sz="4" w:space="0"/>
              <w:bottom w:val="single" w:color="000000" w:sz="4" w:space="0"/>
              <w:right w:val="single" w:color="000000" w:sz="4" w:space="0"/>
            </w:tcBorders>
            <w:noWrap w:val="0"/>
            <w:vAlign w:val="center"/>
          </w:tcPr>
          <w:p w14:paraId="557D2F0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基础减振、隔声等措施</w:t>
            </w:r>
          </w:p>
        </w:tc>
        <w:tc>
          <w:tcPr>
            <w:tcW w:w="1840" w:type="dxa"/>
            <w:tcBorders>
              <w:left w:val="single" w:color="000000" w:sz="4" w:space="0"/>
              <w:bottom w:val="single" w:color="000000" w:sz="4" w:space="0"/>
            </w:tcBorders>
            <w:noWrap w:val="0"/>
            <w:vAlign w:val="center"/>
          </w:tcPr>
          <w:p w14:paraId="6F8E9D9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《工业企业厂界环境噪声排放标准》（GB12348-20</w:t>
            </w:r>
          </w:p>
          <w:p w14:paraId="6720A49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08）</w:t>
            </w:r>
            <w:r>
              <w:rPr>
                <w:rFonts w:hint="default" w:ascii="Times New Roman" w:hAnsi="Times New Roman" w:cs="Times New Roman"/>
                <w:color w:val="000000"/>
                <w:sz w:val="24"/>
                <w:highlight w:val="none"/>
                <w:lang w:val="en-US" w:eastAsia="zh-CN"/>
              </w:rPr>
              <w:t>3</w:t>
            </w:r>
            <w:r>
              <w:rPr>
                <w:rFonts w:ascii="Times New Roman" w:hAnsi="Times New Roman" w:cs="Times New Roman"/>
                <w:color w:val="000000"/>
                <w:spacing w:val="-15"/>
                <w:sz w:val="24"/>
                <w:highlight w:val="none"/>
              </w:rPr>
              <w:t>类标准</w:t>
            </w:r>
          </w:p>
        </w:tc>
      </w:tr>
      <w:tr w14:paraId="746DD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jc w:val="center"/>
        </w:trPr>
        <w:tc>
          <w:tcPr>
            <w:tcW w:w="1342" w:type="dxa"/>
            <w:tcBorders>
              <w:top w:val="single" w:color="000000" w:sz="4" w:space="0"/>
              <w:bottom w:val="single" w:color="000000" w:sz="4" w:space="0"/>
              <w:right w:val="single" w:color="000000" w:sz="4" w:space="0"/>
            </w:tcBorders>
            <w:noWrap w:val="0"/>
            <w:vAlign w:val="center"/>
          </w:tcPr>
          <w:p w14:paraId="0E3E8AA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电磁辐射</w:t>
            </w:r>
          </w:p>
        </w:tc>
        <w:tc>
          <w:tcPr>
            <w:tcW w:w="1837" w:type="dxa"/>
            <w:tcBorders>
              <w:top w:val="single" w:color="000000" w:sz="4" w:space="0"/>
              <w:left w:val="single" w:color="000000" w:sz="4" w:space="0"/>
              <w:bottom w:val="single" w:color="000000" w:sz="4" w:space="0"/>
              <w:right w:val="single" w:color="000000" w:sz="4" w:space="0"/>
            </w:tcBorders>
            <w:noWrap w:val="0"/>
            <w:vAlign w:val="center"/>
          </w:tcPr>
          <w:p w14:paraId="2CD8E8D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01E3531B">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w:t>
            </w:r>
          </w:p>
        </w:tc>
        <w:tc>
          <w:tcPr>
            <w:tcW w:w="2584" w:type="dxa"/>
            <w:tcBorders>
              <w:top w:val="single" w:color="000000" w:sz="4" w:space="0"/>
              <w:left w:val="single" w:color="000000" w:sz="4" w:space="0"/>
              <w:bottom w:val="single" w:color="000000" w:sz="4" w:space="0"/>
              <w:right w:val="single" w:color="000000" w:sz="4" w:space="0"/>
            </w:tcBorders>
            <w:noWrap w:val="0"/>
            <w:vAlign w:val="center"/>
          </w:tcPr>
          <w:p w14:paraId="19B0C38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w:t>
            </w:r>
          </w:p>
        </w:tc>
        <w:tc>
          <w:tcPr>
            <w:tcW w:w="1840" w:type="dxa"/>
            <w:tcBorders>
              <w:top w:val="single" w:color="000000" w:sz="4" w:space="0"/>
              <w:left w:val="single" w:color="000000" w:sz="4" w:space="0"/>
              <w:bottom w:val="single" w:color="000000" w:sz="4" w:space="0"/>
            </w:tcBorders>
            <w:noWrap w:val="0"/>
            <w:vAlign w:val="center"/>
          </w:tcPr>
          <w:p w14:paraId="2074483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w:t>
            </w:r>
          </w:p>
        </w:tc>
      </w:tr>
      <w:tr w14:paraId="71E238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jc w:val="center"/>
        </w:trPr>
        <w:tc>
          <w:tcPr>
            <w:tcW w:w="1342" w:type="dxa"/>
            <w:tcBorders>
              <w:top w:val="single" w:color="000000" w:sz="4" w:space="0"/>
              <w:bottom w:val="single" w:color="000000" w:sz="4" w:space="0"/>
              <w:right w:val="single" w:color="000000" w:sz="4" w:space="0"/>
            </w:tcBorders>
            <w:noWrap w:val="0"/>
            <w:vAlign w:val="center"/>
          </w:tcPr>
          <w:p w14:paraId="5981620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固体废物</w:t>
            </w:r>
          </w:p>
        </w:tc>
        <w:tc>
          <w:tcPr>
            <w:tcW w:w="7874" w:type="dxa"/>
            <w:gridSpan w:val="4"/>
            <w:tcBorders>
              <w:top w:val="single" w:color="000000" w:sz="4" w:space="0"/>
              <w:left w:val="single" w:color="000000" w:sz="4" w:space="0"/>
              <w:bottom w:val="single" w:color="000000" w:sz="4" w:space="0"/>
            </w:tcBorders>
            <w:noWrap w:val="0"/>
            <w:vAlign w:val="center"/>
          </w:tcPr>
          <w:p w14:paraId="1EF39470">
            <w:pPr>
              <w:bidi w:val="0"/>
              <w:rPr>
                <w:rFonts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rPr>
              <w:t>零排放系统蒸发结晶产生的硫酸钠、氯化钠、杂盐，脱硫废水提盐产生的硫代硫酸钠、硫酸钠、硫氰酸钠需要进行属性鉴定，副产物硫酸钠、氯化钠、硫代硫酸钠、硫氰酸钠若鉴定为危险废物，则作为危废管理，暂存于危废库，定期委托资质单位处理；若鉴定为一般固废，且达到相应的副产品质量标准，则按照副产品外售；若鉴定为一般固废，但不满足相应的副产品质量标准，则按照一般固废处理；杂盐若鉴定为危废，则按照危废管理，否则按照一般固废管理。污水处理产生的污泥、脱色产生的废活性炭暂存于现有危废库（450m</w:t>
            </w:r>
            <w:r>
              <w:rPr>
                <w:rFonts w:hint="eastAsia" w:ascii="Times New Roman" w:hAnsi="Times New Roman" w:cs="Times New Roman"/>
                <w:color w:val="000000"/>
                <w:sz w:val="24"/>
                <w:szCs w:val="24"/>
                <w:highlight w:val="none"/>
                <w:vertAlign w:val="superscript"/>
              </w:rPr>
              <w:t>2</w:t>
            </w:r>
            <w:r>
              <w:rPr>
                <w:rFonts w:hint="eastAsia" w:ascii="Times New Roman" w:hAnsi="Times New Roman" w:cs="Times New Roman"/>
                <w:color w:val="000000"/>
                <w:sz w:val="24"/>
                <w:szCs w:val="24"/>
                <w:highlight w:val="none"/>
              </w:rPr>
              <w:t>），定期通过厂内掺煤炼焦进行无害化处置；中水回用系统产生的废反渗透膜属于危险废物，暂存于现有危废库，定期委托有资质的单位处理</w:t>
            </w:r>
            <w:r>
              <w:rPr>
                <w:rFonts w:ascii="Times New Roman" w:hAnsi="Times New Roman" w:cs="Times New Roman"/>
                <w:color w:val="000000"/>
                <w:sz w:val="24"/>
                <w:szCs w:val="24"/>
                <w:highlight w:val="none"/>
              </w:rPr>
              <w:t>。</w:t>
            </w:r>
          </w:p>
        </w:tc>
      </w:tr>
      <w:tr w14:paraId="6378D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1342" w:type="dxa"/>
            <w:tcBorders>
              <w:top w:val="single" w:color="000000" w:sz="4" w:space="0"/>
              <w:bottom w:val="single" w:color="000000" w:sz="4" w:space="0"/>
              <w:right w:val="single" w:color="000000" w:sz="4" w:space="0"/>
            </w:tcBorders>
            <w:noWrap w:val="0"/>
            <w:vAlign w:val="center"/>
          </w:tcPr>
          <w:p w14:paraId="36F3721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土壤及地下水污染防治措施</w:t>
            </w:r>
          </w:p>
        </w:tc>
        <w:tc>
          <w:tcPr>
            <w:tcW w:w="7874" w:type="dxa"/>
            <w:gridSpan w:val="4"/>
            <w:tcBorders>
              <w:top w:val="single" w:color="000000" w:sz="4" w:space="0"/>
              <w:left w:val="single" w:color="000000" w:sz="4" w:space="0"/>
              <w:bottom w:val="single" w:color="000000" w:sz="4" w:space="0"/>
            </w:tcBorders>
            <w:noWrap w:val="0"/>
            <w:vAlign w:val="center"/>
          </w:tcPr>
          <w:p w14:paraId="3A7E054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szCs w:val="24"/>
                <w:highlight w:val="none"/>
              </w:rPr>
            </w:pPr>
            <w:r>
              <w:rPr>
                <w:rFonts w:hint="eastAsia" w:ascii="Times New Roman" w:hAnsi="Times New Roman" w:cs="Times New Roman"/>
                <w:color w:val="000000"/>
                <w:sz w:val="24"/>
                <w:szCs w:val="24"/>
                <w:highlight w:val="none"/>
              </w:rPr>
              <w:t>针对项目可能发生的</w:t>
            </w:r>
            <w:r>
              <w:rPr>
                <w:rFonts w:hint="eastAsia" w:ascii="Times New Roman" w:hAnsi="Times New Roman" w:cs="Times New Roman"/>
                <w:color w:val="000000"/>
                <w:sz w:val="24"/>
                <w:szCs w:val="24"/>
                <w:highlight w:val="none"/>
                <w:lang w:val="en-US" w:eastAsia="zh-CN"/>
              </w:rPr>
              <w:t>地下水、</w:t>
            </w:r>
            <w:r>
              <w:rPr>
                <w:rFonts w:hint="eastAsia" w:ascii="Times New Roman" w:hAnsi="Times New Roman" w:cs="Times New Roman"/>
                <w:color w:val="000000"/>
                <w:sz w:val="24"/>
                <w:szCs w:val="24"/>
                <w:highlight w:val="none"/>
              </w:rPr>
              <w:t>土壤污染，污染防治措施按照“源头控制、分区防治、污染监控、应急响应”相结合的原则，从污染物的产生、入渗、扩散、应急响应全方位进行控制</w:t>
            </w:r>
            <w:r>
              <w:rPr>
                <w:rFonts w:ascii="Times New Roman" w:hAnsi="Times New Roman" w:cs="Times New Roman"/>
                <w:color w:val="000000"/>
                <w:sz w:val="24"/>
                <w:szCs w:val="24"/>
                <w:highlight w:val="none"/>
              </w:rPr>
              <w:t>。</w:t>
            </w:r>
          </w:p>
        </w:tc>
      </w:tr>
      <w:tr w14:paraId="78842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jc w:val="center"/>
        </w:trPr>
        <w:tc>
          <w:tcPr>
            <w:tcW w:w="1342" w:type="dxa"/>
            <w:tcBorders>
              <w:top w:val="single" w:color="000000" w:sz="4" w:space="0"/>
              <w:bottom w:val="single" w:color="000000" w:sz="4" w:space="0"/>
              <w:right w:val="single" w:color="000000" w:sz="4" w:space="0"/>
            </w:tcBorders>
            <w:noWrap w:val="0"/>
            <w:vAlign w:val="center"/>
          </w:tcPr>
          <w:p w14:paraId="16CC0D2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生态保护措施</w:t>
            </w:r>
          </w:p>
        </w:tc>
        <w:tc>
          <w:tcPr>
            <w:tcW w:w="7874" w:type="dxa"/>
            <w:gridSpan w:val="4"/>
            <w:tcBorders>
              <w:top w:val="single" w:color="000000" w:sz="4" w:space="0"/>
              <w:left w:val="single" w:color="000000" w:sz="4" w:space="0"/>
              <w:bottom w:val="single" w:color="000000" w:sz="4" w:space="0"/>
            </w:tcBorders>
            <w:noWrap w:val="0"/>
            <w:vAlign w:val="center"/>
          </w:tcPr>
          <w:p w14:paraId="0F7F2FA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cs="Times New Roman"/>
                <w:color w:val="000000"/>
                <w:sz w:val="24"/>
                <w:highlight w:val="none"/>
              </w:rPr>
            </w:pPr>
            <w:r>
              <w:rPr>
                <w:rFonts w:ascii="Times New Roman" w:hAnsi="Times New Roman" w:cs="Times New Roman"/>
                <w:color w:val="000000"/>
                <w:sz w:val="24"/>
                <w:highlight w:val="none"/>
              </w:rPr>
              <w:t>建成后厂区内采取硬化或绿化措施。</w:t>
            </w:r>
          </w:p>
        </w:tc>
      </w:tr>
      <w:tr w14:paraId="0E904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5" w:hRule="atLeast"/>
          <w:jc w:val="center"/>
        </w:trPr>
        <w:tc>
          <w:tcPr>
            <w:tcW w:w="1342" w:type="dxa"/>
            <w:tcBorders>
              <w:top w:val="single" w:color="000000" w:sz="4" w:space="0"/>
              <w:bottom w:val="single" w:color="000000" w:sz="4" w:space="0"/>
              <w:right w:val="single" w:color="000000" w:sz="4" w:space="0"/>
            </w:tcBorders>
            <w:noWrap w:val="0"/>
            <w:vAlign w:val="center"/>
          </w:tcPr>
          <w:p w14:paraId="0BC0C04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pacing w:val="-13"/>
                <w:sz w:val="24"/>
                <w:highlight w:val="none"/>
              </w:rPr>
              <w:t>环境风险</w:t>
            </w:r>
          </w:p>
          <w:p w14:paraId="1D24397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pacing w:val="-13"/>
                <w:sz w:val="24"/>
                <w:highlight w:val="none"/>
              </w:rPr>
              <w:t>防范措施</w:t>
            </w:r>
          </w:p>
        </w:tc>
        <w:tc>
          <w:tcPr>
            <w:tcW w:w="7874" w:type="dxa"/>
            <w:gridSpan w:val="4"/>
            <w:tcBorders>
              <w:top w:val="single" w:color="000000" w:sz="4" w:space="0"/>
              <w:left w:val="single" w:color="000000" w:sz="4" w:space="0"/>
              <w:bottom w:val="single" w:color="000000" w:sz="4" w:space="0"/>
            </w:tcBorders>
            <w:noWrap w:val="0"/>
            <w:vAlign w:val="center"/>
          </w:tcPr>
          <w:p w14:paraId="2B0CBC36">
            <w:pPr>
              <w:keepNext w:val="0"/>
              <w:keepLines w:val="0"/>
              <w:pageBreakBefore w:val="0"/>
              <w:widowControl w:val="0"/>
              <w:kinsoku/>
              <w:wordWrap/>
              <w:overflowPunct/>
              <w:topLinePunct w:val="0"/>
              <w:bidi w:val="0"/>
              <w:adjustRightInd w:val="0"/>
              <w:snapToGrid/>
              <w:spacing w:line="240" w:lineRule="auto"/>
              <w:jc w:val="both"/>
              <w:rPr>
                <w:rFonts w:hint="default"/>
                <w:color w:val="000000"/>
                <w:sz w:val="24"/>
                <w:szCs w:val="24"/>
                <w:highlight w:val="none"/>
              </w:rPr>
            </w:pPr>
            <w:r>
              <w:rPr>
                <w:rFonts w:hint="default"/>
                <w:color w:val="000000"/>
                <w:sz w:val="24"/>
                <w:szCs w:val="24"/>
                <w:highlight w:val="none"/>
              </w:rPr>
              <w:t>1</w:t>
            </w:r>
            <w:r>
              <w:rPr>
                <w:rFonts w:hint="eastAsia"/>
                <w:color w:val="000000"/>
                <w:sz w:val="24"/>
                <w:szCs w:val="24"/>
                <w:highlight w:val="none"/>
                <w:lang w:eastAsia="zh-CN"/>
              </w:rPr>
              <w:t>、</w:t>
            </w:r>
            <w:r>
              <w:rPr>
                <w:rFonts w:hint="default"/>
                <w:color w:val="000000"/>
                <w:sz w:val="24"/>
                <w:szCs w:val="24"/>
                <w:highlight w:val="none"/>
              </w:rPr>
              <w:t>严格遵守“三同时”制度，建设单位不得私自停用环保设施，应对环保设施、生产设备、电线线路及设备线路定期进行检查，使各处理设施处于完备有效的状态，以保证处理效率和污染物达标排放。</w:t>
            </w:r>
          </w:p>
          <w:p w14:paraId="40E676C2">
            <w:pPr>
              <w:keepNext w:val="0"/>
              <w:keepLines w:val="0"/>
              <w:pageBreakBefore w:val="0"/>
              <w:widowControl w:val="0"/>
              <w:kinsoku/>
              <w:wordWrap/>
              <w:overflowPunct/>
              <w:topLinePunct w:val="0"/>
              <w:bidi w:val="0"/>
              <w:adjustRightInd w:val="0"/>
              <w:snapToGrid/>
              <w:spacing w:line="240" w:lineRule="auto"/>
              <w:jc w:val="both"/>
              <w:rPr>
                <w:rFonts w:hint="default"/>
                <w:color w:val="000000"/>
                <w:sz w:val="24"/>
                <w:szCs w:val="24"/>
                <w:highlight w:val="none"/>
              </w:rPr>
            </w:pPr>
            <w:r>
              <w:rPr>
                <w:rFonts w:hint="default"/>
                <w:color w:val="000000"/>
                <w:sz w:val="24"/>
                <w:szCs w:val="24"/>
                <w:highlight w:val="none"/>
              </w:rPr>
              <w:t>2</w:t>
            </w:r>
            <w:r>
              <w:rPr>
                <w:rFonts w:hint="eastAsia"/>
                <w:color w:val="000000"/>
                <w:sz w:val="24"/>
                <w:szCs w:val="24"/>
                <w:highlight w:val="none"/>
                <w:lang w:eastAsia="zh-CN"/>
              </w:rPr>
              <w:t>、</w:t>
            </w:r>
            <w:r>
              <w:rPr>
                <w:rFonts w:hint="default"/>
                <w:color w:val="000000"/>
                <w:sz w:val="24"/>
                <w:szCs w:val="24"/>
                <w:highlight w:val="none"/>
              </w:rPr>
              <w:t>加强对环保装置等设备的定期检修和维护，以防意外事故的发生，发现故障，应立即维修更换。</w:t>
            </w:r>
          </w:p>
          <w:p w14:paraId="0E6AD0D2">
            <w:pPr>
              <w:keepNext w:val="0"/>
              <w:keepLines w:val="0"/>
              <w:pageBreakBefore w:val="0"/>
              <w:widowControl w:val="0"/>
              <w:kinsoku/>
              <w:wordWrap/>
              <w:overflowPunct/>
              <w:topLinePunct w:val="0"/>
              <w:bidi w:val="0"/>
              <w:adjustRightInd w:val="0"/>
              <w:snapToGrid/>
              <w:spacing w:line="240" w:lineRule="auto"/>
              <w:jc w:val="both"/>
              <w:rPr>
                <w:rFonts w:hint="default" w:ascii="Times New Roman" w:hAnsi="Times New Roman" w:eastAsia="宋体" w:cs="Times New Roman"/>
                <w:color w:val="000000"/>
                <w:sz w:val="24"/>
                <w:szCs w:val="24"/>
                <w:highlight w:val="none"/>
              </w:rPr>
            </w:pPr>
            <w:r>
              <w:rPr>
                <w:rFonts w:hint="default"/>
                <w:color w:val="000000"/>
                <w:sz w:val="24"/>
                <w:szCs w:val="24"/>
                <w:highlight w:val="none"/>
              </w:rPr>
              <w:t>3</w:t>
            </w:r>
            <w:r>
              <w:rPr>
                <w:rFonts w:hint="eastAsia"/>
                <w:color w:val="000000"/>
                <w:sz w:val="24"/>
                <w:szCs w:val="24"/>
                <w:highlight w:val="none"/>
                <w:lang w:eastAsia="zh-CN"/>
              </w:rPr>
              <w:t>、</w:t>
            </w:r>
            <w:r>
              <w:rPr>
                <w:rFonts w:hint="default" w:ascii="Times New Roman" w:hAnsi="Times New Roman" w:eastAsia="宋体" w:cs="Times New Roman"/>
                <w:color w:val="000000"/>
                <w:sz w:val="24"/>
                <w:szCs w:val="24"/>
                <w:highlight w:val="none"/>
              </w:rPr>
              <w:t>要有充分的应急措施，项目应按照相关规定设置逃生系统，并能够有足够并匹配的消防器材及备用应急电源。</w:t>
            </w:r>
          </w:p>
          <w:p w14:paraId="04BB39BB">
            <w:pPr>
              <w:keepNext w:val="0"/>
              <w:keepLines w:val="0"/>
              <w:pageBreakBefore w:val="0"/>
              <w:widowControl w:val="0"/>
              <w:kinsoku/>
              <w:wordWrap/>
              <w:overflowPunct/>
              <w:topLinePunct w:val="0"/>
              <w:bidi w:val="0"/>
              <w:adjustRightInd w:val="0"/>
              <w:snapToGrid/>
              <w:spacing w:line="240" w:lineRule="auto"/>
              <w:jc w:val="both"/>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4、本项目厂区内地面均硬化处理，厂房内地面进行防渗处理。保持仓库环境要干燥，阴凉低温，经常通风。</w:t>
            </w:r>
          </w:p>
          <w:p w14:paraId="0E474C8C">
            <w:pPr>
              <w:keepNext w:val="0"/>
              <w:keepLines w:val="0"/>
              <w:pageBreakBefore w:val="0"/>
              <w:widowControl w:val="0"/>
              <w:kinsoku/>
              <w:wordWrap/>
              <w:overflowPunct/>
              <w:topLinePunct w:val="0"/>
              <w:bidi w:val="0"/>
              <w:adjustRightInd w:val="0"/>
              <w:snapToGrid/>
              <w:spacing w:line="240" w:lineRule="auto"/>
              <w:jc w:val="both"/>
              <w:rPr>
                <w:color w:val="000000"/>
                <w:sz w:val="24"/>
                <w:highlight w:val="none"/>
              </w:rPr>
            </w:pPr>
            <w:r>
              <w:rPr>
                <w:rFonts w:hint="eastAsia" w:ascii="Times New Roman" w:hAnsi="Times New Roman" w:eastAsia="宋体" w:cs="Times New Roman"/>
                <w:color w:val="000000"/>
                <w:sz w:val="24"/>
                <w:szCs w:val="24"/>
                <w:highlight w:val="none"/>
                <w:lang w:val="en-US" w:eastAsia="zh-CN"/>
              </w:rPr>
              <w:t>5、采取三级防控体系，在车间设置导流设施，液体原料、液体产品存放区均设置围堰，厂区内建设事故水</w:t>
            </w:r>
            <w:r>
              <w:rPr>
                <w:rFonts w:hint="eastAsia"/>
                <w:color w:val="000000"/>
                <w:sz w:val="24"/>
                <w:highlight w:val="none"/>
              </w:rPr>
              <w:t>池</w:t>
            </w:r>
            <w:r>
              <w:rPr>
                <w:rFonts w:hint="eastAsia"/>
                <w:color w:val="000000"/>
                <w:sz w:val="24"/>
                <w:highlight w:val="none"/>
                <w:lang w:eastAsia="zh-CN"/>
              </w:rPr>
              <w:t>（</w:t>
            </w:r>
            <w:r>
              <w:rPr>
                <w:rFonts w:hint="eastAsia"/>
                <w:color w:val="000000"/>
                <w:sz w:val="24"/>
                <w:highlight w:val="none"/>
                <w:lang w:val="en-US" w:eastAsia="zh-CN"/>
              </w:rPr>
              <w:t>厂区南侧</w:t>
            </w:r>
            <w:r>
              <w:rPr>
                <w:rFonts w:hint="eastAsia"/>
                <w:color w:val="000000"/>
                <w:sz w:val="24"/>
                <w:highlight w:val="none"/>
                <w:lang w:eastAsia="zh-CN"/>
              </w:rPr>
              <w:t>现有3000m</w:t>
            </w:r>
            <w:r>
              <w:rPr>
                <w:rFonts w:hint="eastAsia"/>
                <w:color w:val="000000"/>
                <w:sz w:val="24"/>
                <w:highlight w:val="none"/>
                <w:vertAlign w:val="superscript"/>
                <w:lang w:eastAsia="zh-CN"/>
              </w:rPr>
              <w:t>3</w:t>
            </w:r>
            <w:r>
              <w:rPr>
                <w:rFonts w:hint="eastAsia"/>
                <w:color w:val="000000"/>
                <w:sz w:val="24"/>
                <w:highlight w:val="none"/>
                <w:lang w:eastAsia="zh-CN"/>
              </w:rPr>
              <w:t>消防事故废水收集池）</w:t>
            </w:r>
            <w:r>
              <w:rPr>
                <w:rFonts w:hint="eastAsia"/>
                <w:color w:val="000000"/>
                <w:sz w:val="24"/>
                <w:highlight w:val="none"/>
              </w:rPr>
              <w:t>及</w:t>
            </w:r>
            <w:r>
              <w:rPr>
                <w:rFonts w:hint="eastAsia" w:ascii="Times New Roman" w:hAnsi="Times New Roman" w:eastAsia="宋体" w:cs="Times New Roman"/>
                <w:color w:val="000000"/>
                <w:sz w:val="24"/>
                <w:szCs w:val="24"/>
                <w:highlight w:val="none"/>
                <w:lang w:val="en-US" w:eastAsia="zh-CN"/>
              </w:rPr>
              <w:t>导排沟系统。</w:t>
            </w:r>
          </w:p>
        </w:tc>
      </w:tr>
      <w:tr w14:paraId="5A4DD0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1" w:hRule="atLeast"/>
          <w:jc w:val="center"/>
        </w:trPr>
        <w:tc>
          <w:tcPr>
            <w:tcW w:w="1342" w:type="dxa"/>
            <w:tcBorders>
              <w:top w:val="single" w:color="000000" w:sz="4" w:space="0"/>
              <w:right w:val="single" w:color="000000" w:sz="4" w:space="0"/>
            </w:tcBorders>
            <w:noWrap w:val="0"/>
            <w:vAlign w:val="center"/>
          </w:tcPr>
          <w:p w14:paraId="3155820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color w:val="000000"/>
                <w:sz w:val="24"/>
                <w:highlight w:val="none"/>
              </w:rPr>
            </w:pPr>
            <w:r>
              <w:rPr>
                <w:color w:val="000000"/>
                <w:sz w:val="24"/>
                <w:highlight w:val="none"/>
              </w:rPr>
              <w:t>其他环境管理要求</w:t>
            </w:r>
          </w:p>
        </w:tc>
        <w:tc>
          <w:tcPr>
            <w:tcW w:w="7874" w:type="dxa"/>
            <w:gridSpan w:val="4"/>
            <w:tcBorders>
              <w:top w:val="single" w:color="000000" w:sz="4" w:space="0"/>
              <w:left w:val="single" w:color="000000" w:sz="4" w:space="0"/>
            </w:tcBorders>
            <w:noWrap w:val="0"/>
            <w:vAlign w:val="center"/>
          </w:tcPr>
          <w:p w14:paraId="68940586">
            <w:pPr>
              <w:keepNext w:val="0"/>
              <w:keepLines w:val="0"/>
              <w:pageBreakBefore w:val="0"/>
              <w:widowControl w:val="0"/>
              <w:kinsoku/>
              <w:wordWrap/>
              <w:overflowPunct/>
              <w:topLinePunct w:val="0"/>
              <w:bidi w:val="0"/>
              <w:adjustRightInd w:val="0"/>
              <w:snapToGrid/>
              <w:spacing w:line="240" w:lineRule="auto"/>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1、严格落实三同时制度，确保环保措施与主体工程同时设计</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同时施工</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同时投入生产运行</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定期检查维修环保设施，确保设施正常运行</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试运行后，建设单位应对项目配套建设的环境保护设施进行自主竣工验收。</w:t>
            </w:r>
          </w:p>
          <w:p w14:paraId="6BFB868E">
            <w:pPr>
              <w:keepNext w:val="0"/>
              <w:keepLines w:val="0"/>
              <w:pageBreakBefore w:val="0"/>
              <w:widowControl w:val="0"/>
              <w:kinsoku/>
              <w:wordWrap/>
              <w:overflowPunct/>
              <w:topLinePunct w:val="0"/>
              <w:bidi w:val="0"/>
              <w:adjustRightInd w:val="0"/>
              <w:snapToGrid/>
              <w:spacing w:line="240" w:lineRule="auto"/>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2、公司设立环境管理机构，履行环保管理职责，规范排污口设置及标示标牌，按污染源监测计划实施定期监测等。企业应及时记录生产、排污、管理等信息台账。</w:t>
            </w:r>
          </w:p>
          <w:p w14:paraId="44E0BAE8">
            <w:pPr>
              <w:keepNext w:val="0"/>
              <w:keepLines w:val="0"/>
              <w:pageBreakBefore w:val="0"/>
              <w:widowControl w:val="0"/>
              <w:kinsoku/>
              <w:wordWrap/>
              <w:overflowPunct/>
              <w:topLinePunct w:val="0"/>
              <w:bidi w:val="0"/>
              <w:adjustRightInd w:val="0"/>
              <w:snapToGrid/>
              <w:spacing w:line="240" w:lineRule="auto"/>
              <w:jc w:val="both"/>
              <w:rPr>
                <w:color w:val="000000"/>
                <w:sz w:val="24"/>
                <w:highlight w:val="none"/>
              </w:rPr>
            </w:pPr>
            <w:r>
              <w:rPr>
                <w:rFonts w:hint="default" w:ascii="Times New Roman" w:hAnsi="Times New Roman" w:eastAsia="宋体" w:cs="Times New Roman"/>
                <w:color w:val="000000"/>
                <w:sz w:val="24"/>
                <w:szCs w:val="24"/>
                <w:highlight w:val="none"/>
              </w:rPr>
              <w:t>3、环评审批后，申报排污许可，</w:t>
            </w:r>
            <w:r>
              <w:rPr>
                <w:rFonts w:hint="eastAsia" w:ascii="Times New Roman" w:hAnsi="Times New Roman" w:eastAsia="宋体" w:cs="Times New Roman"/>
                <w:color w:val="000000"/>
                <w:sz w:val="24"/>
                <w:szCs w:val="24"/>
                <w:highlight w:val="none"/>
                <w:lang w:eastAsia="zh-CN"/>
              </w:rPr>
              <w:t>取得排污许可证后方可投入生产，</w:t>
            </w:r>
            <w:r>
              <w:rPr>
                <w:rFonts w:hint="default" w:ascii="Times New Roman" w:hAnsi="Times New Roman" w:eastAsia="宋体" w:cs="Times New Roman"/>
                <w:color w:val="000000"/>
                <w:sz w:val="24"/>
                <w:szCs w:val="24"/>
                <w:highlight w:val="none"/>
              </w:rPr>
              <w:t>日常按照排污许可要求进行管理。</w:t>
            </w:r>
          </w:p>
        </w:tc>
      </w:tr>
    </w:tbl>
    <w:p w14:paraId="3FA4BA14">
      <w:pPr>
        <w:snapToGrid w:val="0"/>
        <w:spacing w:line="288" w:lineRule="auto"/>
        <w:outlineLvl w:val="0"/>
        <w:rPr>
          <w:b/>
          <w:snapToGrid w:val="0"/>
          <w:color w:val="000000"/>
          <w:sz w:val="32"/>
          <w:szCs w:val="32"/>
          <w:highlight w:val="none"/>
        </w:rPr>
      </w:pPr>
      <w:r>
        <w:rPr>
          <w:snapToGrid w:val="0"/>
          <w:color w:val="000000"/>
          <w:highlight w:val="none"/>
        </w:rPr>
        <w:br w:type="page"/>
      </w:r>
      <w:r>
        <w:rPr>
          <w:b/>
          <w:snapToGrid w:val="0"/>
          <w:color w:val="000000"/>
          <w:sz w:val="32"/>
          <w:szCs w:val="32"/>
          <w:highlight w:val="none"/>
        </w:rPr>
        <w:t>六、结论</w:t>
      </w:r>
    </w:p>
    <w:tbl>
      <w:tblPr>
        <w:tblStyle w:val="13"/>
        <w:tblW w:w="935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6"/>
      </w:tblGrid>
      <w:tr w14:paraId="1278A5B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noWrap w:val="0"/>
            <w:vAlign w:val="top"/>
          </w:tcPr>
          <w:p w14:paraId="636DA5B4">
            <w:pPr>
              <w:pStyle w:val="19"/>
              <w:jc w:val="both"/>
              <w:rPr>
                <w:color w:val="000000"/>
                <w:highlight w:val="none"/>
              </w:rPr>
            </w:pPr>
            <w:r>
              <w:rPr>
                <w:color w:val="000000"/>
                <w:highlight w:val="none"/>
              </w:rPr>
              <w:t>综上所述，本项目建设符合国家产业发展政策；项目在落实各项污染防治措施的前提下，可以做到污染物达标排放；项目的运营对周围环境的影响较小，周围环境质量可维持现状。从环境保护的角度分析，本项目的建设是可行的。</w:t>
            </w:r>
          </w:p>
        </w:tc>
      </w:tr>
    </w:tbl>
    <w:p w14:paraId="2E5E1FB5">
      <w:pPr>
        <w:rPr>
          <w:color w:val="000000"/>
          <w:highlight w:val="none"/>
        </w:rPr>
      </w:pPr>
    </w:p>
    <w:p w14:paraId="2433FEFA">
      <w:pPr>
        <w:pStyle w:val="12"/>
        <w:rPr>
          <w:color w:val="000000"/>
          <w:highlight w:val="none"/>
        </w:rPr>
        <w:sectPr>
          <w:pgSz w:w="11906" w:h="16838"/>
          <w:pgMar w:top="1701" w:right="1134" w:bottom="1701" w:left="1531" w:header="851" w:footer="851" w:gutter="0"/>
          <w:pgBorders>
            <w:top w:val="none" w:sz="0" w:space="0"/>
            <w:left w:val="none" w:sz="0" w:space="0"/>
            <w:bottom w:val="none" w:sz="0" w:space="0"/>
            <w:right w:val="none" w:sz="0" w:space="0"/>
          </w:pgBorders>
          <w:cols w:space="720" w:num="1"/>
          <w:docGrid w:linePitch="312" w:charSpace="0"/>
        </w:sectPr>
      </w:pPr>
    </w:p>
    <w:p w14:paraId="7ABE2441">
      <w:pPr>
        <w:spacing w:before="55"/>
        <w:ind w:left="151" w:right="0" w:firstLine="0"/>
        <w:jc w:val="left"/>
        <w:rPr>
          <w:color w:val="000000"/>
          <w:sz w:val="32"/>
          <w:highlight w:val="none"/>
        </w:rPr>
      </w:pPr>
      <w:r>
        <w:rPr>
          <w:color w:val="000000"/>
          <w:sz w:val="32"/>
          <w:highlight w:val="none"/>
        </w:rPr>
        <w:t>附表</w:t>
      </w:r>
    </w:p>
    <w:p w14:paraId="3C5B8802">
      <w:pPr>
        <w:spacing w:before="55"/>
        <w:ind w:left="151" w:right="0" w:firstLine="0"/>
        <w:jc w:val="center"/>
        <w:rPr>
          <w:color w:val="000000"/>
          <w:sz w:val="32"/>
          <w:highlight w:val="none"/>
        </w:rPr>
      </w:pPr>
      <w:r>
        <w:rPr>
          <w:color w:val="000000"/>
          <w:sz w:val="38"/>
          <w:highlight w:val="none"/>
        </w:rPr>
        <w:t>建设项目污染物排放</w:t>
      </w:r>
      <w:r>
        <w:rPr>
          <w:rFonts w:hint="eastAsia"/>
          <w:color w:val="000000"/>
          <w:sz w:val="38"/>
          <w:highlight w:val="none"/>
          <w:lang w:eastAsia="zh-CN"/>
        </w:rPr>
        <w:t>汇</w:t>
      </w:r>
      <w:r>
        <w:rPr>
          <w:color w:val="000000"/>
          <w:sz w:val="38"/>
          <w:highlight w:val="none"/>
        </w:rPr>
        <w:t>总表</w:t>
      </w:r>
    </w:p>
    <w:tbl>
      <w:tblPr>
        <w:tblStyle w:val="13"/>
        <w:tblW w:w="14203"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5"/>
        <w:gridCol w:w="1773"/>
        <w:gridCol w:w="1478"/>
        <w:gridCol w:w="1276"/>
        <w:gridCol w:w="1701"/>
        <w:gridCol w:w="1559"/>
        <w:gridCol w:w="1761"/>
        <w:gridCol w:w="1783"/>
        <w:gridCol w:w="1417"/>
      </w:tblGrid>
      <w:tr w14:paraId="3884FB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455" w:type="dxa"/>
            <w:tcBorders>
              <w:bottom w:val="single" w:color="000000" w:sz="4" w:space="0"/>
              <w:right w:val="single" w:color="000000" w:sz="4" w:space="0"/>
              <w:tl2br w:val="single" w:color="000000" w:sz="8" w:space="0"/>
            </w:tcBorders>
            <w:noWrap w:val="0"/>
            <w:vAlign w:val="center"/>
          </w:tcPr>
          <w:p w14:paraId="360E19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bookmarkStart w:id="37" w:name="建设项目污染物排放量汇总表"/>
            <w:bookmarkEnd w:id="37"/>
            <w:r>
              <w:rPr>
                <w:rFonts w:hint="eastAsia"/>
                <w:color w:val="000000"/>
                <w:highlight w:val="none"/>
                <w:lang w:val="en-US" w:eastAsia="zh-CN"/>
              </w:rPr>
              <w:t xml:space="preserve">        </w:t>
            </w:r>
            <w:r>
              <w:rPr>
                <w:rFonts w:hint="default"/>
                <w:color w:val="000000"/>
                <w:highlight w:val="none"/>
              </w:rPr>
              <w:t>项目</w:t>
            </w:r>
          </w:p>
          <w:p w14:paraId="122CB5FD">
            <w:pPr>
              <w:keepNext w:val="0"/>
              <w:keepLines w:val="0"/>
              <w:pageBreakBefore w:val="0"/>
              <w:widowControl w:val="0"/>
              <w:kinsoku/>
              <w:wordWrap/>
              <w:overflowPunct/>
              <w:topLinePunct w:val="0"/>
              <w:autoSpaceDE/>
              <w:autoSpaceDN/>
              <w:bidi w:val="0"/>
              <w:adjustRightInd w:val="0"/>
              <w:snapToGrid w:val="0"/>
              <w:jc w:val="both"/>
              <w:textAlignment w:val="auto"/>
              <w:rPr>
                <w:rFonts w:hint="default"/>
                <w:color w:val="000000"/>
                <w:highlight w:val="none"/>
              </w:rPr>
            </w:pPr>
            <w:r>
              <w:rPr>
                <w:rFonts w:hint="default"/>
                <w:color w:val="000000"/>
                <w:highlight w:val="none"/>
              </w:rPr>
              <w:t>分类</w:t>
            </w:r>
          </w:p>
        </w:tc>
        <w:tc>
          <w:tcPr>
            <w:tcW w:w="1773" w:type="dxa"/>
            <w:tcBorders>
              <w:left w:val="single" w:color="000000" w:sz="4" w:space="0"/>
              <w:bottom w:val="single" w:color="000000" w:sz="4" w:space="0"/>
              <w:right w:val="single" w:color="000000" w:sz="4" w:space="0"/>
            </w:tcBorders>
            <w:noWrap w:val="0"/>
            <w:vAlign w:val="center"/>
          </w:tcPr>
          <w:p w14:paraId="5A12B5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污染物名称</w:t>
            </w:r>
          </w:p>
        </w:tc>
        <w:tc>
          <w:tcPr>
            <w:tcW w:w="1478" w:type="dxa"/>
            <w:tcBorders>
              <w:left w:val="single" w:color="000000" w:sz="4" w:space="0"/>
              <w:bottom w:val="single" w:color="000000" w:sz="4" w:space="0"/>
              <w:right w:val="single" w:color="000000" w:sz="4" w:space="0"/>
            </w:tcBorders>
            <w:noWrap w:val="0"/>
            <w:vAlign w:val="center"/>
          </w:tcPr>
          <w:p w14:paraId="3D9FE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现有工程排放量（固体废物产生量）①</w:t>
            </w:r>
          </w:p>
        </w:tc>
        <w:tc>
          <w:tcPr>
            <w:tcW w:w="1276" w:type="dxa"/>
            <w:tcBorders>
              <w:left w:val="single" w:color="000000" w:sz="4" w:space="0"/>
              <w:bottom w:val="single" w:color="000000" w:sz="4" w:space="0"/>
              <w:right w:val="single" w:color="000000" w:sz="4" w:space="0"/>
            </w:tcBorders>
            <w:noWrap w:val="0"/>
            <w:vAlign w:val="center"/>
          </w:tcPr>
          <w:p w14:paraId="4026A1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现有工程</w:t>
            </w:r>
          </w:p>
          <w:p w14:paraId="03889E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eastAsia"/>
                <w:color w:val="000000"/>
                <w:highlight w:val="none"/>
                <w:lang w:eastAsia="zh-CN"/>
              </w:rPr>
              <w:t>许</w:t>
            </w:r>
            <w:r>
              <w:rPr>
                <w:rFonts w:hint="default"/>
                <w:color w:val="000000"/>
                <w:highlight w:val="none"/>
              </w:rPr>
              <w:t>可排放量</w:t>
            </w:r>
          </w:p>
          <w:p w14:paraId="2A0769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②</w:t>
            </w:r>
          </w:p>
        </w:tc>
        <w:tc>
          <w:tcPr>
            <w:tcW w:w="1701" w:type="dxa"/>
            <w:tcBorders>
              <w:left w:val="single" w:color="000000" w:sz="4" w:space="0"/>
              <w:bottom w:val="single" w:color="000000" w:sz="4" w:space="0"/>
              <w:right w:val="single" w:color="000000" w:sz="4" w:space="0"/>
            </w:tcBorders>
            <w:noWrap w:val="0"/>
            <w:vAlign w:val="center"/>
          </w:tcPr>
          <w:p w14:paraId="2CB74A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在建工程</w:t>
            </w:r>
          </w:p>
          <w:p w14:paraId="17A1B3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排放量（固体废物产生量）③</w:t>
            </w:r>
          </w:p>
        </w:tc>
        <w:tc>
          <w:tcPr>
            <w:tcW w:w="1559" w:type="dxa"/>
            <w:tcBorders>
              <w:left w:val="single" w:color="000000" w:sz="4" w:space="0"/>
              <w:bottom w:val="single" w:color="000000" w:sz="4" w:space="0"/>
              <w:right w:val="single" w:color="000000" w:sz="4" w:space="0"/>
            </w:tcBorders>
            <w:noWrap w:val="0"/>
            <w:vAlign w:val="center"/>
          </w:tcPr>
          <w:p w14:paraId="5C0AAA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本项目</w:t>
            </w:r>
          </w:p>
          <w:p w14:paraId="6EA3D9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排放量（固体废物产生量）④</w:t>
            </w:r>
          </w:p>
        </w:tc>
        <w:tc>
          <w:tcPr>
            <w:tcW w:w="1761" w:type="dxa"/>
            <w:tcBorders>
              <w:left w:val="single" w:color="000000" w:sz="4" w:space="0"/>
              <w:bottom w:val="single" w:color="000000" w:sz="4" w:space="0"/>
              <w:right w:val="single" w:color="000000" w:sz="4" w:space="0"/>
            </w:tcBorders>
            <w:noWrap w:val="0"/>
            <w:vAlign w:val="center"/>
          </w:tcPr>
          <w:p w14:paraId="6083FF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以新带老削减量</w:t>
            </w:r>
          </w:p>
          <w:p w14:paraId="770A0F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（新建项目不填）⑤</w:t>
            </w:r>
          </w:p>
        </w:tc>
        <w:tc>
          <w:tcPr>
            <w:tcW w:w="1783" w:type="dxa"/>
            <w:tcBorders>
              <w:left w:val="single" w:color="000000" w:sz="4" w:space="0"/>
              <w:bottom w:val="single" w:color="000000" w:sz="4" w:space="0"/>
              <w:right w:val="single" w:color="000000" w:sz="4" w:space="0"/>
            </w:tcBorders>
            <w:noWrap w:val="0"/>
            <w:vAlign w:val="center"/>
          </w:tcPr>
          <w:p w14:paraId="16CE35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本项目建成后</w:t>
            </w:r>
          </w:p>
          <w:p w14:paraId="7CAD98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全厂排放量（固体废物产生量）⑥</w:t>
            </w:r>
          </w:p>
        </w:tc>
        <w:tc>
          <w:tcPr>
            <w:tcW w:w="1417" w:type="dxa"/>
            <w:tcBorders>
              <w:left w:val="single" w:color="000000" w:sz="4" w:space="0"/>
              <w:bottom w:val="single" w:color="000000" w:sz="4" w:space="0"/>
            </w:tcBorders>
            <w:noWrap w:val="0"/>
            <w:vAlign w:val="center"/>
          </w:tcPr>
          <w:p w14:paraId="54C1F6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highlight w:val="none"/>
              </w:rPr>
            </w:pPr>
            <w:r>
              <w:rPr>
                <w:rFonts w:hint="default"/>
                <w:color w:val="000000"/>
                <w:highlight w:val="none"/>
              </w:rPr>
              <w:t>变化量⑦</w:t>
            </w:r>
          </w:p>
        </w:tc>
      </w:tr>
      <w:tr w14:paraId="4CDBA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1455" w:type="dxa"/>
            <w:vMerge w:val="restart"/>
            <w:tcBorders>
              <w:top w:val="single" w:color="000000" w:sz="4" w:space="0"/>
              <w:bottom w:val="single" w:color="000000" w:sz="4" w:space="0"/>
              <w:right w:val="single" w:color="000000" w:sz="4" w:space="0"/>
            </w:tcBorders>
            <w:noWrap w:val="0"/>
            <w:vAlign w:val="center"/>
          </w:tcPr>
          <w:p w14:paraId="002001E8">
            <w:pPr>
              <w:pStyle w:val="20"/>
              <w:ind w:left="496" w:right="484"/>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CED3530">
            <w:pPr>
              <w:adjustRightInd w:val="0"/>
              <w:snapToGrid w:val="0"/>
              <w:jc w:val="center"/>
              <w:rPr>
                <w:rFonts w:hint="default" w:ascii="Times New Roman" w:hAnsi="Times New Roman" w:eastAsia="宋体" w:cs="Times New Roman"/>
                <w:color w:val="000000"/>
                <w:sz w:val="21"/>
                <w:szCs w:val="21"/>
                <w:highlight w:val="none"/>
              </w:rPr>
            </w:pPr>
            <w:r>
              <w:rPr>
                <w:rFonts w:hint="eastAsia"/>
                <w:color w:val="000000"/>
                <w:szCs w:val="21"/>
                <w:highlight w:val="none"/>
              </w:rPr>
              <w:t>氨</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4719B58B">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CBF8282">
            <w:pPr>
              <w:adjustRightInd w:val="0"/>
              <w:snapToGrid w:val="0"/>
              <w:jc w:val="center"/>
              <w:rPr>
                <w:rFonts w:hint="eastAsia" w:ascii="Times New Roman" w:hAnsi="Times New Roman" w:eastAsia="宋体" w:cs="Times New Roman"/>
                <w:color w:val="000000"/>
                <w:sz w:val="21"/>
                <w:szCs w:val="21"/>
                <w:highlight w:val="none"/>
                <w:lang w:eastAsia="zh-CN"/>
              </w:rPr>
            </w:pPr>
            <w:r>
              <w:rPr>
                <w:rFonts w:hint="eastAsia" w:eastAsia="宋体"/>
                <w:color w:val="000000"/>
                <w:szCs w:val="21"/>
                <w:highlight w:val="none"/>
                <w:lang w:val="en-US"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822411E">
            <w:pPr>
              <w:ind w:right="105" w:rightChars="5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04CC6D4">
            <w:pPr>
              <w:ind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0E36BC30">
            <w:pPr>
              <w:ind w:right="105" w:rightChars="5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3D538D2F">
            <w:pPr>
              <w:ind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417" w:type="dxa"/>
            <w:tcBorders>
              <w:top w:val="single" w:color="000000" w:sz="4" w:space="0"/>
              <w:left w:val="single" w:color="000000" w:sz="4" w:space="0"/>
              <w:bottom w:val="single" w:color="000000" w:sz="4" w:space="0"/>
            </w:tcBorders>
            <w:noWrap w:val="0"/>
            <w:vAlign w:val="center"/>
          </w:tcPr>
          <w:p w14:paraId="378EB594">
            <w:pPr>
              <w:ind w:right="105" w:rightChars="50"/>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w:t>
            </w:r>
          </w:p>
        </w:tc>
      </w:tr>
      <w:tr w14:paraId="6494FD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55" w:type="dxa"/>
            <w:vMerge w:val="continue"/>
            <w:tcBorders>
              <w:top w:val="nil"/>
              <w:bottom w:val="single" w:color="000000" w:sz="4" w:space="0"/>
              <w:right w:val="single" w:color="000000" w:sz="4" w:space="0"/>
            </w:tcBorders>
            <w:noWrap w:val="0"/>
            <w:vAlign w:val="center"/>
          </w:tcPr>
          <w:p w14:paraId="20C7FB57">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4AE51247">
            <w:pPr>
              <w:adjustRightInd w:val="0"/>
              <w:snapToGrid w:val="0"/>
              <w:jc w:val="center"/>
              <w:rPr>
                <w:rFonts w:hint="default" w:ascii="Times New Roman" w:hAnsi="Times New Roman" w:eastAsia="宋体" w:cs="Times New Roman"/>
                <w:color w:val="000000"/>
                <w:sz w:val="21"/>
                <w:szCs w:val="21"/>
                <w:highlight w:val="none"/>
              </w:rPr>
            </w:pPr>
            <w:r>
              <w:rPr>
                <w:rFonts w:hint="eastAsia"/>
                <w:color w:val="000000"/>
                <w:szCs w:val="21"/>
                <w:highlight w:val="none"/>
              </w:rPr>
              <w:t>硫化氢</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478C32C0">
            <w:pPr>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D4E1613">
            <w:pPr>
              <w:adjustRightInd w:val="0"/>
              <w:snapToGrid w:val="0"/>
              <w:jc w:val="center"/>
              <w:rPr>
                <w:rFonts w:hint="eastAsia" w:ascii="Times New Roman" w:hAnsi="Times New Roman" w:eastAsia="宋体" w:cs="Times New Roman"/>
                <w:color w:val="000000"/>
                <w:sz w:val="21"/>
                <w:szCs w:val="21"/>
                <w:highlight w:val="none"/>
                <w:lang w:eastAsia="zh-CN"/>
              </w:rPr>
            </w:pPr>
            <w:r>
              <w:rPr>
                <w:rFonts w:hint="eastAsia" w:eastAsia="宋体"/>
                <w:color w:val="000000"/>
                <w:szCs w:val="21"/>
                <w:highlight w:val="none"/>
                <w:lang w:val="en-US"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841DFCB">
            <w:pPr>
              <w:ind w:right="105" w:rightChars="5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B2201FF">
            <w:pPr>
              <w:ind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F6F4D79">
            <w:pPr>
              <w:ind w:right="105" w:rightChars="5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982E0E6">
            <w:pPr>
              <w:ind w:right="105" w:rightChars="5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417" w:type="dxa"/>
            <w:tcBorders>
              <w:top w:val="single" w:color="000000" w:sz="4" w:space="0"/>
              <w:left w:val="single" w:color="000000" w:sz="4" w:space="0"/>
              <w:bottom w:val="single" w:color="000000" w:sz="4" w:space="0"/>
            </w:tcBorders>
            <w:noWrap w:val="0"/>
            <w:vAlign w:val="center"/>
          </w:tcPr>
          <w:p w14:paraId="69A6EA17">
            <w:pPr>
              <w:ind w:right="105" w:rightChars="50"/>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w:t>
            </w:r>
          </w:p>
        </w:tc>
      </w:tr>
      <w:tr w14:paraId="22930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1455" w:type="dxa"/>
            <w:vMerge w:val="restart"/>
            <w:tcBorders>
              <w:top w:val="single" w:color="000000" w:sz="4" w:space="0"/>
              <w:bottom w:val="single" w:color="000000" w:sz="4" w:space="0"/>
              <w:right w:val="single" w:color="000000" w:sz="4" w:space="0"/>
            </w:tcBorders>
            <w:noWrap w:val="0"/>
            <w:vAlign w:val="center"/>
          </w:tcPr>
          <w:p w14:paraId="76B78B1C">
            <w:pPr>
              <w:pStyle w:val="20"/>
              <w:ind w:left="496" w:right="484"/>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w:t>
            </w:r>
          </w:p>
        </w:tc>
        <w:tc>
          <w:tcPr>
            <w:tcW w:w="1773" w:type="dxa"/>
            <w:tcBorders>
              <w:top w:val="single" w:color="000000" w:sz="4" w:space="0"/>
              <w:left w:val="single" w:color="000000" w:sz="4" w:space="0"/>
              <w:bottom w:val="single" w:color="000000" w:sz="4" w:space="0"/>
              <w:right w:val="single" w:color="000000" w:sz="4" w:space="0"/>
            </w:tcBorders>
            <w:noWrap w:val="0"/>
            <w:vAlign w:val="top"/>
          </w:tcPr>
          <w:p w14:paraId="2FDEF8D2">
            <w:pPr>
              <w:pStyle w:val="20"/>
              <w:spacing w:before="54"/>
              <w:ind w:left="134" w:right="1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化学需氧量</w:t>
            </w:r>
          </w:p>
        </w:tc>
        <w:tc>
          <w:tcPr>
            <w:tcW w:w="1478" w:type="dxa"/>
            <w:tcBorders>
              <w:top w:val="single" w:color="000000" w:sz="4" w:space="0"/>
              <w:left w:val="single" w:color="000000" w:sz="4" w:space="0"/>
              <w:bottom w:val="single" w:color="000000" w:sz="4" w:space="0"/>
              <w:right w:val="single" w:color="000000" w:sz="4" w:space="0"/>
            </w:tcBorders>
            <w:noWrap w:val="0"/>
            <w:vAlign w:val="top"/>
          </w:tcPr>
          <w:p w14:paraId="00F0521B">
            <w:pPr>
              <w:pStyle w:val="20"/>
              <w:spacing w:before="54"/>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0DF0A0A0">
            <w:pPr>
              <w:pStyle w:val="20"/>
              <w:spacing w:before="54"/>
              <w:ind w:left="59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top"/>
          </w:tcPr>
          <w:p w14:paraId="67BF58C5">
            <w:pPr>
              <w:pStyle w:val="20"/>
              <w:spacing w:before="54"/>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54531AF8">
            <w:pPr>
              <w:pStyle w:val="20"/>
              <w:spacing w:before="54"/>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61" w:type="dxa"/>
            <w:tcBorders>
              <w:top w:val="single" w:color="000000" w:sz="4" w:space="0"/>
              <w:left w:val="single" w:color="000000" w:sz="4" w:space="0"/>
              <w:bottom w:val="single" w:color="000000" w:sz="4" w:space="0"/>
              <w:right w:val="single" w:color="000000" w:sz="4" w:space="0"/>
            </w:tcBorders>
            <w:noWrap w:val="0"/>
            <w:vAlign w:val="top"/>
          </w:tcPr>
          <w:p w14:paraId="43FB0AA6">
            <w:pPr>
              <w:pStyle w:val="20"/>
              <w:spacing w:before="54"/>
              <w:ind w:left="18"/>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top"/>
          </w:tcPr>
          <w:p w14:paraId="643F4FD5">
            <w:pPr>
              <w:pStyle w:val="20"/>
              <w:spacing w:before="54"/>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417" w:type="dxa"/>
            <w:tcBorders>
              <w:top w:val="single" w:color="000000" w:sz="4" w:space="0"/>
              <w:left w:val="single" w:color="000000" w:sz="4" w:space="0"/>
              <w:bottom w:val="single" w:color="000000" w:sz="4" w:space="0"/>
            </w:tcBorders>
            <w:noWrap w:val="0"/>
            <w:vAlign w:val="top"/>
          </w:tcPr>
          <w:p w14:paraId="5865A370">
            <w:pPr>
              <w:pStyle w:val="20"/>
              <w:spacing w:before="54"/>
              <w:ind w:left="23"/>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r>
      <w:tr w14:paraId="63A59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1455" w:type="dxa"/>
            <w:vMerge w:val="continue"/>
            <w:tcBorders>
              <w:top w:val="nil"/>
              <w:bottom w:val="single" w:color="000000" w:sz="4" w:space="0"/>
              <w:right w:val="single" w:color="000000" w:sz="4" w:space="0"/>
            </w:tcBorders>
            <w:noWrap w:val="0"/>
            <w:vAlign w:val="center"/>
          </w:tcPr>
          <w:p w14:paraId="0ABC1276">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top"/>
          </w:tcPr>
          <w:p w14:paraId="0CE1B42D">
            <w:pPr>
              <w:pStyle w:val="20"/>
              <w:spacing w:before="118"/>
              <w:ind w:left="134" w:right="119"/>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五日生化需氧量</w:t>
            </w:r>
          </w:p>
        </w:tc>
        <w:tc>
          <w:tcPr>
            <w:tcW w:w="1478" w:type="dxa"/>
            <w:tcBorders>
              <w:top w:val="single" w:color="000000" w:sz="4" w:space="0"/>
              <w:left w:val="single" w:color="000000" w:sz="4" w:space="0"/>
              <w:bottom w:val="single" w:color="000000" w:sz="4" w:space="0"/>
              <w:right w:val="single" w:color="000000" w:sz="4" w:space="0"/>
            </w:tcBorders>
            <w:noWrap w:val="0"/>
            <w:vAlign w:val="top"/>
          </w:tcPr>
          <w:p w14:paraId="00DF572C">
            <w:pPr>
              <w:pStyle w:val="20"/>
              <w:spacing w:before="118"/>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1A4F437A">
            <w:pPr>
              <w:pStyle w:val="20"/>
              <w:spacing w:before="118"/>
              <w:ind w:left="59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top"/>
          </w:tcPr>
          <w:p w14:paraId="2F2553A0">
            <w:pPr>
              <w:pStyle w:val="20"/>
              <w:spacing w:before="118"/>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7BD1D3BF">
            <w:pPr>
              <w:pStyle w:val="20"/>
              <w:spacing w:before="118"/>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61" w:type="dxa"/>
            <w:tcBorders>
              <w:top w:val="single" w:color="000000" w:sz="4" w:space="0"/>
              <w:left w:val="single" w:color="000000" w:sz="4" w:space="0"/>
              <w:bottom w:val="single" w:color="000000" w:sz="4" w:space="0"/>
              <w:right w:val="single" w:color="000000" w:sz="4" w:space="0"/>
            </w:tcBorders>
            <w:noWrap w:val="0"/>
            <w:vAlign w:val="top"/>
          </w:tcPr>
          <w:p w14:paraId="0BA4D278">
            <w:pPr>
              <w:pStyle w:val="20"/>
              <w:spacing w:before="118"/>
              <w:ind w:left="18"/>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top"/>
          </w:tcPr>
          <w:p w14:paraId="6D54272B">
            <w:pPr>
              <w:pStyle w:val="20"/>
              <w:spacing w:before="118"/>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417" w:type="dxa"/>
            <w:tcBorders>
              <w:top w:val="single" w:color="000000" w:sz="4" w:space="0"/>
              <w:left w:val="single" w:color="000000" w:sz="4" w:space="0"/>
              <w:bottom w:val="single" w:color="000000" w:sz="4" w:space="0"/>
            </w:tcBorders>
            <w:noWrap w:val="0"/>
            <w:vAlign w:val="top"/>
          </w:tcPr>
          <w:p w14:paraId="118EF64C">
            <w:pPr>
              <w:pStyle w:val="20"/>
              <w:spacing w:before="118"/>
              <w:ind w:left="23"/>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r>
      <w:tr w14:paraId="70BD2E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455" w:type="dxa"/>
            <w:vMerge w:val="continue"/>
            <w:tcBorders>
              <w:top w:val="nil"/>
              <w:bottom w:val="single" w:color="000000" w:sz="4" w:space="0"/>
              <w:right w:val="single" w:color="000000" w:sz="4" w:space="0"/>
            </w:tcBorders>
            <w:noWrap w:val="0"/>
            <w:vAlign w:val="center"/>
          </w:tcPr>
          <w:p w14:paraId="4C47A0E2">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top"/>
          </w:tcPr>
          <w:p w14:paraId="228A45B5">
            <w:pPr>
              <w:pStyle w:val="20"/>
              <w:spacing w:before="26"/>
              <w:ind w:left="134" w:right="119"/>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悬浮物</w:t>
            </w:r>
          </w:p>
        </w:tc>
        <w:tc>
          <w:tcPr>
            <w:tcW w:w="1478" w:type="dxa"/>
            <w:tcBorders>
              <w:top w:val="single" w:color="000000" w:sz="4" w:space="0"/>
              <w:left w:val="single" w:color="000000" w:sz="4" w:space="0"/>
              <w:bottom w:val="single" w:color="000000" w:sz="4" w:space="0"/>
              <w:right w:val="single" w:color="000000" w:sz="4" w:space="0"/>
            </w:tcBorders>
            <w:noWrap w:val="0"/>
            <w:vAlign w:val="top"/>
          </w:tcPr>
          <w:p w14:paraId="2A90385A">
            <w:pPr>
              <w:pStyle w:val="20"/>
              <w:spacing w:before="26"/>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18114BAD">
            <w:pPr>
              <w:pStyle w:val="20"/>
              <w:spacing w:before="26"/>
              <w:ind w:left="59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top"/>
          </w:tcPr>
          <w:p w14:paraId="0DF681C1">
            <w:pPr>
              <w:pStyle w:val="20"/>
              <w:spacing w:before="26"/>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1FA5CAC7">
            <w:pPr>
              <w:pStyle w:val="20"/>
              <w:spacing w:before="26"/>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61" w:type="dxa"/>
            <w:tcBorders>
              <w:top w:val="single" w:color="000000" w:sz="4" w:space="0"/>
              <w:left w:val="single" w:color="000000" w:sz="4" w:space="0"/>
              <w:bottom w:val="single" w:color="000000" w:sz="4" w:space="0"/>
              <w:right w:val="single" w:color="000000" w:sz="4" w:space="0"/>
            </w:tcBorders>
            <w:noWrap w:val="0"/>
            <w:vAlign w:val="top"/>
          </w:tcPr>
          <w:p w14:paraId="7CBC93F2">
            <w:pPr>
              <w:pStyle w:val="20"/>
              <w:spacing w:before="26"/>
              <w:ind w:left="18"/>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top"/>
          </w:tcPr>
          <w:p w14:paraId="24AD52F0">
            <w:pPr>
              <w:pStyle w:val="20"/>
              <w:spacing w:before="26"/>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417" w:type="dxa"/>
            <w:tcBorders>
              <w:top w:val="single" w:color="000000" w:sz="4" w:space="0"/>
              <w:left w:val="single" w:color="000000" w:sz="4" w:space="0"/>
              <w:bottom w:val="single" w:color="000000" w:sz="4" w:space="0"/>
            </w:tcBorders>
            <w:noWrap w:val="0"/>
            <w:vAlign w:val="top"/>
          </w:tcPr>
          <w:p w14:paraId="5E7694B6">
            <w:pPr>
              <w:pStyle w:val="20"/>
              <w:spacing w:before="26"/>
              <w:ind w:left="23"/>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r>
      <w:tr w14:paraId="7CBCA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 w:hRule="atLeast"/>
        </w:trPr>
        <w:tc>
          <w:tcPr>
            <w:tcW w:w="1455" w:type="dxa"/>
            <w:vMerge w:val="continue"/>
            <w:tcBorders>
              <w:top w:val="nil"/>
              <w:bottom w:val="single" w:color="000000" w:sz="4" w:space="0"/>
              <w:right w:val="single" w:color="000000" w:sz="4" w:space="0"/>
            </w:tcBorders>
            <w:noWrap w:val="0"/>
            <w:vAlign w:val="center"/>
          </w:tcPr>
          <w:p w14:paraId="2A191E34">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top"/>
          </w:tcPr>
          <w:p w14:paraId="752F90AC">
            <w:pPr>
              <w:pStyle w:val="20"/>
              <w:spacing w:before="13" w:line="262" w:lineRule="exact"/>
              <w:ind w:left="134" w:right="119"/>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氨氮</w:t>
            </w:r>
          </w:p>
        </w:tc>
        <w:tc>
          <w:tcPr>
            <w:tcW w:w="1478" w:type="dxa"/>
            <w:tcBorders>
              <w:top w:val="single" w:color="000000" w:sz="4" w:space="0"/>
              <w:left w:val="single" w:color="000000" w:sz="4" w:space="0"/>
              <w:bottom w:val="single" w:color="000000" w:sz="4" w:space="0"/>
              <w:right w:val="single" w:color="000000" w:sz="4" w:space="0"/>
            </w:tcBorders>
            <w:noWrap w:val="0"/>
            <w:vAlign w:val="top"/>
          </w:tcPr>
          <w:p w14:paraId="0633C7F4">
            <w:pPr>
              <w:pStyle w:val="20"/>
              <w:spacing w:before="13" w:line="262" w:lineRule="exact"/>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78AC79EF">
            <w:pPr>
              <w:pStyle w:val="20"/>
              <w:spacing w:before="13" w:line="262" w:lineRule="exact"/>
              <w:ind w:left="59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top"/>
          </w:tcPr>
          <w:p w14:paraId="7DE50407">
            <w:pPr>
              <w:pStyle w:val="20"/>
              <w:spacing w:before="13" w:line="262" w:lineRule="exact"/>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2411478">
            <w:pPr>
              <w:pStyle w:val="20"/>
              <w:spacing w:before="13" w:line="262" w:lineRule="exact"/>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61" w:type="dxa"/>
            <w:tcBorders>
              <w:top w:val="single" w:color="000000" w:sz="4" w:space="0"/>
              <w:left w:val="single" w:color="000000" w:sz="4" w:space="0"/>
              <w:bottom w:val="single" w:color="000000" w:sz="4" w:space="0"/>
              <w:right w:val="single" w:color="000000" w:sz="4" w:space="0"/>
            </w:tcBorders>
            <w:noWrap w:val="0"/>
            <w:vAlign w:val="top"/>
          </w:tcPr>
          <w:p w14:paraId="249F1B75">
            <w:pPr>
              <w:pStyle w:val="20"/>
              <w:spacing w:before="13" w:line="262" w:lineRule="exact"/>
              <w:ind w:left="18"/>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top"/>
          </w:tcPr>
          <w:p w14:paraId="43C229F7">
            <w:pPr>
              <w:pStyle w:val="20"/>
              <w:spacing w:before="13" w:line="262" w:lineRule="exact"/>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417" w:type="dxa"/>
            <w:tcBorders>
              <w:top w:val="single" w:color="000000" w:sz="4" w:space="0"/>
              <w:left w:val="single" w:color="000000" w:sz="4" w:space="0"/>
              <w:bottom w:val="single" w:color="000000" w:sz="4" w:space="0"/>
            </w:tcBorders>
            <w:noWrap w:val="0"/>
            <w:vAlign w:val="top"/>
          </w:tcPr>
          <w:p w14:paraId="054F84EA">
            <w:pPr>
              <w:pStyle w:val="20"/>
              <w:spacing w:before="13" w:line="262" w:lineRule="exact"/>
              <w:ind w:left="23"/>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r>
      <w:tr w14:paraId="0CE9D8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455" w:type="dxa"/>
            <w:vMerge w:val="continue"/>
            <w:tcBorders>
              <w:top w:val="nil"/>
              <w:bottom w:val="single" w:color="000000" w:sz="4" w:space="0"/>
              <w:right w:val="single" w:color="000000" w:sz="4" w:space="0"/>
            </w:tcBorders>
            <w:noWrap w:val="0"/>
            <w:vAlign w:val="center"/>
          </w:tcPr>
          <w:p w14:paraId="607C3A70">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top"/>
          </w:tcPr>
          <w:p w14:paraId="72F3CB2F">
            <w:pPr>
              <w:pStyle w:val="20"/>
              <w:spacing w:before="25"/>
              <w:ind w:left="134" w:right="1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动植物油</w:t>
            </w:r>
          </w:p>
        </w:tc>
        <w:tc>
          <w:tcPr>
            <w:tcW w:w="1478" w:type="dxa"/>
            <w:tcBorders>
              <w:top w:val="single" w:color="000000" w:sz="4" w:space="0"/>
              <w:left w:val="single" w:color="000000" w:sz="4" w:space="0"/>
              <w:bottom w:val="single" w:color="000000" w:sz="4" w:space="0"/>
              <w:right w:val="single" w:color="000000" w:sz="4" w:space="0"/>
            </w:tcBorders>
            <w:noWrap w:val="0"/>
            <w:vAlign w:val="top"/>
          </w:tcPr>
          <w:p w14:paraId="6BB49FC1">
            <w:pPr>
              <w:pStyle w:val="20"/>
              <w:spacing w:before="25"/>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276" w:type="dxa"/>
            <w:tcBorders>
              <w:top w:val="single" w:color="000000" w:sz="4" w:space="0"/>
              <w:left w:val="single" w:color="000000" w:sz="4" w:space="0"/>
              <w:bottom w:val="single" w:color="000000" w:sz="4" w:space="0"/>
              <w:right w:val="single" w:color="000000" w:sz="4" w:space="0"/>
            </w:tcBorders>
            <w:noWrap w:val="0"/>
            <w:vAlign w:val="top"/>
          </w:tcPr>
          <w:p w14:paraId="6E7FA1DB">
            <w:pPr>
              <w:pStyle w:val="20"/>
              <w:spacing w:before="25"/>
              <w:ind w:left="59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top"/>
          </w:tcPr>
          <w:p w14:paraId="19DCB77A">
            <w:pPr>
              <w:pStyle w:val="20"/>
              <w:spacing w:before="25"/>
              <w:ind w:left="17"/>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1B17957">
            <w:pPr>
              <w:pStyle w:val="20"/>
              <w:spacing w:before="25"/>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61" w:type="dxa"/>
            <w:tcBorders>
              <w:top w:val="single" w:color="000000" w:sz="4" w:space="0"/>
              <w:left w:val="single" w:color="000000" w:sz="4" w:space="0"/>
              <w:bottom w:val="single" w:color="000000" w:sz="4" w:space="0"/>
              <w:right w:val="single" w:color="000000" w:sz="4" w:space="0"/>
            </w:tcBorders>
            <w:noWrap w:val="0"/>
            <w:vAlign w:val="top"/>
          </w:tcPr>
          <w:p w14:paraId="5FFD18C0">
            <w:pPr>
              <w:pStyle w:val="20"/>
              <w:spacing w:before="25"/>
              <w:ind w:left="18"/>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top"/>
          </w:tcPr>
          <w:p w14:paraId="711ECA41">
            <w:pPr>
              <w:pStyle w:val="20"/>
              <w:spacing w:before="25"/>
              <w:ind w:left="16"/>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417" w:type="dxa"/>
            <w:tcBorders>
              <w:top w:val="single" w:color="000000" w:sz="4" w:space="0"/>
              <w:left w:val="single" w:color="000000" w:sz="4" w:space="0"/>
              <w:bottom w:val="single" w:color="000000" w:sz="4" w:space="0"/>
            </w:tcBorders>
            <w:noWrap w:val="0"/>
            <w:vAlign w:val="top"/>
          </w:tcPr>
          <w:p w14:paraId="1E0F1FCF">
            <w:pPr>
              <w:pStyle w:val="20"/>
              <w:spacing w:before="25"/>
              <w:ind w:left="23"/>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r>
      <w:tr w14:paraId="47009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1455" w:type="dxa"/>
            <w:vMerge w:val="restart"/>
            <w:tcBorders>
              <w:top w:val="single" w:color="000000" w:sz="4" w:space="0"/>
              <w:right w:val="single" w:color="000000" w:sz="4" w:space="0"/>
            </w:tcBorders>
            <w:noWrap w:val="0"/>
            <w:vAlign w:val="center"/>
          </w:tcPr>
          <w:p w14:paraId="37C67CB1">
            <w:pPr>
              <w:pStyle w:val="20"/>
              <w:spacing w:before="1" w:line="242" w:lineRule="auto"/>
              <w:ind w:left="306" w:right="294"/>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一般工业固体废物</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5F8CC09">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Cs w:val="21"/>
                <w:highlight w:val="none"/>
              </w:rPr>
              <w:t>生化系统污泥</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4F0D262E">
            <w:pPr>
              <w:ind w:left="105" w:leftChars="50" w:right="105" w:rightChars="50"/>
              <w:jc w:val="center"/>
              <w:rPr>
                <w:rFonts w:hint="eastAsia" w:ascii="Times New Roman" w:hAnsi="Times New Roman" w:eastAsia="宋体" w:cs="Times New Roman"/>
                <w:color w:val="000000"/>
                <w:sz w:val="21"/>
                <w:szCs w:val="21"/>
                <w:highlight w:val="none"/>
                <w:lang w:val="en-US" w:eastAsia="zh-CN"/>
              </w:rPr>
            </w:pPr>
            <w:r>
              <w:rPr>
                <w:rFonts w:hint="eastAsia"/>
                <w:color w:val="000000"/>
                <w:kern w:val="0"/>
                <w:szCs w:val="21"/>
                <w:highlight w:val="none"/>
                <w:lang w:val="en-US" w:eastAsia="zh-CN"/>
              </w:rPr>
              <w:t>125t/a</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7C2F35D8">
            <w:pPr>
              <w:bidi w:val="0"/>
              <w:jc w:val="center"/>
              <w:rPr>
                <w:rFonts w:hint="default" w:ascii="Times New Roman" w:hAnsi="Times New Roman" w:eastAsia="宋体" w:cs="Times New Roman"/>
                <w:color w:val="000000"/>
                <w:sz w:val="21"/>
                <w:szCs w:val="21"/>
                <w:highlight w:val="none"/>
              </w:rPr>
            </w:pPr>
            <w:r>
              <w:rPr>
                <w:rFonts w:hint="default"/>
                <w:color w:val="000000"/>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67D509A">
            <w:pPr>
              <w:bidi w:val="0"/>
              <w:jc w:val="center"/>
              <w:rPr>
                <w:rFonts w:hint="default" w:ascii="Times New Roman" w:hAnsi="Times New Roman" w:eastAsia="宋体" w:cs="Times New Roman"/>
                <w:color w:val="000000"/>
                <w:sz w:val="21"/>
                <w:szCs w:val="21"/>
                <w:highlight w:val="none"/>
              </w:rPr>
            </w:pPr>
            <w:r>
              <w:rPr>
                <w:rFonts w:hint="default"/>
                <w:color w:val="000000"/>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08F8055">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Cs w:val="21"/>
                <w:highlight w:val="none"/>
                <w:lang w:val="en-US" w:eastAsia="zh-CN"/>
              </w:rPr>
              <w:t>125t/a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4615D146">
            <w:pPr>
              <w:bidi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w w:val="99"/>
                <w:sz w:val="21"/>
                <w:szCs w:val="21"/>
                <w:highlight w:val="none"/>
                <w:lang w:val="en-US" w:eastAsia="zh-CN"/>
              </w:rPr>
              <w:t>125t/a</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5027773E">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Cs w:val="21"/>
                <w:highlight w:val="none"/>
                <w:lang w:val="en-US" w:eastAsia="zh-CN"/>
              </w:rPr>
              <w:t>125t/a</w:t>
            </w:r>
          </w:p>
        </w:tc>
        <w:tc>
          <w:tcPr>
            <w:tcW w:w="1417" w:type="dxa"/>
            <w:tcBorders>
              <w:top w:val="single" w:color="000000" w:sz="4" w:space="0"/>
              <w:left w:val="single" w:color="000000" w:sz="4" w:space="0"/>
              <w:bottom w:val="single" w:color="000000" w:sz="4" w:space="0"/>
            </w:tcBorders>
            <w:noWrap w:val="0"/>
            <w:vAlign w:val="center"/>
          </w:tcPr>
          <w:p w14:paraId="2AD2F8B4">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Cs w:val="21"/>
                <w:highlight w:val="none"/>
                <w:lang w:val="en-US" w:eastAsia="zh-CN"/>
              </w:rPr>
              <w:t>+125t/a</w:t>
            </w:r>
          </w:p>
        </w:tc>
      </w:tr>
      <w:tr w14:paraId="788FCA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1455" w:type="dxa"/>
            <w:vMerge w:val="continue"/>
            <w:tcBorders>
              <w:bottom w:val="single" w:color="000000" w:sz="4" w:space="0"/>
              <w:right w:val="single" w:color="000000" w:sz="4" w:space="0"/>
            </w:tcBorders>
            <w:noWrap w:val="0"/>
            <w:vAlign w:val="center"/>
          </w:tcPr>
          <w:p w14:paraId="284AC81F">
            <w:pPr>
              <w:jc w:val="center"/>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75059A8">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中水回用</w:t>
            </w:r>
            <w:r>
              <w:rPr>
                <w:rFonts w:hint="eastAsia"/>
                <w:color w:val="000000"/>
                <w:kern w:val="0"/>
                <w:sz w:val="21"/>
                <w:szCs w:val="21"/>
                <w:highlight w:val="none"/>
              </w:rPr>
              <w:t>处理系统污泥</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6F6C1F7E">
            <w:pPr>
              <w:ind w:left="105" w:leftChars="50" w:right="105" w:rightChars="50"/>
              <w:jc w:val="center"/>
              <w:rPr>
                <w:rFonts w:hint="eastAsia" w:ascii="Times New Roman" w:hAnsi="Times New Roman" w:eastAsia="宋体" w:cs="Times New Roman"/>
                <w:color w:val="000000"/>
                <w:sz w:val="21"/>
                <w:szCs w:val="21"/>
                <w:highlight w:val="none"/>
                <w:lang w:eastAsia="zh-CN"/>
              </w:rPr>
            </w:pPr>
            <w:r>
              <w:rPr>
                <w:rFonts w:hint="eastAsia" w:eastAsia="宋体"/>
                <w:color w:val="000000"/>
                <w:kern w:val="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BEEB629">
            <w:pPr>
              <w:bidi w:val="0"/>
              <w:jc w:val="center"/>
              <w:rPr>
                <w:rFonts w:hint="default" w:ascii="Times New Roman" w:hAnsi="Times New Roman" w:eastAsia="宋体" w:cs="Times New Roman"/>
                <w:color w:val="000000"/>
                <w:sz w:val="21"/>
                <w:szCs w:val="21"/>
                <w:highlight w:val="none"/>
              </w:rPr>
            </w:pPr>
            <w:r>
              <w:rPr>
                <w:rFonts w:hint="default"/>
                <w:color w:val="000000"/>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A7ACF50">
            <w:pPr>
              <w:bidi w:val="0"/>
              <w:jc w:val="center"/>
              <w:rPr>
                <w:rFonts w:hint="default" w:ascii="Times New Roman" w:hAnsi="Times New Roman" w:eastAsia="宋体" w:cs="Times New Roman"/>
                <w:color w:val="000000"/>
                <w:sz w:val="21"/>
                <w:szCs w:val="21"/>
                <w:highlight w:val="none"/>
              </w:rPr>
            </w:pPr>
            <w:r>
              <w:rPr>
                <w:rFonts w:hint="default"/>
                <w:color w:val="000000"/>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E169309">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100t/a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3278ED0">
            <w:pPr>
              <w:bidi w:val="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w w:val="99"/>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5215E33">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100t/a</w:t>
            </w:r>
          </w:p>
        </w:tc>
        <w:tc>
          <w:tcPr>
            <w:tcW w:w="1417" w:type="dxa"/>
            <w:tcBorders>
              <w:top w:val="single" w:color="000000" w:sz="4" w:space="0"/>
              <w:left w:val="single" w:color="000000" w:sz="4" w:space="0"/>
              <w:bottom w:val="single" w:color="000000" w:sz="4" w:space="0"/>
            </w:tcBorders>
            <w:noWrap w:val="0"/>
            <w:vAlign w:val="center"/>
          </w:tcPr>
          <w:p w14:paraId="3454E37F">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+100t/a</w:t>
            </w:r>
          </w:p>
        </w:tc>
      </w:tr>
      <w:tr w14:paraId="20E8A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455" w:type="dxa"/>
            <w:vMerge w:val="restart"/>
            <w:tcBorders>
              <w:top w:val="nil"/>
              <w:right w:val="single" w:color="000000" w:sz="4" w:space="0"/>
            </w:tcBorders>
            <w:noWrap w:val="0"/>
            <w:vAlign w:val="center"/>
          </w:tcPr>
          <w:p w14:paraId="5A8D32E9">
            <w:pPr>
              <w:pStyle w:val="20"/>
              <w:spacing w:before="34"/>
              <w:ind w:left="306"/>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危险废物</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31369F88">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rPr>
              <w:t>废活性炭</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516B45AC">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5D5B3F2">
            <w:pPr>
              <w:bidi w:val="0"/>
              <w:jc w:val="center"/>
              <w:rPr>
                <w:rFonts w:hint="default" w:ascii="Times New Roman" w:hAnsi="Times New Roman" w:eastAsia="宋体" w:cs="Times New Roman"/>
                <w:color w:val="000000"/>
                <w:sz w:val="21"/>
                <w:szCs w:val="21"/>
                <w:highlight w:val="none"/>
              </w:rPr>
            </w:pPr>
            <w:r>
              <w:rPr>
                <w:rFonts w:hint="default"/>
                <w:color w:val="000000"/>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5235B4F">
            <w:pPr>
              <w:bidi w:val="0"/>
              <w:jc w:val="center"/>
              <w:rPr>
                <w:rFonts w:hint="default" w:ascii="Times New Roman" w:hAnsi="Times New Roman" w:eastAsia="宋体" w:cs="Times New Roman"/>
                <w:color w:val="000000"/>
                <w:sz w:val="21"/>
                <w:szCs w:val="21"/>
                <w:highlight w:val="none"/>
              </w:rPr>
            </w:pPr>
            <w:r>
              <w:rPr>
                <w:rFonts w:hint="default"/>
                <w:color w:val="000000"/>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CD7EFB8">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73t/a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279E5B61">
            <w:pPr>
              <w:bidi w:val="0"/>
              <w:jc w:val="center"/>
              <w:rPr>
                <w:rFonts w:hint="default" w:ascii="Times New Roman" w:hAnsi="Times New Roman" w:eastAsia="宋体" w:cs="Times New Roman"/>
                <w:color w:val="000000"/>
                <w:sz w:val="21"/>
                <w:szCs w:val="21"/>
                <w:highlight w:val="none"/>
                <w:lang w:val="en-US" w:eastAsia="zh-CN"/>
              </w:rPr>
            </w:pPr>
            <w:r>
              <w:rPr>
                <w:rFonts w:hint="default"/>
                <w:color w:val="000000"/>
                <w:sz w:val="21"/>
                <w:szCs w:val="21"/>
                <w:highlight w:val="none"/>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51A5BAF2">
            <w:pPr>
              <w:ind w:left="105" w:leftChars="50" w:right="105" w:rightChars="50"/>
              <w:jc w:val="center"/>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73t/a</w:t>
            </w:r>
          </w:p>
        </w:tc>
        <w:tc>
          <w:tcPr>
            <w:tcW w:w="1417" w:type="dxa"/>
            <w:tcBorders>
              <w:top w:val="single" w:color="000000" w:sz="4" w:space="0"/>
              <w:left w:val="single" w:color="000000" w:sz="4" w:space="0"/>
              <w:bottom w:val="single" w:color="000000" w:sz="4" w:space="0"/>
            </w:tcBorders>
            <w:noWrap w:val="0"/>
            <w:vAlign w:val="center"/>
          </w:tcPr>
          <w:p w14:paraId="17C705FC">
            <w:pPr>
              <w:bidi w:val="0"/>
              <w:jc w:val="center"/>
              <w:rPr>
                <w:rFonts w:hint="default" w:ascii="Times New Roman" w:hAnsi="Times New Roman" w:eastAsia="宋体" w:cs="Times New Roman"/>
                <w:color w:val="000000"/>
                <w:sz w:val="21"/>
                <w:szCs w:val="21"/>
                <w:highlight w:val="none"/>
              </w:rPr>
            </w:pPr>
            <w:r>
              <w:rPr>
                <w:rFonts w:hint="eastAsia"/>
                <w:color w:val="000000"/>
                <w:sz w:val="21"/>
                <w:szCs w:val="21"/>
                <w:highlight w:val="none"/>
                <w:lang w:val="en-US" w:eastAsia="zh-CN"/>
              </w:rPr>
              <w:t>+73t/a</w:t>
            </w:r>
          </w:p>
        </w:tc>
      </w:tr>
      <w:tr w14:paraId="2F5A5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455" w:type="dxa"/>
            <w:vMerge w:val="continue"/>
            <w:tcBorders>
              <w:right w:val="single" w:color="000000" w:sz="4" w:space="0"/>
            </w:tcBorders>
            <w:noWrap w:val="0"/>
            <w:vAlign w:val="center"/>
          </w:tcPr>
          <w:p w14:paraId="2A1DE4AC">
            <w:pPr>
              <w:pStyle w:val="20"/>
              <w:spacing w:before="34"/>
              <w:ind w:left="306"/>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68609350">
            <w:pPr>
              <w:ind w:left="105" w:leftChars="50" w:right="105" w:rightChars="50"/>
              <w:jc w:val="center"/>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废反渗透膜</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1ED470EB">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2322990">
            <w:pPr>
              <w:bidi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BFFFBA6">
            <w:pPr>
              <w:bidi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52FC920A">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10t/a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859B0E8">
            <w:pPr>
              <w:bidi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DDD8C72">
            <w:pPr>
              <w:ind w:left="105" w:leftChars="50" w:right="105" w:rightChars="50"/>
              <w:jc w:val="center"/>
              <w:rPr>
                <w:rFonts w:hint="eastAsia"/>
                <w:color w:val="000000"/>
                <w:kern w:val="0"/>
                <w:sz w:val="21"/>
                <w:szCs w:val="21"/>
                <w:highlight w:val="none"/>
                <w:lang w:val="en-US" w:eastAsia="zh-CN"/>
              </w:rPr>
            </w:pPr>
            <w:r>
              <w:rPr>
                <w:rFonts w:hint="eastAsia"/>
                <w:color w:val="000000"/>
                <w:kern w:val="0"/>
                <w:sz w:val="21"/>
                <w:szCs w:val="21"/>
                <w:highlight w:val="none"/>
                <w:lang w:val="en-US" w:eastAsia="zh-CN"/>
              </w:rPr>
              <w:t>10t/a</w:t>
            </w:r>
          </w:p>
        </w:tc>
        <w:tc>
          <w:tcPr>
            <w:tcW w:w="1417" w:type="dxa"/>
            <w:tcBorders>
              <w:top w:val="single" w:color="000000" w:sz="4" w:space="0"/>
              <w:left w:val="single" w:color="000000" w:sz="4" w:space="0"/>
              <w:bottom w:val="single" w:color="000000" w:sz="4" w:space="0"/>
            </w:tcBorders>
            <w:noWrap w:val="0"/>
            <w:vAlign w:val="center"/>
          </w:tcPr>
          <w:p w14:paraId="6D2CACBD">
            <w:pPr>
              <w:bidi w:val="0"/>
              <w:jc w:val="center"/>
              <w:rPr>
                <w:rFonts w:hint="eastAsia"/>
                <w:color w:val="000000"/>
                <w:sz w:val="21"/>
                <w:szCs w:val="21"/>
                <w:highlight w:val="none"/>
                <w:lang w:val="en-US" w:eastAsia="zh-CN"/>
              </w:rPr>
            </w:pPr>
            <w:r>
              <w:rPr>
                <w:rFonts w:hint="eastAsia"/>
                <w:color w:val="000000"/>
                <w:kern w:val="0"/>
                <w:sz w:val="21"/>
                <w:szCs w:val="21"/>
                <w:highlight w:val="none"/>
                <w:lang w:val="en-US" w:eastAsia="zh-CN"/>
              </w:rPr>
              <w:t>+10t/a</w:t>
            </w:r>
          </w:p>
        </w:tc>
      </w:tr>
      <w:tr w14:paraId="39D56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455" w:type="dxa"/>
            <w:vMerge w:val="continue"/>
            <w:tcBorders>
              <w:right w:val="single" w:color="000000" w:sz="4" w:space="0"/>
            </w:tcBorders>
            <w:noWrap w:val="0"/>
            <w:vAlign w:val="top"/>
          </w:tcPr>
          <w:p w14:paraId="52FDA00E">
            <w:pPr>
              <w:pStyle w:val="20"/>
              <w:spacing w:before="34"/>
              <w:ind w:left="306"/>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290E0B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sz w:val="21"/>
                <w:szCs w:val="21"/>
                <w:highlight w:val="none"/>
              </w:rPr>
            </w:pPr>
            <w:r>
              <w:rPr>
                <w:rFonts w:hint="eastAsia"/>
                <w:color w:val="000000"/>
                <w:kern w:val="0"/>
                <w:sz w:val="21"/>
                <w:szCs w:val="21"/>
                <w:highlight w:val="none"/>
                <w:lang w:val="en-US" w:eastAsia="zh-CN"/>
              </w:rPr>
              <w:t>浓盐水蒸发结晶盐</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4C76078E">
            <w:pPr>
              <w:ind w:left="105" w:leftChars="50" w:right="105" w:rightChars="50"/>
              <w:jc w:val="center"/>
              <w:rPr>
                <w:rFonts w:hint="eastAsia" w:eastAsia="宋体"/>
                <w:color w:val="000000"/>
                <w:sz w:val="21"/>
                <w:szCs w:val="21"/>
                <w:highlight w:val="none"/>
                <w:lang w:val="en-US" w:eastAsia="zh-CN"/>
              </w:rPr>
            </w:pPr>
            <w:r>
              <w:rPr>
                <w:rFonts w:hint="eastAsia"/>
                <w:color w:val="000000"/>
                <w:kern w:val="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A847B56">
            <w:pPr>
              <w:bidi w:val="0"/>
              <w:jc w:val="center"/>
              <w:rPr>
                <w:rFonts w:hint="default"/>
                <w:color w:val="000000"/>
                <w:sz w:val="21"/>
                <w:szCs w:val="21"/>
                <w:highlight w:val="none"/>
              </w:rPr>
            </w:pPr>
            <w:r>
              <w:rPr>
                <w:rFonts w:hint="default"/>
                <w:color w:val="000000"/>
                <w:sz w:val="21"/>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DCC5F13">
            <w:pPr>
              <w:bidi w:val="0"/>
              <w:jc w:val="center"/>
              <w:rPr>
                <w:rFonts w:hint="default"/>
                <w:color w:val="000000"/>
                <w:sz w:val="21"/>
                <w:szCs w:val="21"/>
                <w:highlight w:val="none"/>
              </w:rPr>
            </w:pPr>
            <w:r>
              <w:rPr>
                <w:rFonts w:hint="default"/>
                <w:color w:val="000000"/>
                <w:sz w:val="21"/>
                <w:szCs w:val="21"/>
                <w:highlight w:val="none"/>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808FAA1">
            <w:pPr>
              <w:ind w:left="105" w:leftChars="50" w:right="105" w:rightChars="50"/>
              <w:jc w:val="center"/>
              <w:rPr>
                <w:rFonts w:hint="eastAsia"/>
                <w:color w:val="000000"/>
                <w:sz w:val="21"/>
                <w:szCs w:val="21"/>
                <w:highlight w:val="none"/>
                <w:lang w:val="en-US" w:eastAsia="zh-CN"/>
              </w:rPr>
            </w:pPr>
            <w:r>
              <w:rPr>
                <w:rFonts w:hint="eastAsia"/>
                <w:color w:val="000000"/>
                <w:kern w:val="0"/>
                <w:sz w:val="21"/>
                <w:szCs w:val="21"/>
                <w:highlight w:val="none"/>
                <w:lang w:val="en-US" w:eastAsia="zh-CN"/>
              </w:rPr>
              <w:t>5000t/a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2ADED3B7">
            <w:pPr>
              <w:bidi w:val="0"/>
              <w:jc w:val="center"/>
              <w:rPr>
                <w:rFonts w:hint="default" w:ascii="Times New Roman" w:hAnsi="Times New Roman" w:eastAsia="宋体" w:cs="Times New Roman"/>
                <w:color w:val="000000"/>
                <w:w w:val="99"/>
                <w:sz w:val="21"/>
                <w:szCs w:val="21"/>
                <w:highlight w:val="none"/>
                <w:lang w:val="en-US" w:eastAsia="zh-CN"/>
              </w:rPr>
            </w:pPr>
            <w:r>
              <w:rPr>
                <w:rFonts w:hint="eastAsia" w:ascii="Times New Roman" w:hAnsi="Times New Roman" w:eastAsia="宋体" w:cs="Times New Roman"/>
                <w:color w:val="000000"/>
                <w:w w:val="99"/>
                <w:sz w:val="21"/>
                <w:szCs w:val="21"/>
                <w:highlight w:val="none"/>
                <w:lang w:val="en-US" w:eastAsia="zh-CN"/>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762AC3CF">
            <w:pPr>
              <w:ind w:left="105" w:leftChars="50" w:right="105" w:rightChars="50"/>
              <w:jc w:val="center"/>
              <w:rPr>
                <w:rFonts w:hint="eastAsia"/>
                <w:color w:val="000000"/>
                <w:sz w:val="21"/>
                <w:szCs w:val="21"/>
                <w:highlight w:val="none"/>
                <w:lang w:val="en-US" w:eastAsia="zh-CN"/>
              </w:rPr>
            </w:pPr>
            <w:r>
              <w:rPr>
                <w:rFonts w:hint="eastAsia"/>
                <w:color w:val="000000"/>
                <w:kern w:val="0"/>
                <w:sz w:val="21"/>
                <w:szCs w:val="21"/>
                <w:highlight w:val="none"/>
                <w:lang w:val="en-US" w:eastAsia="zh-CN"/>
              </w:rPr>
              <w:t>5000t/a</w:t>
            </w:r>
          </w:p>
        </w:tc>
        <w:tc>
          <w:tcPr>
            <w:tcW w:w="1417" w:type="dxa"/>
            <w:tcBorders>
              <w:top w:val="single" w:color="000000" w:sz="4" w:space="0"/>
              <w:left w:val="single" w:color="000000" w:sz="4" w:space="0"/>
              <w:bottom w:val="single" w:color="000000" w:sz="4" w:space="0"/>
            </w:tcBorders>
            <w:noWrap w:val="0"/>
            <w:vAlign w:val="center"/>
          </w:tcPr>
          <w:p w14:paraId="12EC4956">
            <w:pPr>
              <w:ind w:left="105" w:leftChars="50" w:right="105" w:rightChars="50"/>
              <w:jc w:val="center"/>
              <w:rPr>
                <w:rFonts w:hint="default"/>
                <w:color w:val="000000"/>
                <w:sz w:val="21"/>
                <w:szCs w:val="21"/>
                <w:highlight w:val="none"/>
                <w:lang w:val="en-US" w:eastAsia="zh-CN"/>
              </w:rPr>
            </w:pPr>
            <w:r>
              <w:rPr>
                <w:rFonts w:hint="eastAsia"/>
                <w:color w:val="000000"/>
                <w:kern w:val="0"/>
                <w:sz w:val="21"/>
                <w:szCs w:val="21"/>
                <w:highlight w:val="none"/>
                <w:lang w:val="en-US" w:eastAsia="zh-CN"/>
              </w:rPr>
              <w:t>+5000t/a</w:t>
            </w:r>
          </w:p>
        </w:tc>
      </w:tr>
      <w:tr w14:paraId="131FA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455" w:type="dxa"/>
            <w:vMerge w:val="continue"/>
            <w:tcBorders>
              <w:right w:val="single" w:color="000000" w:sz="4" w:space="0"/>
            </w:tcBorders>
            <w:noWrap w:val="0"/>
            <w:vAlign w:val="top"/>
          </w:tcPr>
          <w:p w14:paraId="1E3C6328">
            <w:pPr>
              <w:pStyle w:val="20"/>
              <w:spacing w:before="34"/>
              <w:ind w:left="306"/>
              <w:rPr>
                <w:rFonts w:hint="default" w:ascii="Times New Roman" w:hAnsi="Times New Roman" w:eastAsia="宋体" w:cs="Times New Roman"/>
                <w:color w:val="000000"/>
                <w:sz w:val="21"/>
                <w:szCs w:val="21"/>
                <w:highlight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430E79D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000000"/>
                <w:kern w:val="0"/>
                <w:sz w:val="21"/>
                <w:szCs w:val="21"/>
                <w:highlight w:val="none"/>
              </w:rPr>
            </w:pPr>
            <w:r>
              <w:rPr>
                <w:rFonts w:hint="eastAsia"/>
                <w:color w:val="000000"/>
                <w:kern w:val="0"/>
                <w:sz w:val="21"/>
                <w:szCs w:val="21"/>
                <w:highlight w:val="none"/>
                <w:lang w:val="en-US" w:eastAsia="zh-CN"/>
              </w:rPr>
              <w:t>脱硫废水蒸发结晶盐</w:t>
            </w:r>
          </w:p>
        </w:tc>
        <w:tc>
          <w:tcPr>
            <w:tcW w:w="1478" w:type="dxa"/>
            <w:tcBorders>
              <w:top w:val="single" w:color="000000" w:sz="4" w:space="0"/>
              <w:left w:val="single" w:color="000000" w:sz="4" w:space="0"/>
              <w:bottom w:val="single" w:color="000000" w:sz="4" w:space="0"/>
              <w:right w:val="single" w:color="000000" w:sz="4" w:space="0"/>
            </w:tcBorders>
            <w:noWrap w:val="0"/>
            <w:vAlign w:val="center"/>
          </w:tcPr>
          <w:p w14:paraId="380B6961">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A0275C1">
            <w:pPr>
              <w:bidi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AAB22CD">
            <w:pPr>
              <w:bidi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3A10068">
            <w:pPr>
              <w:ind w:left="105" w:leftChars="50" w:right="105" w:rightChars="50"/>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3300t/a</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2334FD01">
            <w:pPr>
              <w:bidi w:val="0"/>
              <w:jc w:val="center"/>
              <w:rPr>
                <w:rFonts w:hint="default" w:ascii="Times New Roman" w:hAnsi="Times New Roman" w:eastAsia="宋体" w:cs="Times New Roman"/>
                <w:color w:val="000000"/>
                <w:w w:val="99"/>
                <w:sz w:val="21"/>
                <w:szCs w:val="21"/>
                <w:highlight w:val="none"/>
                <w:lang w:val="en-US" w:eastAsia="zh-CN"/>
              </w:rPr>
            </w:pPr>
            <w:r>
              <w:rPr>
                <w:rFonts w:hint="eastAsia" w:ascii="Times New Roman" w:hAnsi="Times New Roman" w:eastAsia="宋体" w:cs="Times New Roman"/>
                <w:color w:val="000000"/>
                <w:w w:val="99"/>
                <w:sz w:val="21"/>
                <w:szCs w:val="21"/>
                <w:highlight w:val="none"/>
                <w:lang w:val="en-US" w:eastAsia="zh-CN"/>
              </w:rPr>
              <w:t>/</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59F33B4">
            <w:pPr>
              <w:ind w:left="105" w:leftChars="50" w:right="105" w:rightChars="50"/>
              <w:jc w:val="center"/>
              <w:rPr>
                <w:rFonts w:hint="eastAsia"/>
                <w:color w:val="000000"/>
                <w:kern w:val="0"/>
                <w:sz w:val="21"/>
                <w:szCs w:val="21"/>
                <w:highlight w:val="none"/>
                <w:lang w:val="en-US" w:eastAsia="zh-CN"/>
              </w:rPr>
            </w:pPr>
            <w:r>
              <w:rPr>
                <w:rFonts w:hint="eastAsia"/>
                <w:color w:val="000000"/>
                <w:kern w:val="0"/>
                <w:sz w:val="21"/>
                <w:szCs w:val="21"/>
                <w:highlight w:val="none"/>
                <w:lang w:val="en-US" w:eastAsia="zh-CN"/>
              </w:rPr>
              <w:t>3300t/a</w:t>
            </w:r>
          </w:p>
        </w:tc>
        <w:tc>
          <w:tcPr>
            <w:tcW w:w="1417" w:type="dxa"/>
            <w:tcBorders>
              <w:top w:val="single" w:color="000000" w:sz="4" w:space="0"/>
              <w:left w:val="single" w:color="000000" w:sz="4" w:space="0"/>
              <w:bottom w:val="single" w:color="000000" w:sz="4" w:space="0"/>
            </w:tcBorders>
            <w:noWrap w:val="0"/>
            <w:vAlign w:val="center"/>
          </w:tcPr>
          <w:p w14:paraId="383F062B">
            <w:pPr>
              <w:ind w:left="105" w:leftChars="50" w:right="105" w:rightChars="50"/>
              <w:jc w:val="center"/>
              <w:rPr>
                <w:rFonts w:hint="eastAsia"/>
                <w:color w:val="000000"/>
                <w:sz w:val="21"/>
                <w:szCs w:val="21"/>
                <w:highlight w:val="none"/>
                <w:lang w:val="en-US" w:eastAsia="zh-CN"/>
              </w:rPr>
            </w:pPr>
            <w:r>
              <w:rPr>
                <w:rFonts w:hint="eastAsia"/>
                <w:color w:val="000000"/>
                <w:kern w:val="0"/>
                <w:sz w:val="21"/>
                <w:szCs w:val="21"/>
                <w:highlight w:val="none"/>
                <w:lang w:val="en-US" w:eastAsia="zh-CN"/>
              </w:rPr>
              <w:t>+3300t/a</w:t>
            </w:r>
          </w:p>
        </w:tc>
      </w:tr>
    </w:tbl>
    <w:p w14:paraId="720DACA8">
      <w:pPr>
        <w:spacing w:before="252" w:beforeLines="80" w:after="24"/>
        <w:jc w:val="left"/>
        <w:rPr>
          <w:color w:val="000000"/>
          <w:highlight w:val="none"/>
        </w:rPr>
        <w:sectPr>
          <w:footerReference r:id="rId7" w:type="default"/>
          <w:pgSz w:w="16838" w:h="11906" w:orient="landscape"/>
          <w:pgMar w:top="1134" w:right="1417" w:bottom="1417" w:left="1417" w:header="851" w:footer="992" w:gutter="0"/>
          <w:pgBorders>
            <w:top w:val="none" w:sz="0" w:space="0"/>
            <w:left w:val="none" w:sz="0" w:space="0"/>
            <w:bottom w:val="none" w:sz="0" w:space="0"/>
            <w:right w:val="none" w:sz="0" w:space="0"/>
          </w:pgBorders>
          <w:cols w:space="720" w:num="1"/>
          <w:docGrid w:type="lines" w:linePitch="315" w:charSpace="0"/>
        </w:sectPr>
      </w:pPr>
      <w:r>
        <w:rPr>
          <w:color w:val="000000"/>
          <w:sz w:val="21"/>
          <w:highlight w:val="none"/>
        </w:rPr>
        <w:t>注：⑥=①+③+④-⑤；⑦=⑥-①</w:t>
      </w:r>
    </w:p>
    <w:p w14:paraId="74A1AE54">
      <w:pPr>
        <w:rPr>
          <w:rFonts w:ascii="宋体" w:hAnsi="宋体"/>
          <w:color w:val="000000"/>
          <w:szCs w:val="21"/>
          <w:highlight w:val="none"/>
        </w:rPr>
      </w:pPr>
      <w:r>
        <w:rPr>
          <w:rFonts w:hint="eastAsia" w:ascii="宋体" w:hAnsi="宋体"/>
          <w:color w:val="000000"/>
          <w:szCs w:val="21"/>
          <w:highlight w:val="none"/>
        </w:rPr>
        <w:t>附件1：委托书</w:t>
      </w:r>
    </w:p>
    <w:p w14:paraId="3C87FC35">
      <w:pPr>
        <w:spacing w:beforeLines="100" w:afterLines="200"/>
        <w:jc w:val="center"/>
        <w:rPr>
          <w:rFonts w:hint="eastAsia" w:ascii="宋体" w:hAnsi="宋体"/>
          <w:b/>
          <w:bCs/>
          <w:color w:val="000000"/>
          <w:sz w:val="30"/>
          <w:szCs w:val="30"/>
          <w:highlight w:val="none"/>
        </w:rPr>
      </w:pPr>
      <w:r>
        <w:rPr>
          <w:rFonts w:hint="eastAsia" w:ascii="宋体" w:hAnsi="宋体"/>
          <w:b/>
          <w:bCs/>
          <w:color w:val="000000"/>
          <w:sz w:val="30"/>
          <w:szCs w:val="30"/>
          <w:highlight w:val="none"/>
        </w:rPr>
        <w:t>环境评价委托书</w:t>
      </w:r>
    </w:p>
    <w:p w14:paraId="34C2F64A">
      <w:pPr>
        <w:spacing w:line="360" w:lineRule="auto"/>
        <w:rPr>
          <w:rFonts w:hint="eastAsia" w:ascii="宋体" w:hAnsi="宋体" w:cs="宋体"/>
          <w:b/>
          <w:color w:val="000000"/>
          <w:sz w:val="28"/>
          <w:szCs w:val="28"/>
          <w:highlight w:val="none"/>
        </w:rPr>
      </w:pPr>
      <w:r>
        <w:rPr>
          <w:rFonts w:hint="eastAsia" w:ascii="宋体" w:hAnsi="宋体" w:cs="宋体"/>
          <w:b/>
          <w:color w:val="000000"/>
          <w:sz w:val="28"/>
          <w:szCs w:val="28"/>
          <w:highlight w:val="none"/>
        </w:rPr>
        <w:t>内蒙古永鑫环保服务有限公司：</w:t>
      </w:r>
    </w:p>
    <w:p w14:paraId="1B65AFC0">
      <w:pPr>
        <w:spacing w:line="360" w:lineRule="auto"/>
        <w:ind w:firstLine="560" w:firstLineChars="200"/>
        <w:rPr>
          <w:rFonts w:hint="eastAsia" w:ascii="宋体" w:hAnsi="宋体" w:cs="宋体"/>
          <w:color w:val="000000"/>
          <w:sz w:val="28"/>
          <w:szCs w:val="28"/>
          <w:highlight w:val="none"/>
        </w:rPr>
      </w:pPr>
      <w:r>
        <w:rPr>
          <w:rFonts w:hint="eastAsia" w:ascii="宋体" w:hAnsi="宋体" w:cs="宋体"/>
          <w:color w:val="000000"/>
          <w:sz w:val="28"/>
          <w:szCs w:val="28"/>
          <w:highlight w:val="none"/>
        </w:rPr>
        <w:t>我公司拟投资建设“</w:t>
      </w:r>
      <w:r>
        <w:rPr>
          <w:rFonts w:hint="eastAsia" w:ascii="宋体" w:hAnsi="宋体" w:cs="宋体"/>
          <w:color w:val="000000"/>
          <w:sz w:val="28"/>
          <w:szCs w:val="28"/>
          <w:highlight w:val="none"/>
          <w:u w:val="single"/>
        </w:rPr>
        <w:t>内蒙古星光煤炭集团鄂托克旗华誉煤焦化有限公司中水回用及零排放系统工程项目</w:t>
      </w:r>
      <w:r>
        <w:rPr>
          <w:rFonts w:hint="eastAsia" w:ascii="宋体" w:hAnsi="宋体" w:cs="宋体"/>
          <w:color w:val="000000"/>
          <w:sz w:val="28"/>
          <w:szCs w:val="28"/>
          <w:highlight w:val="none"/>
        </w:rPr>
        <w:t>”，按照《</w:t>
      </w:r>
      <w:r>
        <w:rPr>
          <w:rFonts w:hint="eastAsia" w:ascii="宋体" w:hAnsi="宋体" w:cs="宋体"/>
          <w:color w:val="000000"/>
          <w:sz w:val="28"/>
          <w:szCs w:val="28"/>
          <w:highlight w:val="none"/>
          <w:lang w:val="en-US" w:eastAsia="zh-CN"/>
        </w:rPr>
        <w:t>中华人民共和国</w:t>
      </w:r>
      <w:r>
        <w:rPr>
          <w:rFonts w:hint="eastAsia" w:ascii="宋体" w:hAnsi="宋体" w:cs="宋体"/>
          <w:color w:val="000000"/>
          <w:sz w:val="28"/>
          <w:szCs w:val="28"/>
          <w:highlight w:val="none"/>
        </w:rPr>
        <w:t>环境影响评价法》等有关条款规定，本项目需进行环境影响评价，并编制“环境影响报告表”。</w:t>
      </w:r>
    </w:p>
    <w:p w14:paraId="3E8F4275">
      <w:pPr>
        <w:spacing w:line="360" w:lineRule="auto"/>
        <w:ind w:firstLine="560" w:firstLineChars="200"/>
        <w:rPr>
          <w:rFonts w:hint="eastAsia" w:ascii="宋体" w:hAnsi="宋体" w:cs="宋体"/>
          <w:color w:val="000000"/>
          <w:sz w:val="28"/>
          <w:szCs w:val="28"/>
          <w:highlight w:val="none"/>
        </w:rPr>
      </w:pPr>
      <w:r>
        <w:rPr>
          <w:rFonts w:hint="eastAsia" w:ascii="宋体" w:hAnsi="宋体" w:cs="宋体"/>
          <w:color w:val="000000"/>
          <w:sz w:val="28"/>
          <w:szCs w:val="28"/>
          <w:highlight w:val="none"/>
        </w:rPr>
        <w:t>我公司现委托贵公司承担本项目的环境影响评价工作，请贵公司尽快组织力量，按照有关条例要求，展开环评工作。</w:t>
      </w:r>
    </w:p>
    <w:p w14:paraId="0E418978">
      <w:pPr>
        <w:pStyle w:val="11"/>
        <w:ind w:firstLine="0" w:firstLineChars="0"/>
        <w:rPr>
          <w:rFonts w:hint="eastAsia" w:ascii="宋体" w:hAnsi="宋体" w:cs="宋体"/>
          <w:color w:val="000000"/>
          <w:sz w:val="28"/>
          <w:szCs w:val="28"/>
          <w:highlight w:val="none"/>
        </w:rPr>
      </w:pPr>
    </w:p>
    <w:p w14:paraId="3E958B0C">
      <w:pPr>
        <w:spacing w:line="360" w:lineRule="auto"/>
        <w:ind w:firstLine="562" w:firstLineChars="200"/>
        <w:jc w:val="right"/>
        <w:rPr>
          <w:rFonts w:hint="eastAsia" w:ascii="宋体" w:hAnsi="宋体"/>
          <w:b/>
          <w:bCs/>
          <w:color w:val="000000"/>
          <w:sz w:val="28"/>
          <w:szCs w:val="28"/>
          <w:highlight w:val="none"/>
        </w:rPr>
      </w:pPr>
    </w:p>
    <w:p w14:paraId="5EF10307">
      <w:pPr>
        <w:spacing w:line="360" w:lineRule="auto"/>
        <w:ind w:firstLine="562" w:firstLineChars="200"/>
        <w:jc w:val="right"/>
        <w:rPr>
          <w:rFonts w:hint="eastAsia" w:ascii="宋体" w:hAnsi="宋体"/>
          <w:b/>
          <w:bCs/>
          <w:color w:val="000000"/>
          <w:sz w:val="28"/>
          <w:szCs w:val="28"/>
          <w:highlight w:val="none"/>
        </w:rPr>
      </w:pPr>
    </w:p>
    <w:p w14:paraId="6BCE15F7">
      <w:pPr>
        <w:spacing w:line="360" w:lineRule="auto"/>
        <w:ind w:firstLine="562" w:firstLineChars="200"/>
        <w:jc w:val="right"/>
        <w:rPr>
          <w:rFonts w:hint="eastAsia" w:ascii="宋体" w:hAnsi="宋体" w:eastAsia="宋体"/>
          <w:b/>
          <w:bCs/>
          <w:color w:val="000000"/>
          <w:sz w:val="28"/>
          <w:szCs w:val="28"/>
          <w:highlight w:val="none"/>
          <w:lang w:eastAsia="zh-CN"/>
        </w:rPr>
      </w:pPr>
      <w:r>
        <w:rPr>
          <w:rFonts w:hint="eastAsia" w:ascii="宋体" w:hAnsi="宋体" w:eastAsia="宋体"/>
          <w:b/>
          <w:bCs/>
          <w:color w:val="000000"/>
          <w:sz w:val="28"/>
          <w:szCs w:val="28"/>
          <w:highlight w:val="none"/>
          <w:lang w:eastAsia="zh-CN"/>
        </w:rPr>
        <w:t>内蒙古星光煤炭集团鄂托克旗华誉煤焦化有限公司</w:t>
      </w:r>
    </w:p>
    <w:p w14:paraId="4EA978C9">
      <w:pPr>
        <w:spacing w:line="360" w:lineRule="auto"/>
        <w:ind w:firstLine="562" w:firstLineChars="200"/>
        <w:jc w:val="right"/>
        <w:rPr>
          <w:rFonts w:hint="eastAsia" w:ascii="宋体" w:hAnsi="宋体"/>
          <w:b/>
          <w:color w:val="000000"/>
          <w:sz w:val="28"/>
          <w:szCs w:val="28"/>
          <w:highlight w:val="none"/>
        </w:rPr>
        <w:sectPr>
          <w:footerReference r:id="rId8" w:type="default"/>
          <w:pgSz w:w="11906" w:h="16838"/>
          <w:pgMar w:top="1440" w:right="1800" w:bottom="1440" w:left="1800" w:header="851" w:footer="992" w:gutter="0"/>
          <w:cols w:space="720" w:num="1"/>
          <w:rtlGutter w:val="0"/>
          <w:docGrid w:type="lines" w:linePitch="312" w:charSpace="0"/>
        </w:sectPr>
      </w:pPr>
      <w:r>
        <w:rPr>
          <w:rFonts w:hint="eastAsia" w:ascii="宋体" w:hAnsi="宋体"/>
          <w:b/>
          <w:color w:val="000000"/>
          <w:sz w:val="28"/>
          <w:szCs w:val="28"/>
          <w:highlight w:val="none"/>
        </w:rPr>
        <w:t>二〇二</w:t>
      </w:r>
      <w:r>
        <w:rPr>
          <w:rFonts w:hint="eastAsia" w:ascii="宋体" w:hAnsi="宋体"/>
          <w:b/>
          <w:color w:val="000000"/>
          <w:sz w:val="28"/>
          <w:szCs w:val="28"/>
          <w:highlight w:val="none"/>
          <w:lang w:val="en-US" w:eastAsia="zh-CN"/>
        </w:rPr>
        <w:t>三</w:t>
      </w:r>
      <w:r>
        <w:rPr>
          <w:rFonts w:hint="eastAsia" w:ascii="宋体" w:hAnsi="宋体"/>
          <w:b/>
          <w:color w:val="000000"/>
          <w:sz w:val="28"/>
          <w:szCs w:val="28"/>
          <w:highlight w:val="none"/>
        </w:rPr>
        <w:t>年</w:t>
      </w:r>
      <w:r>
        <w:rPr>
          <w:rFonts w:hint="eastAsia" w:ascii="宋体" w:hAnsi="宋体"/>
          <w:b/>
          <w:color w:val="000000"/>
          <w:sz w:val="28"/>
          <w:szCs w:val="28"/>
          <w:highlight w:val="none"/>
          <w:lang w:val="en-US" w:eastAsia="zh-CN"/>
        </w:rPr>
        <w:t>十</w:t>
      </w:r>
      <w:r>
        <w:rPr>
          <w:rFonts w:hint="eastAsia" w:ascii="宋体" w:hAnsi="宋体"/>
          <w:b/>
          <w:color w:val="000000"/>
          <w:sz w:val="28"/>
          <w:szCs w:val="28"/>
          <w:highlight w:val="none"/>
        </w:rPr>
        <w:t>月</w:t>
      </w:r>
      <w:r>
        <w:rPr>
          <w:rFonts w:hint="eastAsia" w:ascii="宋体" w:hAnsi="宋体"/>
          <w:b/>
          <w:color w:val="000000"/>
          <w:sz w:val="28"/>
          <w:szCs w:val="28"/>
          <w:highlight w:val="none"/>
          <w:lang w:eastAsia="zh-CN"/>
        </w:rPr>
        <w:t>二</w:t>
      </w:r>
      <w:r>
        <w:rPr>
          <w:rFonts w:hint="eastAsia" w:ascii="宋体" w:hAnsi="宋体"/>
          <w:b/>
          <w:color w:val="000000"/>
          <w:sz w:val="28"/>
          <w:szCs w:val="28"/>
          <w:highlight w:val="none"/>
        </w:rPr>
        <w:t>日</w:t>
      </w:r>
    </w:p>
    <w:p w14:paraId="6E5EAD55">
      <w:pPr>
        <w:bidi w:val="0"/>
        <w:spacing w:line="360" w:lineRule="auto"/>
        <w:rPr>
          <w:rFonts w:hint="eastAsia"/>
          <w:color w:val="000000"/>
          <w:highlight w:val="none"/>
          <w:lang w:val="en-US" w:eastAsia="zh-CN"/>
        </w:rPr>
      </w:pPr>
      <w:r>
        <w:rPr>
          <w:rFonts w:hint="eastAsia"/>
          <w:color w:val="000000"/>
          <w:highlight w:val="none"/>
          <w:lang w:eastAsia="zh-CN"/>
        </w:rPr>
        <w:t>附件</w:t>
      </w:r>
      <w:r>
        <w:rPr>
          <w:rFonts w:hint="eastAsia"/>
          <w:color w:val="000000"/>
          <w:highlight w:val="none"/>
          <w:lang w:val="en-US" w:eastAsia="zh-CN"/>
        </w:rPr>
        <w:t>2 营业执照</w:t>
      </w:r>
    </w:p>
    <w:p w14:paraId="129E4634">
      <w:pPr>
        <w:pStyle w:val="39"/>
        <w:ind w:left="0" w:leftChars="0" w:firstLine="0" w:firstLineChars="0"/>
        <w:rPr>
          <w:rFonts w:hint="eastAsia"/>
          <w:color w:val="000000"/>
          <w:highlight w:val="none"/>
          <w:lang w:val="en-US" w:eastAsia="zh-CN"/>
        </w:rPr>
      </w:pPr>
      <w:r>
        <w:rPr>
          <w:rFonts w:hint="eastAsia"/>
          <w:color w:val="000000"/>
          <w:sz w:val="30"/>
          <w:szCs w:val="30"/>
          <w:highlight w:val="none"/>
          <w:lang w:val="en-US" w:eastAsia="zh-CN"/>
        </w:rPr>
        <w:drawing>
          <wp:inline distT="0" distB="0" distL="114300" distR="114300">
            <wp:extent cx="7661275" cy="5418455"/>
            <wp:effectExtent l="0" t="0" r="10795" b="15875"/>
            <wp:docPr id="29" name="图片 15" descr="a4d845b3655aabb755791612adc9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a4d845b3655aabb755791612adc97a0"/>
                    <pic:cNvPicPr>
                      <a:picLocks noChangeAspect="1"/>
                    </pic:cNvPicPr>
                  </pic:nvPicPr>
                  <pic:blipFill>
                    <a:blip r:embed="rId34"/>
                    <a:stretch>
                      <a:fillRect/>
                    </a:stretch>
                  </pic:blipFill>
                  <pic:spPr>
                    <a:xfrm rot="-5400000">
                      <a:off x="0" y="0"/>
                      <a:ext cx="7661275" cy="5418455"/>
                    </a:xfrm>
                    <a:prstGeom prst="rect">
                      <a:avLst/>
                    </a:prstGeom>
                    <a:noFill/>
                    <a:ln>
                      <a:noFill/>
                    </a:ln>
                  </pic:spPr>
                </pic:pic>
              </a:graphicData>
            </a:graphic>
          </wp:inline>
        </w:drawing>
      </w:r>
    </w:p>
    <w:p w14:paraId="387813D8">
      <w:pPr>
        <w:pStyle w:val="39"/>
        <w:ind w:left="0" w:leftChars="0" w:firstLine="0" w:firstLineChars="0"/>
        <w:jc w:val="left"/>
        <w:rPr>
          <w:rFonts w:hint="eastAsia"/>
          <w:color w:val="000000"/>
          <w:highlight w:val="none"/>
          <w:lang w:val="en-US" w:eastAsia="zh-CN"/>
        </w:rPr>
      </w:pPr>
    </w:p>
    <w:p w14:paraId="3B24C611">
      <w:pPr>
        <w:pStyle w:val="39"/>
        <w:ind w:left="0" w:leftChars="0" w:firstLine="0" w:firstLineChars="0"/>
        <w:jc w:val="left"/>
        <w:rPr>
          <w:rFonts w:hint="eastAsia"/>
          <w:color w:val="000000"/>
          <w:highlight w:val="none"/>
          <w:lang w:val="en-US" w:eastAsia="zh-CN"/>
        </w:rPr>
      </w:pPr>
    </w:p>
    <w:p w14:paraId="5A5B750F">
      <w:pPr>
        <w:pStyle w:val="39"/>
        <w:ind w:left="0" w:leftChars="0" w:firstLine="0" w:firstLineChars="0"/>
        <w:jc w:val="left"/>
        <w:rPr>
          <w:rFonts w:hint="eastAsia" w:eastAsia="宋体"/>
          <w:color w:val="000000"/>
          <w:highlight w:val="none"/>
          <w:lang w:eastAsia="zh-CN"/>
        </w:rPr>
      </w:pPr>
      <w:r>
        <w:rPr>
          <w:rFonts w:hint="eastAsia"/>
          <w:color w:val="000000"/>
          <w:highlight w:val="none"/>
          <w:lang w:val="en-US" w:eastAsia="zh-CN"/>
        </w:rPr>
        <w:t>附件3 原环评批复</w:t>
      </w:r>
    </w:p>
    <w:p w14:paraId="53264DA2">
      <w:pPr>
        <w:pStyle w:val="39"/>
        <w:ind w:left="0" w:leftChars="0" w:firstLine="0" w:firstLineChars="0"/>
        <w:jc w:val="left"/>
        <w:rPr>
          <w:color w:val="000000"/>
          <w:highlight w:val="none"/>
        </w:rPr>
      </w:pPr>
      <w:r>
        <w:rPr>
          <w:color w:val="000000"/>
          <w:highlight w:val="none"/>
        </w:rPr>
        <w:drawing>
          <wp:inline distT="0" distB="0" distL="114300" distR="114300">
            <wp:extent cx="5610860" cy="7930515"/>
            <wp:effectExtent l="0" t="0" r="8890" b="1333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5"/>
                    <a:stretch>
                      <a:fillRect/>
                    </a:stretch>
                  </pic:blipFill>
                  <pic:spPr>
                    <a:xfrm>
                      <a:off x="0" y="0"/>
                      <a:ext cx="5610860" cy="7930515"/>
                    </a:xfrm>
                    <a:prstGeom prst="rect">
                      <a:avLst/>
                    </a:prstGeom>
                    <a:noFill/>
                    <a:ln>
                      <a:noFill/>
                    </a:ln>
                  </pic:spPr>
                </pic:pic>
              </a:graphicData>
            </a:graphic>
          </wp:inline>
        </w:drawing>
      </w:r>
      <w:r>
        <w:rPr>
          <w:color w:val="000000"/>
          <w:highlight w:val="none"/>
        </w:rPr>
        <w:drawing>
          <wp:inline distT="0" distB="0" distL="114300" distR="114300">
            <wp:extent cx="5610860" cy="7930515"/>
            <wp:effectExtent l="0" t="0" r="8890" b="1333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6"/>
                    <a:stretch>
                      <a:fillRect/>
                    </a:stretch>
                  </pic:blipFill>
                  <pic:spPr>
                    <a:xfrm>
                      <a:off x="0" y="0"/>
                      <a:ext cx="5610860" cy="7930515"/>
                    </a:xfrm>
                    <a:prstGeom prst="rect">
                      <a:avLst/>
                    </a:prstGeom>
                    <a:noFill/>
                    <a:ln>
                      <a:noFill/>
                    </a:ln>
                  </pic:spPr>
                </pic:pic>
              </a:graphicData>
            </a:graphic>
          </wp:inline>
        </w:drawing>
      </w:r>
      <w:r>
        <w:rPr>
          <w:color w:val="000000"/>
          <w:highlight w:val="none"/>
        </w:rPr>
        <w:drawing>
          <wp:inline distT="0" distB="0" distL="114300" distR="114300">
            <wp:extent cx="5610860" cy="7930515"/>
            <wp:effectExtent l="0" t="0" r="8890" b="133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7"/>
                    <a:stretch>
                      <a:fillRect/>
                    </a:stretch>
                  </pic:blipFill>
                  <pic:spPr>
                    <a:xfrm>
                      <a:off x="0" y="0"/>
                      <a:ext cx="5610860" cy="7930515"/>
                    </a:xfrm>
                    <a:prstGeom prst="rect">
                      <a:avLst/>
                    </a:prstGeom>
                    <a:noFill/>
                    <a:ln>
                      <a:noFill/>
                    </a:ln>
                  </pic:spPr>
                </pic:pic>
              </a:graphicData>
            </a:graphic>
          </wp:inline>
        </w:drawing>
      </w:r>
      <w:r>
        <w:rPr>
          <w:color w:val="000000"/>
          <w:highlight w:val="none"/>
        </w:rPr>
        <w:drawing>
          <wp:inline distT="0" distB="0" distL="114300" distR="114300">
            <wp:extent cx="5610860" cy="7930515"/>
            <wp:effectExtent l="0" t="0" r="8890" b="1333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8"/>
                    <a:stretch>
                      <a:fillRect/>
                    </a:stretch>
                  </pic:blipFill>
                  <pic:spPr>
                    <a:xfrm>
                      <a:off x="0" y="0"/>
                      <a:ext cx="5610860" cy="7930515"/>
                    </a:xfrm>
                    <a:prstGeom prst="rect">
                      <a:avLst/>
                    </a:prstGeom>
                    <a:noFill/>
                    <a:ln>
                      <a:noFill/>
                    </a:ln>
                  </pic:spPr>
                </pic:pic>
              </a:graphicData>
            </a:graphic>
          </wp:inline>
        </w:drawing>
      </w:r>
      <w:r>
        <w:rPr>
          <w:color w:val="000000"/>
          <w:highlight w:val="none"/>
        </w:rPr>
        <w:drawing>
          <wp:inline distT="0" distB="0" distL="114300" distR="114300">
            <wp:extent cx="5181600" cy="7667625"/>
            <wp:effectExtent l="0" t="0" r="0" b="952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9"/>
                    <a:stretch>
                      <a:fillRect/>
                    </a:stretch>
                  </pic:blipFill>
                  <pic:spPr>
                    <a:xfrm>
                      <a:off x="0" y="0"/>
                      <a:ext cx="5181600" cy="7667625"/>
                    </a:xfrm>
                    <a:prstGeom prst="rect">
                      <a:avLst/>
                    </a:prstGeom>
                    <a:noFill/>
                    <a:ln>
                      <a:noFill/>
                    </a:ln>
                  </pic:spPr>
                </pic:pic>
              </a:graphicData>
            </a:graphic>
          </wp:inline>
        </w:drawing>
      </w:r>
      <w:r>
        <w:rPr>
          <w:color w:val="000000"/>
          <w:highlight w:val="none"/>
        </w:rPr>
        <w:drawing>
          <wp:inline distT="0" distB="0" distL="114300" distR="114300">
            <wp:extent cx="5305425" cy="7715250"/>
            <wp:effectExtent l="0" t="0" r="9525"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40"/>
                    <a:stretch>
                      <a:fillRect/>
                    </a:stretch>
                  </pic:blipFill>
                  <pic:spPr>
                    <a:xfrm>
                      <a:off x="0" y="0"/>
                      <a:ext cx="5305425" cy="7715250"/>
                    </a:xfrm>
                    <a:prstGeom prst="rect">
                      <a:avLst/>
                    </a:prstGeom>
                    <a:noFill/>
                    <a:ln>
                      <a:noFill/>
                    </a:ln>
                  </pic:spPr>
                </pic:pic>
              </a:graphicData>
            </a:graphic>
          </wp:inline>
        </w:drawing>
      </w:r>
      <w:r>
        <w:rPr>
          <w:color w:val="000000"/>
          <w:highlight w:val="none"/>
        </w:rPr>
        <w:drawing>
          <wp:inline distT="0" distB="0" distL="114300" distR="114300">
            <wp:extent cx="5410200" cy="7677150"/>
            <wp:effectExtent l="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41"/>
                    <a:stretch>
                      <a:fillRect/>
                    </a:stretch>
                  </pic:blipFill>
                  <pic:spPr>
                    <a:xfrm>
                      <a:off x="0" y="0"/>
                      <a:ext cx="5410200" cy="7677150"/>
                    </a:xfrm>
                    <a:prstGeom prst="rect">
                      <a:avLst/>
                    </a:prstGeom>
                    <a:noFill/>
                    <a:ln>
                      <a:noFill/>
                    </a:ln>
                  </pic:spPr>
                </pic:pic>
              </a:graphicData>
            </a:graphic>
          </wp:inline>
        </w:drawing>
      </w:r>
    </w:p>
    <w:p w14:paraId="220BE8B6">
      <w:pPr>
        <w:pStyle w:val="39"/>
        <w:ind w:left="0" w:leftChars="0" w:firstLine="0" w:firstLineChars="0"/>
        <w:jc w:val="left"/>
        <w:rPr>
          <w:color w:val="000000"/>
          <w:highlight w:val="none"/>
        </w:rPr>
      </w:pPr>
    </w:p>
    <w:p w14:paraId="28D29EC6">
      <w:pPr>
        <w:pStyle w:val="39"/>
        <w:ind w:left="0" w:leftChars="0" w:firstLine="0" w:firstLineChars="0"/>
        <w:jc w:val="left"/>
        <w:rPr>
          <w:color w:val="000000"/>
          <w:highlight w:val="none"/>
        </w:rPr>
      </w:pPr>
    </w:p>
    <w:p w14:paraId="5802CA59">
      <w:pPr>
        <w:pStyle w:val="39"/>
        <w:ind w:left="0" w:leftChars="0" w:firstLine="0" w:firstLineChars="0"/>
        <w:jc w:val="left"/>
        <w:rPr>
          <w:color w:val="000000"/>
          <w:highlight w:val="none"/>
        </w:rPr>
      </w:pPr>
    </w:p>
    <w:p w14:paraId="5180C559">
      <w:pPr>
        <w:rPr>
          <w:rFonts w:hint="default"/>
          <w:color w:val="000000"/>
          <w:highlight w:val="none"/>
          <w:lang w:val="en-US" w:eastAsia="zh-CN"/>
        </w:rPr>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cols w:space="720" w:num="1"/>
          <w:rtlGutter w:val="0"/>
          <w:docGrid w:linePitch="312" w:charSpace="0"/>
        </w:sectPr>
      </w:pPr>
    </w:p>
    <w:p w14:paraId="19614DE9">
      <w:pPr>
        <w:pStyle w:val="12"/>
        <w:ind w:left="0" w:leftChars="0" w:firstLine="0" w:firstLineChars="0"/>
        <w:jc w:val="center"/>
        <w:rPr>
          <w:rFonts w:hint="eastAsia"/>
          <w:b/>
          <w:bCs/>
          <w:color w:val="000000"/>
          <w:sz w:val="21"/>
          <w:szCs w:val="21"/>
          <w:highlight w:val="none"/>
          <w:lang w:val="en-US" w:eastAsia="zh-CN"/>
        </w:rPr>
        <w:sectPr>
          <w:pgSz w:w="16838" w:h="11906" w:orient="landscape"/>
          <w:pgMar w:top="1531" w:right="1701" w:bottom="964" w:left="1701" w:header="851" w:footer="851" w:gutter="0"/>
          <w:pgBorders>
            <w:top w:val="none" w:sz="0" w:space="0"/>
            <w:left w:val="none" w:sz="0" w:space="0"/>
            <w:bottom w:val="none" w:sz="0" w:space="0"/>
            <w:right w:val="none" w:sz="0" w:space="0"/>
          </w:pgBorders>
          <w:cols w:space="720" w:num="1"/>
          <w:rtlGutter w:val="0"/>
          <w:docGrid w:linePitch="312" w:charSpace="0"/>
        </w:sectPr>
      </w:pPr>
      <w:r>
        <w:rPr>
          <w:color w:val="000000"/>
          <w:highlight w:val="none"/>
        </w:rPr>
        <w:drawing>
          <wp:inline distT="0" distB="0" distL="114300" distR="114300">
            <wp:extent cx="8618855" cy="5628005"/>
            <wp:effectExtent l="0" t="0" r="10795"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8618855" cy="5628005"/>
                    </a:xfrm>
                    <a:prstGeom prst="rect">
                      <a:avLst/>
                    </a:prstGeom>
                    <a:noFill/>
                    <a:ln>
                      <a:noFill/>
                    </a:ln>
                  </pic:spPr>
                </pic:pic>
              </a:graphicData>
            </a:graphic>
          </wp:inline>
        </w:drawing>
      </w:r>
      <w:r>
        <w:rPr>
          <w:rFonts w:hint="eastAsia"/>
          <w:b/>
          <w:bCs/>
          <w:color w:val="000000"/>
          <w:sz w:val="21"/>
          <w:szCs w:val="21"/>
          <w:highlight w:val="none"/>
          <w:lang w:val="en-US" w:eastAsia="zh-CN"/>
        </w:rPr>
        <w:t>附图1 项目地理位置图</w:t>
      </w:r>
    </w:p>
    <w:p w14:paraId="10089374">
      <w:pPr>
        <w:rPr>
          <w:rFonts w:hint="eastAsia"/>
          <w:color w:val="000000"/>
          <w:highlight w:val="none"/>
          <w:lang w:val="en-US" w:eastAsia="zh-CN"/>
        </w:rPr>
      </w:pPr>
      <w:r>
        <w:rPr>
          <w:color w:val="000000"/>
          <w:sz w:val="24"/>
          <w:highlight w:val="none"/>
        </w:rPr>
        <mc:AlternateContent>
          <mc:Choice Requires="wps">
            <w:drawing>
              <wp:anchor distT="0" distB="0" distL="114300" distR="114300" simplePos="0" relativeHeight="251670528" behindDoc="0" locked="0" layoutInCell="1" allowOverlap="1">
                <wp:simplePos x="0" y="0"/>
                <wp:positionH relativeFrom="column">
                  <wp:posOffset>7018020</wp:posOffset>
                </wp:positionH>
                <wp:positionV relativeFrom="paragraph">
                  <wp:posOffset>5094605</wp:posOffset>
                </wp:positionV>
                <wp:extent cx="422910" cy="233045"/>
                <wp:effectExtent l="9525" t="9525" r="24765" b="24130"/>
                <wp:wrapNone/>
                <wp:docPr id="22" name="矩形 22"/>
                <wp:cNvGraphicFramePr/>
                <a:graphic xmlns:a="http://schemas.openxmlformats.org/drawingml/2006/main">
                  <a:graphicData uri="http://schemas.microsoft.com/office/word/2010/wordprocessingShape">
                    <wps:wsp>
                      <wps:cNvSpPr/>
                      <wps:spPr>
                        <a:xfrm>
                          <a:off x="0" y="0"/>
                          <a:ext cx="422910" cy="23304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52.6pt;margin-top:401.15pt;height:18.35pt;width:33.3pt;z-index:251670528;mso-width-relative:page;mso-height-relative:page;" filled="f" stroked="t" coordsize="21600,21600" o:gfxdata="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XDf2QAAAA0BAAAPAAAAAAAAAAEAIAAAACIAAABkcnMvZG93bnJldi54&#10;bWxQSwECFAAUAAAACACHTuJAjgu9tPkBAAD3AwAADgAAAAAAAAABACAAAAAoAQAAZHJzL2Uyb0Rv&#10;Yy54bWxQSwUGAAAAAAYABgBZAQAAkwUAAAAA&#10;">
                <v:fill on="f" focussize="0,0"/>
                <v:stroke weight="1.5pt" color="#FF0000" joinstyle="miter"/>
                <v:imagedata o:title=""/>
                <o:lock v:ext="edit" aspectratio="f"/>
              </v:rect>
            </w:pict>
          </mc:Fallback>
        </mc:AlternateContent>
      </w:r>
      <w:r>
        <w:rPr>
          <w:color w:val="000000"/>
          <w:sz w:val="24"/>
          <w:highlight w:val="none"/>
        </w:rPr>
        <mc:AlternateContent>
          <mc:Choice Requires="wps">
            <w:drawing>
              <wp:anchor distT="0" distB="0" distL="114300" distR="114300" simplePos="0" relativeHeight="251669504" behindDoc="0" locked="0" layoutInCell="1" allowOverlap="1">
                <wp:simplePos x="0" y="0"/>
                <wp:positionH relativeFrom="column">
                  <wp:posOffset>6911975</wp:posOffset>
                </wp:positionH>
                <wp:positionV relativeFrom="paragraph">
                  <wp:posOffset>4692650</wp:posOffset>
                </wp:positionV>
                <wp:extent cx="1598295" cy="868045"/>
                <wp:effectExtent l="4445" t="4445" r="16510" b="22860"/>
                <wp:wrapNone/>
                <wp:docPr id="21" name="文本框 21"/>
                <wp:cNvGraphicFramePr/>
                <a:graphic xmlns:a="http://schemas.openxmlformats.org/drawingml/2006/main">
                  <a:graphicData uri="http://schemas.microsoft.com/office/word/2010/wordprocessingShape">
                    <wps:wsp>
                      <wps:cNvSpPr txBox="1"/>
                      <wps:spPr>
                        <a:xfrm>
                          <a:off x="0" y="0"/>
                          <a:ext cx="1598295" cy="868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0A781">
                            <w:pPr>
                              <w:jc w:val="center"/>
                              <w:rPr>
                                <w:rFonts w:hint="eastAsia"/>
                                <w:b/>
                                <w:bCs/>
                                <w:lang w:val="en-US" w:eastAsia="zh-CN"/>
                              </w:rPr>
                            </w:pPr>
                            <w:r>
                              <w:rPr>
                                <w:rFonts w:hint="eastAsia"/>
                                <w:b/>
                                <w:bCs/>
                                <w:lang w:val="en-US" w:eastAsia="zh-CN"/>
                              </w:rPr>
                              <w:t>图例</w:t>
                            </w:r>
                          </w:p>
                          <w:p w14:paraId="3139885C">
                            <w:pPr>
                              <w:spacing w:line="360" w:lineRule="auto"/>
                              <w:jc w:val="center"/>
                              <w:rPr>
                                <w:rFonts w:hint="eastAsia"/>
                                <w:b/>
                                <w:bCs/>
                                <w:lang w:val="en-US" w:eastAsia="zh-CN"/>
                              </w:rPr>
                            </w:pPr>
                          </w:p>
                          <w:p w14:paraId="0EE2B8A1">
                            <w:pPr>
                              <w:spacing w:line="360" w:lineRule="auto"/>
                              <w:jc w:val="center"/>
                              <w:rPr>
                                <w:rFonts w:hint="default"/>
                                <w:b/>
                                <w:bCs/>
                                <w:lang w:val="en-US" w:eastAsia="zh-CN"/>
                              </w:rPr>
                            </w:pPr>
                            <w:r>
                              <w:rPr>
                                <w:rFonts w:hint="eastAsia"/>
                                <w:b/>
                                <w:bCs/>
                                <w:lang w:val="en-US" w:eastAsia="zh-CN"/>
                              </w:rPr>
                              <w:t xml:space="preserve">      本工程位置</w:t>
                            </w:r>
                          </w:p>
                        </w:txbxContent>
                      </wps:txbx>
                      <wps:bodyPr upright="1"/>
                    </wps:wsp>
                  </a:graphicData>
                </a:graphic>
              </wp:anchor>
            </w:drawing>
          </mc:Choice>
          <mc:Fallback>
            <w:pict>
              <v:shape id="_x0000_s1026" o:spid="_x0000_s1026" o:spt="202" type="#_x0000_t202" style="position:absolute;left:0pt;margin-left:544.25pt;margin-top:369.5pt;height:68.35pt;width:125.85pt;z-index:251669504;mso-width-relative:page;mso-height-relative:page;" fillcolor="#FFFFFF" filled="t" stroked="t" coordsize="21600,21600" o:gfxdata="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48myrbAAAADQEAAA8AAAAAAAAAAQAg&#10;AAAAIgAAAGRycy9kb3ducmV2LnhtbFBLAQIUABQAAAAIAIdO4kA/0TTfCwIAADgEAAAOAAAAAAAA&#10;AAEAIAAAACoBAABkcnMvZTJvRG9jLnhtbFBLBQYAAAAABgAGAFkBAACnBQAAAAA=&#10;">
                <v:fill on="t" focussize="0,0"/>
                <v:stroke color="#000000" joinstyle="miter"/>
                <v:imagedata o:title=""/>
                <o:lock v:ext="edit" aspectratio="f"/>
                <v:textbox>
                  <w:txbxContent>
                    <w:p w14:paraId="5B20A781">
                      <w:pPr>
                        <w:jc w:val="center"/>
                        <w:rPr>
                          <w:rFonts w:hint="eastAsia"/>
                          <w:b/>
                          <w:bCs/>
                          <w:lang w:val="en-US" w:eastAsia="zh-CN"/>
                        </w:rPr>
                      </w:pPr>
                      <w:r>
                        <w:rPr>
                          <w:rFonts w:hint="eastAsia"/>
                          <w:b/>
                          <w:bCs/>
                          <w:lang w:val="en-US" w:eastAsia="zh-CN"/>
                        </w:rPr>
                        <w:t>图例</w:t>
                      </w:r>
                    </w:p>
                    <w:p w14:paraId="3139885C">
                      <w:pPr>
                        <w:spacing w:line="360" w:lineRule="auto"/>
                        <w:jc w:val="center"/>
                        <w:rPr>
                          <w:rFonts w:hint="eastAsia"/>
                          <w:b/>
                          <w:bCs/>
                          <w:lang w:val="en-US" w:eastAsia="zh-CN"/>
                        </w:rPr>
                      </w:pPr>
                    </w:p>
                    <w:p w14:paraId="0EE2B8A1">
                      <w:pPr>
                        <w:spacing w:line="360" w:lineRule="auto"/>
                        <w:jc w:val="center"/>
                        <w:rPr>
                          <w:rFonts w:hint="default"/>
                          <w:b/>
                          <w:bCs/>
                          <w:lang w:val="en-US" w:eastAsia="zh-CN"/>
                        </w:rPr>
                      </w:pPr>
                      <w:r>
                        <w:rPr>
                          <w:rFonts w:hint="eastAsia"/>
                          <w:b/>
                          <w:bCs/>
                          <w:lang w:val="en-US" w:eastAsia="zh-CN"/>
                        </w:rPr>
                        <w:t xml:space="preserve">      本工程位置</w:t>
                      </w:r>
                    </w:p>
                  </w:txbxContent>
                </v:textbox>
              </v:shape>
            </w:pict>
          </mc:Fallback>
        </mc:AlternateContent>
      </w:r>
      <w:r>
        <w:rPr>
          <w:color w:val="000000"/>
          <w:sz w:val="24"/>
          <w:highlight w:val="none"/>
        </w:rPr>
        <w:drawing>
          <wp:anchor distT="0" distB="0" distL="114300" distR="114300" simplePos="0" relativeHeight="251664384" behindDoc="0" locked="0" layoutInCell="1" allowOverlap="1">
            <wp:simplePos x="0" y="0"/>
            <wp:positionH relativeFrom="column">
              <wp:posOffset>7499985</wp:posOffset>
            </wp:positionH>
            <wp:positionV relativeFrom="paragraph">
              <wp:posOffset>-32385</wp:posOffset>
            </wp:positionV>
            <wp:extent cx="1075055" cy="1024890"/>
            <wp:effectExtent l="0" t="0" r="10795" b="3810"/>
            <wp:wrapNone/>
            <wp:docPr id="2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4"/>
                    <pic:cNvPicPr>
                      <a:picLocks noChangeAspect="1"/>
                    </pic:cNvPicPr>
                  </pic:nvPicPr>
                  <pic:blipFill>
                    <a:blip r:embed="rId43"/>
                    <a:stretch>
                      <a:fillRect/>
                    </a:stretch>
                  </pic:blipFill>
                  <pic:spPr>
                    <a:xfrm>
                      <a:off x="0" y="0"/>
                      <a:ext cx="1075055" cy="1024890"/>
                    </a:xfrm>
                    <a:prstGeom prst="rect">
                      <a:avLst/>
                    </a:prstGeom>
                    <a:noFill/>
                    <a:ln>
                      <a:noFill/>
                    </a:ln>
                  </pic:spPr>
                </pic:pic>
              </a:graphicData>
            </a:graphic>
          </wp:anchor>
        </w:drawing>
      </w:r>
      <w:r>
        <w:rPr>
          <w:color w:val="000000"/>
          <w:highlight w:val="none"/>
        </w:rPr>
        <w:drawing>
          <wp:inline distT="0" distB="0" distL="114300" distR="114300">
            <wp:extent cx="8521700" cy="5558155"/>
            <wp:effectExtent l="0" t="0" r="12700" b="4445"/>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pic:cNvPicPr>
                  </pic:nvPicPr>
                  <pic:blipFill>
                    <a:blip r:embed="rId44"/>
                    <a:stretch>
                      <a:fillRect/>
                    </a:stretch>
                  </pic:blipFill>
                  <pic:spPr>
                    <a:xfrm>
                      <a:off x="0" y="0"/>
                      <a:ext cx="8521700" cy="5558155"/>
                    </a:xfrm>
                    <a:prstGeom prst="rect">
                      <a:avLst/>
                    </a:prstGeom>
                    <a:noFill/>
                    <a:ln>
                      <a:noFill/>
                    </a:ln>
                  </pic:spPr>
                </pic:pic>
              </a:graphicData>
            </a:graphic>
          </wp:inline>
        </w:drawing>
      </w:r>
    </w:p>
    <w:p w14:paraId="1D4E437B">
      <w:pPr>
        <w:rPr>
          <w:color w:val="000000"/>
          <w:highlight w:val="none"/>
        </w:rPr>
      </w:pPr>
    </w:p>
    <w:p w14:paraId="36CCE690">
      <w:pPr>
        <w:pStyle w:val="12"/>
        <w:ind w:left="0" w:leftChars="0" w:firstLine="0" w:firstLineChars="0"/>
        <w:jc w:val="center"/>
        <w:rPr>
          <w:rFonts w:hint="eastAsia"/>
          <w:b/>
          <w:bCs/>
          <w:color w:val="000000"/>
          <w:sz w:val="21"/>
          <w:szCs w:val="21"/>
          <w:highlight w:val="none"/>
          <w:lang w:val="en-US" w:eastAsia="zh-CN"/>
        </w:rPr>
        <w:sectPr>
          <w:pgSz w:w="16838" w:h="11906" w:orient="landscape"/>
          <w:pgMar w:top="1531" w:right="1701" w:bottom="964" w:left="1701" w:header="851" w:footer="851" w:gutter="0"/>
          <w:pgBorders>
            <w:top w:val="none" w:sz="0" w:space="0"/>
            <w:left w:val="none" w:sz="0" w:space="0"/>
            <w:bottom w:val="none" w:sz="0" w:space="0"/>
            <w:right w:val="none" w:sz="0" w:space="0"/>
          </w:pgBorders>
          <w:cols w:space="720" w:num="1"/>
          <w:rtlGutter w:val="0"/>
          <w:docGrid w:linePitch="312" w:charSpace="0"/>
        </w:sectPr>
      </w:pPr>
      <w:r>
        <w:rPr>
          <w:color w:val="000000"/>
          <w:sz w:val="24"/>
          <w:highlight w:val="none"/>
        </w:rPr>
        <mc:AlternateContent>
          <mc:Choice Requires="wps">
            <w:drawing>
              <wp:anchor distT="0" distB="0" distL="114300" distR="114300" simplePos="0" relativeHeight="251667456" behindDoc="0" locked="0" layoutInCell="1" allowOverlap="1">
                <wp:simplePos x="0" y="0"/>
                <wp:positionH relativeFrom="column">
                  <wp:posOffset>-4862195</wp:posOffset>
                </wp:positionH>
                <wp:positionV relativeFrom="paragraph">
                  <wp:posOffset>207010</wp:posOffset>
                </wp:positionV>
                <wp:extent cx="2086610" cy="304800"/>
                <wp:effectExtent l="7620" t="7620" r="20320" b="678180"/>
                <wp:wrapNone/>
                <wp:docPr id="18" name="圆角矩形标注 18"/>
                <wp:cNvGraphicFramePr/>
                <a:graphic xmlns:a="http://schemas.openxmlformats.org/drawingml/2006/main">
                  <a:graphicData uri="http://schemas.microsoft.com/office/word/2010/wordprocessingShape">
                    <wps:wsp>
                      <wps:cNvSpPr/>
                      <wps:spPr>
                        <a:xfrm>
                          <a:off x="0" y="0"/>
                          <a:ext cx="2086610" cy="304800"/>
                        </a:xfrm>
                        <a:prstGeom prst="wedgeRoundRectCallout">
                          <a:avLst>
                            <a:gd name="adj1" fmla="val 46745"/>
                            <a:gd name="adj2" fmla="val 259583"/>
                            <a:gd name="adj3" fmla="val 16667"/>
                          </a:avLst>
                        </a:prstGeom>
                        <a:solidFill>
                          <a:srgbClr val="FFFFFF"/>
                        </a:solidFill>
                        <a:ln w="15875" cap="flat" cmpd="sng">
                          <a:solidFill>
                            <a:srgbClr val="000000"/>
                          </a:solidFill>
                          <a:prstDash val="solid"/>
                          <a:miter/>
                          <a:headEnd type="none" w="med" len="med"/>
                          <a:tailEnd type="none" w="med" len="med"/>
                        </a:ln>
                      </wps:spPr>
                      <wps:txbx>
                        <w:txbxContent>
                          <w:p w14:paraId="30581ACC">
                            <w:pPr>
                              <w:rPr>
                                <w:rFonts w:hint="default"/>
                                <w:lang w:val="en-US" w:eastAsia="zh-CN"/>
                              </w:rPr>
                            </w:pPr>
                            <w:r>
                              <w:rPr>
                                <w:rFonts w:hint="eastAsia" w:ascii="宋体" w:hAnsi="宋体" w:eastAsia="宋体"/>
                                <w:b/>
                                <w:bCs/>
                                <w:color w:val="000000"/>
                                <w:sz w:val="21"/>
                                <w:szCs w:val="21"/>
                                <w:lang w:eastAsia="zh-CN"/>
                              </w:rPr>
                              <w:t>内蒙古星光煤炭集团鄂托克旗华誉煤焦化有限公司</w:t>
                            </w:r>
                            <w:r>
                              <w:rPr>
                                <w:rFonts w:hint="eastAsia" w:ascii="宋体" w:hAnsi="宋体" w:eastAsia="宋体"/>
                                <w:b/>
                                <w:bCs/>
                                <w:color w:val="000000"/>
                                <w:sz w:val="21"/>
                                <w:szCs w:val="21"/>
                                <w:lang w:val="en-US" w:eastAsia="zh-CN"/>
                              </w:rPr>
                              <w:t>范围</w:t>
                            </w:r>
                          </w:p>
                        </w:txbxContent>
                      </wps:txbx>
                      <wps:bodyPr upright="1"/>
                    </wps:wsp>
                  </a:graphicData>
                </a:graphic>
              </wp:anchor>
            </w:drawing>
          </mc:Choice>
          <mc:Fallback>
            <w:pict>
              <v:shape id="_x0000_s1026" o:spid="_x0000_s1026" o:spt="62" type="#_x0000_t62" style="position:absolute;left:0pt;margin-left:-382.85pt;margin-top:16.3pt;height:24pt;width:164.3pt;z-index:251667456;mso-width-relative:page;mso-height-relative:page;" fillcolor="#FFFFFF" filled="t" stroked="t" coordsize="21600,21600" o:gfxdata="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WUbdsAAAAL&#10;AQAADwAAAAAAAAABACAAAAAiAAAAZHJzL2Rvd25yZXYueG1sUEsBAhQAFAAAAAgAh07iQFLBHHVS&#10;AgAAvwQAAA4AAAAAAAAAAQAgAAAAKgEAAGRycy9lMm9Eb2MueG1sUEsFBgAAAAAGAAYAWQEAAO4F&#10;AAAAAA==&#10;" adj="20897,66870,14400">
                <v:fill on="t" focussize="0,0"/>
                <v:stroke weight="1.25pt" color="#000000" joinstyle="miter"/>
                <v:imagedata o:title=""/>
                <o:lock v:ext="edit" aspectratio="f"/>
                <v:textbox>
                  <w:txbxContent>
                    <w:p w14:paraId="30581ACC">
                      <w:pPr>
                        <w:rPr>
                          <w:rFonts w:hint="default"/>
                          <w:lang w:val="en-US" w:eastAsia="zh-CN"/>
                        </w:rPr>
                      </w:pPr>
                      <w:r>
                        <w:rPr>
                          <w:rFonts w:hint="eastAsia" w:ascii="宋体" w:hAnsi="宋体" w:eastAsia="宋体"/>
                          <w:b/>
                          <w:bCs/>
                          <w:color w:val="000000"/>
                          <w:sz w:val="21"/>
                          <w:szCs w:val="21"/>
                          <w:lang w:eastAsia="zh-CN"/>
                        </w:rPr>
                        <w:t>内蒙古星光煤炭集团鄂托克旗华誉煤焦化有限公司</w:t>
                      </w:r>
                      <w:r>
                        <w:rPr>
                          <w:rFonts w:hint="eastAsia" w:ascii="宋体" w:hAnsi="宋体" w:eastAsia="宋体"/>
                          <w:b/>
                          <w:bCs/>
                          <w:color w:val="000000"/>
                          <w:sz w:val="21"/>
                          <w:szCs w:val="21"/>
                          <w:lang w:val="en-US" w:eastAsia="zh-CN"/>
                        </w:rPr>
                        <w:t>范围</w:t>
                      </w:r>
                    </w:p>
                  </w:txbxContent>
                </v:textbox>
              </v:shape>
            </w:pict>
          </mc:Fallback>
        </mc:AlternateContent>
      </w:r>
      <w:r>
        <w:rPr>
          <w:color w:val="000000"/>
          <w:sz w:val="24"/>
          <w:highlight w:val="none"/>
        </w:rPr>
        <mc:AlternateContent>
          <mc:Choice Requires="wps">
            <w:drawing>
              <wp:anchor distT="0" distB="0" distL="114300" distR="114300" simplePos="0" relativeHeight="251666432" behindDoc="0" locked="0" layoutInCell="1" allowOverlap="1">
                <wp:simplePos x="0" y="0"/>
                <wp:positionH relativeFrom="column">
                  <wp:posOffset>-1856105</wp:posOffset>
                </wp:positionH>
                <wp:positionV relativeFrom="paragraph">
                  <wp:posOffset>125730</wp:posOffset>
                </wp:positionV>
                <wp:extent cx="712470" cy="304800"/>
                <wp:effectExtent l="210820" t="7620" r="10160" b="544830"/>
                <wp:wrapNone/>
                <wp:docPr id="17" name="圆角矩形标注 17"/>
                <wp:cNvGraphicFramePr/>
                <a:graphic xmlns:a="http://schemas.openxmlformats.org/drawingml/2006/main">
                  <a:graphicData uri="http://schemas.microsoft.com/office/word/2010/wordprocessingShape">
                    <wps:wsp>
                      <wps:cNvSpPr/>
                      <wps:spPr>
                        <a:xfrm>
                          <a:off x="0" y="0"/>
                          <a:ext cx="712470" cy="304800"/>
                        </a:xfrm>
                        <a:prstGeom prst="wedgeRoundRectCallout">
                          <a:avLst>
                            <a:gd name="adj1" fmla="val -74079"/>
                            <a:gd name="adj2" fmla="val 210625"/>
                            <a:gd name="adj3" fmla="val 16667"/>
                          </a:avLst>
                        </a:prstGeom>
                        <a:solidFill>
                          <a:srgbClr val="FFFFFF"/>
                        </a:solidFill>
                        <a:ln w="15875" cap="flat" cmpd="sng">
                          <a:solidFill>
                            <a:srgbClr val="000000"/>
                          </a:solidFill>
                          <a:prstDash val="solid"/>
                          <a:miter/>
                          <a:headEnd type="none" w="med" len="med"/>
                          <a:tailEnd type="none" w="med" len="med"/>
                        </a:ln>
                      </wps:spPr>
                      <wps:txbx>
                        <w:txbxContent>
                          <w:p w14:paraId="47B75399">
                            <w:pPr>
                              <w:jc w:val="center"/>
                              <w:rPr>
                                <w:rFonts w:hint="eastAsia" w:ascii="宋体" w:hAnsi="宋体" w:eastAsia="宋体"/>
                                <w:szCs w:val="21"/>
                                <w:lang w:val="en-US" w:eastAsia="zh-CN"/>
                              </w:rPr>
                            </w:pPr>
                            <w:r>
                              <w:rPr>
                                <w:rFonts w:hint="eastAsia" w:ascii="宋体" w:hAnsi="宋体"/>
                                <w:szCs w:val="21"/>
                                <w:lang w:val="en-US" w:eastAsia="zh-CN"/>
                              </w:rPr>
                              <w:t>本项目</w:t>
                            </w:r>
                          </w:p>
                        </w:txbxContent>
                      </wps:txbx>
                      <wps:bodyPr upright="1"/>
                    </wps:wsp>
                  </a:graphicData>
                </a:graphic>
              </wp:anchor>
            </w:drawing>
          </mc:Choice>
          <mc:Fallback>
            <w:pict>
              <v:shape id="_x0000_s1026" o:spid="_x0000_s1026" o:spt="62" type="#_x0000_t62" style="position:absolute;left:0pt;margin-left:-146.15pt;margin-top:9.9pt;height:24pt;width:56.1pt;z-index:251666432;mso-width-relative:page;mso-height-relative:page;" fillcolor="#FFFFFF" filled="t" stroked="t" coordsize="21600,21600" o:gfxdata="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CIgu2QAAAAsB&#10;AAAPAAAAAAAAAAEAIAAAACIAAABkcnMvZG93bnJldi54bWxQSwECFAAUAAAACACHTuJAEQ8VHVMC&#10;AAC/BAAADgAAAAAAAAABACAAAAAoAQAAZHJzL2Uyb0RvYy54bWxQSwUGAAAAAAYABgBZAQAA7QUA&#10;AAAA&#10;" adj="-5201,56295,14400">
                <v:fill on="t" focussize="0,0"/>
                <v:stroke weight="1.25pt" color="#000000" joinstyle="miter"/>
                <v:imagedata o:title=""/>
                <o:lock v:ext="edit" aspectratio="f"/>
                <v:textbox>
                  <w:txbxContent>
                    <w:p w14:paraId="47B75399">
                      <w:pPr>
                        <w:jc w:val="center"/>
                        <w:rPr>
                          <w:rFonts w:hint="eastAsia" w:ascii="宋体" w:hAnsi="宋体" w:eastAsia="宋体"/>
                          <w:szCs w:val="21"/>
                          <w:lang w:val="en-US" w:eastAsia="zh-CN"/>
                        </w:rPr>
                      </w:pPr>
                      <w:r>
                        <w:rPr>
                          <w:rFonts w:hint="eastAsia" w:ascii="宋体" w:hAnsi="宋体"/>
                          <w:szCs w:val="21"/>
                          <w:lang w:val="en-US" w:eastAsia="zh-CN"/>
                        </w:rPr>
                        <w:t>本项目</w:t>
                      </w:r>
                    </w:p>
                  </w:txbxContent>
                </v:textbox>
              </v:shape>
            </w:pict>
          </mc:Fallback>
        </mc:AlternateContent>
      </w:r>
      <w:r>
        <w:rPr>
          <w:color w:val="000000"/>
          <w:sz w:val="21"/>
          <w:highlight w:val="none"/>
        </w:rPr>
        <mc:AlternateContent>
          <mc:Choice Requires="wps">
            <w:drawing>
              <wp:anchor distT="0" distB="0" distL="114300" distR="114300" simplePos="0" relativeHeight="251668480" behindDoc="0" locked="0" layoutInCell="1" allowOverlap="1">
                <wp:simplePos x="0" y="0"/>
                <wp:positionH relativeFrom="column">
                  <wp:posOffset>-2783205</wp:posOffset>
                </wp:positionH>
                <wp:positionV relativeFrom="paragraph">
                  <wp:posOffset>118110</wp:posOffset>
                </wp:positionV>
                <wp:extent cx="1033145" cy="366395"/>
                <wp:effectExtent l="19050" t="19050" r="33655" b="33655"/>
                <wp:wrapNone/>
                <wp:docPr id="16" name="任意多边形 16"/>
                <wp:cNvGraphicFramePr/>
                <a:graphic xmlns:a="http://schemas.openxmlformats.org/drawingml/2006/main">
                  <a:graphicData uri="http://schemas.microsoft.com/office/word/2010/wordprocessingShape">
                    <wps:wsp>
                      <wps:cNvSpPr/>
                      <wps:spPr>
                        <a:xfrm>
                          <a:off x="0" y="0"/>
                          <a:ext cx="1033145" cy="366395"/>
                        </a:xfrm>
                        <a:custGeom>
                          <a:avLst/>
                          <a:gdLst/>
                          <a:ahLst/>
                          <a:cxnLst/>
                          <a:pathLst>
                            <a:path w="13022" h="5836">
                              <a:moveTo>
                                <a:pt x="27" y="14"/>
                              </a:moveTo>
                              <a:lnTo>
                                <a:pt x="5004" y="0"/>
                              </a:lnTo>
                              <a:lnTo>
                                <a:pt x="5031" y="1445"/>
                              </a:lnTo>
                              <a:lnTo>
                                <a:pt x="10363" y="1486"/>
                              </a:lnTo>
                              <a:lnTo>
                                <a:pt x="10363" y="2714"/>
                              </a:lnTo>
                              <a:lnTo>
                                <a:pt x="13022" y="2700"/>
                              </a:lnTo>
                              <a:lnTo>
                                <a:pt x="13022" y="5836"/>
                              </a:lnTo>
                              <a:lnTo>
                                <a:pt x="0" y="5836"/>
                              </a:lnTo>
                              <a:lnTo>
                                <a:pt x="27" y="14"/>
                              </a:lnTo>
                              <a:close/>
                            </a:path>
                          </a:pathLst>
                        </a:custGeom>
                        <a:noFill/>
                        <a:ln w="381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19.15pt;margin-top:9.3pt;height:28.85pt;width:81.35pt;z-index:251668480;mso-width-relative:page;mso-height-relative:page;" filled="f" stroked="t" coordsize="13022,5836" o:gfxdata="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Vu18rbAAAACwEA&#10;AA8AAAAAAAAAAQAgAAAAIgAAAGRycy9kb3ducmV2LnhtbFBLAQIUABQAAAAIAIdO4kCT2fxRiQIA&#10;AMMFAAAOAAAAAAAAAAEAIAAAACoBAABkcnMvZTJvRG9jLnhtbFBLBQYAAAAABgAGAFkBAAAlBgAA&#10;AAA=&#10;" path="m27,14l5004,0,5031,1445,10363,1486,10363,2714,13022,2700,13022,5836,0,5836,27,14xe">
                <v:fill on="f" focussize="0,0"/>
                <v:stroke weight="3pt" color="#000000" joinstyle="round"/>
                <v:imagedata o:title=""/>
                <o:lock v:ext="edit" aspectratio="f"/>
              </v:shape>
            </w:pict>
          </mc:Fallback>
        </mc:AlternateContent>
      </w:r>
      <w:r>
        <w:rPr>
          <w:color w:val="000000"/>
          <w:sz w:val="24"/>
          <w:highlight w:val="none"/>
        </w:rPr>
        <mc:AlternateContent>
          <mc:Choice Requires="wps">
            <w:drawing>
              <wp:anchor distT="0" distB="0" distL="114300" distR="114300" simplePos="0" relativeHeight="251665408" behindDoc="0" locked="0" layoutInCell="1" allowOverlap="1">
                <wp:simplePos x="0" y="0"/>
                <wp:positionH relativeFrom="column">
                  <wp:posOffset>-1242060</wp:posOffset>
                </wp:positionH>
                <wp:positionV relativeFrom="paragraph">
                  <wp:posOffset>125730</wp:posOffset>
                </wp:positionV>
                <wp:extent cx="180975" cy="391795"/>
                <wp:effectExtent l="4445" t="4445" r="5080" b="22860"/>
                <wp:wrapNone/>
                <wp:docPr id="15" name="矩形 15"/>
                <wp:cNvGraphicFramePr/>
                <a:graphic xmlns:a="http://schemas.openxmlformats.org/drawingml/2006/main">
                  <a:graphicData uri="http://schemas.microsoft.com/office/word/2010/wordprocessingShape">
                    <wps:wsp>
                      <wps:cNvSpPr/>
                      <wps:spPr>
                        <a:xfrm>
                          <a:off x="0" y="0"/>
                          <a:ext cx="180975" cy="3917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7.8pt;margin-top:9.9pt;height:30.85pt;width:14.25pt;z-index:251665408;mso-width-relative:page;mso-height-relative:page;" filled="f" stroked="t" coordsize="21600,21600" o:gfxdata="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6bYAAAACwEAAA8AAAAAAAAAAQAgAAAAIgAAAGRycy9kb3ducmV2LnhtbFBL&#10;AQIUABQAAAAIAIdO4kBtlEDE9gEAAPYDAAAOAAAAAAAAAAEAIAAAACcBAABkcnMvZTJvRG9jLnht&#10;bFBLBQYAAAAABgAGAFkBAACPBQAAAAA=&#10;">
                <v:fill on="f" focussize="0,0"/>
                <v:stroke color="#000000" joinstyle="miter"/>
                <v:imagedata o:title=""/>
                <o:lock v:ext="edit" aspectratio="f"/>
              </v:rect>
            </w:pict>
          </mc:Fallback>
        </mc:AlternateContent>
      </w:r>
      <w:r>
        <w:rPr>
          <w:rFonts w:hint="eastAsia"/>
          <w:b/>
          <w:bCs/>
          <w:color w:val="000000"/>
          <w:sz w:val="21"/>
          <w:szCs w:val="21"/>
          <w:highlight w:val="none"/>
          <w:lang w:val="en-US" w:eastAsia="zh-CN"/>
        </w:rPr>
        <w:t>附图2 项目周边关系图</w:t>
      </w:r>
    </w:p>
    <w:p w14:paraId="14575B66">
      <w:pPr>
        <w:rPr>
          <w:rFonts w:hint="eastAsia"/>
          <w:color w:val="000000"/>
          <w:highlight w:val="none"/>
          <w:lang w:val="en-US" w:eastAsia="zh-CN"/>
        </w:rPr>
      </w:pPr>
      <w:r>
        <w:rPr>
          <w:color w:val="000000"/>
          <w:highlight w:val="none"/>
        </w:rPr>
        <w:drawing>
          <wp:inline distT="0" distB="0" distL="114300" distR="114300">
            <wp:extent cx="8885555" cy="5449570"/>
            <wp:effectExtent l="0" t="0" r="10795" b="1778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45"/>
                    <a:stretch>
                      <a:fillRect/>
                    </a:stretch>
                  </pic:blipFill>
                  <pic:spPr>
                    <a:xfrm>
                      <a:off x="0" y="0"/>
                      <a:ext cx="8885555" cy="5449570"/>
                    </a:xfrm>
                    <a:prstGeom prst="rect">
                      <a:avLst/>
                    </a:prstGeom>
                    <a:noFill/>
                    <a:ln>
                      <a:noFill/>
                    </a:ln>
                  </pic:spPr>
                </pic:pic>
              </a:graphicData>
            </a:graphic>
          </wp:inline>
        </w:drawing>
      </w:r>
    </w:p>
    <w:p w14:paraId="18DC1A8B">
      <w:pPr>
        <w:rPr>
          <w:rFonts w:hint="eastAsia"/>
          <w:color w:val="000000"/>
          <w:highlight w:val="none"/>
          <w:lang w:val="en-US" w:eastAsia="zh-CN"/>
        </w:rPr>
      </w:pPr>
    </w:p>
    <w:p w14:paraId="76BF38A2">
      <w:pPr>
        <w:jc w:val="center"/>
        <w:rPr>
          <w:rFonts w:hint="eastAsia"/>
          <w:b/>
          <w:bCs/>
          <w:color w:val="000000"/>
          <w:highlight w:val="none"/>
          <w:lang w:val="en-US" w:eastAsia="zh-CN"/>
        </w:rPr>
        <w:sectPr>
          <w:footerReference r:id="rId10" w:type="default"/>
          <w:pgSz w:w="16838" w:h="11906" w:orient="landscape"/>
          <w:pgMar w:top="1020" w:right="1417" w:bottom="850" w:left="1417" w:header="1020" w:footer="992" w:gutter="0"/>
          <w:pgBorders>
            <w:top w:val="none" w:sz="0" w:space="0"/>
            <w:left w:val="none" w:sz="0" w:space="0"/>
            <w:bottom w:val="none" w:sz="0" w:space="0"/>
            <w:right w:val="none" w:sz="0" w:space="0"/>
          </w:pgBorders>
          <w:cols w:space="720" w:num="1"/>
          <w:docGrid w:linePitch="312" w:charSpace="0"/>
        </w:sectPr>
      </w:pPr>
      <w:r>
        <w:rPr>
          <w:rFonts w:hint="eastAsia"/>
          <w:b/>
          <w:bCs/>
          <w:color w:val="000000"/>
          <w:highlight w:val="none"/>
          <w:lang w:val="en-US" w:eastAsia="zh-CN"/>
        </w:rPr>
        <w:t>附图3-1 厂区总平面布置图</w:t>
      </w:r>
    </w:p>
    <w:p w14:paraId="15276B72">
      <w:pPr>
        <w:jc w:val="center"/>
        <w:rPr>
          <w:rFonts w:hint="default"/>
          <w:b/>
          <w:bCs/>
          <w:color w:val="000000"/>
          <w:highlight w:val="none"/>
          <w:lang w:val="en-US" w:eastAsia="zh-CN"/>
        </w:rPr>
        <w:sectPr>
          <w:pgSz w:w="16838" w:h="11906" w:orient="landscape"/>
          <w:pgMar w:top="1020" w:right="1417" w:bottom="850" w:left="1417" w:header="1020" w:footer="992" w:gutter="0"/>
          <w:pgBorders>
            <w:top w:val="none" w:sz="0" w:space="0"/>
            <w:left w:val="none" w:sz="0" w:space="0"/>
            <w:bottom w:val="none" w:sz="0" w:space="0"/>
            <w:right w:val="none" w:sz="0" w:space="0"/>
          </w:pgBorders>
          <w:cols w:space="720" w:num="1"/>
          <w:docGrid w:linePitch="312" w:charSpace="0"/>
        </w:sectPr>
      </w:pPr>
      <w:r>
        <w:rPr>
          <w:color w:val="000000"/>
          <w:highlight w:val="none"/>
        </w:rPr>
        <w:drawing>
          <wp:inline distT="0" distB="0" distL="114300" distR="114300">
            <wp:extent cx="8890000" cy="5477510"/>
            <wp:effectExtent l="0" t="0" r="6350" b="889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46"/>
                    <a:stretch>
                      <a:fillRect/>
                    </a:stretch>
                  </pic:blipFill>
                  <pic:spPr>
                    <a:xfrm>
                      <a:off x="0" y="0"/>
                      <a:ext cx="8890000" cy="5477510"/>
                    </a:xfrm>
                    <a:prstGeom prst="rect">
                      <a:avLst/>
                    </a:prstGeom>
                    <a:noFill/>
                    <a:ln>
                      <a:noFill/>
                    </a:ln>
                  </pic:spPr>
                </pic:pic>
              </a:graphicData>
            </a:graphic>
          </wp:inline>
        </w:drawing>
      </w:r>
      <w:r>
        <w:rPr>
          <w:rFonts w:hint="eastAsia"/>
          <w:b/>
          <w:bCs/>
          <w:color w:val="000000"/>
          <w:highlight w:val="none"/>
          <w:lang w:val="en-US" w:eastAsia="zh-CN"/>
        </w:rPr>
        <w:t>附图3-2  中水回用及零排放系统平面布置图</w:t>
      </w:r>
    </w:p>
    <w:p w14:paraId="4C75DCE3">
      <w:pPr>
        <w:jc w:val="center"/>
        <w:rPr>
          <w:rFonts w:hint="eastAsia"/>
          <w:b/>
          <w:bCs/>
          <w:color w:val="000000"/>
          <w:highlight w:val="none"/>
          <w:lang w:val="en-US" w:eastAsia="zh-CN"/>
        </w:rPr>
      </w:pPr>
    </w:p>
    <w:p w14:paraId="73FA8894">
      <w:pPr>
        <w:pStyle w:val="10"/>
        <w:keepNext w:val="0"/>
        <w:keepLines w:val="0"/>
        <w:widowControl/>
        <w:suppressLineNumbers w:val="0"/>
        <w:wordWrap w:val="0"/>
        <w:spacing w:before="300" w:beforeAutospacing="0" w:after="100" w:afterAutospacing="1" w:line="540" w:lineRule="atLeast"/>
        <w:ind w:left="0" w:right="0"/>
        <w:jc w:val="center"/>
        <w:rPr>
          <w:rFonts w:ascii="微软雅黑" w:hAnsi="微软雅黑" w:eastAsia="微软雅黑" w:cs="微软雅黑"/>
          <w:color w:val="000000"/>
          <w:sz w:val="27"/>
          <w:szCs w:val="27"/>
          <w:highlight w:val="none"/>
          <w:u w:val="none"/>
        </w:rPr>
      </w:pPr>
      <w:r>
        <w:rPr>
          <w:rFonts w:ascii="Times New Roman" w:hAnsi="Times New Roman"/>
          <w:bCs/>
          <w:color w:val="000000"/>
          <w:sz w:val="24"/>
          <w:highlight w:val="none"/>
          <w:lang w:val="zh-CN"/>
        </w:rPr>
        <mc:AlternateContent>
          <mc:Choice Requires="wps">
            <w:drawing>
              <wp:anchor distT="0" distB="0" distL="114300" distR="114300" simplePos="0" relativeHeight="251662336" behindDoc="0" locked="0" layoutInCell="1" allowOverlap="1">
                <wp:simplePos x="0" y="0"/>
                <wp:positionH relativeFrom="column">
                  <wp:posOffset>1874520</wp:posOffset>
                </wp:positionH>
                <wp:positionV relativeFrom="paragraph">
                  <wp:posOffset>591820</wp:posOffset>
                </wp:positionV>
                <wp:extent cx="1654175" cy="304800"/>
                <wp:effectExtent l="323215" t="7620" r="22860" b="982980"/>
                <wp:wrapNone/>
                <wp:docPr id="12" name="圆角矩形标注 12"/>
                <wp:cNvGraphicFramePr/>
                <a:graphic xmlns:a="http://schemas.openxmlformats.org/drawingml/2006/main">
                  <a:graphicData uri="http://schemas.microsoft.com/office/word/2010/wordprocessingShape">
                    <wps:wsp>
                      <wps:cNvSpPr/>
                      <wps:spPr>
                        <a:xfrm>
                          <a:off x="0" y="0"/>
                          <a:ext cx="1654175" cy="304800"/>
                        </a:xfrm>
                        <a:prstGeom prst="wedgeRoundRectCallout">
                          <a:avLst>
                            <a:gd name="adj1" fmla="val -67269"/>
                            <a:gd name="adj2" fmla="val 354375"/>
                            <a:gd name="adj3" fmla="val 16667"/>
                          </a:avLst>
                        </a:prstGeom>
                        <a:solidFill>
                          <a:srgbClr val="FFFFFF"/>
                        </a:solidFill>
                        <a:ln w="15875" cap="flat" cmpd="sng">
                          <a:solidFill>
                            <a:srgbClr val="000000"/>
                          </a:solidFill>
                          <a:prstDash val="solid"/>
                          <a:miter/>
                          <a:headEnd type="none" w="med" len="med"/>
                          <a:tailEnd type="none" w="med" len="med"/>
                        </a:ln>
                      </wps:spPr>
                      <wps:txbx>
                        <w:txbxContent>
                          <w:p w14:paraId="5CF66BA1">
                            <w:pPr>
                              <w:jc w:val="center"/>
                              <w:rPr>
                                <w:rFonts w:hint="default" w:ascii="宋体" w:hAnsi="宋体" w:eastAsia="宋体"/>
                                <w:szCs w:val="21"/>
                                <w:lang w:val="en-US" w:eastAsia="zh-CN"/>
                              </w:rPr>
                            </w:pPr>
                            <w:r>
                              <w:rPr>
                                <w:rFonts w:hint="eastAsia" w:ascii="宋体" w:hAnsi="宋体"/>
                                <w:szCs w:val="21"/>
                              </w:rPr>
                              <w:t>项目</w:t>
                            </w:r>
                            <w:r>
                              <w:rPr>
                                <w:rFonts w:hint="eastAsia" w:ascii="宋体" w:hAnsi="宋体"/>
                                <w:szCs w:val="21"/>
                                <w:lang w:eastAsia="zh-CN"/>
                              </w:rPr>
                              <w:t>位于重点管控单元</w:t>
                            </w:r>
                          </w:p>
                        </w:txbxContent>
                      </wps:txbx>
                      <wps:bodyPr upright="1"/>
                    </wps:wsp>
                  </a:graphicData>
                </a:graphic>
              </wp:anchor>
            </w:drawing>
          </mc:Choice>
          <mc:Fallback>
            <w:pict>
              <v:shape id="_x0000_s1026" o:spid="_x0000_s1026" o:spt="62" type="#_x0000_t62" style="position:absolute;left:0pt;margin-left:147.6pt;margin-top:46.6pt;height:24pt;width:130.25pt;z-index:251662336;mso-width-relative:page;mso-height-relative:page;" fillcolor="#FFFFFF" filled="t" stroked="t" coordsize="21600,21600" o:gfxdata="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2Ge62QAA&#10;AAoBAAAPAAAAAAAAAAEAIAAAACIAAABkcnMvZG93bnJldi54bWxQSwECFAAUAAAACACHTuJA0ygq&#10;01YCAADABAAADgAAAAAAAAABACAAAAAoAQAAZHJzL2Uyb0RvYy54bWxQSwUGAAAAAAYABgBZAQAA&#10;8AUAAAAA&#10;" adj="-3730,87345,14400">
                <v:fill on="t" focussize="0,0"/>
                <v:stroke weight="1.25pt" color="#000000" joinstyle="miter"/>
                <v:imagedata o:title=""/>
                <o:lock v:ext="edit" aspectratio="f"/>
                <v:textbox>
                  <w:txbxContent>
                    <w:p w14:paraId="5CF66BA1">
                      <w:pPr>
                        <w:jc w:val="center"/>
                        <w:rPr>
                          <w:rFonts w:hint="default" w:ascii="宋体" w:hAnsi="宋体" w:eastAsia="宋体"/>
                          <w:szCs w:val="21"/>
                          <w:lang w:val="en-US" w:eastAsia="zh-CN"/>
                        </w:rPr>
                      </w:pPr>
                      <w:r>
                        <w:rPr>
                          <w:rFonts w:hint="eastAsia" w:ascii="宋体" w:hAnsi="宋体"/>
                          <w:szCs w:val="21"/>
                        </w:rPr>
                        <w:t>项目</w:t>
                      </w:r>
                      <w:r>
                        <w:rPr>
                          <w:rFonts w:hint="eastAsia" w:ascii="宋体" w:hAnsi="宋体"/>
                          <w:szCs w:val="21"/>
                          <w:lang w:eastAsia="zh-CN"/>
                        </w:rPr>
                        <w:t>位于重点管控单元</w:t>
                      </w:r>
                    </w:p>
                  </w:txbxContent>
                </v:textbox>
              </v:shape>
            </w:pict>
          </mc:Fallback>
        </mc:AlternateContent>
      </w:r>
      <w:r>
        <w:rPr>
          <w:color w:val="000000"/>
          <w:sz w:val="24"/>
          <w:highlight w:val="none"/>
        </w:rPr>
        <mc:AlternateContent>
          <mc:Choice Requires="wps">
            <w:drawing>
              <wp:anchor distT="0" distB="0" distL="114300" distR="114300" simplePos="0" relativeHeight="251663360" behindDoc="0" locked="0" layoutInCell="1" allowOverlap="1">
                <wp:simplePos x="0" y="0"/>
                <wp:positionH relativeFrom="column">
                  <wp:posOffset>1494790</wp:posOffset>
                </wp:positionH>
                <wp:positionV relativeFrom="paragraph">
                  <wp:posOffset>1834515</wp:posOffset>
                </wp:positionV>
                <wp:extent cx="76200" cy="76200"/>
                <wp:effectExtent l="7620" t="10795" r="11430" b="8255"/>
                <wp:wrapNone/>
                <wp:docPr id="11" name="等腰三角形 11"/>
                <wp:cNvGraphicFramePr/>
                <a:graphic xmlns:a="http://schemas.openxmlformats.org/drawingml/2006/main">
                  <a:graphicData uri="http://schemas.microsoft.com/office/word/2010/wordprocessingShape">
                    <wps:wsp>
                      <wps:cNvSpPr/>
                      <wps:spPr>
                        <a:xfrm>
                          <a:off x="0" y="0"/>
                          <a:ext cx="76200" cy="76200"/>
                        </a:xfrm>
                        <a:prstGeom prst="triangle">
                          <a:avLst>
                            <a:gd name="adj" fmla="val 50000"/>
                          </a:avLst>
                        </a:prstGeom>
                        <a:noFill/>
                        <a:ln w="9525" cap="flat" cmpd="sng">
                          <a:solidFill>
                            <a:srgbClr val="1E1C11"/>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17.7pt;margin-top:144.45pt;height:6pt;width:6pt;z-index:251663360;mso-width-relative:page;mso-height-relative:page;" filled="f" stroked="t" coordsize="21600,21600" o:gfxdata="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W3mL&#10;2wAAAAsBAAAPAAAAAAAAAAEAIAAAACIAAABkcnMvZG93bnJldi54bWxQSwECFAAUAAAACACHTuJA&#10;Njx0cR4CAAAtBAAADgAAAAAAAAABACAAAAAqAQAAZHJzL2Uyb0RvYy54bWxQSwUGAAAAAAYABgBZ&#10;AQAAugUAAAAA&#10;" adj="10800">
                <v:fill on="f" focussize="0,0"/>
                <v:stroke color="#1E1C11" joinstyle="miter"/>
                <v:imagedata o:title=""/>
                <o:lock v:ext="edit" aspectratio="f"/>
              </v:shape>
            </w:pict>
          </mc:Fallback>
        </mc:AlternateContent>
      </w:r>
      <w:r>
        <w:rPr>
          <w:rFonts w:hint="eastAsia" w:ascii="微软雅黑" w:hAnsi="微软雅黑" w:eastAsia="微软雅黑" w:cs="微软雅黑"/>
          <w:color w:val="000000"/>
          <w:sz w:val="27"/>
          <w:szCs w:val="27"/>
          <w:highlight w:val="none"/>
          <w:u w:val="none"/>
        </w:rPr>
        <w:fldChar w:fldCharType="begin"/>
      </w:r>
      <w:r>
        <w:rPr>
          <w:rFonts w:hint="eastAsia" w:ascii="微软雅黑" w:hAnsi="微软雅黑" w:eastAsia="微软雅黑" w:cs="微软雅黑"/>
          <w:color w:val="000000"/>
          <w:sz w:val="27"/>
          <w:szCs w:val="27"/>
          <w:highlight w:val="none"/>
          <w:u w:val="none"/>
        </w:rPr>
        <w:instrText xml:space="preserve">INCLUDEPICTURE \d "http://www.ordos.gov.cn/ordosml/ordoszf/202109/W020210918331639353573.png" \* MERGEFORMATINET </w:instrText>
      </w:r>
      <w:r>
        <w:rPr>
          <w:rFonts w:hint="eastAsia" w:ascii="微软雅黑" w:hAnsi="微软雅黑" w:eastAsia="微软雅黑" w:cs="微软雅黑"/>
          <w:color w:val="000000"/>
          <w:sz w:val="27"/>
          <w:szCs w:val="27"/>
          <w:highlight w:val="none"/>
          <w:u w:val="none"/>
        </w:rPr>
        <w:fldChar w:fldCharType="separate"/>
      </w:r>
      <w:r>
        <w:rPr>
          <w:rFonts w:hint="eastAsia" w:ascii="微软雅黑" w:hAnsi="微软雅黑" w:eastAsia="微软雅黑" w:cs="微软雅黑"/>
          <w:color w:val="000000"/>
          <w:sz w:val="27"/>
          <w:szCs w:val="27"/>
          <w:highlight w:val="none"/>
          <w:u w:val="none"/>
        </w:rPr>
        <w:drawing>
          <wp:inline distT="0" distB="0" distL="114300" distR="114300">
            <wp:extent cx="7453630" cy="5270500"/>
            <wp:effectExtent l="0" t="0" r="13970" b="6350"/>
            <wp:docPr id="1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56"/>
                    <pic:cNvPicPr>
                      <a:picLocks noChangeAspect="1"/>
                    </pic:cNvPicPr>
                  </pic:nvPicPr>
                  <pic:blipFill>
                    <a:blip r:embed="rId12"/>
                    <a:stretch>
                      <a:fillRect/>
                    </a:stretch>
                  </pic:blipFill>
                  <pic:spPr>
                    <a:xfrm>
                      <a:off x="0" y="0"/>
                      <a:ext cx="7453630" cy="5270500"/>
                    </a:xfrm>
                    <a:prstGeom prst="rect">
                      <a:avLst/>
                    </a:prstGeom>
                    <a:noFill/>
                    <a:ln>
                      <a:noFill/>
                    </a:ln>
                  </pic:spPr>
                </pic:pic>
              </a:graphicData>
            </a:graphic>
          </wp:inline>
        </w:drawing>
      </w:r>
      <w:r>
        <w:rPr>
          <w:rFonts w:hint="eastAsia" w:ascii="微软雅黑" w:hAnsi="微软雅黑" w:eastAsia="微软雅黑" w:cs="微软雅黑"/>
          <w:color w:val="000000"/>
          <w:sz w:val="27"/>
          <w:szCs w:val="27"/>
          <w:highlight w:val="none"/>
          <w:u w:val="none"/>
        </w:rPr>
        <w:fldChar w:fldCharType="end"/>
      </w:r>
    </w:p>
    <w:p w14:paraId="6153F1AE">
      <w:pPr>
        <w:pStyle w:val="12"/>
        <w:ind w:left="0" w:leftChars="0" w:firstLine="0" w:firstLineChars="0"/>
        <w:jc w:val="center"/>
        <w:rPr>
          <w:rFonts w:hint="eastAsia" w:ascii="宋体" w:hAnsi="宋体" w:eastAsia="宋体" w:cs="宋体"/>
          <w:b/>
          <w:bCs/>
          <w:color w:val="000000"/>
          <w:sz w:val="24"/>
          <w:szCs w:val="24"/>
          <w:highlight w:val="none"/>
          <w:lang w:val="en-US" w:eastAsia="zh-CN"/>
        </w:rPr>
        <w:sectPr>
          <w:pgSz w:w="16838" w:h="11906" w:orient="landscape"/>
          <w:pgMar w:top="1020" w:right="1417" w:bottom="850" w:left="1417" w:header="1020"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color w:val="000000"/>
          <w:sz w:val="24"/>
          <w:szCs w:val="24"/>
          <w:highlight w:val="none"/>
          <w:lang w:val="en-US" w:eastAsia="zh-CN"/>
        </w:rPr>
        <w:t>附图</w:t>
      </w:r>
      <w:r>
        <w:rPr>
          <w:rFonts w:hint="eastAsia"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lang w:val="en-US" w:eastAsia="zh-CN"/>
        </w:rPr>
        <w:t xml:space="preserve"> 鄂尔多斯市环境管控单元图</w:t>
      </w:r>
    </w:p>
    <w:p w14:paraId="5F70F2B7">
      <w:pPr>
        <w:pStyle w:val="40"/>
        <w:ind w:firstLine="0"/>
        <w:jc w:val="center"/>
        <w:rPr>
          <w:rFonts w:hint="eastAsia"/>
          <w:color w:val="000000"/>
          <w:kern w:val="0"/>
          <w:highlight w:val="none"/>
        </w:rPr>
      </w:pPr>
      <w:r>
        <w:rPr>
          <w:color w:val="000000"/>
          <w:highlight w:val="none"/>
        </w:rPr>
        <w:drawing>
          <wp:inline distT="0" distB="0" distL="114300" distR="114300">
            <wp:extent cx="5238750" cy="6181725"/>
            <wp:effectExtent l="0" t="0" r="0" b="9525"/>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47"/>
                    <a:stretch>
                      <a:fillRect/>
                    </a:stretch>
                  </pic:blipFill>
                  <pic:spPr>
                    <a:xfrm>
                      <a:off x="0" y="0"/>
                      <a:ext cx="5238750" cy="6181725"/>
                    </a:xfrm>
                    <a:prstGeom prst="rect">
                      <a:avLst/>
                    </a:prstGeom>
                    <a:noFill/>
                    <a:ln>
                      <a:noFill/>
                    </a:ln>
                  </pic:spPr>
                </pic:pic>
              </a:graphicData>
            </a:graphic>
          </wp:inline>
        </w:drawing>
      </w:r>
    </w:p>
    <w:p w14:paraId="2D97CCBC">
      <w:pPr>
        <w:jc w:val="center"/>
        <w:rPr>
          <w:rFonts w:hAnsi="宋体"/>
          <w:b/>
          <w:color w:val="000000"/>
          <w:sz w:val="24"/>
          <w:highlight w:val="none"/>
        </w:rPr>
      </w:pPr>
      <w:r>
        <w:rPr>
          <w:rFonts w:hAnsi="宋体"/>
          <w:b/>
          <w:color w:val="000000"/>
          <w:kern w:val="0"/>
          <w:sz w:val="24"/>
          <w:highlight w:val="none"/>
        </w:rPr>
        <w:t>图</w:t>
      </w:r>
      <w:r>
        <w:rPr>
          <w:rFonts w:hint="eastAsia"/>
          <w:b/>
          <w:color w:val="000000"/>
          <w:kern w:val="0"/>
          <w:sz w:val="24"/>
          <w:highlight w:val="none"/>
          <w:lang w:val="en-US" w:eastAsia="zh-CN"/>
        </w:rPr>
        <w:t>5</w:t>
      </w:r>
      <w:r>
        <w:rPr>
          <w:b/>
          <w:color w:val="000000"/>
          <w:kern w:val="0"/>
          <w:sz w:val="24"/>
          <w:highlight w:val="none"/>
        </w:rPr>
        <w:t xml:space="preserve"> </w:t>
      </w:r>
      <w:r>
        <w:rPr>
          <w:rFonts w:hint="eastAsia"/>
          <w:b/>
          <w:color w:val="000000"/>
          <w:kern w:val="0"/>
          <w:sz w:val="24"/>
          <w:highlight w:val="none"/>
        </w:rPr>
        <w:t>本项目在园区位置</w:t>
      </w:r>
      <w:r>
        <w:rPr>
          <w:rFonts w:hAnsi="宋体"/>
          <w:b/>
          <w:color w:val="000000"/>
          <w:sz w:val="24"/>
          <w:highlight w:val="none"/>
        </w:rPr>
        <w:t>图</w:t>
      </w:r>
    </w:p>
    <w:p w14:paraId="34690100">
      <w:pPr>
        <w:pStyle w:val="11"/>
        <w:rPr>
          <w:rFonts w:hAnsi="宋体"/>
          <w:b/>
          <w:color w:val="000000"/>
          <w:sz w:val="24"/>
          <w:highlight w:val="none"/>
        </w:rPr>
      </w:pPr>
    </w:p>
    <w:p w14:paraId="63060571">
      <w:pPr>
        <w:rPr>
          <w:rFonts w:hAnsi="宋体"/>
          <w:b/>
          <w:color w:val="000000"/>
          <w:sz w:val="24"/>
          <w:highlight w:val="none"/>
        </w:rPr>
      </w:pPr>
    </w:p>
    <w:p w14:paraId="2258DD36">
      <w:pPr>
        <w:pStyle w:val="11"/>
        <w:jc w:val="center"/>
        <w:rPr>
          <w:rFonts w:hint="default" w:eastAsia="宋体"/>
          <w:color w:val="000000"/>
          <w:highlight w:val="none"/>
          <w:lang w:val="en-US" w:eastAsia="zh-CN"/>
        </w:rPr>
      </w:pPr>
    </w:p>
    <w:p w14:paraId="473953B4"/>
    <w:sectPr>
      <w:pgSz w:w="11906" w:h="16838"/>
      <w:pgMar w:top="1417" w:right="850" w:bottom="1417" w:left="1020" w:header="1020"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2020503050405090304"/>
    <w:charset w:val="00"/>
    <w:family w:val="roman"/>
    <w:pitch w:val="default"/>
    <w:sig w:usb0="00000000" w:usb1="00000000" w:usb2="00000001" w:usb3="00000000" w:csb0="400001BF" w:csb1="DFF7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DBD2">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64287">
    <w:pPr>
      <w:framePr w:wrap="around" w:vAnchor="text" w:hAnchor="margin" w:xAlign="center" w:y="1"/>
      <w:tabs>
        <w:tab w:val="center" w:pos="4153"/>
        <w:tab w:val="right" w:pos="8306"/>
      </w:tabs>
    </w:pPr>
    <w:r>
      <w:fldChar w:fldCharType="begin"/>
    </w:r>
    <w:r>
      <w:instrText xml:space="preserve">PAGE  </w:instrText>
    </w:r>
    <w:r>
      <w:fldChar w:fldCharType="end"/>
    </w:r>
  </w:p>
  <w:p w14:paraId="5710B4D3">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37061">
    <w:pPr>
      <w:tabs>
        <w:tab w:val="center" w:pos="4153"/>
        <w:tab w:val="right" w:pos="8306"/>
      </w:tabs>
      <w:jc w:val="center"/>
    </w:pPr>
    <w:r>
      <w:fldChar w:fldCharType="begin"/>
    </w:r>
    <w:r>
      <w:instrText xml:space="preserve">PAGE   \* MERGEFORMAT</w:instrText>
    </w:r>
    <w:r>
      <w:fldChar w:fldCharType="separate"/>
    </w:r>
    <w:r>
      <w:rPr>
        <w:lang w:val="zh-CN"/>
      </w:rPr>
      <w:t>51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CB82F">
    <w:pPr>
      <w:tabs>
        <w:tab w:val="center" w:pos="4153"/>
        <w:tab w:val="right" w:pos="8306"/>
      </w:tabs>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EFFA4">
    <w:pPr>
      <w:pStyle w:val="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30E8">
    <w:pPr>
      <w:pStyle w:val="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3AF7">
    <w:pPr>
      <w:tabs>
        <w:tab w:val="center" w:pos="4153"/>
        <w:tab w:val="right" w:pos="8306"/>
      </w:tabs>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8E56E">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A369A"/>
    <w:multiLevelType w:val="singleLevel"/>
    <w:tmpl w:val="C05A369A"/>
    <w:lvl w:ilvl="0" w:tentative="0">
      <w:start w:val="1"/>
      <w:numFmt w:val="chineseCounting"/>
      <w:suff w:val="nothing"/>
      <w:lvlText w:val="（%1）"/>
      <w:lvlJc w:val="left"/>
      <w:rPr>
        <w:rFonts w:hint="eastAsia"/>
      </w:rPr>
    </w:lvl>
  </w:abstractNum>
  <w:abstractNum w:abstractNumId="1">
    <w:nsid w:val="CF479E68"/>
    <w:multiLevelType w:val="singleLevel"/>
    <w:tmpl w:val="CF479E68"/>
    <w:lvl w:ilvl="0" w:tentative="0">
      <w:start w:val="1"/>
      <w:numFmt w:val="decimal"/>
      <w:suff w:val="nothing"/>
      <w:lvlText w:val="%1、"/>
      <w:lvlJc w:val="left"/>
      <w:pPr>
        <w:ind w:left="24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jY2Q5YjI3OWFkZTE2NWRhMGM2ZGM5YTNhOGIwODAifQ=="/>
  </w:docVars>
  <w:rsids>
    <w:rsidRoot w:val="30E43E9E"/>
    <w:rsid w:val="30E43E9E"/>
    <w:rsid w:val="41C62CEB"/>
    <w:rsid w:val="5F604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tabs>
        <w:tab w:val="left" w:pos="0"/>
      </w:tabs>
      <w:adjustRightInd w:val="0"/>
      <w:spacing w:line="420" w:lineRule="atLeast"/>
      <w:ind w:firstLine="420"/>
      <w:jc w:val="left"/>
      <w:textAlignment w:val="baseline"/>
    </w:pPr>
    <w:rPr>
      <w:rFonts w:hAnsi="Times New Roman"/>
      <w:sz w:val="28"/>
      <w:szCs w:val="20"/>
    </w:rPr>
  </w:style>
  <w:style w:type="paragraph" w:styleId="4">
    <w:name w:val="Body Text"/>
    <w:basedOn w:val="1"/>
    <w:uiPriority w:val="0"/>
    <w:pPr>
      <w:widowControl/>
      <w:snapToGrid w:val="0"/>
      <w:spacing w:before="60" w:after="160" w:line="259" w:lineRule="auto"/>
      <w:ind w:right="113"/>
    </w:pPr>
    <w:rPr>
      <w:kern w:val="0"/>
      <w:sz w:val="18"/>
      <w:szCs w:val="20"/>
    </w:rPr>
  </w:style>
  <w:style w:type="paragraph" w:styleId="5">
    <w:name w:val="Body Text Indent"/>
    <w:basedOn w:val="1"/>
    <w:uiPriority w:val="0"/>
    <w:pPr>
      <w:spacing w:after="120"/>
      <w:ind w:left="420" w:leftChars="200"/>
    </w:pPr>
    <w:rPr>
      <w:kern w:val="0"/>
      <w:sz w:val="24"/>
      <w:szCs w:val="20"/>
    </w:rPr>
  </w:style>
  <w:style w:type="paragraph" w:styleId="6">
    <w:name w:val="Block Text"/>
    <w:basedOn w:val="1"/>
    <w:qFormat/>
    <w:uiPriority w:val="0"/>
    <w:pPr>
      <w:spacing w:after="120"/>
      <w:ind w:left="1440" w:leftChars="700" w:right="1440" w:rightChars="700"/>
    </w:pPr>
  </w:style>
  <w:style w:type="paragraph" w:styleId="7">
    <w:name w:val="Body Text Indent 2"/>
    <w:basedOn w:val="1"/>
    <w:next w:val="1"/>
    <w:qFormat/>
    <w:uiPriority w:val="0"/>
    <w:pPr>
      <w:spacing w:line="360" w:lineRule="exact"/>
      <w:ind w:firstLine="522" w:firstLineChars="200"/>
      <w:jc w:val="left"/>
    </w:pPr>
    <w:rPr>
      <w:rFonts w:ascii="宋体" w:hAnsi="宋体"/>
      <w:sz w:val="28"/>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uiPriority w:val="0"/>
    <w:pPr>
      <w:pBdr>
        <w:bottom w:val="single" w:color="auto" w:sz="6" w:space="1"/>
      </w:pBdr>
      <w:tabs>
        <w:tab w:val="center" w:pos="4153"/>
        <w:tab w:val="right" w:pos="8306"/>
      </w:tabs>
      <w:snapToGrid w:val="0"/>
      <w:jc w:val="center"/>
    </w:pPr>
    <w:rPr>
      <w:kern w:val="0"/>
      <w:sz w:val="18"/>
      <w:szCs w:val="20"/>
    </w:rPr>
  </w:style>
  <w:style w:type="paragraph" w:styleId="10">
    <w:name w:val="Normal (Web)"/>
    <w:basedOn w:val="1"/>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4"/>
    <w:next w:val="1"/>
    <w:qFormat/>
    <w:uiPriority w:val="0"/>
    <w:pPr>
      <w:ind w:firstLine="420" w:firstLineChars="100"/>
    </w:pPr>
  </w:style>
  <w:style w:type="paragraph" w:styleId="12">
    <w:name w:val="Body Text First Indent 2"/>
    <w:basedOn w:val="5"/>
    <w:next w:val="11"/>
    <w:qFormat/>
    <w:uiPriority w:val="0"/>
    <w:pPr>
      <w:ind w:firstLine="420"/>
    </w:pPr>
  </w:style>
  <w:style w:type="table" w:styleId="14">
    <w:name w:val="Table Grid"/>
    <w:basedOn w:val="13"/>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annotation reference"/>
    <w:uiPriority w:val="0"/>
    <w:rPr>
      <w:sz w:val="21"/>
      <w:szCs w:val="21"/>
    </w:rPr>
  </w:style>
  <w:style w:type="paragraph" w:customStyle="1" w:styleId="17">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
    <w:name w:val="表格正文wcl"/>
    <w:basedOn w:val="1"/>
    <w:qFormat/>
    <w:uiPriority w:val="0"/>
    <w:pPr>
      <w:tabs>
        <w:tab w:val="left" w:pos="0"/>
      </w:tabs>
      <w:adjustRightInd w:val="0"/>
      <w:snapToGrid w:val="0"/>
      <w:spacing w:line="360" w:lineRule="auto"/>
      <w:ind w:firstLine="480" w:firstLineChars="200"/>
    </w:pPr>
    <w:rPr>
      <w:rFonts w:hint="eastAsia" w:ascii="宋体" w:hAnsi="宋体" w:eastAsia="宋体" w:cs="宋体"/>
      <w:sz w:val="24"/>
      <w:szCs w:val="24"/>
    </w:rPr>
  </w:style>
  <w:style w:type="paragraph" w:customStyle="1" w:styleId="19">
    <w:name w:val="样式1"/>
    <w:basedOn w:val="1"/>
    <w:next w:val="6"/>
    <w:link w:val="21"/>
    <w:qFormat/>
    <w:uiPriority w:val="0"/>
    <w:pPr>
      <w:kinsoku w:val="0"/>
      <w:overflowPunct w:val="0"/>
      <w:autoSpaceDE w:val="0"/>
      <w:autoSpaceDN w:val="0"/>
      <w:adjustRightInd w:val="0"/>
      <w:snapToGrid w:val="0"/>
      <w:spacing w:line="360" w:lineRule="auto"/>
      <w:ind w:firstLine="480" w:firstLineChars="200"/>
    </w:pPr>
    <w:rPr>
      <w:sz w:val="24"/>
      <w:szCs w:val="24"/>
    </w:rPr>
  </w:style>
  <w:style w:type="paragraph" w:customStyle="1" w:styleId="20">
    <w:name w:val="Table Paragraph"/>
    <w:basedOn w:val="1"/>
    <w:qFormat/>
    <w:uiPriority w:val="1"/>
    <w:pPr>
      <w:jc w:val="center"/>
    </w:pPr>
    <w:rPr>
      <w:rFonts w:ascii="宋体" w:hAnsi="宋体" w:eastAsia="宋体" w:cs="宋体"/>
      <w:lang w:val="en-US" w:eastAsia="zh-CN" w:bidi="ar-SA"/>
    </w:rPr>
  </w:style>
  <w:style w:type="character" w:customStyle="1" w:styleId="21">
    <w:name w:val="样式1 Char"/>
    <w:link w:val="19"/>
    <w:uiPriority w:val="0"/>
    <w:rPr>
      <w:sz w:val="24"/>
      <w:szCs w:val="24"/>
    </w:rPr>
  </w:style>
  <w:style w:type="paragraph" w:customStyle="1" w:styleId="22">
    <w:name w:val="样式 正文1 + 首行缩进:  2 字符"/>
    <w:basedOn w:val="1"/>
    <w:uiPriority w:val="0"/>
    <w:pPr>
      <w:spacing w:line="360" w:lineRule="auto"/>
      <w:ind w:firstLine="200" w:firstLineChars="200"/>
    </w:pPr>
    <w:rPr>
      <w:rFonts w:ascii="宋体"/>
      <w:sz w:val="24"/>
      <w:szCs w:val="20"/>
    </w:rPr>
  </w:style>
  <w:style w:type="character" w:customStyle="1" w:styleId="23">
    <w:name w:val="font61"/>
    <w:basedOn w:val="15"/>
    <w:uiPriority w:val="0"/>
    <w:rPr>
      <w:rFonts w:hint="eastAsia" w:ascii="宋体" w:hAnsi="宋体" w:eastAsia="宋体" w:cs="宋体"/>
      <w:color w:val="000000"/>
      <w:sz w:val="20"/>
      <w:szCs w:val="20"/>
      <w:u w:val="none"/>
    </w:rPr>
  </w:style>
  <w:style w:type="table" w:customStyle="1" w:styleId="24">
    <w:name w:val="Table Normal"/>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Times New Roman" w:hAnsi="Times New Roman" w:eastAsia="Times New Roman" w:cs="Times New Roman"/>
      <w:sz w:val="24"/>
      <w:szCs w:val="24"/>
      <w:lang w:val="en-US" w:eastAsia="en-US" w:bidi="ar-SA"/>
    </w:rPr>
  </w:style>
  <w:style w:type="character" w:customStyle="1" w:styleId="26">
    <w:name w:val="font21"/>
    <w:basedOn w:val="15"/>
    <w:uiPriority w:val="0"/>
    <w:rPr>
      <w:rFonts w:hint="default" w:ascii="MingLiU" w:hAnsi="MingLiU" w:eastAsia="MingLiU" w:cs="MingLiU"/>
      <w:color w:val="000000"/>
      <w:sz w:val="20"/>
      <w:szCs w:val="20"/>
      <w:u w:val="none"/>
    </w:rPr>
  </w:style>
  <w:style w:type="character" w:customStyle="1" w:styleId="27">
    <w:name w:val="font31"/>
    <w:basedOn w:val="15"/>
    <w:uiPriority w:val="0"/>
    <w:rPr>
      <w:rFonts w:hint="default" w:ascii="Times New Roman" w:hAnsi="Times New Roman" w:cs="Times New Roman"/>
      <w:color w:val="000000"/>
      <w:sz w:val="20"/>
      <w:szCs w:val="20"/>
      <w:u w:val="none"/>
    </w:rPr>
  </w:style>
  <w:style w:type="character" w:customStyle="1" w:styleId="28">
    <w:name w:val="font11"/>
    <w:basedOn w:val="15"/>
    <w:uiPriority w:val="0"/>
    <w:rPr>
      <w:rFonts w:hint="eastAsia" w:ascii="宋体" w:hAnsi="宋体" w:eastAsia="宋体" w:cs="宋体"/>
      <w:color w:val="000000"/>
      <w:sz w:val="20"/>
      <w:szCs w:val="20"/>
      <w:u w:val="none"/>
    </w:rPr>
  </w:style>
  <w:style w:type="paragraph" w:customStyle="1" w:styleId="29">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0">
    <w:name w:val="000222"/>
    <w:basedOn w:val="1"/>
    <w:uiPriority w:val="0"/>
    <w:pPr>
      <w:spacing w:before="120" w:beforeLines="50" w:line="360" w:lineRule="auto"/>
    </w:pPr>
    <w:rPr>
      <w:rFonts w:eastAsia="黑体"/>
      <w:color w:val="000000"/>
      <w:sz w:val="30"/>
      <w:szCs w:val="30"/>
    </w:rPr>
  </w:style>
  <w:style w:type="paragraph" w:customStyle="1" w:styleId="31">
    <w:name w:val="表"/>
    <w:basedOn w:val="1"/>
    <w:qFormat/>
    <w:uiPriority w:val="0"/>
    <w:pPr>
      <w:snapToGrid w:val="0"/>
      <w:spacing w:line="340" w:lineRule="exact"/>
      <w:jc w:val="center"/>
    </w:pPr>
    <w:rPr>
      <w:color w:val="FF0000"/>
      <w:szCs w:val="20"/>
    </w:rPr>
  </w:style>
  <w:style w:type="paragraph" w:customStyle="1" w:styleId="32">
    <w:name w:val="表格内容"/>
    <w:qFormat/>
    <w:uiPriority w:val="0"/>
    <w:pPr>
      <w:adjustRightInd w:val="0"/>
      <w:snapToGrid w:val="0"/>
      <w:spacing w:line="360" w:lineRule="exact"/>
      <w:jc w:val="center"/>
    </w:pPr>
    <w:rPr>
      <w:rFonts w:ascii="Calibri" w:hAnsi="Calibri" w:eastAsia="宋体" w:cs="Times New Roman"/>
      <w:color w:val="000000"/>
      <w:kern w:val="2"/>
      <w:sz w:val="21"/>
      <w:szCs w:val="24"/>
      <w:lang w:val="en-US" w:eastAsia="zh-CN" w:bidi="ar-SA"/>
    </w:rPr>
  </w:style>
  <w:style w:type="paragraph" w:customStyle="1" w:styleId="33">
    <w:name w:val="sll-正文"/>
    <w:basedOn w:val="1"/>
    <w:qFormat/>
    <w:uiPriority w:val="0"/>
    <w:pPr>
      <w:autoSpaceDE w:val="0"/>
      <w:autoSpaceDN w:val="0"/>
      <w:adjustRightInd w:val="0"/>
      <w:snapToGrid w:val="0"/>
      <w:spacing w:line="360" w:lineRule="auto"/>
      <w:ind w:firstLine="720" w:firstLineChars="200"/>
      <w:jc w:val="left"/>
    </w:pPr>
    <w:rPr>
      <w:rFonts w:ascii="Times New Roman" w:hAnsi="Times New Roman" w:eastAsia="宋体" w:cs="宋体"/>
      <w:kern w:val="0"/>
      <w:sz w:val="24"/>
      <w:szCs w:val="21"/>
    </w:rPr>
  </w:style>
  <w:style w:type="paragraph" w:customStyle="1" w:styleId="34">
    <w:name w:val="报告书正文"/>
    <w:basedOn w:val="11"/>
    <w:qFormat/>
    <w:uiPriority w:val="0"/>
    <w:pPr>
      <w:spacing w:after="0" w:line="360" w:lineRule="auto"/>
      <w:ind w:firstLine="200" w:firstLineChars="200"/>
    </w:pPr>
    <w:rPr>
      <w:sz w:val="24"/>
    </w:rPr>
  </w:style>
  <w:style w:type="paragraph" w:customStyle="1" w:styleId="35">
    <w:name w:val="SLL-表头"/>
    <w:basedOn w:val="1"/>
    <w:next w:val="1"/>
    <w:qFormat/>
    <w:uiPriority w:val="0"/>
    <w:pPr>
      <w:ind w:firstLine="0" w:firstLineChars="0"/>
      <w:jc w:val="center"/>
    </w:pPr>
    <w:rPr>
      <w:rFonts w:ascii="Times New Roman" w:hAnsi="Times New Roman"/>
      <w:b/>
      <w:kern w:val="0"/>
      <w:sz w:val="24"/>
      <w:szCs w:val="20"/>
    </w:rPr>
  </w:style>
  <w:style w:type="paragraph" w:customStyle="1" w:styleId="36">
    <w:name w:val="表格文字"/>
    <w:basedOn w:val="37"/>
    <w:next w:val="4"/>
    <w:qFormat/>
    <w:uiPriority w:val="0"/>
    <w:pPr>
      <w:spacing w:line="360" w:lineRule="exact"/>
      <w:ind w:firstLine="200" w:firstLineChars="200"/>
      <w:jc w:val="center"/>
    </w:pPr>
    <w:rPr>
      <w:kern w:val="10"/>
      <w:sz w:val="24"/>
    </w:rPr>
  </w:style>
  <w:style w:type="paragraph" w:customStyle="1" w:styleId="37">
    <w:name w:val="正文1"/>
    <w:basedOn w:val="38"/>
    <w:qFormat/>
    <w:uiPriority w:val="0"/>
    <w:pPr>
      <w:jc w:val="both"/>
    </w:pPr>
    <w:rPr>
      <w:kern w:val="2"/>
      <w:sz w:val="21"/>
      <w:szCs w:val="21"/>
      <w:lang w:val="en-US" w:eastAsia="zh-CN" w:bidi="ar-SA"/>
    </w:rPr>
  </w:style>
  <w:style w:type="paragraph" w:customStyle="1" w:styleId="38">
    <w:name w:val="Default"/>
    <w:qFormat/>
    <w:uiPriority w:val="0"/>
    <w:pPr>
      <w:widowControl w:val="0"/>
      <w:autoSpaceDE w:val="0"/>
      <w:autoSpaceDN w:val="0"/>
      <w:adjustRightInd w:val="0"/>
      <w:jc w:val="center"/>
    </w:pPr>
    <w:rPr>
      <w:rFonts w:ascii="宋体" w:hAnsi="Times New Roman" w:eastAsia="宋体" w:cs="Times New Roman"/>
      <w:color w:val="000000"/>
      <w:sz w:val="24"/>
      <w:szCs w:val="24"/>
      <w:lang w:val="en-US" w:eastAsia="zh-CN" w:bidi="ar-SA"/>
    </w:rPr>
  </w:style>
  <w:style w:type="paragraph" w:customStyle="1" w:styleId="39">
    <w:name w:val="样式 正文缩进正文缩进2正文缩进 Char Char正文缩进 Char Char Char Char正文缩进 Char ..."/>
    <w:basedOn w:val="2"/>
    <w:qFormat/>
    <w:uiPriority w:val="0"/>
    <w:pPr>
      <w:spacing w:line="360" w:lineRule="auto"/>
    </w:pPr>
    <w:rPr>
      <w:rFonts w:cs="宋体"/>
      <w:sz w:val="24"/>
      <w:lang w:bidi="ar-SA"/>
    </w:rPr>
  </w:style>
  <w:style w:type="paragraph" w:customStyle="1" w:styleId="40">
    <w:name w:val="正文(首行缩进)"/>
    <w:basedOn w:val="1"/>
    <w:uiPriority w:val="0"/>
    <w:pPr>
      <w:spacing w:line="360" w:lineRule="auto"/>
      <w:ind w:firstLine="420"/>
    </w:pPr>
    <w:rPr>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emf"/><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jpeg"/><Relationship Id="rId33" Type="http://schemas.openxmlformats.org/officeDocument/2006/relationships/image" Target="media/image15.wmf"/><Relationship Id="rId32" Type="http://schemas.openxmlformats.org/officeDocument/2006/relationships/oleObject" Target="embeddings/oleObject7.bin"/><Relationship Id="rId31" Type="http://schemas.openxmlformats.org/officeDocument/2006/relationships/image" Target="media/image14.wmf"/><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2.wmf"/><Relationship Id="rId27" Type="http://schemas.openxmlformats.org/officeDocument/2006/relationships/image" Target="media/image11.wmf"/><Relationship Id="rId26" Type="http://schemas.openxmlformats.org/officeDocument/2006/relationships/image" Target="media/image10.wmf"/><Relationship Id="rId25" Type="http://schemas.openxmlformats.org/officeDocument/2006/relationships/oleObject" Target="embeddings/oleObject5.bin"/><Relationship Id="rId24" Type="http://schemas.openxmlformats.org/officeDocument/2006/relationships/image" Target="media/image9.wmf"/><Relationship Id="rId23" Type="http://schemas.openxmlformats.org/officeDocument/2006/relationships/oleObject" Target="embeddings/oleObject4.bin"/><Relationship Id="rId22" Type="http://schemas.openxmlformats.org/officeDocument/2006/relationships/image" Target="media/image8.wmf"/><Relationship Id="rId21" Type="http://schemas.openxmlformats.org/officeDocument/2006/relationships/oleObject" Target="embeddings/oleObject3.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2.bin"/><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33672</Words>
  <Characters>39592</Characters>
  <Lines>0</Lines>
  <Paragraphs>0</Paragraphs>
  <TotalTime>1</TotalTime>
  <ScaleCrop>false</ScaleCrop>
  <LinksUpToDate>false</LinksUpToDate>
  <CharactersWithSpaces>39911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2024-07-26T04:05:00Z</dcterms:created>
  <dc:creator>ᠡᠪᠥᠯᠴᠡᠴᠡᠭ冬梅</dc:creator>
  <cp:lastModifiedBy>aying</cp:lastModifiedBy>
  <dcterms:modified xsi:type="dcterms:W3CDTF">2024-07-30T06:35:36Z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114C55174CF3458B870B5636E9BBCFB7_11</vt:lpwstr>
  </property>
</Properties>
</file>