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E5E58F3">
      <w:pPr>
        <w:rPr>
          <w:rFonts w:hint="default" w:ascii="Times New Roman" w:hAnsi="Times New Roman" w:eastAsia="宋体" w:cs="Times New Roman"/>
          <w:color w:val="auto"/>
          <w:sz w:val="36"/>
          <w:szCs w:val="36"/>
          <w:highlight w:val="none"/>
        </w:rPr>
      </w:pPr>
    </w:p>
    <w:p w14:paraId="36E0E5FF">
      <w:pPr>
        <w:rPr>
          <w:rFonts w:hint="default" w:ascii="Times New Roman" w:hAnsi="Times New Roman" w:eastAsia="宋体" w:cs="Times New Roman"/>
          <w:color w:val="auto"/>
          <w:sz w:val="36"/>
          <w:szCs w:val="36"/>
          <w:highlight w:val="none"/>
        </w:rPr>
      </w:pPr>
    </w:p>
    <w:p w14:paraId="3AFF5AF3">
      <w:pPr>
        <w:rPr>
          <w:rFonts w:hint="default" w:ascii="Times New Roman" w:hAnsi="Times New Roman" w:eastAsia="宋体" w:cs="Times New Roman"/>
          <w:color w:val="auto"/>
          <w:sz w:val="36"/>
          <w:szCs w:val="36"/>
          <w:highlight w:val="none"/>
        </w:rPr>
      </w:pPr>
    </w:p>
    <w:p w14:paraId="3618B1DD">
      <w:pPr>
        <w:rPr>
          <w:rFonts w:hint="default" w:ascii="Times New Roman" w:hAnsi="Times New Roman" w:eastAsia="宋体" w:cs="Times New Roman"/>
          <w:color w:val="auto"/>
          <w:sz w:val="36"/>
          <w:szCs w:val="36"/>
          <w:highlight w:val="none"/>
        </w:rPr>
      </w:pPr>
    </w:p>
    <w:p w14:paraId="59FDDCD2">
      <w:pPr>
        <w:rPr>
          <w:rFonts w:hint="default" w:ascii="Times New Roman" w:hAnsi="Times New Roman" w:eastAsia="宋体" w:cs="Times New Roman"/>
          <w:color w:val="auto"/>
          <w:sz w:val="36"/>
          <w:szCs w:val="36"/>
          <w:highlight w:val="none"/>
        </w:rPr>
      </w:pPr>
    </w:p>
    <w:p w14:paraId="3BCD507B">
      <w:pPr>
        <w:adjustRightInd w:val="0"/>
        <w:snapToGrid w:val="0"/>
        <w:jc w:val="center"/>
        <w:outlineLvl w:val="0"/>
        <w:rPr>
          <w:rFonts w:hint="default" w:ascii="Times New Roman" w:hAnsi="Times New Roman" w:eastAsia="宋体" w:cs="Times New Roman"/>
          <w:bCs/>
          <w:color w:val="auto"/>
          <w:sz w:val="72"/>
          <w:szCs w:val="72"/>
          <w:highlight w:val="none"/>
        </w:rPr>
      </w:pPr>
      <w:r>
        <w:rPr>
          <w:rFonts w:hint="default" w:ascii="Times New Roman" w:hAnsi="Times New Roman" w:eastAsia="宋体" w:cs="Times New Roman"/>
          <w:bCs/>
          <w:color w:val="auto"/>
          <w:sz w:val="72"/>
          <w:szCs w:val="72"/>
          <w:highlight w:val="none"/>
        </w:rPr>
        <w:t>建设项目环境影响报告表</w:t>
      </w:r>
    </w:p>
    <w:p w14:paraId="25221AFB">
      <w:pPr>
        <w:adjustRightInd w:val="0"/>
        <w:snapToGrid w:val="0"/>
        <w:spacing w:before="192" w:beforeLines="80"/>
        <w:jc w:val="center"/>
        <w:rPr>
          <w:rFonts w:hint="default" w:ascii="Times New Roman" w:hAnsi="Times New Roman" w:eastAsia="宋体" w:cs="Times New Roman"/>
          <w:bCs/>
          <w:color w:val="auto"/>
          <w:sz w:val="48"/>
          <w:szCs w:val="48"/>
          <w:highlight w:val="none"/>
        </w:rPr>
      </w:pPr>
      <w:r>
        <w:rPr>
          <w:rFonts w:hint="default" w:ascii="Times New Roman" w:hAnsi="Times New Roman" w:eastAsia="宋体" w:cs="Times New Roman"/>
          <w:bCs/>
          <w:color w:val="auto"/>
          <w:sz w:val="48"/>
          <w:szCs w:val="48"/>
          <w:highlight w:val="none"/>
        </w:rPr>
        <w:t>（污染影响类）</w:t>
      </w:r>
    </w:p>
    <w:p w14:paraId="14F33BE7">
      <w:pPr>
        <w:adjustRightInd w:val="0"/>
        <w:snapToGrid w:val="0"/>
        <w:spacing w:line="288" w:lineRule="auto"/>
        <w:jc w:val="center"/>
        <w:outlineLvl w:val="0"/>
        <w:rPr>
          <w:rFonts w:hint="default" w:ascii="Times New Roman" w:hAnsi="Times New Roman" w:eastAsia="宋体" w:cs="Times New Roman"/>
          <w:color w:val="auto"/>
          <w:kern w:val="44"/>
          <w:sz w:val="44"/>
          <w:szCs w:val="44"/>
          <w:highlight w:val="none"/>
        </w:rPr>
      </w:pPr>
    </w:p>
    <w:p w14:paraId="41ED8BEF">
      <w:pPr>
        <w:jc w:val="center"/>
        <w:rPr>
          <w:rFonts w:hint="default" w:ascii="Times New Roman" w:hAnsi="Times New Roman" w:eastAsia="宋体" w:cs="Times New Roman"/>
          <w:color w:val="auto"/>
          <w:sz w:val="52"/>
          <w:szCs w:val="52"/>
          <w:highlight w:val="none"/>
        </w:rPr>
      </w:pPr>
    </w:p>
    <w:p w14:paraId="445D56D4">
      <w:pPr>
        <w:ind w:firstLine="1040"/>
        <w:rPr>
          <w:rFonts w:hint="default" w:ascii="Times New Roman" w:hAnsi="Times New Roman" w:eastAsia="宋体" w:cs="Times New Roman"/>
          <w:color w:val="auto"/>
          <w:sz w:val="44"/>
          <w:szCs w:val="44"/>
          <w:highlight w:val="none"/>
        </w:rPr>
      </w:pPr>
    </w:p>
    <w:p w14:paraId="4C6704DB">
      <w:pPr>
        <w:ind w:firstLine="1040"/>
        <w:rPr>
          <w:rFonts w:hint="default" w:ascii="Times New Roman" w:hAnsi="Times New Roman" w:eastAsia="宋体" w:cs="Times New Roman"/>
          <w:color w:val="auto"/>
          <w:sz w:val="44"/>
          <w:szCs w:val="44"/>
          <w:highlight w:val="none"/>
        </w:rPr>
      </w:pPr>
    </w:p>
    <w:p w14:paraId="3FD609B6">
      <w:pPr>
        <w:ind w:firstLine="1040"/>
        <w:rPr>
          <w:rFonts w:hint="default" w:ascii="Times New Roman" w:hAnsi="Times New Roman" w:eastAsia="宋体" w:cs="Times New Roman"/>
          <w:color w:val="auto"/>
          <w:sz w:val="44"/>
          <w:szCs w:val="44"/>
          <w:highlight w:val="none"/>
        </w:rPr>
      </w:pPr>
    </w:p>
    <w:p w14:paraId="34BBCDC2">
      <w:pPr>
        <w:adjustRightInd w:val="0"/>
        <w:snapToGrid w:val="0"/>
        <w:spacing w:line="288" w:lineRule="auto"/>
        <w:ind w:left="2877" w:leftChars="513" w:hanging="1800" w:hangingChars="500"/>
        <w:rPr>
          <w:rFonts w:hint="default" w:ascii="Times New Roman" w:hAnsi="Times New Roman" w:eastAsia="宋体" w:cs="Times New Roman"/>
          <w:color w:val="auto"/>
          <w:sz w:val="36"/>
          <w:szCs w:val="36"/>
          <w:highlight w:val="none"/>
          <w:u w:val="single"/>
          <w:lang w:val="en-US" w:eastAsia="zh-CN"/>
        </w:rPr>
      </w:pPr>
      <w:bookmarkStart w:id="0" w:name="_Hlk57884087"/>
      <w:r>
        <w:rPr>
          <w:rFonts w:hint="default" w:ascii="Times New Roman" w:hAnsi="Times New Roman" w:eastAsia="宋体" w:cs="Times New Roman"/>
          <w:color w:val="auto"/>
          <w:sz w:val="36"/>
          <w:szCs w:val="36"/>
          <w:highlight w:val="none"/>
        </w:rPr>
        <w:t>项目名称：</w:t>
      </w:r>
      <w:r>
        <w:rPr>
          <w:rFonts w:hint="default" w:ascii="Times New Roman" w:hAnsi="Times New Roman" w:eastAsia="宋体" w:cs="Times New Roman"/>
          <w:color w:val="auto"/>
          <w:sz w:val="36"/>
          <w:szCs w:val="36"/>
          <w:highlight w:val="none"/>
          <w:u w:val="single"/>
          <w:lang w:eastAsia="zh-CN"/>
        </w:rPr>
        <w:t>鄂尔多斯市蓝天白云环保材料有限责任公司固体聚合氯化铝生产线喷雾干燥塔热源技改项目</w:t>
      </w:r>
      <w:r>
        <w:rPr>
          <w:rFonts w:hint="eastAsia" w:cs="Times New Roman"/>
          <w:color w:val="auto"/>
          <w:sz w:val="36"/>
          <w:szCs w:val="36"/>
          <w:highlight w:val="none"/>
          <w:u w:val="single"/>
          <w:lang w:val="en-US" w:eastAsia="zh-CN"/>
        </w:rPr>
        <w:t xml:space="preserve">           </w:t>
      </w:r>
    </w:p>
    <w:p w14:paraId="0FCFE0F7">
      <w:pPr>
        <w:adjustRightInd w:val="0"/>
        <w:snapToGrid w:val="0"/>
        <w:spacing w:line="288" w:lineRule="auto"/>
        <w:ind w:left="2877" w:leftChars="513" w:hanging="1800" w:hangingChars="500"/>
        <w:rPr>
          <w:rFonts w:hint="default" w:ascii="Times New Roman" w:hAnsi="Times New Roman" w:eastAsia="宋体" w:cs="Times New Roman"/>
          <w:color w:val="auto"/>
          <w:sz w:val="36"/>
          <w:szCs w:val="36"/>
          <w:highlight w:val="none"/>
          <w:u w:val="single"/>
          <w:lang w:val="en-US"/>
        </w:rPr>
      </w:pPr>
      <w:r>
        <w:rPr>
          <w:rFonts w:hint="default" w:ascii="Times New Roman" w:hAnsi="Times New Roman" w:eastAsia="宋体" w:cs="Times New Roman"/>
          <w:color w:val="auto"/>
          <w:sz w:val="36"/>
          <w:szCs w:val="36"/>
          <w:highlight w:val="none"/>
        </w:rPr>
        <w:t>建设单位（盖章）：</w:t>
      </w:r>
      <w:r>
        <w:rPr>
          <w:rFonts w:hint="eastAsia" w:cs="Times New Roman"/>
          <w:color w:val="auto"/>
          <w:sz w:val="36"/>
          <w:szCs w:val="36"/>
          <w:highlight w:val="none"/>
          <w:u w:val="single"/>
          <w:lang w:eastAsia="zh-CN"/>
        </w:rPr>
        <w:t>鄂尔多斯市蓝天白云环保材料</w:t>
      </w:r>
      <w:r>
        <w:rPr>
          <w:rFonts w:hint="eastAsia" w:cs="Times New Roman"/>
          <w:color w:val="auto"/>
          <w:sz w:val="36"/>
          <w:szCs w:val="36"/>
          <w:highlight w:val="none"/>
          <w:u w:val="single"/>
          <w:lang w:val="en-US" w:eastAsia="zh-CN"/>
        </w:rPr>
        <w:t xml:space="preserve"> </w:t>
      </w:r>
      <w:r>
        <w:rPr>
          <w:rFonts w:hint="eastAsia" w:cs="Times New Roman"/>
          <w:color w:val="auto"/>
          <w:sz w:val="36"/>
          <w:szCs w:val="36"/>
          <w:highlight w:val="none"/>
          <w:u w:val="single"/>
          <w:lang w:eastAsia="zh-CN"/>
        </w:rPr>
        <w:t>有限责任公司</w:t>
      </w:r>
      <w:r>
        <w:rPr>
          <w:rFonts w:hint="eastAsia" w:cs="Times New Roman"/>
          <w:color w:val="auto"/>
          <w:sz w:val="36"/>
          <w:szCs w:val="36"/>
          <w:highlight w:val="none"/>
          <w:u w:val="single"/>
          <w:lang w:val="en-US" w:eastAsia="zh-CN"/>
        </w:rPr>
        <w:t xml:space="preserve">        </w:t>
      </w:r>
    </w:p>
    <w:p w14:paraId="48E381BB">
      <w:pPr>
        <w:adjustRightInd w:val="0"/>
        <w:snapToGrid w:val="0"/>
        <w:spacing w:line="288" w:lineRule="auto"/>
        <w:ind w:firstLine="1040"/>
        <w:rPr>
          <w:rFonts w:hint="default" w:ascii="Times New Roman" w:hAnsi="Times New Roman" w:eastAsia="宋体" w:cs="Times New Roman"/>
          <w:color w:val="auto"/>
          <w:sz w:val="36"/>
          <w:szCs w:val="36"/>
          <w:highlight w:val="none"/>
          <w:u w:val="single"/>
        </w:rPr>
      </w:pPr>
      <w:r>
        <w:rPr>
          <w:rFonts w:hint="default" w:ascii="Times New Roman" w:hAnsi="Times New Roman" w:eastAsia="宋体" w:cs="Times New Roman"/>
          <w:color w:val="auto"/>
          <w:sz w:val="36"/>
          <w:szCs w:val="36"/>
          <w:highlight w:val="none"/>
        </w:rPr>
        <w:t>编制日期：</w:t>
      </w:r>
      <w:r>
        <w:rPr>
          <w:rFonts w:hint="default" w:ascii="Times New Roman" w:hAnsi="Times New Roman" w:eastAsia="宋体" w:cs="Times New Roman"/>
          <w:color w:val="auto"/>
          <w:sz w:val="36"/>
          <w:szCs w:val="36"/>
          <w:highlight w:val="none"/>
          <w:u w:val="single"/>
          <w:lang w:val="en-US" w:eastAsia="zh-CN"/>
        </w:rPr>
        <w:t xml:space="preserve">           202</w:t>
      </w:r>
      <w:r>
        <w:rPr>
          <w:rFonts w:hint="eastAsia" w:cs="Times New Roman"/>
          <w:color w:val="auto"/>
          <w:sz w:val="36"/>
          <w:szCs w:val="36"/>
          <w:highlight w:val="none"/>
          <w:u w:val="single"/>
          <w:lang w:val="en-US" w:eastAsia="zh-CN"/>
        </w:rPr>
        <w:t>3</w:t>
      </w:r>
      <w:r>
        <w:rPr>
          <w:rFonts w:hint="default" w:ascii="Times New Roman" w:hAnsi="Times New Roman" w:eastAsia="宋体" w:cs="Times New Roman"/>
          <w:color w:val="auto"/>
          <w:sz w:val="36"/>
          <w:szCs w:val="36"/>
          <w:highlight w:val="none"/>
          <w:u w:val="single"/>
          <w:lang w:val="en-US" w:eastAsia="zh-CN"/>
        </w:rPr>
        <w:t>年</w:t>
      </w:r>
      <w:r>
        <w:rPr>
          <w:rFonts w:hint="eastAsia" w:cs="Times New Roman"/>
          <w:color w:val="auto"/>
          <w:sz w:val="36"/>
          <w:szCs w:val="36"/>
          <w:highlight w:val="none"/>
          <w:u w:val="single"/>
          <w:lang w:val="en-US" w:eastAsia="zh-CN"/>
        </w:rPr>
        <w:t>12</w:t>
      </w:r>
      <w:r>
        <w:rPr>
          <w:rFonts w:hint="default" w:ascii="Times New Roman" w:hAnsi="Times New Roman" w:eastAsia="宋体" w:cs="Times New Roman"/>
          <w:color w:val="auto"/>
          <w:sz w:val="36"/>
          <w:szCs w:val="36"/>
          <w:highlight w:val="none"/>
          <w:u w:val="single"/>
          <w:lang w:val="en-US" w:eastAsia="zh-CN"/>
        </w:rPr>
        <w:t>月</w:t>
      </w:r>
      <w:r>
        <w:rPr>
          <w:rFonts w:hint="default" w:ascii="Times New Roman" w:hAnsi="Times New Roman" w:eastAsia="宋体" w:cs="Times New Roman"/>
          <w:color w:val="auto"/>
          <w:sz w:val="36"/>
          <w:szCs w:val="36"/>
          <w:highlight w:val="none"/>
          <w:u w:val="single"/>
        </w:rPr>
        <w:t xml:space="preserve">            </w:t>
      </w:r>
    </w:p>
    <w:p w14:paraId="4DCE9F57">
      <w:pPr>
        <w:adjustRightInd w:val="0"/>
        <w:snapToGrid w:val="0"/>
        <w:spacing w:line="288" w:lineRule="auto"/>
        <w:ind w:firstLine="1040"/>
        <w:rPr>
          <w:rFonts w:hint="default" w:ascii="Times New Roman" w:hAnsi="Times New Roman" w:eastAsia="宋体" w:cs="Times New Roman"/>
          <w:color w:val="auto"/>
          <w:sz w:val="36"/>
          <w:szCs w:val="36"/>
          <w:highlight w:val="none"/>
        </w:rPr>
      </w:pPr>
    </w:p>
    <w:p w14:paraId="6E0D2B40">
      <w:pPr>
        <w:adjustRightInd w:val="0"/>
        <w:snapToGrid w:val="0"/>
        <w:spacing w:line="288" w:lineRule="auto"/>
        <w:ind w:firstLine="1040"/>
        <w:rPr>
          <w:rFonts w:hint="default" w:ascii="Times New Roman" w:hAnsi="Times New Roman" w:eastAsia="宋体" w:cs="Times New Roman"/>
          <w:color w:val="auto"/>
          <w:sz w:val="36"/>
          <w:szCs w:val="36"/>
          <w:highlight w:val="none"/>
        </w:rPr>
      </w:pPr>
    </w:p>
    <w:p w14:paraId="64B43969">
      <w:pPr>
        <w:adjustRightInd w:val="0"/>
        <w:snapToGrid w:val="0"/>
        <w:spacing w:line="288" w:lineRule="auto"/>
        <w:ind w:firstLine="1040"/>
        <w:rPr>
          <w:rFonts w:hint="default" w:ascii="Times New Roman" w:hAnsi="Times New Roman" w:eastAsia="宋体" w:cs="Times New Roman"/>
          <w:color w:val="auto"/>
          <w:sz w:val="36"/>
          <w:szCs w:val="36"/>
          <w:highlight w:val="none"/>
        </w:rPr>
      </w:pPr>
    </w:p>
    <w:p w14:paraId="560B3642">
      <w:pPr>
        <w:adjustRightInd w:val="0"/>
        <w:snapToGrid w:val="0"/>
        <w:spacing w:line="288" w:lineRule="auto"/>
        <w:ind w:firstLine="1040"/>
        <w:rPr>
          <w:rFonts w:hint="default" w:ascii="Times New Roman" w:hAnsi="Times New Roman" w:eastAsia="宋体" w:cs="Times New Roman"/>
          <w:color w:val="auto"/>
          <w:sz w:val="36"/>
          <w:szCs w:val="36"/>
          <w:highlight w:val="none"/>
        </w:rPr>
      </w:pPr>
    </w:p>
    <w:bookmarkEnd w:id="0"/>
    <w:p w14:paraId="1D6B9BE6">
      <w:pPr>
        <w:adjustRightInd w:val="0"/>
        <w:snapToGrid w:val="0"/>
        <w:spacing w:line="288" w:lineRule="auto"/>
        <w:jc w:val="center"/>
        <w:rPr>
          <w:rFonts w:hint="default" w:ascii="Times New Roman" w:hAnsi="Times New Roman" w:eastAsia="宋体" w:cs="Times New Roman"/>
          <w:color w:val="auto"/>
          <w:sz w:val="36"/>
          <w:szCs w:val="36"/>
          <w:highlight w:val="none"/>
        </w:rPr>
      </w:pPr>
      <w:r>
        <w:rPr>
          <w:rFonts w:hint="default" w:ascii="Times New Roman" w:hAnsi="Times New Roman" w:eastAsia="宋体" w:cs="Times New Roman"/>
          <w:color w:val="auto"/>
          <w:sz w:val="36"/>
          <w:szCs w:val="36"/>
          <w:highlight w:val="none"/>
        </w:rPr>
        <w:t>中华人民共和国生态环境部制</w:t>
      </w:r>
    </w:p>
    <w:p w14:paraId="62ACA630">
      <w:pPr>
        <w:adjustRightInd w:val="0"/>
        <w:snapToGrid w:val="0"/>
        <w:spacing w:line="288" w:lineRule="auto"/>
        <w:ind w:firstLine="1040"/>
        <w:rPr>
          <w:rFonts w:hint="default" w:ascii="Times New Roman" w:hAnsi="Times New Roman" w:eastAsia="宋体" w:cs="Times New Roman"/>
          <w:color w:val="auto"/>
          <w:sz w:val="36"/>
          <w:szCs w:val="36"/>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49988A18">
      <w:pPr>
        <w:pStyle w:val="9"/>
        <w:jc w:val="center"/>
        <w:outlineLvl w:val="0"/>
        <w:rPr>
          <w:rFonts w:hint="eastAsia" w:ascii="黑体" w:hAnsi="黑体" w:eastAsia="黑体"/>
          <w:snapToGrid w:val="0"/>
          <w:color w:val="auto"/>
          <w:sz w:val="30"/>
          <w:szCs w:val="30"/>
        </w:rPr>
      </w:pPr>
      <w:r>
        <w:rPr>
          <w:rFonts w:hint="eastAsia" w:ascii="黑体" w:hAnsi="黑体" w:eastAsia="黑体"/>
          <w:snapToGrid w:val="0"/>
          <w:color w:val="auto"/>
          <w:sz w:val="30"/>
          <w:szCs w:val="30"/>
        </w:rPr>
        <w:t>一、建设项目基本情况</w:t>
      </w:r>
    </w:p>
    <w:tbl>
      <w:tblPr>
        <w:tblStyle w:val="10"/>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10"/>
        <w:gridCol w:w="2753"/>
        <w:gridCol w:w="1335"/>
        <w:gridCol w:w="2972"/>
      </w:tblGrid>
      <w:tr w14:paraId="52FB88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0" w:type="dxa"/>
            <w:noWrap w:val="0"/>
            <w:tcMar>
              <w:top w:w="16" w:type="dxa"/>
              <w:left w:w="16" w:type="dxa"/>
              <w:right w:w="16" w:type="dxa"/>
            </w:tcMar>
            <w:vAlign w:val="center"/>
          </w:tcPr>
          <w:p w14:paraId="4BE83B83">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建设项目名称</w:t>
            </w:r>
          </w:p>
        </w:tc>
        <w:tc>
          <w:tcPr>
            <w:tcW w:w="7060" w:type="dxa"/>
            <w:gridSpan w:val="3"/>
            <w:noWrap w:val="0"/>
            <w:vAlign w:val="center"/>
          </w:tcPr>
          <w:p w14:paraId="25BA3640">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鄂尔多斯市蓝天白云环保材料有限责任公司固体聚合氯化铝生产线喷雾干燥塔热源技改项目</w:t>
            </w:r>
          </w:p>
        </w:tc>
      </w:tr>
      <w:tr w14:paraId="208977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0" w:type="dxa"/>
            <w:noWrap w:val="0"/>
            <w:tcMar>
              <w:top w:w="16" w:type="dxa"/>
              <w:left w:w="16" w:type="dxa"/>
              <w:right w:w="16" w:type="dxa"/>
            </w:tcMar>
            <w:vAlign w:val="center"/>
          </w:tcPr>
          <w:p w14:paraId="0CF64B27">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项目代码</w:t>
            </w:r>
          </w:p>
        </w:tc>
        <w:tc>
          <w:tcPr>
            <w:tcW w:w="7060" w:type="dxa"/>
            <w:gridSpan w:val="3"/>
            <w:noWrap w:val="0"/>
            <w:vAlign w:val="center"/>
          </w:tcPr>
          <w:p w14:paraId="5078A9CD">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jc w:val="center"/>
              <w:textAlignment w:val="center"/>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w:t>
            </w:r>
          </w:p>
        </w:tc>
      </w:tr>
      <w:tr w14:paraId="140615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0" w:type="dxa"/>
            <w:noWrap w:val="0"/>
            <w:tcMar>
              <w:top w:w="16" w:type="dxa"/>
              <w:left w:w="16" w:type="dxa"/>
              <w:right w:w="16" w:type="dxa"/>
            </w:tcMar>
            <w:vAlign w:val="center"/>
          </w:tcPr>
          <w:p w14:paraId="08086A6B">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建设单位</w:t>
            </w:r>
          </w:p>
          <w:p w14:paraId="1051573F">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联系人</w:t>
            </w:r>
          </w:p>
        </w:tc>
        <w:tc>
          <w:tcPr>
            <w:tcW w:w="2753" w:type="dxa"/>
            <w:noWrap w:val="0"/>
            <w:vAlign w:val="center"/>
          </w:tcPr>
          <w:p w14:paraId="31EE126D">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jc w:val="center"/>
              <w:textAlignment w:val="center"/>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吴小鹏</w:t>
            </w:r>
          </w:p>
        </w:tc>
        <w:tc>
          <w:tcPr>
            <w:tcW w:w="1335" w:type="dxa"/>
            <w:noWrap w:val="0"/>
            <w:vAlign w:val="center"/>
          </w:tcPr>
          <w:p w14:paraId="54DC919E">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联系方式</w:t>
            </w:r>
          </w:p>
        </w:tc>
        <w:tc>
          <w:tcPr>
            <w:tcW w:w="2972" w:type="dxa"/>
            <w:noWrap w:val="0"/>
            <w:vAlign w:val="center"/>
          </w:tcPr>
          <w:p w14:paraId="29FF7CC6">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jc w:val="center"/>
              <w:textAlignment w:val="center"/>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13947375600</w:t>
            </w:r>
          </w:p>
        </w:tc>
      </w:tr>
      <w:tr w14:paraId="52DD1E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0" w:type="dxa"/>
            <w:noWrap w:val="0"/>
            <w:tcMar>
              <w:top w:w="16" w:type="dxa"/>
              <w:left w:w="16" w:type="dxa"/>
              <w:right w:w="16" w:type="dxa"/>
            </w:tcMar>
            <w:vAlign w:val="center"/>
          </w:tcPr>
          <w:p w14:paraId="115FD5EF">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建设地点</w:t>
            </w:r>
          </w:p>
        </w:tc>
        <w:tc>
          <w:tcPr>
            <w:tcW w:w="7060" w:type="dxa"/>
            <w:gridSpan w:val="3"/>
            <w:noWrap w:val="0"/>
            <w:vAlign w:val="center"/>
          </w:tcPr>
          <w:p w14:paraId="226BEA16">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jc w:val="center"/>
              <w:textAlignment w:val="center"/>
              <w:rPr>
                <w:rFonts w:hint="default" w:ascii="宋体" w:hAnsi="宋体" w:eastAsia="宋体" w:cs="宋体"/>
                <w:color w:val="auto"/>
                <w:sz w:val="24"/>
                <w:szCs w:val="24"/>
                <w:lang w:val="en-US" w:eastAsia="zh-CN"/>
              </w:rPr>
            </w:pPr>
            <w:r>
              <w:rPr>
                <w:rFonts w:hint="default" w:ascii="宋体" w:hAnsi="宋体" w:eastAsia="宋体" w:cs="宋体"/>
                <w:color w:val="auto"/>
                <w:sz w:val="24"/>
                <w:szCs w:val="24"/>
                <w:lang w:val="en-US" w:eastAsia="zh-CN"/>
              </w:rPr>
              <w:t>鄂尔多斯市鄂托克旗内蒙古蒙西高新技术工业园区鄂尔多斯市蓝天白云环保材料有限责任公司厂区内</w:t>
            </w:r>
          </w:p>
        </w:tc>
      </w:tr>
      <w:tr w14:paraId="02EC2E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0" w:type="dxa"/>
            <w:noWrap w:val="0"/>
            <w:tcMar>
              <w:top w:w="16" w:type="dxa"/>
              <w:left w:w="16" w:type="dxa"/>
              <w:right w:w="16" w:type="dxa"/>
            </w:tcMar>
            <w:vAlign w:val="center"/>
          </w:tcPr>
          <w:p w14:paraId="20A14C92">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地理坐标</w:t>
            </w:r>
          </w:p>
        </w:tc>
        <w:tc>
          <w:tcPr>
            <w:tcW w:w="7060" w:type="dxa"/>
            <w:gridSpan w:val="3"/>
            <w:noWrap w:val="0"/>
            <w:vAlign w:val="center"/>
          </w:tcPr>
          <w:p w14:paraId="03593D4A">
            <w:pPr>
              <w:keepNext w:val="0"/>
              <w:keepLines w:val="0"/>
              <w:pageBreakBefore w:val="0"/>
              <w:widowControl/>
              <w:kinsoku/>
              <w:wordWrap/>
              <w:overflowPunct/>
              <w:topLinePunct w:val="0"/>
              <w:autoSpaceDE/>
              <w:autoSpaceDN/>
              <w:bidi w:val="0"/>
              <w:spacing w:line="240" w:lineRule="auto"/>
              <w:ind w:left="21" w:leftChars="10" w:right="21" w:rightChars="10"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w:t>
            </w:r>
            <w:r>
              <w:rPr>
                <w:rFonts w:hint="eastAsia" w:ascii="宋体" w:hAnsi="宋体" w:cs="宋体"/>
                <w:color w:val="auto"/>
                <w:sz w:val="24"/>
                <w:szCs w:val="24"/>
                <w:lang w:val="en-US" w:eastAsia="zh-CN"/>
              </w:rPr>
              <w:t>106</w:t>
            </w:r>
            <w:r>
              <w:rPr>
                <w:rFonts w:hint="eastAsia" w:ascii="宋体" w:hAnsi="宋体" w:eastAsia="宋体" w:cs="宋体"/>
                <w:color w:val="auto"/>
                <w:sz w:val="24"/>
                <w:szCs w:val="24"/>
              </w:rPr>
              <w:t>度</w:t>
            </w:r>
            <w:r>
              <w:rPr>
                <w:rFonts w:hint="eastAsia" w:ascii="宋体" w:hAnsi="宋体" w:cs="宋体"/>
                <w:color w:val="auto"/>
                <w:sz w:val="24"/>
                <w:szCs w:val="24"/>
                <w:lang w:val="en-US" w:eastAsia="zh-CN"/>
              </w:rPr>
              <w:t>47</w:t>
            </w:r>
            <w:r>
              <w:rPr>
                <w:rFonts w:hint="eastAsia" w:ascii="宋体" w:hAnsi="宋体" w:eastAsia="宋体" w:cs="宋体"/>
                <w:color w:val="auto"/>
                <w:sz w:val="24"/>
                <w:szCs w:val="24"/>
              </w:rPr>
              <w:t>分</w:t>
            </w:r>
            <w:r>
              <w:rPr>
                <w:rFonts w:hint="eastAsia" w:ascii="宋体" w:hAnsi="宋体" w:cs="宋体"/>
                <w:color w:val="auto"/>
                <w:sz w:val="24"/>
                <w:szCs w:val="24"/>
                <w:lang w:val="en-US" w:eastAsia="zh-CN"/>
              </w:rPr>
              <w:t>8.459</w:t>
            </w:r>
            <w:r>
              <w:rPr>
                <w:rFonts w:hint="eastAsia" w:ascii="宋体" w:hAnsi="宋体" w:eastAsia="宋体" w:cs="宋体"/>
                <w:color w:val="auto"/>
                <w:sz w:val="24"/>
                <w:szCs w:val="24"/>
              </w:rPr>
              <w:t>秒，</w:t>
            </w:r>
            <w:r>
              <w:rPr>
                <w:rFonts w:hint="eastAsia" w:ascii="宋体" w:hAnsi="宋体" w:cs="宋体"/>
                <w:color w:val="auto"/>
                <w:sz w:val="24"/>
                <w:szCs w:val="24"/>
                <w:lang w:val="en-US" w:eastAsia="zh-CN"/>
              </w:rPr>
              <w:t>39</w:t>
            </w:r>
            <w:r>
              <w:rPr>
                <w:rFonts w:hint="eastAsia" w:ascii="宋体" w:hAnsi="宋体" w:eastAsia="宋体" w:cs="宋体"/>
                <w:color w:val="auto"/>
                <w:sz w:val="24"/>
                <w:szCs w:val="24"/>
              </w:rPr>
              <w:t>度</w:t>
            </w:r>
            <w:r>
              <w:rPr>
                <w:rFonts w:hint="eastAsia" w:ascii="宋体" w:hAnsi="宋体" w:cs="宋体"/>
                <w:color w:val="auto"/>
                <w:sz w:val="24"/>
                <w:szCs w:val="24"/>
                <w:lang w:val="en-US" w:eastAsia="zh-CN"/>
              </w:rPr>
              <w:t>51</w:t>
            </w:r>
            <w:r>
              <w:rPr>
                <w:rFonts w:hint="eastAsia" w:ascii="宋体" w:hAnsi="宋体" w:eastAsia="宋体" w:cs="宋体"/>
                <w:color w:val="auto"/>
                <w:sz w:val="24"/>
                <w:szCs w:val="24"/>
              </w:rPr>
              <w:t>分</w:t>
            </w:r>
            <w:r>
              <w:rPr>
                <w:rFonts w:hint="eastAsia" w:ascii="宋体" w:hAnsi="宋体" w:cs="宋体"/>
                <w:color w:val="auto"/>
                <w:sz w:val="24"/>
                <w:szCs w:val="24"/>
                <w:lang w:val="en-US" w:eastAsia="zh-CN"/>
              </w:rPr>
              <w:t>50.202</w:t>
            </w:r>
            <w:r>
              <w:rPr>
                <w:rFonts w:hint="eastAsia" w:ascii="宋体" w:hAnsi="宋体" w:eastAsia="宋体" w:cs="宋体"/>
                <w:color w:val="auto"/>
                <w:sz w:val="24"/>
                <w:szCs w:val="24"/>
              </w:rPr>
              <w:t>秒）</w:t>
            </w:r>
          </w:p>
        </w:tc>
      </w:tr>
      <w:tr w14:paraId="1B3DD9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810" w:type="dxa"/>
            <w:noWrap w:val="0"/>
            <w:tcMar>
              <w:top w:w="16" w:type="dxa"/>
              <w:left w:w="16" w:type="dxa"/>
              <w:right w:w="16" w:type="dxa"/>
            </w:tcMar>
            <w:vAlign w:val="center"/>
          </w:tcPr>
          <w:p w14:paraId="2F951989">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国民经济</w:t>
            </w:r>
          </w:p>
          <w:p w14:paraId="00682F12">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行业类别</w:t>
            </w:r>
          </w:p>
        </w:tc>
        <w:tc>
          <w:tcPr>
            <w:tcW w:w="2753" w:type="dxa"/>
            <w:noWrap w:val="0"/>
            <w:vAlign w:val="center"/>
          </w:tcPr>
          <w:p w14:paraId="55469F6A">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jc w:val="center"/>
              <w:textAlignment w:val="center"/>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D 电力、热力、燃气及水生产和供应业</w:t>
            </w:r>
          </w:p>
          <w:p w14:paraId="77045592">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jc w:val="center"/>
              <w:textAlignment w:val="center"/>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4430热力生产和供应</w:t>
            </w:r>
          </w:p>
        </w:tc>
        <w:tc>
          <w:tcPr>
            <w:tcW w:w="1335" w:type="dxa"/>
            <w:noWrap w:val="0"/>
            <w:vAlign w:val="center"/>
          </w:tcPr>
          <w:p w14:paraId="66205E4D">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bookmarkStart w:id="1" w:name="_Hlk49843745"/>
            <w:r>
              <w:rPr>
                <w:rFonts w:hint="eastAsia" w:ascii="宋体" w:hAnsi="宋体" w:eastAsia="宋体" w:cs="宋体"/>
                <w:color w:val="auto"/>
                <w:sz w:val="24"/>
                <w:szCs w:val="24"/>
              </w:rPr>
              <w:t>建设项目</w:t>
            </w:r>
          </w:p>
          <w:p w14:paraId="3E9BF92B">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行业类别</w:t>
            </w:r>
            <w:bookmarkEnd w:id="1"/>
          </w:p>
        </w:tc>
        <w:tc>
          <w:tcPr>
            <w:tcW w:w="2972" w:type="dxa"/>
            <w:noWrap w:val="0"/>
            <w:vAlign w:val="center"/>
          </w:tcPr>
          <w:p w14:paraId="164EB55D">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jc w:val="center"/>
              <w:textAlignment w:val="center"/>
              <w:rPr>
                <w:rFonts w:hint="eastAsia" w:ascii="宋体" w:hAnsi="宋体" w:eastAsia="宋体" w:cs="宋体"/>
                <w:color w:val="auto"/>
                <w:sz w:val="24"/>
                <w:szCs w:val="24"/>
                <w:lang w:val="en-US"/>
              </w:rPr>
            </w:pPr>
            <w:r>
              <w:rPr>
                <w:rFonts w:hint="default" w:ascii="Times New Roman" w:hAnsi="Times New Roman" w:eastAsia="宋体" w:cs="Times New Roman"/>
                <w:color w:val="auto"/>
                <w:sz w:val="24"/>
                <w:szCs w:val="24"/>
                <w:lang w:val="en-US"/>
              </w:rPr>
              <w:t>四十</w:t>
            </w:r>
            <w:r>
              <w:rPr>
                <w:rFonts w:hint="eastAsia" w:cs="Times New Roman"/>
                <w:color w:val="auto"/>
                <w:sz w:val="24"/>
                <w:szCs w:val="24"/>
                <w:lang w:val="en-US" w:eastAsia="zh-CN"/>
              </w:rPr>
              <w:t>一</w:t>
            </w:r>
            <w:r>
              <w:rPr>
                <w:rFonts w:hint="default" w:ascii="Times New Roman" w:hAnsi="Times New Roman" w:eastAsia="宋体" w:cs="Times New Roman"/>
                <w:color w:val="auto"/>
                <w:sz w:val="24"/>
                <w:szCs w:val="24"/>
                <w:lang w:val="en-US"/>
              </w:rPr>
              <w:t>、电力、热力生产和供应业</w:t>
            </w:r>
            <w:r>
              <w:rPr>
                <w:rFonts w:hint="eastAsia" w:cs="Times New Roman"/>
                <w:color w:val="auto"/>
                <w:sz w:val="24"/>
                <w:szCs w:val="24"/>
                <w:lang w:val="en-US" w:eastAsia="zh-CN"/>
              </w:rPr>
              <w:t>，91</w:t>
            </w:r>
            <w:r>
              <w:rPr>
                <w:rFonts w:hint="default" w:ascii="Times New Roman" w:hAnsi="Times New Roman" w:eastAsia="宋体" w:cs="Times New Roman"/>
                <w:color w:val="auto"/>
                <w:sz w:val="24"/>
                <w:szCs w:val="24"/>
                <w:lang w:val="en-US"/>
              </w:rPr>
              <w:t>热力生产和供应工程燃煤、燃油锅炉总容量65吨/小时（45.5兆瓦）及以下的</w:t>
            </w:r>
          </w:p>
        </w:tc>
      </w:tr>
      <w:tr w14:paraId="3FEB27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810" w:type="dxa"/>
            <w:noWrap w:val="0"/>
            <w:tcMar>
              <w:top w:w="16" w:type="dxa"/>
              <w:left w:w="16" w:type="dxa"/>
              <w:right w:w="16" w:type="dxa"/>
            </w:tcMar>
            <w:vAlign w:val="center"/>
          </w:tcPr>
          <w:p w14:paraId="1AC33451">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建设性质</w:t>
            </w:r>
          </w:p>
        </w:tc>
        <w:tc>
          <w:tcPr>
            <w:tcW w:w="2753" w:type="dxa"/>
            <w:noWrap w:val="0"/>
            <w:vAlign w:val="center"/>
          </w:tcPr>
          <w:p w14:paraId="38DF0608">
            <w:pPr>
              <w:keepNext w:val="0"/>
              <w:keepLines w:val="0"/>
              <w:pageBreakBefore w:val="0"/>
              <w:widowControl/>
              <w:kinsoku/>
              <w:wordWrap/>
              <w:overflowPunct/>
              <w:topLinePunct w:val="0"/>
              <w:autoSpaceDE/>
              <w:autoSpaceDN/>
              <w:bidi w:val="0"/>
              <w:adjustRightInd/>
              <w:snapToGrid/>
              <w:spacing w:line="240" w:lineRule="auto"/>
              <w:ind w:left="21" w:leftChars="10" w:right="21" w:rightChars="10" w:firstLine="0" w:firstLineChars="0"/>
              <w:jc w:val="left"/>
              <w:textAlignment w:val="center"/>
              <w:rPr>
                <w:rFonts w:hint="eastAsia" w:ascii="宋体" w:hAnsi="宋体" w:eastAsia="宋体" w:cs="宋体"/>
                <w:color w:val="auto"/>
                <w:sz w:val="24"/>
                <w:szCs w:val="24"/>
              </w:rPr>
            </w:pPr>
            <w:r>
              <w:rPr>
                <w:rFonts w:hint="eastAsia" w:ascii="宋体" w:hAnsi="宋体" w:cs="宋体"/>
                <w:color w:val="auto"/>
                <w:sz w:val="24"/>
                <w:szCs w:val="24"/>
                <w:lang w:eastAsia="zh-CN"/>
              </w:rPr>
              <w:t>□</w:t>
            </w:r>
            <w:r>
              <w:rPr>
                <w:rFonts w:hint="eastAsia" w:ascii="宋体" w:hAnsi="宋体" w:eastAsia="宋体" w:cs="宋体"/>
                <w:color w:val="auto"/>
                <w:sz w:val="24"/>
                <w:szCs w:val="24"/>
              </w:rPr>
              <w:t>新建（迁建）</w:t>
            </w:r>
          </w:p>
          <w:p w14:paraId="718C4418">
            <w:pPr>
              <w:keepNext w:val="0"/>
              <w:keepLines w:val="0"/>
              <w:pageBreakBefore w:val="0"/>
              <w:widowControl/>
              <w:kinsoku/>
              <w:wordWrap/>
              <w:overflowPunct/>
              <w:topLinePunct w:val="0"/>
              <w:autoSpaceDE/>
              <w:autoSpaceDN/>
              <w:bidi w:val="0"/>
              <w:adjustRightInd/>
              <w:snapToGrid/>
              <w:spacing w:line="240" w:lineRule="auto"/>
              <w:ind w:left="21" w:leftChars="10" w:right="21" w:rightChars="10" w:firstLine="0" w:firstLineChars="0"/>
              <w:jc w:val="left"/>
              <w:textAlignment w:val="center"/>
              <w:rPr>
                <w:rFonts w:hint="eastAsia" w:ascii="宋体" w:hAnsi="宋体" w:eastAsia="宋体" w:cs="宋体"/>
                <w:color w:val="auto"/>
                <w:sz w:val="24"/>
                <w:szCs w:val="24"/>
              </w:rPr>
            </w:pP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改建</w:t>
            </w:r>
          </w:p>
          <w:p w14:paraId="6C8B3065">
            <w:pPr>
              <w:keepNext w:val="0"/>
              <w:keepLines w:val="0"/>
              <w:pageBreakBefore w:val="0"/>
              <w:widowControl/>
              <w:kinsoku/>
              <w:wordWrap/>
              <w:overflowPunct/>
              <w:topLinePunct w:val="0"/>
              <w:autoSpaceDE/>
              <w:autoSpaceDN/>
              <w:bidi w:val="0"/>
              <w:adjustRightInd/>
              <w:snapToGrid/>
              <w:spacing w:line="240" w:lineRule="auto"/>
              <w:ind w:left="21" w:leftChars="10" w:right="21" w:rightChars="10" w:firstLine="0" w:firstLineChars="0"/>
              <w:jc w:val="left"/>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□扩建</w:t>
            </w:r>
          </w:p>
          <w:p w14:paraId="5900D359">
            <w:pPr>
              <w:keepNext w:val="0"/>
              <w:keepLines w:val="0"/>
              <w:pageBreakBefore w:val="0"/>
              <w:widowControl/>
              <w:kinsoku/>
              <w:wordWrap/>
              <w:overflowPunct/>
              <w:topLinePunct w:val="0"/>
              <w:autoSpaceDE/>
              <w:autoSpaceDN/>
              <w:bidi w:val="0"/>
              <w:adjustRightInd/>
              <w:snapToGrid/>
              <w:spacing w:line="240" w:lineRule="auto"/>
              <w:ind w:left="21" w:leftChars="10" w:right="21" w:rightChars="10" w:firstLine="0" w:firstLineChars="0"/>
              <w:jc w:val="left"/>
              <w:textAlignment w:val="center"/>
              <w:rPr>
                <w:rFonts w:hint="eastAsia" w:ascii="宋体" w:hAnsi="宋体" w:eastAsia="宋体" w:cs="宋体"/>
                <w:color w:val="auto"/>
                <w:sz w:val="24"/>
                <w:szCs w:val="24"/>
              </w:rPr>
            </w:pPr>
            <w:r>
              <w:rPr>
                <w:rFonts w:hint="eastAsia" w:ascii="宋体" w:hAnsi="宋体" w:cs="宋体"/>
                <w:color w:val="auto"/>
                <w:sz w:val="24"/>
                <w:szCs w:val="24"/>
                <w:lang w:eastAsia="zh-CN"/>
              </w:rPr>
              <w:t>☑</w:t>
            </w:r>
            <w:r>
              <w:rPr>
                <w:rFonts w:hint="eastAsia" w:ascii="宋体" w:hAnsi="宋体" w:eastAsia="宋体" w:cs="宋体"/>
                <w:color w:val="auto"/>
                <w:sz w:val="24"/>
                <w:szCs w:val="24"/>
              </w:rPr>
              <w:t>技术改造</w:t>
            </w:r>
          </w:p>
        </w:tc>
        <w:tc>
          <w:tcPr>
            <w:tcW w:w="1335" w:type="dxa"/>
            <w:noWrap w:val="0"/>
            <w:vAlign w:val="center"/>
          </w:tcPr>
          <w:p w14:paraId="56211412">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建设项目</w:t>
            </w:r>
          </w:p>
          <w:p w14:paraId="3BD7EBF7">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申报情形</w:t>
            </w:r>
          </w:p>
        </w:tc>
        <w:tc>
          <w:tcPr>
            <w:tcW w:w="2972" w:type="dxa"/>
            <w:noWrap w:val="0"/>
            <w:vAlign w:val="center"/>
          </w:tcPr>
          <w:p w14:paraId="43FDC0F2">
            <w:pPr>
              <w:keepNext w:val="0"/>
              <w:keepLines w:val="0"/>
              <w:pageBreakBefore w:val="0"/>
              <w:widowControl/>
              <w:kinsoku/>
              <w:wordWrap/>
              <w:overflowPunct/>
              <w:topLinePunct w:val="0"/>
              <w:autoSpaceDE/>
              <w:autoSpaceDN/>
              <w:bidi w:val="0"/>
              <w:adjustRightInd/>
              <w:snapToGrid/>
              <w:spacing w:line="240" w:lineRule="auto"/>
              <w:ind w:left="21" w:leftChars="10" w:right="21" w:rightChars="10" w:firstLine="0" w:firstLineChars="0"/>
              <w:jc w:val="left"/>
              <w:textAlignment w:val="center"/>
              <w:rPr>
                <w:rFonts w:hint="eastAsia" w:ascii="宋体" w:hAnsi="宋体" w:eastAsia="宋体" w:cs="宋体"/>
                <w:color w:val="auto"/>
                <w:sz w:val="24"/>
                <w:szCs w:val="24"/>
              </w:rPr>
            </w:pP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首次申报项目</w:t>
            </w:r>
          </w:p>
          <w:p w14:paraId="70A2787F">
            <w:pPr>
              <w:keepNext w:val="0"/>
              <w:keepLines w:val="0"/>
              <w:pageBreakBefore w:val="0"/>
              <w:widowControl/>
              <w:kinsoku/>
              <w:wordWrap/>
              <w:overflowPunct/>
              <w:topLinePunct w:val="0"/>
              <w:autoSpaceDE/>
              <w:autoSpaceDN/>
              <w:bidi w:val="0"/>
              <w:adjustRightInd/>
              <w:snapToGrid/>
              <w:spacing w:line="240" w:lineRule="auto"/>
              <w:ind w:left="21" w:leftChars="10" w:right="21" w:rightChars="10" w:firstLine="0" w:firstLineChars="0"/>
              <w:jc w:val="left"/>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□不予批准后再次申报项目</w:t>
            </w:r>
          </w:p>
          <w:p w14:paraId="3571462F">
            <w:pPr>
              <w:keepNext w:val="0"/>
              <w:keepLines w:val="0"/>
              <w:pageBreakBefore w:val="0"/>
              <w:widowControl/>
              <w:kinsoku/>
              <w:wordWrap/>
              <w:overflowPunct/>
              <w:topLinePunct w:val="0"/>
              <w:autoSpaceDE/>
              <w:autoSpaceDN/>
              <w:bidi w:val="0"/>
              <w:adjustRightInd/>
              <w:snapToGrid/>
              <w:spacing w:line="240" w:lineRule="auto"/>
              <w:ind w:left="21" w:leftChars="10" w:right="21" w:rightChars="10" w:firstLine="0" w:firstLineChars="0"/>
              <w:jc w:val="left"/>
              <w:textAlignment w:val="center"/>
              <w:rPr>
                <w:rFonts w:hint="eastAsia" w:ascii="宋体" w:hAnsi="宋体" w:eastAsia="宋体" w:cs="宋体"/>
                <w:color w:val="auto"/>
                <w:sz w:val="24"/>
                <w:szCs w:val="24"/>
              </w:rPr>
            </w:pP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超五年重新审核项目</w:t>
            </w:r>
          </w:p>
          <w:p w14:paraId="5D923A0F">
            <w:pPr>
              <w:keepNext w:val="0"/>
              <w:keepLines w:val="0"/>
              <w:pageBreakBefore w:val="0"/>
              <w:widowControl/>
              <w:kinsoku/>
              <w:wordWrap/>
              <w:overflowPunct/>
              <w:topLinePunct w:val="0"/>
              <w:autoSpaceDE/>
              <w:autoSpaceDN/>
              <w:bidi w:val="0"/>
              <w:adjustRightInd/>
              <w:snapToGrid/>
              <w:spacing w:line="240" w:lineRule="auto"/>
              <w:ind w:left="21" w:leftChars="10" w:right="21" w:rightChars="10" w:firstLine="0" w:firstLineChars="0"/>
              <w:jc w:val="left"/>
              <w:textAlignment w:val="center"/>
              <w:rPr>
                <w:rFonts w:hint="eastAsia" w:ascii="宋体" w:hAnsi="宋体" w:eastAsia="宋体" w:cs="宋体"/>
                <w:color w:val="auto"/>
                <w:sz w:val="24"/>
                <w:szCs w:val="24"/>
              </w:rPr>
            </w:pP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重大变动重新报批项目</w:t>
            </w:r>
          </w:p>
        </w:tc>
      </w:tr>
      <w:tr w14:paraId="2EECDD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810" w:type="dxa"/>
            <w:noWrap w:val="0"/>
            <w:tcMar>
              <w:top w:w="16" w:type="dxa"/>
              <w:left w:w="16" w:type="dxa"/>
              <w:right w:w="16" w:type="dxa"/>
            </w:tcMar>
            <w:vAlign w:val="center"/>
          </w:tcPr>
          <w:p w14:paraId="66C1123A">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项目审批（核准/备案）部门</w:t>
            </w:r>
          </w:p>
          <w:p w14:paraId="71BAD8FB">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（选填）</w:t>
            </w:r>
          </w:p>
        </w:tc>
        <w:tc>
          <w:tcPr>
            <w:tcW w:w="2753" w:type="dxa"/>
            <w:noWrap w:val="0"/>
            <w:vAlign w:val="center"/>
          </w:tcPr>
          <w:p w14:paraId="78DD58DB">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w:t>
            </w:r>
          </w:p>
        </w:tc>
        <w:tc>
          <w:tcPr>
            <w:tcW w:w="1335" w:type="dxa"/>
            <w:noWrap w:val="0"/>
            <w:vAlign w:val="center"/>
          </w:tcPr>
          <w:p w14:paraId="2F6F756E">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项目审批（核准/备案）文号</w:t>
            </w:r>
          </w:p>
          <w:p w14:paraId="18A4EFED">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（选填）</w:t>
            </w:r>
          </w:p>
        </w:tc>
        <w:tc>
          <w:tcPr>
            <w:tcW w:w="2972" w:type="dxa"/>
            <w:noWrap w:val="0"/>
            <w:vAlign w:val="center"/>
          </w:tcPr>
          <w:p w14:paraId="2A0CEA57">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jc w:val="center"/>
              <w:textAlignment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w:t>
            </w:r>
          </w:p>
        </w:tc>
      </w:tr>
      <w:tr w14:paraId="308C0E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0" w:type="dxa"/>
            <w:noWrap w:val="0"/>
            <w:tcMar>
              <w:top w:w="16" w:type="dxa"/>
              <w:left w:w="16" w:type="dxa"/>
              <w:right w:w="16" w:type="dxa"/>
            </w:tcMar>
            <w:vAlign w:val="center"/>
          </w:tcPr>
          <w:p w14:paraId="3CC25936">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总投资</w:t>
            </w:r>
          </w:p>
          <w:p w14:paraId="520C1417">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（万元）</w:t>
            </w:r>
          </w:p>
        </w:tc>
        <w:tc>
          <w:tcPr>
            <w:tcW w:w="2753" w:type="dxa"/>
            <w:noWrap w:val="0"/>
            <w:vAlign w:val="center"/>
          </w:tcPr>
          <w:p w14:paraId="3410CB2E">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jc w:val="center"/>
              <w:textAlignment w:val="center"/>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300</w:t>
            </w:r>
          </w:p>
        </w:tc>
        <w:tc>
          <w:tcPr>
            <w:tcW w:w="1335" w:type="dxa"/>
            <w:noWrap w:val="0"/>
            <w:tcMar>
              <w:top w:w="16" w:type="dxa"/>
              <w:left w:w="16" w:type="dxa"/>
              <w:right w:w="16" w:type="dxa"/>
            </w:tcMar>
            <w:vAlign w:val="center"/>
          </w:tcPr>
          <w:p w14:paraId="5C70ACE1">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环保投资</w:t>
            </w:r>
          </w:p>
          <w:p w14:paraId="139AF1D0">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（万元）</w:t>
            </w:r>
          </w:p>
        </w:tc>
        <w:tc>
          <w:tcPr>
            <w:tcW w:w="2972" w:type="dxa"/>
            <w:noWrap w:val="0"/>
            <w:vAlign w:val="center"/>
          </w:tcPr>
          <w:p w14:paraId="44A5D526">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jc w:val="center"/>
              <w:textAlignment w:val="center"/>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18</w:t>
            </w:r>
          </w:p>
        </w:tc>
      </w:tr>
      <w:tr w14:paraId="3D7230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0" w:type="dxa"/>
            <w:noWrap w:val="0"/>
            <w:tcMar>
              <w:top w:w="16" w:type="dxa"/>
              <w:left w:w="16" w:type="dxa"/>
              <w:right w:w="16" w:type="dxa"/>
            </w:tcMar>
            <w:vAlign w:val="center"/>
          </w:tcPr>
          <w:p w14:paraId="1FADC6B1">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环保投资占比（%）</w:t>
            </w:r>
          </w:p>
        </w:tc>
        <w:tc>
          <w:tcPr>
            <w:tcW w:w="2753" w:type="dxa"/>
            <w:noWrap w:val="0"/>
            <w:vAlign w:val="center"/>
          </w:tcPr>
          <w:p w14:paraId="62F25959">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jc w:val="center"/>
              <w:textAlignment w:val="center"/>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6</w:t>
            </w:r>
          </w:p>
        </w:tc>
        <w:tc>
          <w:tcPr>
            <w:tcW w:w="1335" w:type="dxa"/>
            <w:noWrap w:val="0"/>
            <w:tcMar>
              <w:top w:w="16" w:type="dxa"/>
              <w:left w:w="16" w:type="dxa"/>
              <w:right w:w="16" w:type="dxa"/>
            </w:tcMar>
            <w:vAlign w:val="center"/>
          </w:tcPr>
          <w:p w14:paraId="7178C3AD">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施工工期</w:t>
            </w:r>
          </w:p>
        </w:tc>
        <w:tc>
          <w:tcPr>
            <w:tcW w:w="2972" w:type="dxa"/>
            <w:noWrap w:val="0"/>
            <w:vAlign w:val="center"/>
          </w:tcPr>
          <w:p w14:paraId="3D1DCCD6">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jc w:val="center"/>
              <w:textAlignment w:val="center"/>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6个月</w:t>
            </w:r>
          </w:p>
        </w:tc>
      </w:tr>
      <w:tr w14:paraId="79A37E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0" w:type="dxa"/>
            <w:noWrap w:val="0"/>
            <w:tcMar>
              <w:top w:w="16" w:type="dxa"/>
              <w:left w:w="16" w:type="dxa"/>
              <w:right w:w="16" w:type="dxa"/>
            </w:tcMar>
            <w:vAlign w:val="center"/>
          </w:tcPr>
          <w:p w14:paraId="176303CA">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是否开工建设</w:t>
            </w:r>
          </w:p>
        </w:tc>
        <w:tc>
          <w:tcPr>
            <w:tcW w:w="2753" w:type="dxa"/>
            <w:noWrap w:val="0"/>
            <w:vAlign w:val="center"/>
          </w:tcPr>
          <w:p w14:paraId="4372930D">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否</w:t>
            </w:r>
          </w:p>
          <w:p w14:paraId="3ABBBEFA">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textAlignment w:val="center"/>
              <w:rPr>
                <w:rFonts w:hint="eastAsia" w:ascii="宋体" w:hAnsi="宋体" w:eastAsia="宋体" w:cs="宋体"/>
                <w:color w:val="auto"/>
                <w:sz w:val="24"/>
                <w:szCs w:val="24"/>
                <w:lang w:val="en-US"/>
              </w:rPr>
            </w:pP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是：</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p>
        </w:tc>
        <w:tc>
          <w:tcPr>
            <w:tcW w:w="1335" w:type="dxa"/>
            <w:noWrap w:val="0"/>
            <w:tcMar>
              <w:top w:w="16" w:type="dxa"/>
              <w:left w:w="16" w:type="dxa"/>
              <w:right w:w="16" w:type="dxa"/>
            </w:tcMar>
            <w:vAlign w:val="center"/>
          </w:tcPr>
          <w:p w14:paraId="66EC1CCD">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用地</w:t>
            </w:r>
          </w:p>
          <w:p w14:paraId="62766FCE">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面积（m</w:t>
            </w:r>
            <w:r>
              <w:rPr>
                <w:rFonts w:hint="eastAsia" w:ascii="宋体" w:hAnsi="宋体" w:eastAsia="宋体" w:cs="宋体"/>
                <w:color w:val="auto"/>
                <w:sz w:val="24"/>
                <w:szCs w:val="24"/>
                <w:vertAlign w:val="superscript"/>
              </w:rPr>
              <w:t>2</w:t>
            </w:r>
            <w:r>
              <w:rPr>
                <w:rFonts w:hint="eastAsia" w:ascii="宋体" w:hAnsi="宋体" w:eastAsia="宋体" w:cs="宋体"/>
                <w:color w:val="auto"/>
                <w:sz w:val="24"/>
                <w:szCs w:val="24"/>
              </w:rPr>
              <w:t>）</w:t>
            </w:r>
          </w:p>
        </w:tc>
        <w:tc>
          <w:tcPr>
            <w:tcW w:w="2972" w:type="dxa"/>
            <w:noWrap w:val="0"/>
            <w:vAlign w:val="center"/>
          </w:tcPr>
          <w:p w14:paraId="571AF023">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jc w:val="center"/>
              <w:textAlignment w:val="center"/>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400</w:t>
            </w:r>
          </w:p>
        </w:tc>
      </w:tr>
      <w:tr w14:paraId="6FF71E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0" w:type="dxa"/>
            <w:noWrap w:val="0"/>
            <w:vAlign w:val="center"/>
          </w:tcPr>
          <w:p w14:paraId="413145E4">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专项评价设置情况</w:t>
            </w:r>
          </w:p>
        </w:tc>
        <w:tc>
          <w:tcPr>
            <w:tcW w:w="7060" w:type="dxa"/>
            <w:gridSpan w:val="3"/>
            <w:noWrap w:val="0"/>
            <w:vAlign w:val="center"/>
          </w:tcPr>
          <w:p w14:paraId="646035FF">
            <w:pPr>
              <w:keepNext w:val="0"/>
              <w:keepLines w:val="0"/>
              <w:pageBreakBefore w:val="0"/>
              <w:widowControl/>
              <w:kinsoku/>
              <w:wordWrap/>
              <w:overflowPunct/>
              <w:topLinePunct w:val="0"/>
              <w:autoSpaceDE/>
              <w:autoSpaceDN/>
              <w:bidi w:val="0"/>
              <w:adjustRightInd w:val="0"/>
              <w:snapToGrid w:val="0"/>
              <w:spacing w:line="240" w:lineRule="auto"/>
              <w:ind w:left="21" w:leftChars="10" w:right="21" w:rightChars="10" w:firstLine="0" w:firstLineChars="0"/>
              <w:jc w:val="center"/>
              <w:textAlignment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无</w:t>
            </w:r>
          </w:p>
        </w:tc>
      </w:tr>
      <w:tr w14:paraId="164B7F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8" w:hRule="atLeast"/>
          <w:jc w:val="center"/>
        </w:trPr>
        <w:tc>
          <w:tcPr>
            <w:tcW w:w="1810" w:type="dxa"/>
            <w:noWrap w:val="0"/>
            <w:vAlign w:val="center"/>
          </w:tcPr>
          <w:p w14:paraId="45D20DBB">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b w:val="0"/>
                <w:bCs w:val="0"/>
                <w:color w:val="auto"/>
                <w:sz w:val="24"/>
                <w:szCs w:val="24"/>
              </w:rPr>
            </w:pPr>
            <w:r>
              <w:rPr>
                <w:rFonts w:hint="eastAsia" w:ascii="宋体" w:hAnsi="宋体" w:eastAsia="宋体" w:cs="宋体"/>
                <w:b/>
                <w:bCs/>
                <w:color w:val="auto"/>
                <w:sz w:val="24"/>
                <w:szCs w:val="24"/>
              </w:rPr>
              <w:t>规划情况</w:t>
            </w:r>
          </w:p>
        </w:tc>
        <w:tc>
          <w:tcPr>
            <w:tcW w:w="7060" w:type="dxa"/>
            <w:gridSpan w:val="3"/>
            <w:noWrap w:val="0"/>
            <w:vAlign w:val="top"/>
          </w:tcPr>
          <w:p w14:paraId="3E72D34C">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center"/>
              <w:rPr>
                <w:rFonts w:hint="eastAsia" w:ascii="宋体" w:hAnsi="宋体" w:eastAsia="宋体" w:cs="宋体"/>
                <w:color w:val="auto"/>
                <w:sz w:val="24"/>
                <w:szCs w:val="24"/>
                <w:lang w:val="en-US" w:eastAsia="zh-CN"/>
              </w:rPr>
            </w:pPr>
            <w:r>
              <w:rPr>
                <w:rFonts w:hint="eastAsia" w:ascii="宋体" w:hAnsi="宋体" w:eastAsia="宋体" w:cs="宋体"/>
                <w:b/>
                <w:bCs/>
                <w:color w:val="auto"/>
                <w:sz w:val="24"/>
                <w:szCs w:val="24"/>
                <w:lang w:val="en-US" w:eastAsia="zh-CN"/>
              </w:rPr>
              <w:t>规划名称：</w:t>
            </w:r>
            <w:r>
              <w:rPr>
                <w:rFonts w:hint="eastAsia" w:ascii="宋体" w:hAnsi="宋体" w:eastAsia="宋体" w:cs="宋体"/>
                <w:color w:val="auto"/>
                <w:sz w:val="24"/>
                <w:szCs w:val="24"/>
                <w:lang w:val="en-US" w:eastAsia="zh-CN"/>
              </w:rPr>
              <w:t>《鄂尔多斯蒙西镇（蒙西高新技术工业园区）城市总体规划（2010-2030年）》；</w:t>
            </w:r>
          </w:p>
          <w:p w14:paraId="7F7AE729">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center"/>
              <w:rPr>
                <w:rFonts w:hint="eastAsia" w:ascii="宋体" w:hAnsi="宋体" w:eastAsia="宋体" w:cs="宋体"/>
                <w:color w:val="auto"/>
                <w:sz w:val="24"/>
                <w:szCs w:val="24"/>
                <w:lang w:val="en-US" w:eastAsia="zh-CN"/>
              </w:rPr>
            </w:pPr>
            <w:r>
              <w:rPr>
                <w:rFonts w:hint="eastAsia" w:ascii="宋体" w:hAnsi="宋体" w:eastAsia="宋体" w:cs="宋体"/>
                <w:b/>
                <w:bCs/>
                <w:color w:val="auto"/>
                <w:sz w:val="24"/>
                <w:szCs w:val="24"/>
                <w:lang w:val="en-US" w:eastAsia="zh-CN"/>
              </w:rPr>
              <w:t>审批机关：</w:t>
            </w:r>
            <w:r>
              <w:rPr>
                <w:rFonts w:hint="eastAsia" w:ascii="宋体" w:hAnsi="宋体" w:eastAsia="宋体" w:cs="宋体"/>
                <w:color w:val="auto"/>
                <w:sz w:val="24"/>
                <w:szCs w:val="24"/>
                <w:lang w:val="en-US" w:eastAsia="zh-CN"/>
              </w:rPr>
              <w:t>鄂尔多斯市人民政府；</w:t>
            </w:r>
          </w:p>
          <w:p w14:paraId="7701C071">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center"/>
              <w:rPr>
                <w:rFonts w:hint="eastAsia" w:ascii="宋体" w:hAnsi="宋体" w:eastAsia="宋体" w:cs="宋体"/>
                <w:color w:val="auto"/>
                <w:sz w:val="24"/>
                <w:szCs w:val="24"/>
                <w:lang w:val="en-US" w:eastAsia="zh-CN"/>
              </w:rPr>
            </w:pPr>
            <w:r>
              <w:rPr>
                <w:rFonts w:hint="eastAsia" w:ascii="宋体" w:hAnsi="宋体" w:eastAsia="宋体" w:cs="宋体"/>
                <w:b/>
                <w:bCs/>
                <w:color w:val="auto"/>
                <w:sz w:val="24"/>
                <w:szCs w:val="24"/>
                <w:lang w:val="en-US" w:eastAsia="zh-CN"/>
              </w:rPr>
              <w:t>审批文件名称：</w:t>
            </w:r>
            <w:r>
              <w:rPr>
                <w:rFonts w:hint="eastAsia" w:ascii="宋体" w:hAnsi="宋体" w:eastAsia="宋体" w:cs="宋体"/>
                <w:color w:val="auto"/>
                <w:sz w:val="24"/>
                <w:szCs w:val="24"/>
                <w:lang w:val="en-US" w:eastAsia="zh-CN"/>
              </w:rPr>
              <w:t>《关于鄂尔多斯蒙西镇（蒙西高新技术工业园区）城市总体规划的批复》（鄂府函〔2012〕222号）</w:t>
            </w:r>
          </w:p>
        </w:tc>
      </w:tr>
      <w:tr w14:paraId="1CA6F9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0" w:type="dxa"/>
            <w:noWrap w:val="0"/>
            <w:vAlign w:val="center"/>
          </w:tcPr>
          <w:p w14:paraId="3F6150D7">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规划环境影响评价情况</w:t>
            </w:r>
          </w:p>
        </w:tc>
        <w:tc>
          <w:tcPr>
            <w:tcW w:w="7060" w:type="dxa"/>
            <w:gridSpan w:val="3"/>
            <w:noWrap w:val="0"/>
            <w:vAlign w:val="top"/>
          </w:tcPr>
          <w:p w14:paraId="7C147B21">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《蒙西高新技术工业园区总体规划环境影响报告书》由北京师范大学和北京万澈环境科学与工程技术有限责任公司</w:t>
            </w:r>
            <w:r>
              <w:rPr>
                <w:rFonts w:hint="eastAsia" w:ascii="宋体" w:hAnsi="宋体" w:cs="宋体"/>
                <w:color w:val="auto"/>
                <w:sz w:val="24"/>
                <w:szCs w:val="24"/>
                <w:lang w:val="en-US" w:eastAsia="zh-CN"/>
              </w:rPr>
              <w:t>于</w:t>
            </w:r>
            <w:r>
              <w:rPr>
                <w:rFonts w:hint="eastAsia" w:ascii="宋体" w:hAnsi="宋体" w:eastAsia="宋体" w:cs="宋体"/>
                <w:color w:val="auto"/>
                <w:sz w:val="24"/>
                <w:szCs w:val="24"/>
                <w:lang w:val="en-US" w:eastAsia="zh-CN"/>
              </w:rPr>
              <w:t>2013年1月编制完成，</w:t>
            </w:r>
            <w:r>
              <w:rPr>
                <w:rFonts w:hint="eastAsia" w:ascii="宋体" w:hAnsi="宋体" w:cs="宋体"/>
                <w:color w:val="auto"/>
                <w:sz w:val="24"/>
                <w:szCs w:val="24"/>
                <w:lang w:val="en-US" w:eastAsia="zh-CN"/>
              </w:rPr>
              <w:t>原</w:t>
            </w:r>
            <w:r>
              <w:rPr>
                <w:rFonts w:hint="eastAsia" w:ascii="宋体" w:hAnsi="宋体" w:eastAsia="宋体" w:cs="宋体"/>
                <w:color w:val="auto"/>
                <w:sz w:val="24"/>
                <w:szCs w:val="24"/>
                <w:lang w:val="en-US" w:eastAsia="zh-CN"/>
              </w:rPr>
              <w:t>内蒙古自治区环境保护厅于2013年1月以《内蒙古自治区环境保护厅关于蒙西高新技术工业园区总体规划环境影响报告书审查的意见》内环审〔2013〕10号对规划环评报告书提出了审查意见。</w:t>
            </w:r>
          </w:p>
        </w:tc>
      </w:tr>
      <w:tr w14:paraId="1D208D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2" w:hRule="atLeast"/>
          <w:jc w:val="center"/>
        </w:trPr>
        <w:tc>
          <w:tcPr>
            <w:tcW w:w="1810" w:type="dxa"/>
            <w:noWrap w:val="0"/>
            <w:vAlign w:val="center"/>
          </w:tcPr>
          <w:p w14:paraId="43839033">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规划及规划环境影响评价符合性分析</w:t>
            </w:r>
          </w:p>
        </w:tc>
        <w:tc>
          <w:tcPr>
            <w:tcW w:w="7060" w:type="dxa"/>
            <w:gridSpan w:val="3"/>
            <w:noWrap w:val="0"/>
            <w:vAlign w:val="top"/>
          </w:tcPr>
          <w:p w14:paraId="362E9BC4">
            <w:pPr>
              <w:keepNext w:val="0"/>
              <w:keepLines w:val="0"/>
              <w:pageBreakBefore w:val="0"/>
              <w:widowControl/>
              <w:kinsoku/>
              <w:wordWrap/>
              <w:overflowPunct/>
              <w:topLinePunct w:val="0"/>
              <w:autoSpaceDE/>
              <w:autoSpaceDN/>
              <w:bidi w:val="0"/>
              <w:adjustRightInd/>
              <w:snapToGrid/>
              <w:spacing w:line="480" w:lineRule="exact"/>
              <w:ind w:left="0" w:leftChars="0" w:firstLine="0" w:firstLineChars="0"/>
              <w:textAlignment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1、</w:t>
            </w:r>
            <w:r>
              <w:rPr>
                <w:rFonts w:hint="default" w:ascii="宋体" w:hAnsi="宋体" w:eastAsia="宋体" w:cs="宋体"/>
                <w:b/>
                <w:bCs/>
                <w:color w:val="auto"/>
                <w:sz w:val="24"/>
                <w:szCs w:val="24"/>
                <w:lang w:val="en-US" w:eastAsia="zh-CN"/>
              </w:rPr>
              <w:t>规划符合性分析</w:t>
            </w:r>
          </w:p>
          <w:p w14:paraId="3BD36695">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center"/>
              <w:rPr>
                <w:rFonts w:hint="default" w:ascii="宋体" w:hAnsi="宋体" w:eastAsia="宋体" w:cs="宋体"/>
                <w:color w:val="auto"/>
                <w:sz w:val="24"/>
                <w:szCs w:val="24"/>
                <w:lang w:val="en-US" w:eastAsia="zh-CN"/>
              </w:rPr>
            </w:pPr>
            <w:r>
              <w:rPr>
                <w:rFonts w:hint="default" w:ascii="宋体" w:hAnsi="宋体" w:eastAsia="宋体" w:cs="宋体"/>
                <w:color w:val="auto"/>
                <w:sz w:val="24"/>
                <w:szCs w:val="24"/>
                <w:lang w:val="en-US" w:eastAsia="zh-CN"/>
              </w:rPr>
              <w:t>根据《鄂尔多斯市蒙西镇（蒙西高新技术工业园区）总体规划（2010</w:t>
            </w:r>
            <w:r>
              <w:rPr>
                <w:rFonts w:hint="eastAsia" w:ascii="宋体" w:hAnsi="宋体" w:cs="宋体"/>
                <w:color w:val="auto"/>
                <w:sz w:val="24"/>
                <w:szCs w:val="24"/>
                <w:lang w:val="en-US" w:eastAsia="zh-CN"/>
              </w:rPr>
              <w:t>-</w:t>
            </w:r>
            <w:r>
              <w:rPr>
                <w:rFonts w:hint="default" w:ascii="宋体" w:hAnsi="宋体" w:eastAsia="宋体" w:cs="宋体"/>
                <w:color w:val="auto"/>
                <w:sz w:val="24"/>
                <w:szCs w:val="24"/>
                <w:lang w:val="en-US" w:eastAsia="zh-CN"/>
              </w:rPr>
              <w:t>2030）》蒙西工业园区产业区功能区划密切结合整个蒙西镇南北狭长以及主导风向为东南、西北风的特点，近期仍保留南部以蒙西水泥、神华焦化为主体的煤化工及建材产业区，将蒙西公园北侧作为新材料、新型环保材料产业区预留到远期发展。近期、中期将双欣路两侧及北部产业区作为PVC、PVA产业重点发展片区，在北部作为新材料产业园区。根据蒙西工业园的产业功能特点，将各产业分为五类产业功能分区：煤化工及建材产业功能区</w:t>
            </w:r>
            <w:r>
              <w:rPr>
                <w:rFonts w:hint="eastAsia" w:ascii="宋体" w:hAnsi="宋体" w:cs="宋体"/>
                <w:color w:val="auto"/>
                <w:sz w:val="24"/>
                <w:szCs w:val="24"/>
                <w:lang w:val="en-US" w:eastAsia="zh-CN"/>
              </w:rPr>
              <w:t>；</w:t>
            </w:r>
            <w:r>
              <w:rPr>
                <w:rFonts w:hint="default" w:ascii="宋体" w:hAnsi="宋体" w:eastAsia="宋体" w:cs="宋体"/>
                <w:color w:val="auto"/>
                <w:sz w:val="24"/>
                <w:szCs w:val="24"/>
                <w:lang w:val="en-US" w:eastAsia="zh-CN"/>
              </w:rPr>
              <w:t>PVC、PVA产业功能区</w:t>
            </w:r>
            <w:r>
              <w:rPr>
                <w:rFonts w:hint="eastAsia" w:ascii="宋体" w:hAnsi="宋体" w:cs="宋体"/>
                <w:color w:val="auto"/>
                <w:sz w:val="24"/>
                <w:szCs w:val="24"/>
                <w:lang w:val="en-US" w:eastAsia="zh-CN"/>
              </w:rPr>
              <w:t>；</w:t>
            </w:r>
            <w:r>
              <w:rPr>
                <w:rFonts w:hint="default" w:ascii="宋体" w:hAnsi="宋体" w:eastAsia="宋体" w:cs="宋体"/>
                <w:color w:val="auto"/>
                <w:sz w:val="24"/>
                <w:szCs w:val="24"/>
                <w:lang w:val="en-US" w:eastAsia="zh-CN"/>
              </w:rPr>
              <w:t>能源电力产业功能区</w:t>
            </w:r>
            <w:r>
              <w:rPr>
                <w:rFonts w:hint="eastAsia" w:ascii="宋体" w:hAnsi="宋体" w:cs="宋体"/>
                <w:color w:val="auto"/>
                <w:sz w:val="24"/>
                <w:szCs w:val="24"/>
                <w:lang w:val="en-US" w:eastAsia="zh-CN"/>
              </w:rPr>
              <w:t>；</w:t>
            </w:r>
            <w:r>
              <w:rPr>
                <w:rFonts w:hint="default" w:ascii="宋体" w:hAnsi="宋体" w:eastAsia="宋体" w:cs="宋体"/>
                <w:color w:val="auto"/>
                <w:sz w:val="24"/>
                <w:szCs w:val="24"/>
                <w:lang w:val="en-US" w:eastAsia="zh-CN"/>
              </w:rPr>
              <w:t>PVC下游产业功能区</w:t>
            </w:r>
            <w:r>
              <w:rPr>
                <w:rFonts w:hint="eastAsia" w:ascii="宋体" w:hAnsi="宋体" w:cs="宋体"/>
                <w:color w:val="auto"/>
                <w:sz w:val="24"/>
                <w:szCs w:val="24"/>
                <w:lang w:val="en-US" w:eastAsia="zh-CN"/>
              </w:rPr>
              <w:t>；</w:t>
            </w:r>
            <w:r>
              <w:rPr>
                <w:rFonts w:hint="default" w:ascii="宋体" w:hAnsi="宋体" w:eastAsia="宋体" w:cs="宋体"/>
                <w:color w:val="auto"/>
                <w:sz w:val="24"/>
                <w:szCs w:val="24"/>
                <w:lang w:val="en-US" w:eastAsia="zh-CN"/>
              </w:rPr>
              <w:t>新材料、环保产业功能区、物流配送仓储区。</w:t>
            </w:r>
          </w:p>
          <w:p w14:paraId="75AF9277">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center"/>
              <w:rPr>
                <w:rFonts w:hint="default" w:ascii="宋体" w:hAnsi="宋体" w:eastAsia="宋体" w:cs="宋体"/>
                <w:color w:val="auto"/>
                <w:sz w:val="24"/>
                <w:szCs w:val="24"/>
                <w:lang w:val="en-US" w:eastAsia="zh-CN"/>
              </w:rPr>
            </w:pPr>
            <w:r>
              <w:rPr>
                <w:rFonts w:hint="default" w:ascii="宋体" w:hAnsi="宋体" w:eastAsia="宋体" w:cs="宋体"/>
                <w:color w:val="auto"/>
                <w:sz w:val="24"/>
                <w:szCs w:val="24"/>
                <w:lang w:val="en-US" w:eastAsia="zh-CN"/>
              </w:rPr>
              <w:t>利用粉煤灰生产聚合氯化铝技改扩建项目厂址位于蒙西工业园新材料、环保产业功能区内。新材料、环保产业功能区包括蒙西生态公园北部与整个园区北部两大部分，主要功能为积极构筑基于本地原材料的塑料产业区、新材料产业区、环保产业区。利用粉煤灰生产聚合氯化铝技改扩建项目属于新材料、环保产业项目，符合园区的产业发展定位。</w:t>
            </w:r>
          </w:p>
          <w:p w14:paraId="7F4138ED">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center"/>
              <w:rPr>
                <w:rFonts w:hint="default" w:ascii="宋体" w:hAnsi="宋体" w:eastAsia="宋体" w:cs="宋体"/>
                <w:color w:val="auto"/>
                <w:kern w:val="0"/>
                <w:sz w:val="24"/>
                <w:szCs w:val="24"/>
                <w:lang w:val="en-US" w:eastAsia="zh-CN"/>
              </w:rPr>
            </w:pPr>
            <w:r>
              <w:rPr>
                <w:rFonts w:hint="default" w:ascii="宋体" w:hAnsi="宋体" w:eastAsia="宋体" w:cs="宋体"/>
                <w:color w:val="auto"/>
                <w:kern w:val="0"/>
                <w:sz w:val="24"/>
                <w:szCs w:val="24"/>
                <w:lang w:val="en-US" w:eastAsia="zh-CN"/>
              </w:rPr>
              <w:t>本项目</w:t>
            </w:r>
            <w:r>
              <w:rPr>
                <w:rFonts w:hint="eastAsia" w:ascii="宋体" w:hAnsi="宋体" w:cs="宋体"/>
                <w:color w:val="auto"/>
                <w:kern w:val="0"/>
                <w:sz w:val="24"/>
                <w:szCs w:val="24"/>
                <w:lang w:val="en-US" w:eastAsia="zh-CN"/>
              </w:rPr>
              <w:t>为</w:t>
            </w:r>
            <w:r>
              <w:rPr>
                <w:rFonts w:hint="default" w:ascii="宋体" w:hAnsi="宋体" w:eastAsia="宋体" w:cs="宋体"/>
                <w:color w:val="auto"/>
                <w:kern w:val="0"/>
                <w:sz w:val="24"/>
                <w:szCs w:val="24"/>
                <w:lang w:val="en-US" w:eastAsia="zh-CN"/>
              </w:rPr>
              <w:t>利用粉煤灰生产聚合氯化铝技改扩建项目固体聚合氯化铝生产线喷雾干燥塔热源技改项目，</w:t>
            </w:r>
            <w:r>
              <w:rPr>
                <w:rFonts w:hint="eastAsia" w:ascii="宋体" w:hAnsi="宋体" w:cs="宋体"/>
                <w:color w:val="auto"/>
                <w:kern w:val="0"/>
                <w:sz w:val="24"/>
                <w:szCs w:val="24"/>
                <w:lang w:val="en-US" w:eastAsia="zh-CN"/>
              </w:rPr>
              <w:t>只改变了喷雾干燥塔的热源，不改变产品及产能，本项目属于</w:t>
            </w:r>
            <w:r>
              <w:rPr>
                <w:rFonts w:hint="default" w:ascii="宋体" w:hAnsi="宋体" w:eastAsia="宋体" w:cs="宋体"/>
                <w:color w:val="auto"/>
                <w:sz w:val="24"/>
                <w:szCs w:val="24"/>
                <w:lang w:val="en-US" w:eastAsia="zh-CN"/>
              </w:rPr>
              <w:t>新材料、环保产业项目</w:t>
            </w:r>
            <w:r>
              <w:rPr>
                <w:rFonts w:hint="eastAsia" w:ascii="宋体" w:hAnsi="宋体" w:eastAsia="宋体" w:cs="宋体"/>
                <w:color w:val="auto"/>
                <w:sz w:val="24"/>
                <w:szCs w:val="24"/>
                <w:lang w:val="en-US" w:eastAsia="zh-CN"/>
              </w:rPr>
              <w:t>，</w:t>
            </w:r>
            <w:r>
              <w:rPr>
                <w:rFonts w:hint="default" w:ascii="宋体" w:hAnsi="宋体" w:eastAsia="宋体" w:cs="宋体"/>
                <w:color w:val="auto"/>
                <w:kern w:val="0"/>
                <w:sz w:val="24"/>
                <w:szCs w:val="24"/>
                <w:lang w:val="en-US" w:eastAsia="zh-CN"/>
              </w:rPr>
              <w:t>故本项目符合蒙西高新技术产业园区的产业发展规划及</w:t>
            </w:r>
            <w:r>
              <w:rPr>
                <w:rFonts w:ascii="宋体" w:hAnsi="宋体" w:cs="宋体"/>
                <w:color w:val="auto"/>
                <w:kern w:val="0"/>
                <w:sz w:val="24"/>
              </w:rPr>
              <w:t>环保要求</w:t>
            </w:r>
            <w:r>
              <w:rPr>
                <w:rFonts w:hint="default" w:ascii="宋体" w:hAnsi="宋体" w:eastAsia="宋体" w:cs="宋体"/>
                <w:color w:val="auto"/>
                <w:kern w:val="0"/>
                <w:sz w:val="24"/>
                <w:szCs w:val="24"/>
                <w:lang w:val="en-US" w:eastAsia="zh-CN"/>
              </w:rPr>
              <w:t>。</w:t>
            </w:r>
          </w:p>
          <w:p w14:paraId="7D345335">
            <w:pPr>
              <w:keepNext w:val="0"/>
              <w:keepLines w:val="0"/>
              <w:pageBreakBefore w:val="0"/>
              <w:widowControl/>
              <w:kinsoku/>
              <w:wordWrap/>
              <w:overflowPunct/>
              <w:topLinePunct w:val="0"/>
              <w:autoSpaceDE/>
              <w:autoSpaceDN/>
              <w:bidi w:val="0"/>
              <w:adjustRightInd/>
              <w:snapToGrid/>
              <w:spacing w:line="480" w:lineRule="exact"/>
              <w:ind w:left="0" w:leftChars="0" w:firstLine="0" w:firstLineChars="0"/>
              <w:textAlignment w:val="center"/>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2、</w:t>
            </w:r>
            <w:r>
              <w:rPr>
                <w:rFonts w:hint="default" w:ascii="宋体" w:hAnsi="宋体" w:eastAsia="宋体" w:cs="宋体"/>
                <w:b/>
                <w:bCs/>
                <w:color w:val="auto"/>
                <w:sz w:val="24"/>
                <w:szCs w:val="24"/>
                <w:lang w:val="en-US" w:eastAsia="zh-CN"/>
              </w:rPr>
              <w:t>规划环评符合性分析</w:t>
            </w:r>
          </w:p>
          <w:p w14:paraId="76A11461">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center"/>
              <w:rPr>
                <w:rFonts w:hint="default" w:ascii="宋体" w:hAnsi="宋体" w:eastAsia="宋体" w:cs="宋体"/>
                <w:color w:val="auto"/>
                <w:sz w:val="24"/>
                <w:szCs w:val="24"/>
                <w:lang w:val="en-US" w:eastAsia="zh-CN"/>
              </w:rPr>
            </w:pPr>
            <w:r>
              <w:rPr>
                <w:rFonts w:hint="default" w:ascii="宋体" w:hAnsi="宋体" w:eastAsia="宋体" w:cs="宋体"/>
                <w:color w:val="auto"/>
                <w:sz w:val="24"/>
                <w:szCs w:val="24"/>
                <w:lang w:val="en-US" w:eastAsia="zh-CN"/>
              </w:rPr>
              <w:t>本次评价依据《内蒙古自治区环境保护厅关于蒙西高新技术工业园区总体规划环境影响报告书的审查意见》（内环审</w:t>
            </w:r>
            <w:r>
              <w:rPr>
                <w:rFonts w:hint="eastAsia" w:ascii="宋体" w:hAnsi="宋体" w:eastAsia="宋体" w:cs="宋体"/>
                <w:color w:val="auto"/>
                <w:sz w:val="24"/>
                <w:szCs w:val="24"/>
                <w:lang w:val="en-US" w:eastAsia="zh-CN"/>
              </w:rPr>
              <w:t>〔2013〕</w:t>
            </w:r>
            <w:r>
              <w:rPr>
                <w:rFonts w:hint="default" w:ascii="宋体" w:hAnsi="宋体" w:eastAsia="宋体" w:cs="宋体"/>
                <w:color w:val="auto"/>
                <w:sz w:val="24"/>
                <w:szCs w:val="24"/>
                <w:lang w:val="en-US" w:eastAsia="zh-CN"/>
              </w:rPr>
              <w:t>10号）的要求对项目与规划环评审查意见的符合性进行分析，具体见表1-1。</w:t>
            </w:r>
          </w:p>
          <w:p w14:paraId="71A6BDDD">
            <w:pPr>
              <w:keepNext w:val="0"/>
              <w:keepLines w:val="0"/>
              <w:pageBreakBefore w:val="0"/>
              <w:widowControl/>
              <w:kinsoku/>
              <w:wordWrap/>
              <w:overflowPunct/>
              <w:topLinePunct w:val="0"/>
              <w:autoSpaceDE/>
              <w:autoSpaceDN/>
              <w:bidi w:val="0"/>
              <w:adjustRightInd/>
              <w:snapToGrid/>
              <w:spacing w:line="480" w:lineRule="exact"/>
              <w:jc w:val="center"/>
              <w:textAlignment w:val="center"/>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表1-1   项目与规划环评审查意见的符合性分析</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2"/>
              <w:gridCol w:w="3296"/>
              <w:gridCol w:w="2175"/>
              <w:gridCol w:w="871"/>
            </w:tblGrid>
            <w:tr w14:paraId="5D9C8E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366" w:type="pct"/>
                  <w:tcBorders>
                    <w:tl2br w:val="nil"/>
                    <w:tr2bl w:val="nil"/>
                  </w:tcBorders>
                  <w:vAlign w:val="center"/>
                </w:tcPr>
                <w:p w14:paraId="5F5F642F">
                  <w:pPr>
                    <w:pStyle w:val="4"/>
                    <w:ind w:firstLine="0"/>
                    <w:jc w:val="center"/>
                    <w:rPr>
                      <w:rFonts w:hint="default" w:ascii="Times New Roman" w:hAnsi="Times New Roman" w:cs="Times New Roman"/>
                      <w:b/>
                      <w:color w:val="auto"/>
                    </w:rPr>
                  </w:pPr>
                  <w:r>
                    <w:rPr>
                      <w:rFonts w:hint="default" w:ascii="Times New Roman" w:hAnsi="Times New Roman" w:cs="Times New Roman"/>
                      <w:b/>
                      <w:color w:val="auto"/>
                    </w:rPr>
                    <w:t>序号</w:t>
                  </w:r>
                </w:p>
              </w:tc>
              <w:tc>
                <w:tcPr>
                  <w:tcW w:w="2407" w:type="pct"/>
                  <w:tcBorders>
                    <w:tl2br w:val="nil"/>
                    <w:tr2bl w:val="nil"/>
                  </w:tcBorders>
                  <w:vAlign w:val="center"/>
                </w:tcPr>
                <w:p w14:paraId="30A606E2">
                  <w:pPr>
                    <w:widowControl w:val="0"/>
                    <w:jc w:val="center"/>
                    <w:rPr>
                      <w:rFonts w:hint="default" w:ascii="Times New Roman" w:hAnsi="Times New Roman" w:cs="Times New Roman"/>
                      <w:b/>
                      <w:color w:val="auto"/>
                    </w:rPr>
                  </w:pPr>
                  <w:r>
                    <w:rPr>
                      <w:rFonts w:hint="default" w:ascii="Times New Roman" w:hAnsi="Times New Roman" w:cs="Times New Roman"/>
                      <w:b/>
                      <w:color w:val="auto"/>
                    </w:rPr>
                    <w:t>规划环评审查意见</w:t>
                  </w:r>
                </w:p>
              </w:tc>
              <w:tc>
                <w:tcPr>
                  <w:tcW w:w="1588" w:type="pct"/>
                  <w:tcBorders>
                    <w:tl2br w:val="nil"/>
                    <w:tr2bl w:val="nil"/>
                  </w:tcBorders>
                  <w:vAlign w:val="center"/>
                </w:tcPr>
                <w:p w14:paraId="42BEB379">
                  <w:pPr>
                    <w:widowControl w:val="0"/>
                    <w:jc w:val="center"/>
                    <w:rPr>
                      <w:rFonts w:hint="default" w:ascii="Times New Roman" w:hAnsi="Times New Roman" w:cs="Times New Roman"/>
                      <w:b/>
                      <w:bCs/>
                      <w:color w:val="auto"/>
                    </w:rPr>
                  </w:pPr>
                  <w:r>
                    <w:rPr>
                      <w:rFonts w:hint="default" w:ascii="Times New Roman" w:hAnsi="Times New Roman" w:cs="Times New Roman"/>
                      <w:b/>
                      <w:bCs/>
                      <w:color w:val="auto"/>
                    </w:rPr>
                    <w:t>项目建设情况</w:t>
                  </w:r>
                </w:p>
              </w:tc>
              <w:tc>
                <w:tcPr>
                  <w:tcW w:w="636" w:type="pct"/>
                  <w:tcBorders>
                    <w:tl2br w:val="nil"/>
                    <w:tr2bl w:val="nil"/>
                  </w:tcBorders>
                  <w:vAlign w:val="center"/>
                </w:tcPr>
                <w:p w14:paraId="086362F2">
                  <w:pPr>
                    <w:widowControl w:val="0"/>
                    <w:jc w:val="center"/>
                    <w:rPr>
                      <w:rFonts w:hint="default" w:ascii="Times New Roman" w:hAnsi="Times New Roman" w:cs="Times New Roman"/>
                      <w:b/>
                      <w:bCs/>
                      <w:color w:val="auto"/>
                    </w:rPr>
                  </w:pPr>
                  <w:r>
                    <w:rPr>
                      <w:rFonts w:hint="default" w:ascii="Times New Roman" w:hAnsi="Times New Roman" w:cs="Times New Roman"/>
                      <w:b/>
                      <w:bCs/>
                      <w:color w:val="auto"/>
                    </w:rPr>
                    <w:t>符合性</w:t>
                  </w:r>
                </w:p>
              </w:tc>
            </w:tr>
            <w:tr w14:paraId="1A10F4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pct"/>
                  <w:tcBorders>
                    <w:tl2br w:val="nil"/>
                    <w:tr2bl w:val="nil"/>
                  </w:tcBorders>
                  <w:vAlign w:val="center"/>
                </w:tcPr>
                <w:p w14:paraId="2351832B">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1</w:t>
                  </w:r>
                </w:p>
              </w:tc>
              <w:tc>
                <w:tcPr>
                  <w:tcW w:w="2407" w:type="pct"/>
                  <w:tcBorders>
                    <w:tl2br w:val="nil"/>
                    <w:tr2bl w:val="nil"/>
                  </w:tcBorders>
                  <w:vAlign w:val="center"/>
                </w:tcPr>
                <w:p w14:paraId="61D882FA">
                  <w:pPr>
                    <w:widowControl w:val="0"/>
                    <w:ind w:firstLine="420" w:firstLineChars="200"/>
                    <w:rPr>
                      <w:rFonts w:hint="eastAsia" w:ascii="Times New Roman" w:hAnsi="Times New Roman" w:eastAsia="宋体" w:cs="Times New Roman"/>
                      <w:bCs/>
                      <w:color w:val="auto"/>
                      <w:lang w:eastAsia="zh-CN"/>
                    </w:rPr>
                  </w:pPr>
                  <w:r>
                    <w:rPr>
                      <w:rFonts w:hint="default" w:ascii="Times New Roman" w:hAnsi="Times New Roman" w:cs="Times New Roman"/>
                      <w:bCs/>
                      <w:color w:val="auto"/>
                    </w:rPr>
                    <w:t>应充分考虑园区所在地地理环境敏感性及现状环境质量状况，严格控制焦化、钢铁、水泥、PVC产业的发展规模，积极引入下游深加工产业，打造园区循环经济产业链，实现废弃物资源的最大化利用</w:t>
                  </w:r>
                  <w:r>
                    <w:rPr>
                      <w:rFonts w:hint="eastAsia" w:cs="Times New Roman"/>
                      <w:bCs/>
                      <w:color w:val="auto"/>
                      <w:lang w:eastAsia="zh-CN"/>
                    </w:rPr>
                    <w:t>。</w:t>
                  </w:r>
                </w:p>
              </w:tc>
              <w:tc>
                <w:tcPr>
                  <w:tcW w:w="1588" w:type="pct"/>
                  <w:tcBorders>
                    <w:tl2br w:val="nil"/>
                    <w:tr2bl w:val="nil"/>
                  </w:tcBorders>
                  <w:vAlign w:val="center"/>
                </w:tcPr>
                <w:p w14:paraId="2FA04889">
                  <w:pPr>
                    <w:widowControl w:val="0"/>
                    <w:ind w:firstLine="420" w:firstLineChars="200"/>
                    <w:rPr>
                      <w:rFonts w:hint="default" w:ascii="Times New Roman" w:hAnsi="Times New Roman" w:cs="Times New Roman"/>
                      <w:bCs/>
                      <w:color w:val="auto"/>
                    </w:rPr>
                  </w:pPr>
                  <w:r>
                    <w:rPr>
                      <w:rFonts w:hint="default" w:ascii="Times New Roman" w:hAnsi="Times New Roman" w:cs="Times New Roman"/>
                      <w:bCs/>
                      <w:color w:val="auto"/>
                    </w:rPr>
                    <w:t>本项目为已批复项目的</w:t>
                  </w:r>
                  <w:r>
                    <w:rPr>
                      <w:rFonts w:hint="eastAsia" w:cs="Times New Roman"/>
                      <w:bCs/>
                      <w:color w:val="auto"/>
                      <w:lang w:val="en-US" w:eastAsia="zh-CN"/>
                    </w:rPr>
                    <w:t>热源技改</w:t>
                  </w:r>
                  <w:r>
                    <w:rPr>
                      <w:rFonts w:hint="default" w:ascii="Times New Roman" w:hAnsi="Times New Roman" w:cs="Times New Roman"/>
                      <w:bCs/>
                      <w:color w:val="auto"/>
                    </w:rPr>
                    <w:t>项目，不属于焦化、钢铁、水泥、PVC产业。</w:t>
                  </w:r>
                </w:p>
              </w:tc>
              <w:tc>
                <w:tcPr>
                  <w:tcW w:w="636" w:type="pct"/>
                  <w:tcBorders>
                    <w:tl2br w:val="nil"/>
                    <w:tr2bl w:val="nil"/>
                  </w:tcBorders>
                  <w:vAlign w:val="center"/>
                </w:tcPr>
                <w:p w14:paraId="43AE9D4B">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符合</w:t>
                  </w:r>
                </w:p>
              </w:tc>
            </w:tr>
            <w:tr w14:paraId="0FA2CC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pct"/>
                  <w:tcBorders>
                    <w:tl2br w:val="nil"/>
                    <w:tr2bl w:val="nil"/>
                  </w:tcBorders>
                  <w:vAlign w:val="center"/>
                </w:tcPr>
                <w:p w14:paraId="749F2BD4">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2</w:t>
                  </w:r>
                </w:p>
              </w:tc>
              <w:tc>
                <w:tcPr>
                  <w:tcW w:w="2407" w:type="pct"/>
                  <w:tcBorders>
                    <w:tl2br w:val="nil"/>
                    <w:tr2bl w:val="nil"/>
                  </w:tcBorders>
                  <w:vAlign w:val="center"/>
                </w:tcPr>
                <w:p w14:paraId="6B4D68C2">
                  <w:pPr>
                    <w:widowControl w:val="0"/>
                    <w:ind w:firstLine="420" w:firstLineChars="200"/>
                    <w:rPr>
                      <w:rFonts w:hint="eastAsia" w:ascii="Times New Roman" w:hAnsi="Times New Roman" w:eastAsia="宋体" w:cs="Times New Roman"/>
                      <w:bCs/>
                      <w:color w:val="auto"/>
                      <w:lang w:eastAsia="zh-CN"/>
                    </w:rPr>
                  </w:pPr>
                  <w:r>
                    <w:rPr>
                      <w:rFonts w:hint="default" w:ascii="Times New Roman" w:hAnsi="Times New Roman" w:cs="Times New Roman"/>
                      <w:bCs/>
                      <w:color w:val="auto"/>
                    </w:rPr>
                    <w:t>优化园区空间布局，统筹与千里山工业园区的布局关系，两园区环境保护基础设施应考虑合作共建。园区发展路以西禁止布局PVC产业，主要发展物流等服务性产业。碱柜镇区、蒙西镇要控制发展，按照《内蒙古乌海及周边地区产业转型发展规划》要求，现有城镇居民逐步搬迁至环湖地区，做好工业园区与城区的空间隔离</w:t>
                  </w:r>
                  <w:r>
                    <w:rPr>
                      <w:rFonts w:hint="eastAsia" w:cs="Times New Roman"/>
                      <w:bCs/>
                      <w:color w:val="auto"/>
                      <w:lang w:eastAsia="zh-CN"/>
                    </w:rPr>
                    <w:t>。</w:t>
                  </w:r>
                </w:p>
              </w:tc>
              <w:tc>
                <w:tcPr>
                  <w:tcW w:w="1588" w:type="pct"/>
                  <w:tcBorders>
                    <w:tl2br w:val="nil"/>
                    <w:tr2bl w:val="nil"/>
                  </w:tcBorders>
                  <w:vAlign w:val="center"/>
                </w:tcPr>
                <w:p w14:paraId="010B7114">
                  <w:pPr>
                    <w:widowControl w:val="0"/>
                    <w:ind w:firstLine="420" w:firstLineChars="200"/>
                    <w:rPr>
                      <w:rFonts w:hint="default" w:ascii="Times New Roman" w:hAnsi="Times New Roman" w:cs="Times New Roman"/>
                      <w:bCs/>
                      <w:color w:val="auto"/>
                    </w:rPr>
                  </w:pPr>
                  <w:r>
                    <w:rPr>
                      <w:rFonts w:hint="default" w:ascii="Times New Roman" w:hAnsi="Times New Roman" w:cs="Times New Roman"/>
                      <w:color w:val="auto"/>
                    </w:rPr>
                    <w:t>本项目厂址位于原批复项目内，不新增占地，</w:t>
                  </w:r>
                  <w:r>
                    <w:rPr>
                      <w:rFonts w:hint="default" w:ascii="Times New Roman" w:hAnsi="Times New Roman" w:cs="Times New Roman"/>
                      <w:bCs/>
                      <w:color w:val="auto"/>
                    </w:rPr>
                    <w:t>为已批复项目的</w:t>
                  </w:r>
                  <w:r>
                    <w:rPr>
                      <w:rFonts w:hint="eastAsia" w:cs="Times New Roman"/>
                      <w:bCs/>
                      <w:color w:val="auto"/>
                      <w:lang w:val="en-US" w:eastAsia="zh-CN"/>
                    </w:rPr>
                    <w:t>热源技改</w:t>
                  </w:r>
                  <w:r>
                    <w:rPr>
                      <w:rFonts w:hint="default" w:ascii="Times New Roman" w:hAnsi="Times New Roman" w:cs="Times New Roman"/>
                      <w:bCs/>
                      <w:color w:val="auto"/>
                    </w:rPr>
                    <w:t>项目</w:t>
                  </w:r>
                  <w:r>
                    <w:rPr>
                      <w:rFonts w:hint="default" w:ascii="Times New Roman" w:hAnsi="Times New Roman" w:cs="Times New Roman"/>
                      <w:color w:val="auto"/>
                    </w:rPr>
                    <w:t>。</w:t>
                  </w:r>
                </w:p>
              </w:tc>
              <w:tc>
                <w:tcPr>
                  <w:tcW w:w="636" w:type="pct"/>
                  <w:tcBorders>
                    <w:tl2br w:val="nil"/>
                    <w:tr2bl w:val="nil"/>
                  </w:tcBorders>
                  <w:vAlign w:val="center"/>
                </w:tcPr>
                <w:p w14:paraId="59BBBE18">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符合</w:t>
                  </w:r>
                </w:p>
              </w:tc>
            </w:tr>
            <w:tr w14:paraId="78DD22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pct"/>
                  <w:tcBorders>
                    <w:tl2br w:val="nil"/>
                    <w:tr2bl w:val="nil"/>
                  </w:tcBorders>
                  <w:vAlign w:val="center"/>
                </w:tcPr>
                <w:p w14:paraId="65A89B64">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3</w:t>
                  </w:r>
                </w:p>
              </w:tc>
              <w:tc>
                <w:tcPr>
                  <w:tcW w:w="2407" w:type="pct"/>
                  <w:tcBorders>
                    <w:tl2br w:val="nil"/>
                    <w:tr2bl w:val="nil"/>
                  </w:tcBorders>
                  <w:vAlign w:val="center"/>
                </w:tcPr>
                <w:p w14:paraId="4B58A79E">
                  <w:pPr>
                    <w:widowControl w:val="0"/>
                    <w:ind w:firstLine="420" w:firstLineChars="200"/>
                    <w:rPr>
                      <w:rFonts w:hint="eastAsia" w:ascii="Times New Roman" w:hAnsi="Times New Roman" w:eastAsia="宋体" w:cs="Times New Roman"/>
                      <w:bCs/>
                      <w:color w:val="auto"/>
                      <w:lang w:eastAsia="zh-CN"/>
                    </w:rPr>
                  </w:pPr>
                  <w:r>
                    <w:rPr>
                      <w:rFonts w:hint="default" w:ascii="Times New Roman" w:hAnsi="Times New Roman" w:cs="Times New Roman"/>
                      <w:bCs/>
                      <w:color w:val="auto"/>
                    </w:rPr>
                    <w:t>明确污染物排放总量控制要求。园区污染物排放总量二氧化硫控制在2.49万吨/年以下，氮氧化物控制在1.99万吨/年以下。园区应严格依托热电站集中供热。千里山-蒙西工业集中区应统筹大气污染物排放的增量</w:t>
                  </w:r>
                  <w:r>
                    <w:rPr>
                      <w:rFonts w:hint="eastAsia" w:cs="Times New Roman"/>
                      <w:bCs/>
                      <w:color w:val="auto"/>
                      <w:lang w:eastAsia="zh-CN"/>
                    </w:rPr>
                    <w:t>。</w:t>
                  </w:r>
                </w:p>
              </w:tc>
              <w:tc>
                <w:tcPr>
                  <w:tcW w:w="1588" w:type="pct"/>
                  <w:tcBorders>
                    <w:tl2br w:val="nil"/>
                    <w:tr2bl w:val="nil"/>
                  </w:tcBorders>
                  <w:vAlign w:val="center"/>
                </w:tcPr>
                <w:p w14:paraId="08468948">
                  <w:pPr>
                    <w:widowControl w:val="0"/>
                    <w:ind w:firstLine="420" w:firstLineChars="200"/>
                    <w:rPr>
                      <w:rFonts w:hint="default" w:ascii="Times New Roman" w:hAnsi="Times New Roman" w:cs="Times New Roman"/>
                      <w:color w:val="auto"/>
                    </w:rPr>
                  </w:pPr>
                  <w:r>
                    <w:rPr>
                      <w:rFonts w:hint="eastAsia" w:cs="Times New Roman"/>
                      <w:color w:val="auto"/>
                      <w:lang w:val="en-US" w:eastAsia="zh-CN"/>
                    </w:rPr>
                    <w:t>本项目不需供热，</w:t>
                  </w:r>
                  <w:r>
                    <w:rPr>
                      <w:rFonts w:hint="default" w:ascii="Times New Roman" w:hAnsi="Times New Roman" w:cs="Times New Roman"/>
                      <w:bCs/>
                      <w:color w:val="auto"/>
                      <w:highlight w:val="none"/>
                      <w:lang w:val="en-US" w:eastAsia="zh-CN"/>
                    </w:rPr>
                    <w:t>根据计算，本项目产生二氧化硫1.2t/a、氮氧化物4.3t/a</w:t>
                  </w:r>
                  <w:r>
                    <w:rPr>
                      <w:rFonts w:hint="eastAsia" w:cs="Times New Roman"/>
                      <w:bCs/>
                      <w:color w:val="auto"/>
                      <w:highlight w:val="none"/>
                      <w:lang w:val="en-US" w:eastAsia="zh-CN"/>
                    </w:rPr>
                    <w:t>，并已取得总量批复文件</w:t>
                  </w:r>
                  <w:r>
                    <w:rPr>
                      <w:rFonts w:hint="default" w:ascii="Times New Roman" w:hAnsi="Times New Roman" w:cs="Times New Roman"/>
                      <w:bCs/>
                      <w:color w:val="auto"/>
                      <w:highlight w:val="none"/>
                      <w:lang w:val="en-US" w:eastAsia="zh-CN"/>
                    </w:rPr>
                    <w:t>。</w:t>
                  </w:r>
                </w:p>
              </w:tc>
              <w:tc>
                <w:tcPr>
                  <w:tcW w:w="636" w:type="pct"/>
                  <w:tcBorders>
                    <w:tl2br w:val="nil"/>
                    <w:tr2bl w:val="nil"/>
                  </w:tcBorders>
                  <w:vAlign w:val="center"/>
                </w:tcPr>
                <w:p w14:paraId="23ADEA32">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符合</w:t>
                  </w:r>
                </w:p>
              </w:tc>
            </w:tr>
            <w:tr w14:paraId="2DA028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pct"/>
                  <w:tcBorders>
                    <w:tl2br w:val="nil"/>
                    <w:tr2bl w:val="nil"/>
                  </w:tcBorders>
                  <w:vAlign w:val="center"/>
                </w:tcPr>
                <w:p w14:paraId="752D10BC">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4</w:t>
                  </w:r>
                </w:p>
              </w:tc>
              <w:tc>
                <w:tcPr>
                  <w:tcW w:w="2407" w:type="pct"/>
                  <w:tcBorders>
                    <w:tl2br w:val="nil"/>
                    <w:tr2bl w:val="nil"/>
                  </w:tcBorders>
                  <w:vAlign w:val="center"/>
                </w:tcPr>
                <w:p w14:paraId="7E84DA03">
                  <w:pPr>
                    <w:widowControl w:val="0"/>
                    <w:ind w:firstLine="420" w:firstLineChars="200"/>
                    <w:rPr>
                      <w:rFonts w:hint="eastAsia" w:ascii="Times New Roman" w:hAnsi="Times New Roman" w:eastAsia="宋体" w:cs="Times New Roman"/>
                      <w:bCs/>
                      <w:color w:val="auto"/>
                      <w:lang w:eastAsia="zh-CN"/>
                    </w:rPr>
                  </w:pPr>
                  <w:r>
                    <w:rPr>
                      <w:rFonts w:hint="default" w:ascii="Times New Roman" w:hAnsi="Times New Roman" w:cs="Times New Roman"/>
                      <w:bCs/>
                      <w:color w:val="auto"/>
                    </w:rPr>
                    <w:t>按照“以水定产”原则，统筹生产、生活用水。根据自治区水利厅关于蒙西工业园区公司工程水资源论证的初审意见（内水资[2011]72号），园区已建成的年取水5000万m</w:t>
                  </w:r>
                  <w:r>
                    <w:rPr>
                      <w:rFonts w:hint="default" w:ascii="Times New Roman" w:hAnsi="Times New Roman" w:cs="Times New Roman"/>
                      <w:bCs/>
                      <w:color w:val="auto"/>
                      <w:vertAlign w:val="superscript"/>
                    </w:rPr>
                    <w:t>3</w:t>
                  </w:r>
                  <w:r>
                    <w:rPr>
                      <w:rFonts w:hint="default" w:ascii="Times New Roman" w:hAnsi="Times New Roman" w:cs="Times New Roman"/>
                      <w:bCs/>
                      <w:color w:val="auto"/>
                    </w:rPr>
                    <w:t>的黄河供水工程，应尽快替代现有自备水源井，实现集中供水，取缔用于工业生产的自备水源井，加强地下水资源保护</w:t>
                  </w:r>
                  <w:r>
                    <w:rPr>
                      <w:rFonts w:hint="eastAsia" w:cs="Times New Roman"/>
                      <w:bCs/>
                      <w:color w:val="auto"/>
                      <w:lang w:eastAsia="zh-CN"/>
                    </w:rPr>
                    <w:t>。</w:t>
                  </w:r>
                </w:p>
              </w:tc>
              <w:tc>
                <w:tcPr>
                  <w:tcW w:w="1588" w:type="pct"/>
                  <w:tcBorders>
                    <w:tl2br w:val="nil"/>
                    <w:tr2bl w:val="nil"/>
                  </w:tcBorders>
                  <w:vAlign w:val="center"/>
                </w:tcPr>
                <w:p w14:paraId="10FEC971">
                  <w:pPr>
                    <w:widowControl w:val="0"/>
                    <w:adjustRightInd w:val="0"/>
                    <w:snapToGrid w:val="0"/>
                    <w:spacing w:line="24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供水来自蒙西工业园区给水管网供给，该给水管网供工业用水水源为黄河水。</w:t>
                  </w:r>
                </w:p>
              </w:tc>
              <w:tc>
                <w:tcPr>
                  <w:tcW w:w="636" w:type="pct"/>
                  <w:tcBorders>
                    <w:tl2br w:val="nil"/>
                    <w:tr2bl w:val="nil"/>
                  </w:tcBorders>
                  <w:vAlign w:val="center"/>
                </w:tcPr>
                <w:p w14:paraId="4D5FB257">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符合</w:t>
                  </w:r>
                </w:p>
              </w:tc>
            </w:tr>
            <w:tr w14:paraId="249C6A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pct"/>
                  <w:tcBorders>
                    <w:tl2br w:val="nil"/>
                    <w:tr2bl w:val="nil"/>
                  </w:tcBorders>
                  <w:vAlign w:val="center"/>
                </w:tcPr>
                <w:p w14:paraId="644E9A54">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5</w:t>
                  </w:r>
                </w:p>
              </w:tc>
              <w:tc>
                <w:tcPr>
                  <w:tcW w:w="2407" w:type="pct"/>
                  <w:tcBorders>
                    <w:tl2br w:val="nil"/>
                    <w:tr2bl w:val="nil"/>
                  </w:tcBorders>
                  <w:vAlign w:val="center"/>
                </w:tcPr>
                <w:p w14:paraId="12CA6C10">
                  <w:pPr>
                    <w:widowControl w:val="0"/>
                    <w:ind w:firstLine="420" w:firstLineChars="200"/>
                    <w:rPr>
                      <w:rFonts w:hint="eastAsia" w:ascii="Times New Roman" w:hAnsi="Times New Roman" w:eastAsia="宋体" w:cs="Times New Roman"/>
                      <w:bCs/>
                      <w:color w:val="auto"/>
                      <w:lang w:eastAsia="zh-CN"/>
                    </w:rPr>
                  </w:pPr>
                  <w:r>
                    <w:rPr>
                      <w:rFonts w:hint="default" w:ascii="Times New Roman" w:hAnsi="Times New Roman" w:cs="Times New Roman"/>
                      <w:bCs/>
                      <w:color w:val="auto"/>
                    </w:rPr>
                    <w:t>合理安排项目区气源和热源工程。园区规划2×300MW君正热电站建成后，</w:t>
                  </w:r>
                  <w:r>
                    <w:rPr>
                      <w:rFonts w:hint="default" w:ascii="Times New Roman" w:hAnsi="Times New Roman" w:cs="Times New Roman"/>
                      <w:bCs/>
                      <w:color w:val="auto"/>
                      <w:highlight w:val="none"/>
                      <w:lang w:val="en-US" w:eastAsia="zh-CN"/>
                    </w:rPr>
                    <w:t>应逐步替代现有</w:t>
                  </w:r>
                  <w:r>
                    <w:rPr>
                      <w:rFonts w:hint="default" w:ascii="Times New Roman" w:hAnsi="Times New Roman" w:cs="Times New Roman"/>
                      <w:bCs/>
                      <w:color w:val="auto"/>
                    </w:rPr>
                    <w:t>分散锅炉，严格执行集中供热，同时做好钢铁、水泥等产业的余热余压利用</w:t>
                  </w:r>
                  <w:r>
                    <w:rPr>
                      <w:rFonts w:hint="eastAsia" w:cs="Times New Roman"/>
                      <w:bCs/>
                      <w:color w:val="auto"/>
                      <w:lang w:eastAsia="zh-CN"/>
                    </w:rPr>
                    <w:t>。</w:t>
                  </w:r>
                </w:p>
              </w:tc>
              <w:tc>
                <w:tcPr>
                  <w:tcW w:w="1588" w:type="pct"/>
                  <w:tcBorders>
                    <w:tl2br w:val="nil"/>
                    <w:tr2bl w:val="nil"/>
                  </w:tcBorders>
                  <w:vAlign w:val="center"/>
                </w:tcPr>
                <w:p w14:paraId="69255316">
                  <w:pPr>
                    <w:widowControl w:val="0"/>
                    <w:ind w:firstLine="420" w:firstLineChars="200"/>
                    <w:rPr>
                      <w:rFonts w:hint="eastAsia" w:ascii="Times New Roman" w:hAnsi="Times New Roman" w:eastAsia="宋体" w:cs="Times New Roman"/>
                      <w:color w:val="auto"/>
                      <w:lang w:val="en-US" w:eastAsia="zh-CN"/>
                    </w:rPr>
                  </w:pPr>
                  <w:r>
                    <w:rPr>
                      <w:rFonts w:hint="eastAsia" w:cs="Times New Roman"/>
                      <w:color w:val="auto"/>
                      <w:lang w:val="en-US" w:eastAsia="zh-CN"/>
                    </w:rPr>
                    <w:t>现有项目采用1台10t/h燃气蒸汽锅炉供暖，待厂区具备集中供热条件后，</w:t>
                  </w:r>
                  <w:r>
                    <w:rPr>
                      <w:rFonts w:hint="default" w:ascii="Times New Roman" w:hAnsi="Times New Roman" w:cs="Times New Roman"/>
                      <w:bCs/>
                      <w:color w:val="auto"/>
                      <w:highlight w:val="none"/>
                      <w:lang w:val="en-US" w:eastAsia="zh-CN"/>
                    </w:rPr>
                    <w:t>替代现有</w:t>
                  </w:r>
                  <w:r>
                    <w:rPr>
                      <w:rFonts w:hint="default" w:ascii="Times New Roman" w:hAnsi="Times New Roman" w:cs="Times New Roman"/>
                      <w:bCs/>
                      <w:color w:val="auto"/>
                    </w:rPr>
                    <w:t>锅炉，严格执行集中供热</w:t>
                  </w:r>
                  <w:r>
                    <w:rPr>
                      <w:rFonts w:hint="eastAsia" w:cs="Times New Roman"/>
                      <w:bCs/>
                      <w:color w:val="auto"/>
                      <w:lang w:eastAsia="zh-CN"/>
                    </w:rPr>
                    <w:t>。</w:t>
                  </w:r>
                </w:p>
              </w:tc>
              <w:tc>
                <w:tcPr>
                  <w:tcW w:w="636" w:type="pct"/>
                  <w:tcBorders>
                    <w:tl2br w:val="nil"/>
                    <w:tr2bl w:val="nil"/>
                  </w:tcBorders>
                  <w:vAlign w:val="center"/>
                </w:tcPr>
                <w:p w14:paraId="5074E937">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符合</w:t>
                  </w:r>
                </w:p>
              </w:tc>
            </w:tr>
            <w:tr w14:paraId="4F783A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pct"/>
                  <w:tcBorders>
                    <w:tl2br w:val="nil"/>
                    <w:tr2bl w:val="nil"/>
                  </w:tcBorders>
                  <w:vAlign w:val="center"/>
                </w:tcPr>
                <w:p w14:paraId="4CEB5C4D">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6</w:t>
                  </w:r>
                </w:p>
              </w:tc>
              <w:tc>
                <w:tcPr>
                  <w:tcW w:w="2407" w:type="pct"/>
                  <w:tcBorders>
                    <w:tl2br w:val="nil"/>
                    <w:tr2bl w:val="nil"/>
                  </w:tcBorders>
                  <w:vAlign w:val="center"/>
                </w:tcPr>
                <w:p w14:paraId="48920AE1">
                  <w:pPr>
                    <w:widowControl w:val="0"/>
                    <w:ind w:firstLine="420" w:firstLineChars="200"/>
                    <w:rPr>
                      <w:rFonts w:hint="eastAsia" w:ascii="Times New Roman" w:hAnsi="Times New Roman" w:eastAsia="宋体" w:cs="Times New Roman"/>
                      <w:bCs/>
                      <w:color w:val="auto"/>
                      <w:lang w:eastAsia="zh-CN"/>
                    </w:rPr>
                  </w:pPr>
                  <w:r>
                    <w:rPr>
                      <w:rFonts w:hint="default" w:ascii="Times New Roman" w:hAnsi="Times New Roman" w:cs="Times New Roman"/>
                      <w:bCs/>
                      <w:color w:val="auto"/>
                    </w:rPr>
                    <w:t>积极落实污水处理设施建设。南区现有生活污水处理厂应进行扩容改造，2014年扩建至2.0万m</w:t>
                  </w:r>
                  <w:r>
                    <w:rPr>
                      <w:rFonts w:hint="default" w:ascii="Times New Roman" w:hAnsi="Times New Roman" w:cs="Times New Roman"/>
                      <w:bCs/>
                      <w:color w:val="auto"/>
                      <w:vertAlign w:val="superscript"/>
                    </w:rPr>
                    <w:t>3</w:t>
                  </w:r>
                  <w:r>
                    <w:rPr>
                      <w:rFonts w:hint="default" w:ascii="Times New Roman" w:hAnsi="Times New Roman" w:cs="Times New Roman"/>
                      <w:bCs/>
                      <w:color w:val="auto"/>
                    </w:rPr>
                    <w:t>/d。中区位于双欣路和西外环交叉口的污水处理厂，2013年应建成2.0万m</w:t>
                  </w:r>
                  <w:r>
                    <w:rPr>
                      <w:rFonts w:hint="default" w:ascii="Times New Roman" w:hAnsi="Times New Roman" w:cs="Times New Roman"/>
                      <w:bCs/>
                      <w:color w:val="auto"/>
                      <w:vertAlign w:val="superscript"/>
                    </w:rPr>
                    <w:t>3</w:t>
                  </w:r>
                  <w:r>
                    <w:rPr>
                      <w:rFonts w:hint="default" w:ascii="Times New Roman" w:hAnsi="Times New Roman" w:cs="Times New Roman"/>
                      <w:bCs/>
                      <w:color w:val="auto"/>
                    </w:rPr>
                    <w:t>/d处理规模，满足周边企业的污水处理需求，同时配套建设深度处理设施，中水全部回用。高浓盐水优先用于园区渣场、粉聊堆场喷淋抑尘用水和选矿厂用水，剩余部分排至蒸发晾晒池</w:t>
                  </w:r>
                  <w:r>
                    <w:rPr>
                      <w:rFonts w:hint="eastAsia" w:cs="Times New Roman"/>
                      <w:bCs/>
                      <w:color w:val="auto"/>
                      <w:lang w:eastAsia="zh-CN"/>
                    </w:rPr>
                    <w:t>。</w:t>
                  </w:r>
                </w:p>
              </w:tc>
              <w:tc>
                <w:tcPr>
                  <w:tcW w:w="1588" w:type="pct"/>
                  <w:tcBorders>
                    <w:tl2br w:val="nil"/>
                    <w:tr2bl w:val="nil"/>
                  </w:tcBorders>
                  <w:vAlign w:val="center"/>
                </w:tcPr>
                <w:p w14:paraId="121EDBE3">
                  <w:pPr>
                    <w:widowControl w:val="0"/>
                    <w:ind w:firstLine="420" w:firstLineChars="200"/>
                    <w:rPr>
                      <w:rFonts w:hint="default" w:ascii="Times New Roman" w:hAnsi="Times New Roman" w:cs="Times New Roman"/>
                      <w:bCs/>
                      <w:color w:val="auto"/>
                    </w:rPr>
                  </w:pPr>
                  <w:r>
                    <w:rPr>
                      <w:rFonts w:hint="default" w:ascii="Times New Roman" w:hAnsi="Times New Roman" w:cs="Times New Roman"/>
                      <w:bCs/>
                      <w:color w:val="auto"/>
                    </w:rPr>
                    <w:t>本项目生产废水全部回用，无直接外排废水。</w:t>
                  </w:r>
                </w:p>
              </w:tc>
              <w:tc>
                <w:tcPr>
                  <w:tcW w:w="636" w:type="pct"/>
                  <w:tcBorders>
                    <w:tl2br w:val="nil"/>
                    <w:tr2bl w:val="nil"/>
                  </w:tcBorders>
                  <w:vAlign w:val="center"/>
                </w:tcPr>
                <w:p w14:paraId="61BCCB93">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符合</w:t>
                  </w:r>
                </w:p>
              </w:tc>
            </w:tr>
            <w:tr w14:paraId="4C32F5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pct"/>
                  <w:tcBorders>
                    <w:tl2br w:val="nil"/>
                    <w:tr2bl w:val="nil"/>
                  </w:tcBorders>
                  <w:vAlign w:val="center"/>
                </w:tcPr>
                <w:p w14:paraId="01CB8768">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7</w:t>
                  </w:r>
                </w:p>
              </w:tc>
              <w:tc>
                <w:tcPr>
                  <w:tcW w:w="2407" w:type="pct"/>
                  <w:tcBorders>
                    <w:tl2br w:val="nil"/>
                    <w:tr2bl w:val="nil"/>
                  </w:tcBorders>
                  <w:vAlign w:val="center"/>
                </w:tcPr>
                <w:p w14:paraId="1D9C7EF4">
                  <w:pPr>
                    <w:widowControl w:val="0"/>
                    <w:ind w:firstLine="420" w:firstLineChars="200"/>
                    <w:rPr>
                      <w:rFonts w:hint="eastAsia" w:ascii="Times New Roman" w:hAnsi="Times New Roman" w:eastAsia="宋体" w:cs="Times New Roman"/>
                      <w:bCs/>
                      <w:color w:val="auto"/>
                      <w:lang w:eastAsia="zh-CN"/>
                    </w:rPr>
                  </w:pPr>
                  <w:r>
                    <w:rPr>
                      <w:rFonts w:hint="default" w:ascii="Times New Roman" w:hAnsi="Times New Roman" w:cs="Times New Roman"/>
                      <w:bCs/>
                      <w:color w:val="auto"/>
                    </w:rPr>
                    <w:t>认真实施固废处理设施。加快位于园区东10km处的渣场建设，应严格按照《一般工业固体废弃物贮存、处置场污染控制标准》（GB18599-2001）建设并分类处置</w:t>
                  </w:r>
                  <w:r>
                    <w:rPr>
                      <w:rFonts w:hint="eastAsia" w:cs="Times New Roman"/>
                      <w:bCs/>
                      <w:color w:val="auto"/>
                      <w:lang w:eastAsia="zh-CN"/>
                    </w:rPr>
                    <w:t>。</w:t>
                  </w:r>
                </w:p>
              </w:tc>
              <w:tc>
                <w:tcPr>
                  <w:tcW w:w="1588" w:type="pct"/>
                  <w:tcBorders>
                    <w:tl2br w:val="nil"/>
                    <w:tr2bl w:val="nil"/>
                  </w:tcBorders>
                  <w:vAlign w:val="center"/>
                </w:tcPr>
                <w:p w14:paraId="610938DE">
                  <w:pPr>
                    <w:widowControl w:val="0"/>
                    <w:ind w:firstLine="420" w:firstLineChars="200"/>
                    <w:rPr>
                      <w:rFonts w:hint="default" w:ascii="Times New Roman" w:hAnsi="Times New Roman" w:cs="Times New Roman"/>
                      <w:bCs/>
                      <w:color w:val="auto"/>
                    </w:rPr>
                  </w:pPr>
                  <w:r>
                    <w:rPr>
                      <w:rFonts w:hint="eastAsia"/>
                      <w:color w:val="auto"/>
                      <w:sz w:val="21"/>
                      <w:szCs w:val="21"/>
                      <w:highlight w:val="none"/>
                      <w:lang w:val="en-US" w:eastAsia="zh-CN"/>
                    </w:rPr>
                    <w:t>本项目固废为热风炉灰渣，</w:t>
                  </w:r>
                  <w:r>
                    <w:rPr>
                      <w:rFonts w:hint="eastAsia"/>
                      <w:color w:val="auto"/>
                      <w:sz w:val="21"/>
                      <w:szCs w:val="21"/>
                      <w:highlight w:val="none"/>
                    </w:rPr>
                    <w:t>暂存于</w:t>
                  </w:r>
                  <w:r>
                    <w:rPr>
                      <w:rFonts w:hint="eastAsia"/>
                      <w:color w:val="auto"/>
                      <w:sz w:val="21"/>
                      <w:szCs w:val="21"/>
                      <w:highlight w:val="none"/>
                      <w:lang w:val="en-US" w:eastAsia="zh-CN"/>
                    </w:rPr>
                    <w:t>灰渣储棚内</w:t>
                  </w:r>
                  <w:r>
                    <w:rPr>
                      <w:rFonts w:hint="eastAsia"/>
                      <w:color w:val="auto"/>
                      <w:sz w:val="21"/>
                      <w:szCs w:val="21"/>
                      <w:highlight w:val="none"/>
                    </w:rPr>
                    <w:t>，定期送至园区渣场处理</w:t>
                  </w:r>
                  <w:r>
                    <w:rPr>
                      <w:color w:val="auto"/>
                      <w:sz w:val="21"/>
                      <w:szCs w:val="21"/>
                      <w:highlight w:val="none"/>
                    </w:rPr>
                    <w:t>。</w:t>
                  </w:r>
                </w:p>
              </w:tc>
              <w:tc>
                <w:tcPr>
                  <w:tcW w:w="636" w:type="pct"/>
                  <w:tcBorders>
                    <w:tl2br w:val="nil"/>
                    <w:tr2bl w:val="nil"/>
                  </w:tcBorders>
                  <w:vAlign w:val="center"/>
                </w:tcPr>
                <w:p w14:paraId="7155D063">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符合</w:t>
                  </w:r>
                </w:p>
              </w:tc>
            </w:tr>
            <w:tr w14:paraId="369032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pct"/>
                  <w:tcBorders>
                    <w:tl2br w:val="nil"/>
                    <w:tr2bl w:val="nil"/>
                  </w:tcBorders>
                  <w:vAlign w:val="center"/>
                </w:tcPr>
                <w:p w14:paraId="71080807">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8</w:t>
                  </w:r>
                </w:p>
              </w:tc>
              <w:tc>
                <w:tcPr>
                  <w:tcW w:w="2407" w:type="pct"/>
                  <w:tcBorders>
                    <w:tl2br w:val="nil"/>
                    <w:tr2bl w:val="nil"/>
                  </w:tcBorders>
                  <w:vAlign w:val="center"/>
                </w:tcPr>
                <w:p w14:paraId="536C2AC3">
                  <w:pPr>
                    <w:widowControl w:val="0"/>
                    <w:ind w:firstLine="420" w:firstLineChars="200"/>
                    <w:rPr>
                      <w:rFonts w:hint="default" w:ascii="Times New Roman" w:hAnsi="Times New Roman" w:cs="Times New Roman"/>
                      <w:bCs/>
                      <w:color w:val="auto"/>
                    </w:rPr>
                  </w:pPr>
                  <w:r>
                    <w:rPr>
                      <w:rFonts w:hint="default" w:ascii="Times New Roman" w:hAnsi="Times New Roman" w:cs="Times New Roman"/>
                      <w:bCs/>
                      <w:color w:val="auto"/>
                    </w:rPr>
                    <w:t>项目区引入项目应达到清洁生产二级标准和国内行业清洁生产先进水平以上，符合行业准入条件。禁止不符合园区产业定位及清洁生产水平要求的项目，以及落后生产技术、工艺、设备进入</w:t>
                  </w:r>
                </w:p>
              </w:tc>
              <w:tc>
                <w:tcPr>
                  <w:tcW w:w="1588" w:type="pct"/>
                  <w:tcBorders>
                    <w:tl2br w:val="nil"/>
                    <w:tr2bl w:val="nil"/>
                  </w:tcBorders>
                  <w:vAlign w:val="center"/>
                </w:tcPr>
                <w:p w14:paraId="1A970704">
                  <w:pPr>
                    <w:widowControl w:val="0"/>
                    <w:ind w:firstLine="420" w:firstLineChars="200"/>
                    <w:rPr>
                      <w:rFonts w:hint="default" w:ascii="Times New Roman" w:hAnsi="Times New Roman" w:cs="Times New Roman"/>
                      <w:bCs/>
                      <w:color w:val="auto"/>
                    </w:rPr>
                  </w:pPr>
                  <w:r>
                    <w:rPr>
                      <w:rFonts w:hint="default" w:ascii="Times New Roman" w:hAnsi="Times New Roman" w:cs="Times New Roman"/>
                      <w:bCs/>
                      <w:color w:val="auto"/>
                    </w:rPr>
                    <w:t>本项目为已批复项目的</w:t>
                  </w:r>
                  <w:r>
                    <w:rPr>
                      <w:rFonts w:hint="eastAsia" w:cs="Times New Roman"/>
                      <w:bCs/>
                      <w:color w:val="auto"/>
                      <w:lang w:val="en-US" w:eastAsia="zh-CN"/>
                    </w:rPr>
                    <w:t>热源技改项目</w:t>
                  </w:r>
                  <w:r>
                    <w:rPr>
                      <w:rFonts w:hint="default" w:ascii="Times New Roman" w:hAnsi="Times New Roman" w:cs="Times New Roman"/>
                      <w:bCs/>
                      <w:color w:val="auto"/>
                    </w:rPr>
                    <w:t>，</w:t>
                  </w:r>
                  <w:r>
                    <w:rPr>
                      <w:rFonts w:hint="default" w:ascii="Times New Roman" w:hAnsi="Times New Roman" w:cs="Times New Roman"/>
                      <w:bCs/>
                      <w:color w:val="auto"/>
                      <w:lang w:val="en-US" w:eastAsia="zh-CN"/>
                    </w:rPr>
                    <w:t>符合清洁生产的要求，</w:t>
                  </w:r>
                  <w:r>
                    <w:rPr>
                      <w:rFonts w:hint="default" w:ascii="Times New Roman" w:hAnsi="Times New Roman" w:cs="Times New Roman"/>
                      <w:color w:val="auto"/>
                    </w:rPr>
                    <w:t>符合产业园区定位。</w:t>
                  </w:r>
                </w:p>
              </w:tc>
              <w:tc>
                <w:tcPr>
                  <w:tcW w:w="636" w:type="pct"/>
                  <w:tcBorders>
                    <w:tl2br w:val="nil"/>
                    <w:tr2bl w:val="nil"/>
                  </w:tcBorders>
                  <w:vAlign w:val="center"/>
                </w:tcPr>
                <w:p w14:paraId="3DCF719E">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符合</w:t>
                  </w:r>
                </w:p>
              </w:tc>
            </w:tr>
            <w:tr w14:paraId="3216E9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pct"/>
                  <w:tcBorders>
                    <w:tl2br w:val="nil"/>
                    <w:tr2bl w:val="nil"/>
                  </w:tcBorders>
                  <w:vAlign w:val="center"/>
                </w:tcPr>
                <w:p w14:paraId="5A9CF6E1">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9</w:t>
                  </w:r>
                </w:p>
              </w:tc>
              <w:tc>
                <w:tcPr>
                  <w:tcW w:w="2407" w:type="pct"/>
                  <w:tcBorders>
                    <w:tl2br w:val="nil"/>
                    <w:tr2bl w:val="nil"/>
                  </w:tcBorders>
                  <w:vAlign w:val="center"/>
                </w:tcPr>
                <w:p w14:paraId="0F08BB46">
                  <w:pPr>
                    <w:widowControl w:val="0"/>
                    <w:ind w:firstLine="420" w:firstLineChars="200"/>
                    <w:rPr>
                      <w:rFonts w:hint="default" w:ascii="Times New Roman" w:hAnsi="Times New Roman" w:cs="Times New Roman"/>
                      <w:bCs/>
                      <w:color w:val="auto"/>
                    </w:rPr>
                  </w:pPr>
                  <w:r>
                    <w:rPr>
                      <w:rFonts w:hint="default" w:ascii="Times New Roman" w:hAnsi="Times New Roman" w:cs="Times New Roman"/>
                      <w:bCs/>
                      <w:color w:val="auto"/>
                    </w:rPr>
                    <w:t>园区应制定切实可行的环境风险应急预案，定期对园区及周边大气、土壤和地下水进行监测。园区紧邻黄河，厂区可能渗漏区域应采取严格的防渗措施，同时减少事故池，在任何情况下，严禁废水进入黄河</w:t>
                  </w:r>
                </w:p>
              </w:tc>
              <w:tc>
                <w:tcPr>
                  <w:tcW w:w="1588" w:type="pct"/>
                  <w:tcBorders>
                    <w:tl2br w:val="nil"/>
                    <w:tr2bl w:val="nil"/>
                  </w:tcBorders>
                  <w:vAlign w:val="center"/>
                </w:tcPr>
                <w:p w14:paraId="558E1E18">
                  <w:pPr>
                    <w:widowControl w:val="0"/>
                    <w:ind w:firstLine="420" w:firstLineChars="200"/>
                    <w:rPr>
                      <w:rFonts w:hint="default" w:ascii="Times New Roman" w:hAnsi="Times New Roman" w:cs="Times New Roman"/>
                      <w:bCs/>
                      <w:color w:val="auto"/>
                    </w:rPr>
                  </w:pPr>
                  <w:r>
                    <w:rPr>
                      <w:rFonts w:hint="eastAsia" w:ascii="Times New Roman" w:hAnsi="Times New Roman" w:cs="Times New Roman"/>
                      <w:b w:val="0"/>
                      <w:bCs/>
                      <w:color w:val="auto"/>
                      <w:sz w:val="21"/>
                      <w:szCs w:val="21"/>
                      <w:highlight w:val="none"/>
                      <w:lang w:val="en-US" w:eastAsia="zh-CN"/>
                    </w:rPr>
                    <w:t>厂区内已</w:t>
                  </w:r>
                  <w:r>
                    <w:rPr>
                      <w:rFonts w:hint="default" w:ascii="Times New Roman" w:hAnsi="Times New Roman" w:cs="Times New Roman"/>
                      <w:b w:val="0"/>
                      <w:bCs/>
                      <w:color w:val="auto"/>
                      <w:sz w:val="21"/>
                      <w:szCs w:val="21"/>
                      <w:highlight w:val="none"/>
                      <w:lang w:val="en-US" w:eastAsia="zh-CN"/>
                    </w:rPr>
                    <w:t>按照</w:t>
                  </w:r>
                  <w:r>
                    <w:rPr>
                      <w:rFonts w:hint="eastAsia" w:ascii="Times New Roman" w:hAnsi="Times New Roman" w:cs="Times New Roman"/>
                      <w:b w:val="0"/>
                      <w:bCs/>
                      <w:color w:val="auto"/>
                      <w:sz w:val="21"/>
                      <w:szCs w:val="21"/>
                      <w:highlight w:val="none"/>
                      <w:lang w:val="en-US" w:eastAsia="zh-CN"/>
                    </w:rPr>
                    <w:t>相关</w:t>
                  </w:r>
                  <w:r>
                    <w:rPr>
                      <w:rFonts w:hint="default" w:ascii="Times New Roman" w:hAnsi="Times New Roman" w:cs="Times New Roman"/>
                      <w:b w:val="0"/>
                      <w:bCs/>
                      <w:color w:val="auto"/>
                      <w:sz w:val="21"/>
                      <w:szCs w:val="21"/>
                      <w:highlight w:val="none"/>
                      <w:lang w:val="en-US" w:eastAsia="zh-CN"/>
                    </w:rPr>
                    <w:t>要求在可能渗漏区域采取严格的防渗措施，事故池依托厂区现有事故池，无废水排放，在任何情况下，严禁废水进入黄河。</w:t>
                  </w:r>
                </w:p>
              </w:tc>
              <w:tc>
                <w:tcPr>
                  <w:tcW w:w="636" w:type="pct"/>
                  <w:tcBorders>
                    <w:tl2br w:val="nil"/>
                    <w:tr2bl w:val="nil"/>
                  </w:tcBorders>
                  <w:vAlign w:val="center"/>
                </w:tcPr>
                <w:p w14:paraId="33DCF047">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符合</w:t>
                  </w:r>
                </w:p>
              </w:tc>
            </w:tr>
            <w:tr w14:paraId="0B3756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pct"/>
                  <w:tcBorders>
                    <w:tl2br w:val="nil"/>
                    <w:tr2bl w:val="nil"/>
                  </w:tcBorders>
                  <w:vAlign w:val="center"/>
                </w:tcPr>
                <w:p w14:paraId="7FB83D71">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10</w:t>
                  </w:r>
                </w:p>
              </w:tc>
              <w:tc>
                <w:tcPr>
                  <w:tcW w:w="2407" w:type="pct"/>
                  <w:tcBorders>
                    <w:tl2br w:val="nil"/>
                    <w:tr2bl w:val="nil"/>
                  </w:tcBorders>
                  <w:vAlign w:val="center"/>
                </w:tcPr>
                <w:p w14:paraId="3072C47A">
                  <w:pPr>
                    <w:widowControl w:val="0"/>
                    <w:ind w:firstLine="420" w:firstLineChars="200"/>
                    <w:rPr>
                      <w:rFonts w:hint="eastAsia" w:ascii="Times New Roman" w:hAnsi="Times New Roman" w:eastAsia="宋体" w:cs="Times New Roman"/>
                      <w:bCs/>
                      <w:color w:val="auto"/>
                      <w:lang w:eastAsia="zh-CN"/>
                    </w:rPr>
                  </w:pPr>
                  <w:r>
                    <w:rPr>
                      <w:rFonts w:hint="default" w:ascii="Times New Roman" w:hAnsi="Times New Roman" w:cs="Times New Roman"/>
                      <w:bCs/>
                      <w:color w:val="auto"/>
                    </w:rPr>
                    <w:t>认真落实园区环保基础设施完成时限，加快集中水源、集中热源、污水处理设施、临时渣场和蒸发晾晒池的建设进度</w:t>
                  </w:r>
                  <w:r>
                    <w:rPr>
                      <w:rFonts w:hint="eastAsia" w:cs="Times New Roman"/>
                      <w:bCs/>
                      <w:color w:val="auto"/>
                      <w:lang w:eastAsia="zh-CN"/>
                    </w:rPr>
                    <w:t>。</w:t>
                  </w:r>
                </w:p>
              </w:tc>
              <w:tc>
                <w:tcPr>
                  <w:tcW w:w="1588" w:type="pct"/>
                  <w:tcBorders>
                    <w:tl2br w:val="nil"/>
                    <w:tr2bl w:val="nil"/>
                  </w:tcBorders>
                  <w:vAlign w:val="center"/>
                </w:tcPr>
                <w:p w14:paraId="1B4925E0">
                  <w:pPr>
                    <w:widowControl w:val="0"/>
                    <w:jc w:val="center"/>
                    <w:rPr>
                      <w:rFonts w:hint="eastAsia" w:ascii="Times New Roman" w:hAnsi="Times New Roman" w:eastAsia="宋体" w:cs="Times New Roman"/>
                      <w:bCs/>
                      <w:color w:val="auto"/>
                      <w:lang w:val="en-US" w:eastAsia="zh-CN"/>
                    </w:rPr>
                  </w:pPr>
                  <w:r>
                    <w:rPr>
                      <w:rFonts w:hint="eastAsia" w:cs="Times New Roman"/>
                      <w:bCs/>
                      <w:color w:val="auto"/>
                      <w:lang w:val="en-US" w:eastAsia="zh-CN"/>
                    </w:rPr>
                    <w:t>-</w:t>
                  </w:r>
                </w:p>
              </w:tc>
              <w:tc>
                <w:tcPr>
                  <w:tcW w:w="636" w:type="pct"/>
                  <w:tcBorders>
                    <w:tl2br w:val="nil"/>
                    <w:tr2bl w:val="nil"/>
                  </w:tcBorders>
                  <w:vAlign w:val="center"/>
                </w:tcPr>
                <w:p w14:paraId="528C303B">
                  <w:pPr>
                    <w:widowControl w:val="0"/>
                    <w:jc w:val="center"/>
                    <w:rPr>
                      <w:rFonts w:hint="eastAsia" w:ascii="Times New Roman" w:hAnsi="Times New Roman" w:eastAsia="宋体" w:cs="Times New Roman"/>
                      <w:bCs/>
                      <w:color w:val="auto"/>
                      <w:lang w:eastAsia="zh-CN"/>
                    </w:rPr>
                  </w:pPr>
                  <w:r>
                    <w:rPr>
                      <w:rFonts w:hint="eastAsia" w:cs="Times New Roman"/>
                      <w:bCs/>
                      <w:color w:val="auto"/>
                      <w:lang w:val="en-US" w:eastAsia="zh-CN"/>
                    </w:rPr>
                    <w:t>-</w:t>
                  </w:r>
                </w:p>
              </w:tc>
            </w:tr>
            <w:tr w14:paraId="5402F4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pct"/>
                  <w:tcBorders>
                    <w:tl2br w:val="nil"/>
                    <w:tr2bl w:val="nil"/>
                  </w:tcBorders>
                  <w:vAlign w:val="center"/>
                </w:tcPr>
                <w:p w14:paraId="49696974">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11</w:t>
                  </w:r>
                </w:p>
              </w:tc>
              <w:tc>
                <w:tcPr>
                  <w:tcW w:w="2407" w:type="pct"/>
                  <w:tcBorders>
                    <w:tl2br w:val="nil"/>
                    <w:tr2bl w:val="nil"/>
                  </w:tcBorders>
                  <w:vAlign w:val="center"/>
                </w:tcPr>
                <w:p w14:paraId="4A8DE65E">
                  <w:pPr>
                    <w:widowControl w:val="0"/>
                    <w:ind w:firstLine="420" w:firstLineChars="200"/>
                    <w:rPr>
                      <w:rFonts w:hint="default" w:ascii="Times New Roman" w:hAnsi="Times New Roman" w:cs="Times New Roman"/>
                      <w:bCs/>
                      <w:color w:val="auto"/>
                    </w:rPr>
                  </w:pPr>
                  <w:r>
                    <w:rPr>
                      <w:rFonts w:hint="default" w:ascii="Times New Roman" w:hAnsi="Times New Roman" w:cs="Times New Roman"/>
                      <w:bCs/>
                      <w:color w:val="auto"/>
                    </w:rPr>
                    <w:t>园区应加强环境检测能力建设，做好环境保护日常管理，落实区域大气联防联控集中。重点企业排污口应设置在线监测系统并与</w:t>
                  </w:r>
                  <w:r>
                    <w:rPr>
                      <w:rFonts w:hint="eastAsia" w:cs="Times New Roman"/>
                      <w:bCs/>
                      <w:color w:val="auto"/>
                      <w:lang w:val="en-US" w:eastAsia="zh-CN"/>
                    </w:rPr>
                    <w:t>生态环境</w:t>
                  </w:r>
                  <w:r>
                    <w:rPr>
                      <w:rFonts w:hint="default" w:ascii="Times New Roman" w:hAnsi="Times New Roman" w:cs="Times New Roman"/>
                      <w:bCs/>
                      <w:color w:val="auto"/>
                    </w:rPr>
                    <w:t>部门联网，及时了解企业排污和环境治理的变化，以便于及时调整规划和相关的环保对策措施</w:t>
                  </w:r>
                </w:p>
              </w:tc>
              <w:tc>
                <w:tcPr>
                  <w:tcW w:w="1588" w:type="pct"/>
                  <w:tcBorders>
                    <w:tl2br w:val="nil"/>
                    <w:tr2bl w:val="nil"/>
                  </w:tcBorders>
                  <w:vAlign w:val="center"/>
                </w:tcPr>
                <w:p w14:paraId="7E564543">
                  <w:pPr>
                    <w:widowControl w:val="0"/>
                    <w:ind w:firstLine="420" w:firstLineChars="200"/>
                    <w:rPr>
                      <w:rFonts w:hint="default" w:ascii="Times New Roman" w:hAnsi="Times New Roman" w:eastAsia="宋体" w:cs="Times New Roman"/>
                      <w:bCs/>
                      <w:color w:val="auto"/>
                      <w:lang w:val="en-US" w:eastAsia="zh-CN"/>
                    </w:rPr>
                  </w:pPr>
                  <w:r>
                    <w:rPr>
                      <w:rFonts w:hint="default" w:ascii="Times New Roman" w:hAnsi="Times New Roman" w:cs="Times New Roman"/>
                      <w:color w:val="auto"/>
                    </w:rPr>
                    <w:t>本</w:t>
                  </w:r>
                  <w:r>
                    <w:rPr>
                      <w:rFonts w:hint="eastAsia" w:cs="Times New Roman"/>
                      <w:color w:val="auto"/>
                      <w:lang w:val="en-US" w:eastAsia="zh-CN"/>
                    </w:rPr>
                    <w:t>次环评中已制度了详细的跟踪监测计划。</w:t>
                  </w:r>
                </w:p>
              </w:tc>
              <w:tc>
                <w:tcPr>
                  <w:tcW w:w="636" w:type="pct"/>
                  <w:tcBorders>
                    <w:tl2br w:val="nil"/>
                    <w:tr2bl w:val="nil"/>
                  </w:tcBorders>
                  <w:vAlign w:val="center"/>
                </w:tcPr>
                <w:p w14:paraId="596B1A0F">
                  <w:pPr>
                    <w:widowControl w:val="0"/>
                    <w:jc w:val="center"/>
                    <w:rPr>
                      <w:rFonts w:hint="default" w:ascii="Times New Roman" w:hAnsi="Times New Roman" w:cs="Times New Roman"/>
                      <w:bCs/>
                      <w:color w:val="auto"/>
                    </w:rPr>
                  </w:pPr>
                  <w:r>
                    <w:rPr>
                      <w:rFonts w:hint="default" w:ascii="Times New Roman" w:hAnsi="Times New Roman" w:cs="Times New Roman"/>
                      <w:bCs/>
                      <w:color w:val="auto"/>
                    </w:rPr>
                    <w:t>符合</w:t>
                  </w:r>
                </w:p>
              </w:tc>
            </w:tr>
          </w:tbl>
          <w:p w14:paraId="198C4BF0">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center"/>
              <w:rPr>
                <w:rFonts w:hint="default" w:ascii="宋体" w:hAnsi="宋体" w:eastAsia="宋体" w:cs="宋体"/>
                <w:color w:val="auto"/>
                <w:kern w:val="0"/>
                <w:sz w:val="24"/>
                <w:szCs w:val="24"/>
                <w:lang w:val="en-US" w:eastAsia="zh-CN"/>
              </w:rPr>
            </w:pPr>
            <w:r>
              <w:rPr>
                <w:rFonts w:hint="eastAsia" w:ascii="宋体" w:hAnsi="宋体" w:eastAsia="宋体" w:cs="宋体"/>
                <w:color w:val="auto"/>
                <w:sz w:val="24"/>
                <w:szCs w:val="24"/>
                <w:lang w:val="en-US" w:eastAsia="zh-CN"/>
              </w:rPr>
              <w:t>本项目的建设符合《蒙西高新技术工业园区环境影响报告书》及审查意见要求。</w:t>
            </w:r>
          </w:p>
        </w:tc>
      </w:tr>
      <w:tr w14:paraId="2B9C21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1" w:hRule="atLeast"/>
          <w:jc w:val="center"/>
        </w:trPr>
        <w:tc>
          <w:tcPr>
            <w:tcW w:w="1810" w:type="dxa"/>
            <w:noWrap w:val="0"/>
            <w:vAlign w:val="center"/>
          </w:tcPr>
          <w:p w14:paraId="00CB1848">
            <w:pPr>
              <w:pStyle w:val="15"/>
              <w:keepNext w:val="0"/>
              <w:keepLines w:val="0"/>
              <w:pageBreakBefore w:val="0"/>
              <w:widowControl/>
              <w:kinsoku/>
              <w:wordWrap/>
              <w:overflowPunct/>
              <w:topLinePunct w:val="0"/>
              <w:autoSpaceDE/>
              <w:autoSpaceDN/>
              <w:bidi w:val="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其他符合性</w:t>
            </w:r>
          </w:p>
          <w:p w14:paraId="1977C666">
            <w:pPr>
              <w:pStyle w:val="15"/>
              <w:keepNext w:val="0"/>
              <w:keepLines w:val="0"/>
              <w:pageBreakBefore w:val="0"/>
              <w:widowControl/>
              <w:kinsoku/>
              <w:wordWrap/>
              <w:overflowPunct/>
              <w:topLinePunct w:val="0"/>
              <w:autoSpaceDE/>
              <w:autoSpaceDN/>
              <w:bidi w:val="0"/>
              <w:spacing w:line="240" w:lineRule="auto"/>
              <w:ind w:firstLine="0" w:firstLineChars="0"/>
              <w:textAlignment w:val="center"/>
              <w:rPr>
                <w:rFonts w:hint="eastAsia" w:ascii="宋体" w:hAnsi="宋体" w:eastAsia="宋体" w:cs="宋体"/>
                <w:color w:val="auto"/>
                <w:sz w:val="24"/>
                <w:szCs w:val="24"/>
              </w:rPr>
            </w:pPr>
            <w:r>
              <w:rPr>
                <w:rFonts w:hint="eastAsia" w:ascii="宋体" w:hAnsi="宋体" w:eastAsia="宋体" w:cs="宋体"/>
                <w:color w:val="auto"/>
                <w:sz w:val="24"/>
                <w:szCs w:val="24"/>
              </w:rPr>
              <w:t>分析</w:t>
            </w:r>
          </w:p>
        </w:tc>
        <w:tc>
          <w:tcPr>
            <w:tcW w:w="7060" w:type="dxa"/>
            <w:gridSpan w:val="3"/>
            <w:noWrap w:val="0"/>
            <w:vAlign w:val="top"/>
          </w:tcPr>
          <w:p w14:paraId="1F7AAEBE">
            <w:pPr>
              <w:keepNext w:val="0"/>
              <w:keepLines w:val="0"/>
              <w:pageBreakBefore w:val="0"/>
              <w:widowControl/>
              <w:kinsoku/>
              <w:wordWrap/>
              <w:overflowPunct/>
              <w:topLinePunct w:val="0"/>
              <w:autoSpaceDE/>
              <w:autoSpaceDN/>
              <w:bidi w:val="0"/>
              <w:adjustRightInd/>
              <w:snapToGrid/>
              <w:spacing w:line="480" w:lineRule="exact"/>
              <w:ind w:left="0" w:leftChars="0" w:firstLine="0" w:firstLineChars="0"/>
              <w:textAlignment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1、“三线一单”符合性分析</w:t>
            </w:r>
          </w:p>
          <w:p w14:paraId="384F0A8D">
            <w:pPr>
              <w:keepNext w:val="0"/>
              <w:keepLines w:val="0"/>
              <w:pageBreakBefore w:val="0"/>
              <w:widowControl/>
              <w:kinsoku/>
              <w:wordWrap/>
              <w:overflowPunct/>
              <w:topLinePunct w:val="0"/>
              <w:autoSpaceDE/>
              <w:autoSpaceDN/>
              <w:bidi w:val="0"/>
              <w:adjustRightInd/>
              <w:snapToGrid/>
              <w:spacing w:line="480" w:lineRule="exact"/>
              <w:textAlignment w:val="center"/>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（1）生态保护红线</w:t>
            </w:r>
          </w:p>
          <w:p w14:paraId="259161F2">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根据2021年9月17日鄂尔多斯市人民政府发布的《鄂尔多斯市人民政府关于“三线一单”生态环境分区管控的实施意见》鄂府发〔2021〕218号文，全市共划定环境管控单元163个，包括优先保护单元、重点管控单元、一般管控单元三类，实施分类管控。本项目位于</w:t>
            </w:r>
            <w:r>
              <w:rPr>
                <w:rFonts w:hint="eastAsia" w:ascii="宋体" w:hAnsi="宋体" w:cs="宋体"/>
                <w:color w:val="auto"/>
                <w:sz w:val="24"/>
                <w:szCs w:val="24"/>
                <w:lang w:eastAsia="zh-CN"/>
              </w:rPr>
              <w:t>鄂尔多斯市鄂托克旗</w:t>
            </w:r>
            <w:r>
              <w:rPr>
                <w:rFonts w:hint="default" w:ascii="Times New Roman" w:hAnsi="Times New Roman" w:cs="Times New Roman"/>
                <w:color w:val="auto"/>
                <w:kern w:val="2"/>
                <w:sz w:val="24"/>
                <w:szCs w:val="24"/>
              </w:rPr>
              <w:t>内蒙古蒙西高新技术工业园区</w:t>
            </w:r>
            <w:r>
              <w:rPr>
                <w:rFonts w:hint="eastAsia" w:ascii="宋体" w:hAnsi="宋体" w:eastAsia="宋体" w:cs="宋体"/>
                <w:color w:val="auto"/>
                <w:sz w:val="24"/>
                <w:szCs w:val="24"/>
                <w:lang w:val="en-US" w:eastAsia="zh-CN"/>
              </w:rPr>
              <w:t>，本项目所在区域属于重点管控单元</w:t>
            </w:r>
            <w:r>
              <w:rPr>
                <w:rFonts w:hint="eastAsia" w:ascii="宋体" w:hAnsi="宋体" w:cs="宋体"/>
                <w:color w:val="auto"/>
                <w:sz w:val="24"/>
                <w:szCs w:val="24"/>
                <w:lang w:val="en-US" w:eastAsia="zh-CN"/>
              </w:rPr>
              <w:t>：内蒙古蒙西高新技术工业园区</w:t>
            </w:r>
            <w:r>
              <w:rPr>
                <w:rFonts w:hint="eastAsia" w:ascii="宋体" w:hAnsi="宋体" w:eastAsia="宋体" w:cs="宋体"/>
                <w:color w:val="auto"/>
                <w:sz w:val="24"/>
                <w:szCs w:val="24"/>
                <w:lang w:val="en-US" w:eastAsia="zh-CN"/>
              </w:rPr>
              <w:t>（ZH15062420001）。</w:t>
            </w:r>
            <w:r>
              <w:rPr>
                <w:rFonts w:hint="eastAsia" w:ascii="宋体" w:hAnsi="宋体" w:cs="宋体"/>
                <w:color w:val="auto"/>
                <w:sz w:val="24"/>
                <w:szCs w:val="24"/>
                <w:lang w:val="en-US" w:eastAsia="zh-CN"/>
              </w:rPr>
              <w:t>本</w:t>
            </w:r>
            <w:r>
              <w:rPr>
                <w:rFonts w:hint="eastAsia" w:ascii="宋体" w:hAnsi="宋体" w:eastAsia="宋体" w:cs="宋体"/>
                <w:color w:val="auto"/>
                <w:sz w:val="24"/>
                <w:szCs w:val="24"/>
                <w:lang w:val="en-US" w:eastAsia="zh-CN"/>
              </w:rPr>
              <w:t>管控单元管控要求为：该区域应不断提升资源利用效率，有针对性地加强污染物排放控制和环境风险防控，解决生态环境质量不达标、生态环境风险高等问题。本项目污染物产生量小，且针对废气、</w:t>
            </w:r>
            <w:r>
              <w:rPr>
                <w:rFonts w:hint="eastAsia" w:ascii="宋体" w:hAnsi="宋体" w:cs="宋体"/>
                <w:color w:val="auto"/>
                <w:sz w:val="24"/>
                <w:szCs w:val="24"/>
                <w:lang w:val="en-US" w:eastAsia="zh-CN"/>
              </w:rPr>
              <w:t>废水、</w:t>
            </w:r>
            <w:r>
              <w:rPr>
                <w:rFonts w:hint="eastAsia" w:ascii="宋体" w:hAnsi="宋体" w:eastAsia="宋体" w:cs="宋体"/>
                <w:color w:val="auto"/>
                <w:sz w:val="24"/>
                <w:szCs w:val="24"/>
                <w:lang w:val="en-US" w:eastAsia="zh-CN"/>
              </w:rPr>
              <w:t>固废、噪声均采取了妥善合理的处理处置措施，污染物均达标排放，对区域生态环境质量影响轻微；同时项目所在区域不涉及饮用水水源地、自然保护区、风景名胜区等特殊环境敏感区，</w:t>
            </w:r>
            <w:r>
              <w:rPr>
                <w:rFonts w:hint="eastAsia" w:ascii="宋体" w:hAnsi="宋体" w:cs="宋体"/>
                <w:color w:val="auto"/>
                <w:sz w:val="24"/>
                <w:szCs w:val="24"/>
                <w:lang w:val="en-US" w:eastAsia="zh-CN"/>
              </w:rPr>
              <w:t>故不占用生态红线</w:t>
            </w:r>
            <w:r>
              <w:rPr>
                <w:rFonts w:hint="eastAsia" w:ascii="宋体" w:hAnsi="宋体" w:eastAsia="宋体" w:cs="宋体"/>
                <w:color w:val="auto"/>
                <w:sz w:val="24"/>
                <w:szCs w:val="24"/>
                <w:lang w:val="en-US" w:eastAsia="zh-CN"/>
              </w:rPr>
              <w:t>。</w:t>
            </w:r>
          </w:p>
          <w:p w14:paraId="7DFA1E7D">
            <w:pPr>
              <w:keepNext w:val="0"/>
              <w:keepLines w:val="0"/>
              <w:pageBreakBefore w:val="0"/>
              <w:widowControl/>
              <w:kinsoku/>
              <w:wordWrap/>
              <w:overflowPunct/>
              <w:topLinePunct w:val="0"/>
              <w:autoSpaceDE/>
              <w:autoSpaceDN/>
              <w:bidi w:val="0"/>
              <w:adjustRightInd/>
              <w:snapToGrid/>
              <w:spacing w:line="480" w:lineRule="exact"/>
              <w:textAlignment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（2）环境质量底线</w:t>
            </w:r>
          </w:p>
          <w:p w14:paraId="4BEFB253">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本项目位于</w:t>
            </w:r>
            <w:r>
              <w:rPr>
                <w:rFonts w:hint="eastAsia" w:ascii="宋体" w:hAnsi="宋体" w:cs="宋体"/>
                <w:color w:val="auto"/>
                <w:sz w:val="24"/>
                <w:szCs w:val="24"/>
                <w:lang w:eastAsia="zh-CN"/>
              </w:rPr>
              <w:t>鄂尔多斯市鄂托克旗</w:t>
            </w:r>
            <w:r>
              <w:rPr>
                <w:rFonts w:hint="eastAsia" w:ascii="宋体" w:hAnsi="宋体" w:eastAsia="宋体" w:cs="宋体"/>
                <w:color w:val="auto"/>
                <w:sz w:val="24"/>
                <w:szCs w:val="24"/>
                <w:lang w:val="en-US" w:eastAsia="zh-CN"/>
              </w:rPr>
              <w:t>，根据202</w:t>
            </w:r>
            <w:r>
              <w:rPr>
                <w:rFonts w:hint="eastAsia" w:ascii="宋体" w:hAnsi="宋体" w:cs="宋体"/>
                <w:color w:val="auto"/>
                <w:sz w:val="24"/>
                <w:szCs w:val="24"/>
                <w:lang w:val="en-US" w:eastAsia="zh-CN"/>
              </w:rPr>
              <w:t>2</w:t>
            </w:r>
            <w:r>
              <w:rPr>
                <w:rFonts w:hint="eastAsia" w:ascii="宋体" w:hAnsi="宋体" w:eastAsia="宋体" w:cs="宋体"/>
                <w:color w:val="auto"/>
                <w:sz w:val="24"/>
                <w:szCs w:val="24"/>
                <w:lang w:val="en-US" w:eastAsia="zh-CN"/>
              </w:rPr>
              <w:t>年内蒙古环境质量公报，鄂尔多斯市为环境质量达标区，根据现状监测数据可知，厂界下风向TSP、氮氧化物浓度满足</w:t>
            </w:r>
            <w:r>
              <w:rPr>
                <w:rFonts w:hint="eastAsia" w:cs="Times New Roman"/>
                <w:b w:val="0"/>
                <w:bCs w:val="0"/>
                <w:color w:val="auto"/>
                <w:sz w:val="24"/>
                <w:szCs w:val="24"/>
                <w:lang w:val="en-US" w:eastAsia="zh-CN"/>
              </w:rPr>
              <w:t>《环境空气质量标准》（GB3095-2012）二级标准限值</w:t>
            </w:r>
            <w:r>
              <w:rPr>
                <w:rFonts w:hint="eastAsia" w:ascii="宋体" w:hAnsi="宋体" w:eastAsia="宋体" w:cs="宋体"/>
                <w:color w:val="auto"/>
                <w:sz w:val="24"/>
                <w:szCs w:val="24"/>
                <w:lang w:val="en-US" w:eastAsia="zh-CN"/>
              </w:rPr>
              <w:t>，厂界噪声满足《工业企业厂界环境噪声排放标准》（GB12348-2008）3类标准</w:t>
            </w:r>
            <w:r>
              <w:rPr>
                <w:rFonts w:hint="eastAsia" w:ascii="宋体" w:hAnsi="宋体" w:cs="宋体"/>
                <w:color w:val="auto"/>
                <w:sz w:val="24"/>
                <w:szCs w:val="24"/>
                <w:lang w:val="en-US" w:eastAsia="zh-CN"/>
              </w:rPr>
              <w:t>，</w:t>
            </w:r>
            <w:r>
              <w:rPr>
                <w:rFonts w:hint="eastAsia" w:ascii="宋体" w:hAnsi="宋体" w:eastAsia="宋体" w:cs="宋体"/>
                <w:color w:val="auto"/>
                <w:sz w:val="24"/>
                <w:szCs w:val="24"/>
                <w:lang w:val="en-US" w:eastAsia="zh-CN"/>
              </w:rPr>
              <w:t>区域环境质量较好。本项目废气、</w:t>
            </w:r>
            <w:r>
              <w:rPr>
                <w:rFonts w:hint="eastAsia" w:ascii="宋体" w:hAnsi="宋体" w:cs="宋体"/>
                <w:color w:val="auto"/>
                <w:sz w:val="24"/>
                <w:szCs w:val="24"/>
                <w:lang w:val="en-US" w:eastAsia="zh-CN"/>
              </w:rPr>
              <w:t>废水、</w:t>
            </w:r>
            <w:r>
              <w:rPr>
                <w:rFonts w:hint="eastAsia" w:ascii="宋体" w:hAnsi="宋体" w:eastAsia="宋体" w:cs="宋体"/>
                <w:color w:val="auto"/>
                <w:sz w:val="24"/>
                <w:szCs w:val="24"/>
                <w:lang w:val="en-US" w:eastAsia="zh-CN"/>
              </w:rPr>
              <w:t>噪声、固废经采取相应的</w:t>
            </w:r>
            <w:r>
              <w:rPr>
                <w:rFonts w:hint="eastAsia" w:ascii="宋体" w:hAnsi="宋体" w:cs="宋体"/>
                <w:color w:val="auto"/>
                <w:sz w:val="24"/>
                <w:szCs w:val="24"/>
                <w:lang w:val="en-US" w:eastAsia="zh-CN"/>
              </w:rPr>
              <w:t>防治措施</w:t>
            </w:r>
            <w:r>
              <w:rPr>
                <w:rFonts w:hint="eastAsia" w:ascii="宋体" w:hAnsi="宋体" w:eastAsia="宋体" w:cs="宋体"/>
                <w:color w:val="auto"/>
                <w:sz w:val="24"/>
                <w:szCs w:val="24"/>
                <w:lang w:val="en-US" w:eastAsia="zh-CN"/>
              </w:rPr>
              <w:t>后均可满足达标排放要求。项目自身对环境的污染可降到当地环境能够容许的程度，项目实施后对区域内环境影响较小，环境质量基本可以保持现有水平，因此项目符合环境质量底线要求。</w:t>
            </w:r>
          </w:p>
          <w:p w14:paraId="445A8262">
            <w:pPr>
              <w:keepNext w:val="0"/>
              <w:keepLines w:val="0"/>
              <w:pageBreakBefore w:val="0"/>
              <w:widowControl/>
              <w:kinsoku/>
              <w:wordWrap/>
              <w:overflowPunct/>
              <w:topLinePunct w:val="0"/>
              <w:autoSpaceDE/>
              <w:autoSpaceDN/>
              <w:bidi w:val="0"/>
              <w:adjustRightInd/>
              <w:snapToGrid/>
              <w:spacing w:line="480" w:lineRule="exact"/>
              <w:textAlignment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（3）资源利用上线</w:t>
            </w:r>
          </w:p>
          <w:p w14:paraId="0B6A7EEA">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center"/>
              <w:rPr>
                <w:rFonts w:hint="eastAsia"/>
                <w:color w:val="auto"/>
                <w:sz w:val="24"/>
                <w:szCs w:val="24"/>
                <w:lang w:val="en-US" w:eastAsia="zh-CN"/>
              </w:rPr>
            </w:pPr>
            <w:r>
              <w:rPr>
                <w:rFonts w:hint="default" w:ascii="Times New Roman" w:hAnsi="Times New Roman" w:cs="Times New Roman"/>
                <w:color w:val="auto"/>
                <w:sz w:val="24"/>
                <w:szCs w:val="24"/>
              </w:rPr>
              <w:t>本项目位于</w:t>
            </w:r>
            <w:r>
              <w:rPr>
                <w:rFonts w:hint="default" w:ascii="宋体" w:hAnsi="宋体" w:eastAsia="宋体" w:cs="宋体"/>
                <w:color w:val="auto"/>
                <w:sz w:val="24"/>
                <w:szCs w:val="24"/>
                <w:lang w:val="en-US" w:eastAsia="zh-CN"/>
              </w:rPr>
              <w:t>利用粉煤灰生产聚合氯化铝技改扩建项目</w:t>
            </w:r>
            <w:r>
              <w:rPr>
                <w:rFonts w:hint="default" w:ascii="Times New Roman" w:hAnsi="Times New Roman" w:cs="Times New Roman"/>
                <w:color w:val="auto"/>
                <w:sz w:val="24"/>
                <w:szCs w:val="24"/>
              </w:rPr>
              <w:t>厂区内，无新增占地</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本项目主要技改内容为新建一台</w:t>
            </w:r>
            <w:r>
              <w:rPr>
                <w:rFonts w:hint="eastAsia" w:cs="Times New Roman"/>
                <w:color w:val="auto"/>
                <w:sz w:val="24"/>
                <w:szCs w:val="24"/>
                <w:lang w:val="en-US" w:eastAsia="zh-CN"/>
              </w:rPr>
              <w:t>MBZ直接式燃煤热风炉</w:t>
            </w:r>
            <w:r>
              <w:rPr>
                <w:rFonts w:hint="eastAsia" w:ascii="Times New Roman" w:hAnsi="Times New Roman" w:cs="Times New Roman"/>
                <w:color w:val="auto"/>
                <w:sz w:val="24"/>
                <w:szCs w:val="24"/>
                <w:lang w:val="en-US" w:eastAsia="zh-CN"/>
              </w:rPr>
              <w:t>，保留原有的焦煤燃气热风炉，作为备用热源，</w:t>
            </w:r>
            <w:r>
              <w:rPr>
                <w:rFonts w:hint="eastAsia" w:ascii="宋体" w:hAnsi="宋体" w:eastAsia="宋体" w:cs="宋体"/>
                <w:color w:val="auto"/>
                <w:sz w:val="24"/>
                <w:szCs w:val="24"/>
                <w:lang w:val="en-US" w:eastAsia="zh-CN"/>
              </w:rPr>
              <w:t>在生产运营过程中有一定量的水、电、燃煤消耗，项目资源消耗量相对区域资源利用总量较少，且实施过程中加强节能建设，能源利用率高，不会突破当地资源利用上线，符合资源利用上线要求。</w:t>
            </w:r>
          </w:p>
          <w:p w14:paraId="269D6FF4">
            <w:pPr>
              <w:keepNext w:val="0"/>
              <w:keepLines w:val="0"/>
              <w:pageBreakBefore w:val="0"/>
              <w:widowControl/>
              <w:kinsoku/>
              <w:wordWrap/>
              <w:overflowPunct/>
              <w:topLinePunct w:val="0"/>
              <w:autoSpaceDE/>
              <w:autoSpaceDN/>
              <w:bidi w:val="0"/>
              <w:adjustRightInd/>
              <w:snapToGrid/>
              <w:spacing w:line="480" w:lineRule="exact"/>
              <w:textAlignment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（4）生态环境准入清单</w:t>
            </w:r>
          </w:p>
          <w:p w14:paraId="6DC0581E">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对照《鄂尔多斯市生态环境准入清单》，本项目位于</w:t>
            </w:r>
            <w:r>
              <w:rPr>
                <w:rFonts w:hint="eastAsia" w:ascii="宋体" w:hAnsi="宋体" w:cs="宋体"/>
                <w:color w:val="auto"/>
                <w:sz w:val="24"/>
                <w:szCs w:val="24"/>
                <w:lang w:eastAsia="zh-CN"/>
              </w:rPr>
              <w:t>鄂尔多斯市鄂托克旗</w:t>
            </w:r>
            <w:r>
              <w:rPr>
                <w:rFonts w:hint="default" w:ascii="Times New Roman" w:hAnsi="Times New Roman" w:cs="Times New Roman"/>
                <w:color w:val="auto"/>
                <w:kern w:val="2"/>
                <w:sz w:val="24"/>
                <w:szCs w:val="24"/>
              </w:rPr>
              <w:t>内蒙古蒙西高新技术工业园区</w:t>
            </w:r>
            <w:r>
              <w:rPr>
                <w:rFonts w:hint="eastAsia" w:ascii="宋体" w:hAnsi="宋体" w:eastAsia="宋体" w:cs="宋体"/>
                <w:color w:val="auto"/>
                <w:sz w:val="24"/>
                <w:szCs w:val="24"/>
                <w:lang w:val="en-US" w:eastAsia="zh-CN"/>
              </w:rPr>
              <w:t>，属于重点管控单元</w:t>
            </w:r>
            <w:r>
              <w:rPr>
                <w:rFonts w:hint="eastAsia" w:ascii="宋体" w:hAnsi="宋体" w:cs="宋体"/>
                <w:color w:val="auto"/>
                <w:sz w:val="24"/>
                <w:szCs w:val="24"/>
                <w:lang w:val="en-US" w:eastAsia="zh-CN"/>
              </w:rPr>
              <w:t>：内蒙古蒙西高新技术工业园区</w:t>
            </w:r>
            <w:r>
              <w:rPr>
                <w:rFonts w:hint="eastAsia" w:ascii="宋体" w:hAnsi="宋体" w:eastAsia="宋体" w:cs="宋体"/>
                <w:color w:val="auto"/>
                <w:sz w:val="24"/>
                <w:szCs w:val="24"/>
                <w:lang w:val="en-US" w:eastAsia="zh-CN"/>
              </w:rPr>
              <w:t>（ZH15062420001），根据清单中重点管控单元的管控要求，本项目满足空间布局约束、污染物排放管控、环境风险防控和资源利用效率要求的准入要求的具体规定。因此判定项目符合生态环境准入清单的要求。本项目与单元管控要求的符合性分析见下表1-</w:t>
            </w:r>
            <w:r>
              <w:rPr>
                <w:rFonts w:hint="eastAsia" w:ascii="宋体" w:hAnsi="宋体" w:cs="宋体"/>
                <w:color w:val="auto"/>
                <w:sz w:val="24"/>
                <w:szCs w:val="24"/>
                <w:lang w:val="en-US" w:eastAsia="zh-CN"/>
              </w:rPr>
              <w:t>2</w:t>
            </w:r>
            <w:r>
              <w:rPr>
                <w:rFonts w:hint="eastAsia" w:ascii="宋体" w:hAnsi="宋体" w:eastAsia="宋体" w:cs="宋体"/>
                <w:color w:val="auto"/>
                <w:sz w:val="24"/>
                <w:szCs w:val="24"/>
                <w:lang w:val="en-US" w:eastAsia="zh-CN"/>
              </w:rPr>
              <w:t>。</w:t>
            </w:r>
          </w:p>
          <w:p w14:paraId="0CBA605A">
            <w:pPr>
              <w:pStyle w:val="16"/>
              <w:keepNext w:val="0"/>
              <w:keepLines w:val="0"/>
              <w:pageBreakBefore w:val="0"/>
              <w:widowControl/>
              <w:kinsoku/>
              <w:wordWrap/>
              <w:overflowPunct/>
              <w:topLinePunct w:val="0"/>
              <w:autoSpaceDE/>
              <w:autoSpaceDN/>
              <w:bidi w:val="0"/>
              <w:adjustRightInd/>
              <w:snapToGrid/>
              <w:spacing w:line="480" w:lineRule="exact"/>
              <w:textAlignment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表1-</w:t>
            </w:r>
            <w:r>
              <w:rPr>
                <w:rFonts w:hint="eastAsia"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 xml:space="preserve">  本项目与单元管控要求的符合性分析表</w:t>
            </w:r>
          </w:p>
          <w:tbl>
            <w:tblPr>
              <w:tblStyle w:val="11"/>
              <w:tblW w:w="689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7"/>
              <w:gridCol w:w="2742"/>
              <w:gridCol w:w="2659"/>
              <w:gridCol w:w="970"/>
            </w:tblGrid>
            <w:tr w14:paraId="777599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2" w:hRule="atLeast"/>
              </w:trPr>
              <w:tc>
                <w:tcPr>
                  <w:tcW w:w="3269" w:type="dxa"/>
                  <w:gridSpan w:val="2"/>
                  <w:tcBorders>
                    <w:tl2br w:val="nil"/>
                    <w:tr2bl w:val="nil"/>
                  </w:tcBorders>
                  <w:noWrap w:val="0"/>
                  <w:vAlign w:val="center"/>
                </w:tcPr>
                <w:p w14:paraId="61E12256">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管控要求</w:t>
                  </w:r>
                </w:p>
              </w:tc>
              <w:tc>
                <w:tcPr>
                  <w:tcW w:w="2659" w:type="dxa"/>
                  <w:tcBorders>
                    <w:tl2br w:val="nil"/>
                    <w:tr2bl w:val="nil"/>
                  </w:tcBorders>
                  <w:noWrap w:val="0"/>
                  <w:vAlign w:val="center"/>
                </w:tcPr>
                <w:p w14:paraId="2C07DFAF">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本项目</w:t>
                  </w:r>
                </w:p>
              </w:tc>
              <w:tc>
                <w:tcPr>
                  <w:tcW w:w="970" w:type="dxa"/>
                  <w:tcBorders>
                    <w:tl2br w:val="nil"/>
                    <w:tr2bl w:val="nil"/>
                  </w:tcBorders>
                  <w:noWrap w:val="0"/>
                  <w:vAlign w:val="center"/>
                </w:tcPr>
                <w:p w14:paraId="3CAD8A9C">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符合性</w:t>
                  </w:r>
                </w:p>
              </w:tc>
            </w:tr>
            <w:tr w14:paraId="292A8D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527" w:type="dxa"/>
                  <w:vMerge w:val="restart"/>
                  <w:tcBorders>
                    <w:tl2br w:val="nil"/>
                    <w:tr2bl w:val="nil"/>
                  </w:tcBorders>
                  <w:noWrap w:val="0"/>
                  <w:vAlign w:val="center"/>
                </w:tcPr>
                <w:p w14:paraId="6AD5E14D">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空间布局约束</w:t>
                  </w:r>
                </w:p>
              </w:tc>
              <w:tc>
                <w:tcPr>
                  <w:tcW w:w="2742" w:type="dxa"/>
                  <w:tcBorders>
                    <w:tl2br w:val="nil"/>
                    <w:tr2bl w:val="nil"/>
                  </w:tcBorders>
                  <w:noWrap w:val="0"/>
                  <w:vAlign w:val="center"/>
                </w:tcPr>
                <w:p w14:paraId="06CF6520">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1.禁止不符合园区产业定位及规划环评等要求的项目入园；国家明令淘汰的落后产能和不符合国家产业政策的项目，禁止向工业园区转移。</w:t>
                  </w:r>
                </w:p>
              </w:tc>
              <w:tc>
                <w:tcPr>
                  <w:tcW w:w="2659" w:type="dxa"/>
                  <w:vMerge w:val="restart"/>
                  <w:tcBorders>
                    <w:tl2br w:val="nil"/>
                    <w:tr2bl w:val="nil"/>
                  </w:tcBorders>
                  <w:noWrap w:val="0"/>
                  <w:vAlign w:val="center"/>
                </w:tcPr>
                <w:p w14:paraId="6232A744">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default" w:ascii="宋体" w:hAnsi="宋体" w:eastAsia="宋体" w:cs="宋体"/>
                      <w:color w:val="auto"/>
                      <w:kern w:val="0"/>
                      <w:sz w:val="21"/>
                      <w:szCs w:val="21"/>
                      <w:lang w:val="en-US" w:eastAsia="zh-CN"/>
                    </w:rPr>
                    <w:t>本项目</w:t>
                  </w:r>
                  <w:r>
                    <w:rPr>
                      <w:rFonts w:hint="eastAsia" w:ascii="宋体" w:hAnsi="宋体" w:cs="宋体"/>
                      <w:color w:val="auto"/>
                      <w:kern w:val="0"/>
                      <w:sz w:val="21"/>
                      <w:szCs w:val="21"/>
                      <w:lang w:val="en-US" w:eastAsia="zh-CN"/>
                    </w:rPr>
                    <w:t>为</w:t>
                  </w:r>
                  <w:r>
                    <w:rPr>
                      <w:rFonts w:hint="default" w:ascii="宋体" w:hAnsi="宋体" w:eastAsia="宋体" w:cs="宋体"/>
                      <w:color w:val="auto"/>
                      <w:kern w:val="0"/>
                      <w:sz w:val="21"/>
                      <w:szCs w:val="21"/>
                      <w:lang w:val="en-US" w:eastAsia="zh-CN"/>
                    </w:rPr>
                    <w:t>利用粉煤灰生产聚合氯化铝技改扩建项目固体聚合氯化铝生产线喷雾干燥塔热源技改项目，</w:t>
                  </w:r>
                  <w:r>
                    <w:rPr>
                      <w:rFonts w:hint="eastAsia" w:ascii="宋体" w:hAnsi="宋体" w:cs="宋体"/>
                      <w:color w:val="auto"/>
                      <w:kern w:val="0"/>
                      <w:sz w:val="21"/>
                      <w:szCs w:val="21"/>
                      <w:lang w:val="en-US" w:eastAsia="zh-CN"/>
                    </w:rPr>
                    <w:t>只改变了喷雾干燥塔的热源，不改变产品及产能，本项目任属于</w:t>
                  </w:r>
                  <w:r>
                    <w:rPr>
                      <w:rFonts w:hint="default" w:ascii="宋体" w:hAnsi="宋体" w:eastAsia="宋体" w:cs="宋体"/>
                      <w:color w:val="auto"/>
                      <w:sz w:val="21"/>
                      <w:szCs w:val="21"/>
                      <w:lang w:val="en-US" w:eastAsia="zh-CN"/>
                    </w:rPr>
                    <w:t>新材料、环保产业项目</w:t>
                  </w:r>
                  <w:r>
                    <w:rPr>
                      <w:rFonts w:hint="eastAsia" w:ascii="宋体" w:hAnsi="宋体" w:eastAsia="宋体" w:cs="宋体"/>
                      <w:color w:val="auto"/>
                      <w:sz w:val="21"/>
                      <w:szCs w:val="21"/>
                      <w:lang w:val="en-US" w:eastAsia="zh-CN"/>
                    </w:rPr>
                    <w:t>符合园区入园要求，不属于</w:t>
                  </w:r>
                  <w:r>
                    <w:rPr>
                      <w:rFonts w:hint="default" w:ascii="Times New Roman" w:hAnsi="Times New Roman" w:cs="Times New Roman"/>
                      <w:b w:val="0"/>
                      <w:bCs/>
                      <w:color w:val="auto"/>
                      <w:sz w:val="21"/>
                      <w:szCs w:val="21"/>
                      <w:highlight w:val="none"/>
                      <w:lang w:val="en-US" w:eastAsia="zh-CN"/>
                    </w:rPr>
                    <w:t>国家明令淘汰的落后产能和不符合国家产业政策的项目</w:t>
                  </w:r>
                  <w:r>
                    <w:rPr>
                      <w:rFonts w:hint="eastAsia" w:ascii="Times New Roman" w:hAnsi="Times New Roman" w:cs="Times New Roman"/>
                      <w:b w:val="0"/>
                      <w:bCs/>
                      <w:color w:val="auto"/>
                      <w:sz w:val="21"/>
                      <w:szCs w:val="21"/>
                      <w:highlight w:val="none"/>
                      <w:lang w:val="en-US" w:eastAsia="zh-CN"/>
                    </w:rPr>
                    <w:t>；符合园区产业定位及清洁生产水平要求；不属于</w:t>
                  </w:r>
                  <w:r>
                    <w:rPr>
                      <w:rFonts w:hint="default" w:ascii="Times New Roman" w:hAnsi="Times New Roman" w:cs="Times New Roman"/>
                      <w:b w:val="0"/>
                      <w:bCs/>
                      <w:color w:val="auto"/>
                      <w:sz w:val="21"/>
                      <w:szCs w:val="21"/>
                      <w:highlight w:val="none"/>
                      <w:lang w:val="en-US" w:eastAsia="zh-CN"/>
                    </w:rPr>
                    <w:t>焦化、钢铁、电解铝、水泥、电石、PVC、铁合金、平板玻璃等行业</w:t>
                  </w:r>
                  <w:r>
                    <w:rPr>
                      <w:rFonts w:hint="eastAsia" w:ascii="Times New Roman" w:hAnsi="Times New Roman" w:cs="Times New Roman"/>
                      <w:b w:val="0"/>
                      <w:bCs/>
                      <w:color w:val="auto"/>
                      <w:sz w:val="21"/>
                      <w:szCs w:val="21"/>
                      <w:highlight w:val="none"/>
                      <w:lang w:val="en-US" w:eastAsia="zh-CN"/>
                    </w:rPr>
                    <w:t>，且本项目不新增产能。</w:t>
                  </w:r>
                </w:p>
              </w:tc>
              <w:tc>
                <w:tcPr>
                  <w:tcW w:w="970" w:type="dxa"/>
                  <w:vMerge w:val="restart"/>
                  <w:tcBorders>
                    <w:tl2br w:val="nil"/>
                    <w:tr2bl w:val="nil"/>
                  </w:tcBorders>
                  <w:noWrap w:val="0"/>
                  <w:vAlign w:val="center"/>
                </w:tcPr>
                <w:p w14:paraId="275FCD5B">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符合</w:t>
                  </w:r>
                </w:p>
              </w:tc>
            </w:tr>
            <w:tr w14:paraId="582EE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7" w:type="dxa"/>
                  <w:vMerge w:val="continue"/>
                  <w:tcBorders>
                    <w:tl2br w:val="nil"/>
                    <w:tr2bl w:val="nil"/>
                  </w:tcBorders>
                  <w:noWrap w:val="0"/>
                  <w:vAlign w:val="center"/>
                </w:tcPr>
                <w:p w14:paraId="563A6E62">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c>
                <w:tcPr>
                  <w:tcW w:w="2742" w:type="dxa"/>
                  <w:tcBorders>
                    <w:tl2br w:val="nil"/>
                    <w:tr2bl w:val="nil"/>
                  </w:tcBorders>
                  <w:noWrap w:val="0"/>
                  <w:vAlign w:val="center"/>
                </w:tcPr>
                <w:p w14:paraId="71D43CB4">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2. 入园项目禁止不符合园区产业定位及清洁生产水平要求。</w:t>
                  </w:r>
                </w:p>
              </w:tc>
              <w:tc>
                <w:tcPr>
                  <w:tcW w:w="2659" w:type="dxa"/>
                  <w:vMerge w:val="continue"/>
                  <w:tcBorders>
                    <w:tl2br w:val="nil"/>
                    <w:tr2bl w:val="nil"/>
                  </w:tcBorders>
                  <w:noWrap w:val="0"/>
                  <w:vAlign w:val="center"/>
                </w:tcPr>
                <w:p w14:paraId="3CB5111B">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p>
              </w:tc>
              <w:tc>
                <w:tcPr>
                  <w:tcW w:w="970" w:type="dxa"/>
                  <w:vMerge w:val="continue"/>
                  <w:tcBorders>
                    <w:tl2br w:val="nil"/>
                    <w:tr2bl w:val="nil"/>
                  </w:tcBorders>
                  <w:noWrap w:val="0"/>
                  <w:vAlign w:val="center"/>
                </w:tcPr>
                <w:p w14:paraId="146967A9">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p>
              </w:tc>
            </w:tr>
            <w:tr w14:paraId="59F64C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7" w:type="dxa"/>
                  <w:vMerge w:val="continue"/>
                  <w:tcBorders>
                    <w:tl2br w:val="nil"/>
                    <w:tr2bl w:val="nil"/>
                  </w:tcBorders>
                  <w:noWrap w:val="0"/>
                  <w:vAlign w:val="center"/>
                </w:tcPr>
                <w:p w14:paraId="5C1FCABC">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c>
                <w:tcPr>
                  <w:tcW w:w="2742" w:type="dxa"/>
                  <w:tcBorders>
                    <w:tl2br w:val="nil"/>
                    <w:tr2bl w:val="nil"/>
                  </w:tcBorders>
                  <w:noWrap w:val="0"/>
                  <w:vAlign w:val="center"/>
                </w:tcPr>
                <w:p w14:paraId="6FAA2DCA">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3. 严格控制焦化、钢铁、电解铝、水泥、电石、PVC、铁合金、平板玻璃等行业新增产能，确需必要建设的，须在区内实施产能置换。</w:t>
                  </w:r>
                </w:p>
              </w:tc>
              <w:tc>
                <w:tcPr>
                  <w:tcW w:w="2659" w:type="dxa"/>
                  <w:vMerge w:val="continue"/>
                  <w:tcBorders>
                    <w:tl2br w:val="nil"/>
                    <w:tr2bl w:val="nil"/>
                  </w:tcBorders>
                  <w:noWrap w:val="0"/>
                  <w:vAlign w:val="center"/>
                </w:tcPr>
                <w:p w14:paraId="75625A57">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p>
              </w:tc>
              <w:tc>
                <w:tcPr>
                  <w:tcW w:w="970" w:type="dxa"/>
                  <w:vMerge w:val="continue"/>
                  <w:tcBorders>
                    <w:tl2br w:val="nil"/>
                    <w:tr2bl w:val="nil"/>
                  </w:tcBorders>
                  <w:noWrap w:val="0"/>
                  <w:vAlign w:val="center"/>
                </w:tcPr>
                <w:p w14:paraId="5A878DCD">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p>
              </w:tc>
            </w:tr>
            <w:tr w14:paraId="2C6C3E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7" w:type="dxa"/>
                  <w:vMerge w:val="continue"/>
                  <w:tcBorders>
                    <w:tl2br w:val="nil"/>
                    <w:tr2bl w:val="nil"/>
                  </w:tcBorders>
                  <w:noWrap w:val="0"/>
                  <w:vAlign w:val="center"/>
                </w:tcPr>
                <w:p w14:paraId="12FA73A6">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c>
                <w:tcPr>
                  <w:tcW w:w="2742" w:type="dxa"/>
                  <w:tcBorders>
                    <w:tl2br w:val="nil"/>
                    <w:tr2bl w:val="nil"/>
                  </w:tcBorders>
                  <w:noWrap w:val="0"/>
                  <w:vAlign w:val="center"/>
                </w:tcPr>
                <w:p w14:paraId="33206D1D">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4.园区发展大道以西禁止布设 PVC 产业，主要发展物流等服务产业。</w:t>
                  </w:r>
                </w:p>
              </w:tc>
              <w:tc>
                <w:tcPr>
                  <w:tcW w:w="2659" w:type="dxa"/>
                  <w:vMerge w:val="continue"/>
                  <w:tcBorders>
                    <w:tl2br w:val="nil"/>
                    <w:tr2bl w:val="nil"/>
                  </w:tcBorders>
                  <w:noWrap w:val="0"/>
                  <w:vAlign w:val="center"/>
                </w:tcPr>
                <w:p w14:paraId="3E2D837C">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b w:val="0"/>
                      <w:bCs/>
                      <w:color w:val="auto"/>
                      <w:sz w:val="21"/>
                      <w:szCs w:val="21"/>
                      <w:highlight w:val="none"/>
                      <w:lang w:val="en-US" w:eastAsia="zh-CN"/>
                    </w:rPr>
                  </w:pPr>
                </w:p>
              </w:tc>
              <w:tc>
                <w:tcPr>
                  <w:tcW w:w="970" w:type="dxa"/>
                  <w:vMerge w:val="continue"/>
                  <w:tcBorders>
                    <w:tl2br w:val="nil"/>
                    <w:tr2bl w:val="nil"/>
                  </w:tcBorders>
                  <w:noWrap w:val="0"/>
                  <w:vAlign w:val="center"/>
                </w:tcPr>
                <w:p w14:paraId="126E617F">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p>
              </w:tc>
            </w:tr>
            <w:tr w14:paraId="451CFB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7" w:type="dxa"/>
                  <w:vMerge w:val="continue"/>
                  <w:tcBorders>
                    <w:tl2br w:val="nil"/>
                    <w:tr2bl w:val="nil"/>
                  </w:tcBorders>
                  <w:noWrap w:val="0"/>
                  <w:vAlign w:val="center"/>
                </w:tcPr>
                <w:p w14:paraId="7D2331B5">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c>
                <w:tcPr>
                  <w:tcW w:w="2742" w:type="dxa"/>
                  <w:tcBorders>
                    <w:tl2br w:val="nil"/>
                    <w:tr2bl w:val="nil"/>
                  </w:tcBorders>
                  <w:noWrap w:val="0"/>
                  <w:vAlign w:val="center"/>
                </w:tcPr>
                <w:p w14:paraId="79BB0BE0">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5. 建设园区隔离带、绿化防护带</w:t>
                  </w:r>
                  <w:r>
                    <w:rPr>
                      <w:rFonts w:hint="eastAsia" w:ascii="Times New Roman" w:hAnsi="Times New Roman" w:cs="Times New Roman"/>
                      <w:b w:val="0"/>
                      <w:bCs/>
                      <w:color w:val="auto"/>
                      <w:sz w:val="21"/>
                      <w:szCs w:val="21"/>
                      <w:highlight w:val="none"/>
                      <w:lang w:val="en-US" w:eastAsia="zh-CN"/>
                    </w:rPr>
                    <w:t>。</w:t>
                  </w:r>
                </w:p>
              </w:tc>
              <w:tc>
                <w:tcPr>
                  <w:tcW w:w="2659" w:type="dxa"/>
                  <w:tcBorders>
                    <w:tl2br w:val="nil"/>
                    <w:tr2bl w:val="nil"/>
                  </w:tcBorders>
                  <w:noWrap w:val="0"/>
                  <w:vAlign w:val="center"/>
                </w:tcPr>
                <w:p w14:paraId="7E99EEB7">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本项目在原有厂区内建设，不新增占地。</w:t>
                  </w:r>
                </w:p>
              </w:tc>
              <w:tc>
                <w:tcPr>
                  <w:tcW w:w="970" w:type="dxa"/>
                  <w:vMerge w:val="continue"/>
                  <w:tcBorders>
                    <w:tl2br w:val="nil"/>
                    <w:tr2bl w:val="nil"/>
                  </w:tcBorders>
                  <w:noWrap w:val="0"/>
                  <w:vAlign w:val="center"/>
                </w:tcPr>
                <w:p w14:paraId="400F15A5">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p>
              </w:tc>
            </w:tr>
            <w:tr w14:paraId="721C37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7" w:type="dxa"/>
                  <w:vMerge w:val="continue"/>
                  <w:tcBorders>
                    <w:tl2br w:val="nil"/>
                    <w:tr2bl w:val="nil"/>
                  </w:tcBorders>
                  <w:noWrap w:val="0"/>
                  <w:vAlign w:val="center"/>
                </w:tcPr>
                <w:p w14:paraId="5B16BDE4">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c>
                <w:tcPr>
                  <w:tcW w:w="2742" w:type="dxa"/>
                  <w:tcBorders>
                    <w:tl2br w:val="nil"/>
                    <w:tr2bl w:val="nil"/>
                  </w:tcBorders>
                  <w:noWrap w:val="0"/>
                  <w:vAlign w:val="center"/>
                </w:tcPr>
                <w:p w14:paraId="512D42B9">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6.禁止建设违反《关于汞的水俣公约》相关规定的项目。</w:t>
                  </w:r>
                </w:p>
              </w:tc>
              <w:tc>
                <w:tcPr>
                  <w:tcW w:w="2659" w:type="dxa"/>
                  <w:tcBorders>
                    <w:tl2br w:val="nil"/>
                    <w:tr2bl w:val="nil"/>
                  </w:tcBorders>
                  <w:noWrap w:val="0"/>
                  <w:vAlign w:val="center"/>
                </w:tcPr>
                <w:p w14:paraId="7B6B8C0E">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本项目不涉及汞污染，不违反《关于汞的水俣公约》相关规定。</w:t>
                  </w:r>
                </w:p>
              </w:tc>
              <w:tc>
                <w:tcPr>
                  <w:tcW w:w="970" w:type="dxa"/>
                  <w:vMerge w:val="continue"/>
                  <w:tcBorders>
                    <w:tl2br w:val="nil"/>
                    <w:tr2bl w:val="nil"/>
                  </w:tcBorders>
                  <w:noWrap w:val="0"/>
                  <w:vAlign w:val="center"/>
                </w:tcPr>
                <w:p w14:paraId="47B4D5F7">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p>
              </w:tc>
            </w:tr>
            <w:tr w14:paraId="6891E5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7" w:type="dxa"/>
                  <w:vMerge w:val="restart"/>
                  <w:tcBorders>
                    <w:tl2br w:val="nil"/>
                    <w:tr2bl w:val="nil"/>
                  </w:tcBorders>
                  <w:noWrap w:val="0"/>
                  <w:vAlign w:val="center"/>
                </w:tcPr>
                <w:p w14:paraId="30069013">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污 染</w:t>
                  </w:r>
                </w:p>
                <w:p w14:paraId="13DACB15">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物 排</w:t>
                  </w:r>
                </w:p>
                <w:p w14:paraId="42CA8529">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放 管</w:t>
                  </w:r>
                </w:p>
                <w:p w14:paraId="161438B6">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控</w:t>
                  </w:r>
                </w:p>
              </w:tc>
              <w:tc>
                <w:tcPr>
                  <w:tcW w:w="2742" w:type="dxa"/>
                  <w:tcBorders>
                    <w:tl2br w:val="nil"/>
                    <w:tr2bl w:val="nil"/>
                  </w:tcBorders>
                  <w:noWrap w:val="0"/>
                  <w:vAlign w:val="center"/>
                </w:tcPr>
                <w:p w14:paraId="2226CCF4">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1.逐步淘汰10蒸吨/小时以下燃煤锅炉，禁止新建35蒸吨/小时以下燃煤锅炉。</w:t>
                  </w:r>
                </w:p>
              </w:tc>
              <w:tc>
                <w:tcPr>
                  <w:tcW w:w="2659" w:type="dxa"/>
                  <w:tcBorders>
                    <w:tl2br w:val="nil"/>
                    <w:tr2bl w:val="nil"/>
                  </w:tcBorders>
                  <w:noWrap w:val="0"/>
                  <w:vAlign w:val="center"/>
                </w:tcPr>
                <w:p w14:paraId="59E3BB9C">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color w:val="auto"/>
                      <w:sz w:val="21"/>
                      <w:szCs w:val="21"/>
                      <w:lang w:val="en-US" w:eastAsia="zh-CN"/>
                    </w:rPr>
                    <w:t>本项目主要技改内容为新建一台MBZ500万大卡高洁净直接式燃煤热风炉</w:t>
                  </w:r>
                  <w:r>
                    <w:rPr>
                      <w:rFonts w:hint="eastAsia" w:cs="Times New Roman"/>
                      <w:color w:val="auto"/>
                      <w:sz w:val="21"/>
                      <w:szCs w:val="21"/>
                      <w:lang w:val="en-US" w:eastAsia="zh-CN"/>
                    </w:rPr>
                    <w:t>，为工业炉窑</w:t>
                  </w:r>
                  <w:r>
                    <w:rPr>
                      <w:rFonts w:hint="eastAsia" w:ascii="Times New Roman" w:hAnsi="Times New Roman" w:cs="Times New Roman"/>
                      <w:color w:val="auto"/>
                      <w:sz w:val="21"/>
                      <w:szCs w:val="21"/>
                      <w:lang w:val="en-US" w:eastAsia="zh-CN"/>
                    </w:rPr>
                    <w:t>，保留原有的焦煤燃气热风炉，作为备用热源，不属于</w:t>
                  </w:r>
                  <w:r>
                    <w:rPr>
                      <w:rFonts w:hint="default" w:ascii="Times New Roman" w:hAnsi="Times New Roman" w:cs="Times New Roman"/>
                      <w:b w:val="0"/>
                      <w:bCs/>
                      <w:color w:val="auto"/>
                      <w:sz w:val="21"/>
                      <w:szCs w:val="21"/>
                      <w:highlight w:val="none"/>
                      <w:lang w:val="en-US" w:eastAsia="zh-CN"/>
                    </w:rPr>
                    <w:t>锅炉</w:t>
                  </w:r>
                  <w:r>
                    <w:rPr>
                      <w:rFonts w:hint="eastAsia" w:ascii="Times New Roman" w:hAnsi="Times New Roman" w:cs="Times New Roman"/>
                      <w:b w:val="0"/>
                      <w:bCs/>
                      <w:color w:val="auto"/>
                      <w:sz w:val="21"/>
                      <w:szCs w:val="21"/>
                      <w:highlight w:val="none"/>
                      <w:lang w:val="en-US" w:eastAsia="zh-CN"/>
                    </w:rPr>
                    <w:t>。</w:t>
                  </w:r>
                </w:p>
              </w:tc>
              <w:tc>
                <w:tcPr>
                  <w:tcW w:w="970" w:type="dxa"/>
                  <w:vMerge w:val="restart"/>
                  <w:tcBorders>
                    <w:tl2br w:val="nil"/>
                    <w:tr2bl w:val="nil"/>
                  </w:tcBorders>
                  <w:noWrap w:val="0"/>
                  <w:vAlign w:val="center"/>
                </w:tcPr>
                <w:p w14:paraId="7EF10D2D">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符合</w:t>
                  </w:r>
                </w:p>
              </w:tc>
            </w:tr>
            <w:tr w14:paraId="139CC3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527" w:type="dxa"/>
                  <w:vMerge w:val="continue"/>
                  <w:tcBorders>
                    <w:tl2br w:val="nil"/>
                    <w:tr2bl w:val="nil"/>
                  </w:tcBorders>
                  <w:noWrap w:val="0"/>
                  <w:vAlign w:val="center"/>
                </w:tcPr>
                <w:p w14:paraId="5DCDCC4D">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c>
                <w:tcPr>
                  <w:tcW w:w="2742" w:type="dxa"/>
                  <w:tcBorders>
                    <w:tl2br w:val="nil"/>
                    <w:tr2bl w:val="nil"/>
                  </w:tcBorders>
                  <w:noWrap w:val="0"/>
                  <w:vAlign w:val="center"/>
                </w:tcPr>
                <w:p w14:paraId="4D5E0566">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2. 燃煤发电机组执行大气污染物超低排放限值；钢铁、水泥、焦化、电石、铁合金行业执行大气污染物特别排放限值。</w:t>
                  </w:r>
                </w:p>
              </w:tc>
              <w:tc>
                <w:tcPr>
                  <w:tcW w:w="2659" w:type="dxa"/>
                  <w:tcBorders>
                    <w:tl2br w:val="nil"/>
                    <w:tr2bl w:val="nil"/>
                  </w:tcBorders>
                  <w:noWrap w:val="0"/>
                  <w:vAlign w:val="center"/>
                </w:tcPr>
                <w:p w14:paraId="0DEC426C">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不涉及燃煤发电机组。</w:t>
                  </w:r>
                  <w:r>
                    <w:rPr>
                      <w:rFonts w:hint="eastAsia" w:cs="Times New Roman"/>
                      <w:b w:val="0"/>
                      <w:bCs/>
                      <w:color w:val="auto"/>
                      <w:sz w:val="21"/>
                      <w:szCs w:val="21"/>
                      <w:highlight w:val="none"/>
                      <w:lang w:val="en-US" w:eastAsia="zh-CN"/>
                    </w:rPr>
                    <w:t>本项目废气排放</w:t>
                  </w:r>
                  <w:r>
                    <w:rPr>
                      <w:rFonts w:hint="default" w:ascii="Times New Roman" w:hAnsi="Times New Roman" w:cs="Times New Roman"/>
                      <w:b w:val="0"/>
                      <w:bCs/>
                      <w:color w:val="auto"/>
                      <w:sz w:val="21"/>
                      <w:szCs w:val="21"/>
                      <w:highlight w:val="none"/>
                      <w:lang w:val="en-US" w:eastAsia="zh-CN"/>
                    </w:rPr>
                    <w:t>执行大气污染物特别排放限值。</w:t>
                  </w:r>
                </w:p>
              </w:tc>
              <w:tc>
                <w:tcPr>
                  <w:tcW w:w="970" w:type="dxa"/>
                  <w:vMerge w:val="continue"/>
                  <w:tcBorders>
                    <w:tl2br w:val="nil"/>
                    <w:tr2bl w:val="nil"/>
                  </w:tcBorders>
                  <w:noWrap w:val="0"/>
                  <w:vAlign w:val="center"/>
                </w:tcPr>
                <w:p w14:paraId="6ED86F88">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p>
              </w:tc>
            </w:tr>
            <w:tr w14:paraId="575D6D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527" w:type="dxa"/>
                  <w:vMerge w:val="continue"/>
                  <w:tcBorders>
                    <w:tl2br w:val="nil"/>
                    <w:tr2bl w:val="nil"/>
                  </w:tcBorders>
                  <w:noWrap w:val="0"/>
                  <w:vAlign w:val="center"/>
                </w:tcPr>
                <w:p w14:paraId="58CA2E77">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rPr>
                  </w:pPr>
                </w:p>
              </w:tc>
              <w:tc>
                <w:tcPr>
                  <w:tcW w:w="2742" w:type="dxa"/>
                  <w:tcBorders>
                    <w:tl2br w:val="nil"/>
                    <w:tr2bl w:val="nil"/>
                  </w:tcBorders>
                  <w:noWrap w:val="0"/>
                  <w:vAlign w:val="center"/>
                </w:tcPr>
                <w:p w14:paraId="0CE4DFAA">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3.新、改、扩建十大行业建设项目按照生态环境部有关规划落实主要涉水污染物等量或减量置换。</w:t>
                  </w:r>
                </w:p>
              </w:tc>
              <w:tc>
                <w:tcPr>
                  <w:tcW w:w="2659" w:type="dxa"/>
                  <w:tcBorders>
                    <w:tl2br w:val="nil"/>
                    <w:tr2bl w:val="nil"/>
                  </w:tcBorders>
                  <w:noWrap w:val="0"/>
                  <w:vAlign w:val="center"/>
                </w:tcPr>
                <w:p w14:paraId="3F096D3B">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本</w:t>
                  </w:r>
                  <w:r>
                    <w:rPr>
                      <w:rFonts w:hint="eastAsia" w:ascii="Times New Roman" w:hAnsi="Times New Roman" w:cs="Times New Roman"/>
                      <w:b w:val="0"/>
                      <w:bCs/>
                      <w:color w:val="auto"/>
                      <w:sz w:val="21"/>
                      <w:szCs w:val="21"/>
                      <w:highlight w:val="none"/>
                      <w:lang w:val="en-US" w:eastAsia="zh-CN"/>
                    </w:rPr>
                    <w:t>项目废水回用，不外排。</w:t>
                  </w:r>
                </w:p>
              </w:tc>
              <w:tc>
                <w:tcPr>
                  <w:tcW w:w="970" w:type="dxa"/>
                  <w:vMerge w:val="continue"/>
                  <w:tcBorders>
                    <w:tl2br w:val="nil"/>
                    <w:tr2bl w:val="nil"/>
                  </w:tcBorders>
                  <w:noWrap w:val="0"/>
                  <w:vAlign w:val="center"/>
                </w:tcPr>
                <w:p w14:paraId="015E2DF2">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p>
              </w:tc>
            </w:tr>
            <w:tr w14:paraId="028757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527" w:type="dxa"/>
                  <w:vMerge w:val="continue"/>
                  <w:tcBorders>
                    <w:tl2br w:val="nil"/>
                    <w:tr2bl w:val="nil"/>
                  </w:tcBorders>
                  <w:noWrap w:val="0"/>
                  <w:vAlign w:val="center"/>
                </w:tcPr>
                <w:p w14:paraId="7EE7B7E1">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rPr>
                  </w:pPr>
                </w:p>
              </w:tc>
              <w:tc>
                <w:tcPr>
                  <w:tcW w:w="2742" w:type="dxa"/>
                  <w:tcBorders>
                    <w:tl2br w:val="nil"/>
                    <w:tr2bl w:val="nil"/>
                  </w:tcBorders>
                  <w:noWrap w:val="0"/>
                  <w:vAlign w:val="center"/>
                </w:tcPr>
                <w:p w14:paraId="72DE90F3">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4.化工、石化、包装印刷、工业涂装等企业应尽快实施技术升级改造，减少挥发性有机污染物（VOCs）的泄漏排放。</w:t>
                  </w:r>
                </w:p>
              </w:tc>
              <w:tc>
                <w:tcPr>
                  <w:tcW w:w="2659" w:type="dxa"/>
                  <w:tcBorders>
                    <w:tl2br w:val="nil"/>
                    <w:tr2bl w:val="nil"/>
                  </w:tcBorders>
                  <w:noWrap w:val="0"/>
                  <w:vAlign w:val="center"/>
                </w:tcPr>
                <w:p w14:paraId="190CB96C">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不涉及挥发性有机污染物（VOC</w:t>
                  </w:r>
                  <w:r>
                    <w:rPr>
                      <w:rFonts w:hint="default" w:ascii="Times New Roman" w:hAnsi="Times New Roman" w:cs="Times New Roman"/>
                      <w:b w:val="0"/>
                      <w:bCs/>
                      <w:color w:val="auto"/>
                      <w:sz w:val="21"/>
                      <w:szCs w:val="21"/>
                      <w:highlight w:val="none"/>
                      <w:vertAlign w:val="subscript"/>
                      <w:lang w:val="en-US" w:eastAsia="zh-CN"/>
                    </w:rPr>
                    <w:t>S</w:t>
                  </w:r>
                  <w:r>
                    <w:rPr>
                      <w:rFonts w:hint="default" w:ascii="Times New Roman" w:hAnsi="Times New Roman" w:cs="Times New Roman"/>
                      <w:b w:val="0"/>
                      <w:bCs/>
                      <w:color w:val="auto"/>
                      <w:sz w:val="21"/>
                      <w:szCs w:val="21"/>
                      <w:highlight w:val="none"/>
                      <w:lang w:val="en-US" w:eastAsia="zh-CN"/>
                    </w:rPr>
                    <w:t>）的泄漏排放。</w:t>
                  </w:r>
                </w:p>
              </w:tc>
              <w:tc>
                <w:tcPr>
                  <w:tcW w:w="970" w:type="dxa"/>
                  <w:vMerge w:val="continue"/>
                  <w:tcBorders>
                    <w:tl2br w:val="nil"/>
                    <w:tr2bl w:val="nil"/>
                  </w:tcBorders>
                  <w:noWrap w:val="0"/>
                  <w:vAlign w:val="center"/>
                </w:tcPr>
                <w:p w14:paraId="29B2265D">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p>
              </w:tc>
            </w:tr>
            <w:tr w14:paraId="34AED5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527" w:type="dxa"/>
                  <w:vMerge w:val="continue"/>
                  <w:tcBorders>
                    <w:tl2br w:val="nil"/>
                    <w:tr2bl w:val="nil"/>
                  </w:tcBorders>
                  <w:noWrap w:val="0"/>
                  <w:vAlign w:val="center"/>
                </w:tcPr>
                <w:p w14:paraId="719C6E0B">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rPr>
                  </w:pPr>
                </w:p>
              </w:tc>
              <w:tc>
                <w:tcPr>
                  <w:tcW w:w="2742" w:type="dxa"/>
                  <w:tcBorders>
                    <w:tl2br w:val="nil"/>
                    <w:tr2bl w:val="nil"/>
                  </w:tcBorders>
                  <w:noWrap w:val="0"/>
                  <w:vAlign w:val="center"/>
                </w:tcPr>
                <w:p w14:paraId="67BAB473">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5.重点行业粉状物料堆场实现全封闭，块状物料安装抑尘设施。</w:t>
                  </w:r>
                </w:p>
              </w:tc>
              <w:tc>
                <w:tcPr>
                  <w:tcW w:w="2659" w:type="dxa"/>
                  <w:tcBorders>
                    <w:tl2br w:val="nil"/>
                    <w:tr2bl w:val="nil"/>
                  </w:tcBorders>
                  <w:noWrap w:val="0"/>
                  <w:vAlign w:val="center"/>
                </w:tcPr>
                <w:p w14:paraId="3F279299">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本项目燃</w:t>
                  </w:r>
                  <w:r>
                    <w:rPr>
                      <w:rFonts w:hint="eastAsia" w:cs="Times New Roman"/>
                      <w:b w:val="0"/>
                      <w:bCs/>
                      <w:color w:val="auto"/>
                      <w:sz w:val="21"/>
                      <w:szCs w:val="21"/>
                      <w:highlight w:val="none"/>
                      <w:lang w:val="en-US" w:eastAsia="zh-CN"/>
                    </w:rPr>
                    <w:t>料</w:t>
                  </w:r>
                  <w:r>
                    <w:rPr>
                      <w:rFonts w:hint="eastAsia" w:ascii="Times New Roman" w:hAnsi="Times New Roman" w:cs="Times New Roman"/>
                      <w:b w:val="0"/>
                      <w:bCs/>
                      <w:color w:val="auto"/>
                      <w:sz w:val="21"/>
                      <w:szCs w:val="21"/>
                      <w:highlight w:val="none"/>
                      <w:lang w:val="en-US" w:eastAsia="zh-CN"/>
                    </w:rPr>
                    <w:t>煤、灰渣储存于全封闭储棚内。</w:t>
                  </w:r>
                </w:p>
              </w:tc>
              <w:tc>
                <w:tcPr>
                  <w:tcW w:w="970" w:type="dxa"/>
                  <w:vMerge w:val="continue"/>
                  <w:tcBorders>
                    <w:tl2br w:val="nil"/>
                    <w:tr2bl w:val="nil"/>
                  </w:tcBorders>
                  <w:noWrap w:val="0"/>
                  <w:vAlign w:val="center"/>
                </w:tcPr>
                <w:p w14:paraId="2D43B889">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p>
              </w:tc>
            </w:tr>
            <w:tr w14:paraId="589286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527" w:type="dxa"/>
                  <w:vMerge w:val="restart"/>
                  <w:tcBorders>
                    <w:tl2br w:val="nil"/>
                    <w:tr2bl w:val="nil"/>
                  </w:tcBorders>
                  <w:noWrap w:val="0"/>
                  <w:vAlign w:val="center"/>
                </w:tcPr>
                <w:p w14:paraId="5A0AF9EC">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rPr>
                  </w:pPr>
                  <w:r>
                    <w:rPr>
                      <w:rFonts w:hint="eastAsia" w:ascii="Times New Roman" w:hAnsi="Times New Roman" w:eastAsia="宋体" w:cs="Times New Roman"/>
                      <w:b/>
                      <w:bCs w:val="0"/>
                      <w:color w:val="auto"/>
                      <w:sz w:val="21"/>
                      <w:szCs w:val="21"/>
                      <w:highlight w:val="none"/>
                      <w:lang w:val="en-US" w:eastAsia="zh-CN"/>
                    </w:rPr>
                    <w:t>环境风险防控</w:t>
                  </w:r>
                </w:p>
              </w:tc>
              <w:tc>
                <w:tcPr>
                  <w:tcW w:w="2742" w:type="dxa"/>
                  <w:tcBorders>
                    <w:tl2br w:val="nil"/>
                    <w:tr2bl w:val="nil"/>
                  </w:tcBorders>
                  <w:noWrap w:val="0"/>
                  <w:vAlign w:val="center"/>
                </w:tcPr>
                <w:p w14:paraId="1D280E26">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1.严格落实工业集聚区环境风险各项防控措施。对高风险化学品生产、使用进行严格限制，并逐步淘汰替代。</w:t>
                  </w:r>
                </w:p>
              </w:tc>
              <w:tc>
                <w:tcPr>
                  <w:tcW w:w="2659" w:type="dxa"/>
                  <w:tcBorders>
                    <w:tl2br w:val="nil"/>
                    <w:tr2bl w:val="nil"/>
                  </w:tcBorders>
                  <w:noWrap w:val="0"/>
                  <w:vAlign w:val="center"/>
                </w:tcPr>
                <w:p w14:paraId="75C92A8F">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园区已严格落实工业集聚区环境风险各项防控措施，</w:t>
                  </w:r>
                  <w:r>
                    <w:rPr>
                      <w:rFonts w:hint="eastAsia" w:ascii="Times New Roman" w:hAnsi="Times New Roman" w:cs="Times New Roman"/>
                      <w:b w:val="0"/>
                      <w:bCs/>
                      <w:color w:val="auto"/>
                      <w:sz w:val="21"/>
                      <w:szCs w:val="21"/>
                      <w:highlight w:val="none"/>
                      <w:lang w:val="en-US" w:eastAsia="zh-CN"/>
                    </w:rPr>
                    <w:t>本项目</w:t>
                  </w:r>
                  <w:r>
                    <w:rPr>
                      <w:rFonts w:hint="default" w:ascii="Times New Roman" w:hAnsi="Times New Roman" w:cs="Times New Roman"/>
                      <w:b w:val="0"/>
                      <w:bCs/>
                      <w:color w:val="auto"/>
                      <w:sz w:val="21"/>
                      <w:szCs w:val="21"/>
                      <w:highlight w:val="none"/>
                      <w:lang w:val="en-US" w:eastAsia="zh-CN"/>
                    </w:rPr>
                    <w:t>不属于高风险化学品生产项目。</w:t>
                  </w:r>
                </w:p>
              </w:tc>
              <w:tc>
                <w:tcPr>
                  <w:tcW w:w="970" w:type="dxa"/>
                  <w:vMerge w:val="restart"/>
                  <w:tcBorders>
                    <w:tl2br w:val="nil"/>
                    <w:tr2bl w:val="nil"/>
                  </w:tcBorders>
                  <w:noWrap w:val="0"/>
                  <w:vAlign w:val="center"/>
                </w:tcPr>
                <w:p w14:paraId="6B2BBE23">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符合</w:t>
                  </w:r>
                </w:p>
              </w:tc>
            </w:tr>
            <w:tr w14:paraId="16A5D2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527" w:type="dxa"/>
                  <w:vMerge w:val="continue"/>
                  <w:tcBorders>
                    <w:tl2br w:val="nil"/>
                    <w:tr2bl w:val="nil"/>
                  </w:tcBorders>
                  <w:noWrap w:val="0"/>
                  <w:vAlign w:val="center"/>
                </w:tcPr>
                <w:p w14:paraId="6CB4E155">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color w:val="auto"/>
                      <w:sz w:val="21"/>
                      <w:szCs w:val="21"/>
                    </w:rPr>
                  </w:pPr>
                </w:p>
              </w:tc>
              <w:tc>
                <w:tcPr>
                  <w:tcW w:w="2742" w:type="dxa"/>
                  <w:tcBorders>
                    <w:tl2br w:val="nil"/>
                    <w:tr2bl w:val="nil"/>
                  </w:tcBorders>
                  <w:noWrap w:val="0"/>
                  <w:vAlign w:val="center"/>
                </w:tcPr>
                <w:p w14:paraId="4139EF8A">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2.开展涉危涉化企业、有风险隐患的渣场等风险排查</w:t>
                  </w:r>
                  <w:r>
                    <w:rPr>
                      <w:rFonts w:hint="eastAsia" w:ascii="Times New Roman" w:hAnsi="Times New Roman" w:eastAsia="宋体" w:cs="Times New Roman"/>
                      <w:b w:val="0"/>
                      <w:bCs/>
                      <w:color w:val="auto"/>
                      <w:sz w:val="21"/>
                      <w:szCs w:val="21"/>
                      <w:highlight w:val="none"/>
                      <w:lang w:val="en-US" w:eastAsia="zh-CN"/>
                    </w:rPr>
                    <w:t xml:space="preserve">和整改工作，及时消除隐患。 </w:t>
                  </w:r>
                </w:p>
              </w:tc>
              <w:tc>
                <w:tcPr>
                  <w:tcW w:w="2659" w:type="dxa"/>
                  <w:tcBorders>
                    <w:tl2br w:val="nil"/>
                    <w:tr2bl w:val="nil"/>
                  </w:tcBorders>
                  <w:noWrap w:val="0"/>
                  <w:vAlign w:val="center"/>
                </w:tcPr>
                <w:p w14:paraId="731C99EF">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建设单位已</w:t>
                  </w:r>
                  <w:r>
                    <w:rPr>
                      <w:rFonts w:hint="default" w:ascii="Times New Roman" w:hAnsi="Times New Roman" w:cs="Times New Roman"/>
                      <w:b w:val="0"/>
                      <w:bCs/>
                      <w:color w:val="auto"/>
                      <w:sz w:val="21"/>
                      <w:szCs w:val="21"/>
                      <w:highlight w:val="none"/>
                      <w:lang w:val="en-US" w:eastAsia="zh-CN"/>
                    </w:rPr>
                    <w:t>按照要求定期开展风险排查工作。</w:t>
                  </w:r>
                </w:p>
              </w:tc>
              <w:tc>
                <w:tcPr>
                  <w:tcW w:w="970" w:type="dxa"/>
                  <w:vMerge w:val="continue"/>
                  <w:tcBorders>
                    <w:tl2br w:val="nil"/>
                    <w:tr2bl w:val="nil"/>
                  </w:tcBorders>
                  <w:noWrap w:val="0"/>
                  <w:vAlign w:val="center"/>
                </w:tcPr>
                <w:p w14:paraId="57A97D64">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p>
              </w:tc>
            </w:tr>
            <w:tr w14:paraId="64C33B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527" w:type="dxa"/>
                  <w:vMerge w:val="continue"/>
                  <w:tcBorders>
                    <w:tl2br w:val="nil"/>
                    <w:tr2bl w:val="nil"/>
                  </w:tcBorders>
                  <w:noWrap w:val="0"/>
                  <w:vAlign w:val="center"/>
                </w:tcPr>
                <w:p w14:paraId="41F9A64A">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p>
              </w:tc>
              <w:tc>
                <w:tcPr>
                  <w:tcW w:w="2742" w:type="dxa"/>
                  <w:tcBorders>
                    <w:tl2br w:val="nil"/>
                    <w:tr2bl w:val="nil"/>
                  </w:tcBorders>
                  <w:noWrap w:val="0"/>
                  <w:vAlign w:val="center"/>
                </w:tcPr>
                <w:p w14:paraId="3C23706F">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3.园区可能渗漏区域应采取严格的防渗措施，建设事故池，在任何情况下，严禁废水进入黄河。</w:t>
                  </w:r>
                </w:p>
              </w:tc>
              <w:tc>
                <w:tcPr>
                  <w:tcW w:w="2659" w:type="dxa"/>
                  <w:tcBorders>
                    <w:tl2br w:val="nil"/>
                    <w:tr2bl w:val="nil"/>
                  </w:tcBorders>
                  <w:noWrap w:val="0"/>
                  <w:vAlign w:val="center"/>
                </w:tcPr>
                <w:p w14:paraId="54C97AE7">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厂区内已</w:t>
                  </w:r>
                  <w:r>
                    <w:rPr>
                      <w:rFonts w:hint="default" w:ascii="Times New Roman" w:hAnsi="Times New Roman" w:cs="Times New Roman"/>
                      <w:b w:val="0"/>
                      <w:bCs/>
                      <w:color w:val="auto"/>
                      <w:sz w:val="21"/>
                      <w:szCs w:val="21"/>
                      <w:highlight w:val="none"/>
                      <w:lang w:val="en-US" w:eastAsia="zh-CN"/>
                    </w:rPr>
                    <w:t>按照</w:t>
                  </w:r>
                  <w:r>
                    <w:rPr>
                      <w:rFonts w:hint="eastAsia" w:ascii="Times New Roman" w:hAnsi="Times New Roman" w:cs="Times New Roman"/>
                      <w:b w:val="0"/>
                      <w:bCs/>
                      <w:color w:val="auto"/>
                      <w:sz w:val="21"/>
                      <w:szCs w:val="21"/>
                      <w:highlight w:val="none"/>
                      <w:lang w:val="en-US" w:eastAsia="zh-CN"/>
                    </w:rPr>
                    <w:t>相关</w:t>
                  </w:r>
                  <w:r>
                    <w:rPr>
                      <w:rFonts w:hint="default" w:ascii="Times New Roman" w:hAnsi="Times New Roman" w:cs="Times New Roman"/>
                      <w:b w:val="0"/>
                      <w:bCs/>
                      <w:color w:val="auto"/>
                      <w:sz w:val="21"/>
                      <w:szCs w:val="21"/>
                      <w:highlight w:val="none"/>
                      <w:lang w:val="en-US" w:eastAsia="zh-CN"/>
                    </w:rPr>
                    <w:t>要求在可能渗漏区域采取严格的防渗措施，事故池依托厂区现有事故池，无废水排放，在任何情况下，严禁废水进入黄河。</w:t>
                  </w:r>
                </w:p>
              </w:tc>
              <w:tc>
                <w:tcPr>
                  <w:tcW w:w="970" w:type="dxa"/>
                  <w:vMerge w:val="continue"/>
                  <w:tcBorders>
                    <w:tl2br w:val="nil"/>
                    <w:tr2bl w:val="nil"/>
                  </w:tcBorders>
                  <w:noWrap w:val="0"/>
                  <w:vAlign w:val="center"/>
                </w:tcPr>
                <w:p w14:paraId="06D9CF6A">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p>
              </w:tc>
            </w:tr>
            <w:tr w14:paraId="0BB053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7" w:type="dxa"/>
                  <w:vMerge w:val="restart"/>
                  <w:tcBorders>
                    <w:tl2br w:val="nil"/>
                    <w:tr2bl w:val="nil"/>
                  </w:tcBorders>
                  <w:noWrap w:val="0"/>
                  <w:vAlign w:val="center"/>
                </w:tcPr>
                <w:p w14:paraId="776D8C95">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资 源</w:t>
                  </w:r>
                </w:p>
                <w:p w14:paraId="138B037C">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利 用</w:t>
                  </w:r>
                </w:p>
                <w:p w14:paraId="661BB3E8">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效 率</w:t>
                  </w:r>
                </w:p>
                <w:p w14:paraId="551A9D8A">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要求</w:t>
                  </w:r>
                </w:p>
              </w:tc>
              <w:tc>
                <w:tcPr>
                  <w:tcW w:w="2742" w:type="dxa"/>
                  <w:tcBorders>
                    <w:tl2br w:val="nil"/>
                    <w:tr2bl w:val="nil"/>
                  </w:tcBorders>
                  <w:noWrap w:val="0"/>
                  <w:vAlign w:val="center"/>
                </w:tcPr>
                <w:p w14:paraId="038B4AAA">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 xml:space="preserve">1.煤泥综合利用率达到 85%以上。 </w:t>
                  </w:r>
                </w:p>
              </w:tc>
              <w:tc>
                <w:tcPr>
                  <w:tcW w:w="2659" w:type="dxa"/>
                  <w:vMerge w:val="restart"/>
                  <w:tcBorders>
                    <w:tl2br w:val="nil"/>
                    <w:tr2bl w:val="nil"/>
                  </w:tcBorders>
                  <w:noWrap w:val="0"/>
                  <w:vAlign w:val="center"/>
                </w:tcPr>
                <w:p w14:paraId="1235037E">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default" w:ascii="宋体" w:hAnsi="宋体" w:eastAsia="宋体" w:cs="宋体"/>
                      <w:color w:val="auto"/>
                      <w:kern w:val="0"/>
                      <w:sz w:val="21"/>
                      <w:szCs w:val="21"/>
                      <w:lang w:val="en-US" w:eastAsia="zh-CN"/>
                    </w:rPr>
                    <w:t>本项目</w:t>
                  </w:r>
                  <w:r>
                    <w:rPr>
                      <w:rFonts w:hint="eastAsia" w:ascii="宋体" w:hAnsi="宋体" w:cs="宋体"/>
                      <w:color w:val="auto"/>
                      <w:kern w:val="0"/>
                      <w:sz w:val="21"/>
                      <w:szCs w:val="21"/>
                      <w:lang w:val="en-US" w:eastAsia="zh-CN"/>
                    </w:rPr>
                    <w:t>为</w:t>
                  </w:r>
                  <w:r>
                    <w:rPr>
                      <w:rFonts w:hint="default" w:ascii="宋体" w:hAnsi="宋体" w:eastAsia="宋体" w:cs="宋体"/>
                      <w:color w:val="auto"/>
                      <w:kern w:val="0"/>
                      <w:sz w:val="21"/>
                      <w:szCs w:val="21"/>
                      <w:lang w:val="en-US" w:eastAsia="zh-CN"/>
                    </w:rPr>
                    <w:t>利用粉煤灰生产聚合氯化铝技改扩建项目固体聚合氯化铝生产线喷雾干燥塔热源技改项目</w:t>
                  </w:r>
                  <w:r>
                    <w:rPr>
                      <w:rFonts w:hint="eastAsia" w:ascii="宋体" w:hAnsi="宋体" w:eastAsia="宋体" w:cs="宋体"/>
                      <w:color w:val="auto"/>
                      <w:kern w:val="0"/>
                      <w:sz w:val="21"/>
                      <w:szCs w:val="21"/>
                      <w:lang w:val="en-US" w:eastAsia="zh-CN"/>
                    </w:rPr>
                    <w:t>，不涉及</w:t>
                  </w:r>
                  <w:r>
                    <w:rPr>
                      <w:rFonts w:hint="default" w:ascii="Times New Roman" w:hAnsi="Times New Roman" w:cs="Times New Roman"/>
                      <w:b w:val="0"/>
                      <w:bCs/>
                      <w:color w:val="auto"/>
                      <w:sz w:val="21"/>
                      <w:szCs w:val="21"/>
                      <w:highlight w:val="none"/>
                      <w:lang w:val="en-US" w:eastAsia="zh-CN"/>
                    </w:rPr>
                    <w:t>煤泥</w:t>
                  </w:r>
                  <w:r>
                    <w:rPr>
                      <w:rFonts w:hint="eastAsia" w:ascii="Times New Roman" w:hAnsi="Times New Roman" w:cs="Times New Roman"/>
                      <w:b w:val="0"/>
                      <w:bCs/>
                      <w:color w:val="auto"/>
                      <w:sz w:val="21"/>
                      <w:szCs w:val="21"/>
                      <w:highlight w:val="none"/>
                      <w:lang w:val="en-US" w:eastAsia="zh-CN"/>
                    </w:rPr>
                    <w:t>、</w:t>
                  </w:r>
                  <w:r>
                    <w:rPr>
                      <w:rFonts w:hint="default" w:ascii="Times New Roman" w:hAnsi="Times New Roman" w:cs="Times New Roman"/>
                      <w:b w:val="0"/>
                      <w:bCs/>
                      <w:color w:val="auto"/>
                      <w:sz w:val="21"/>
                      <w:szCs w:val="21"/>
                      <w:highlight w:val="none"/>
                      <w:lang w:val="en-US" w:eastAsia="zh-CN"/>
                    </w:rPr>
                    <w:t>煤焦油、焦炉煤气</w:t>
                  </w:r>
                  <w:r>
                    <w:rPr>
                      <w:rFonts w:hint="eastAsia" w:ascii="Times New Roman" w:hAnsi="Times New Roman" w:cs="Times New Roman"/>
                      <w:b w:val="0"/>
                      <w:bCs/>
                      <w:color w:val="auto"/>
                      <w:sz w:val="21"/>
                      <w:szCs w:val="21"/>
                      <w:highlight w:val="none"/>
                      <w:lang w:val="en-US" w:eastAsia="zh-CN"/>
                    </w:rPr>
                    <w:t>、</w:t>
                  </w:r>
                  <w:r>
                    <w:rPr>
                      <w:rFonts w:hint="default" w:ascii="Times New Roman" w:hAnsi="Times New Roman" w:cs="Times New Roman"/>
                      <w:b w:val="0"/>
                      <w:bCs/>
                      <w:color w:val="auto"/>
                      <w:sz w:val="21"/>
                      <w:szCs w:val="21"/>
                      <w:highlight w:val="none"/>
                      <w:lang w:val="en-US" w:eastAsia="zh-CN"/>
                    </w:rPr>
                    <w:t>电石炉气</w:t>
                  </w:r>
                  <w:r>
                    <w:rPr>
                      <w:rFonts w:hint="eastAsia" w:ascii="Times New Roman" w:hAnsi="Times New Roman" w:cs="Times New Roman"/>
                      <w:b w:val="0"/>
                      <w:bCs/>
                      <w:color w:val="auto"/>
                      <w:sz w:val="21"/>
                      <w:szCs w:val="21"/>
                      <w:highlight w:val="none"/>
                      <w:lang w:val="en-US" w:eastAsia="zh-CN"/>
                    </w:rPr>
                    <w:t>、</w:t>
                  </w:r>
                  <w:r>
                    <w:rPr>
                      <w:rFonts w:hint="default" w:ascii="Times New Roman" w:hAnsi="Times New Roman" w:cs="Times New Roman"/>
                      <w:b w:val="0"/>
                      <w:bCs/>
                      <w:color w:val="auto"/>
                      <w:sz w:val="21"/>
                      <w:szCs w:val="21"/>
                      <w:highlight w:val="none"/>
                      <w:lang w:val="en-US" w:eastAsia="zh-CN"/>
                    </w:rPr>
                    <w:t>聚氯乙烯</w:t>
                  </w:r>
                  <w:r>
                    <w:rPr>
                      <w:rFonts w:hint="eastAsia" w:cs="Times New Roman"/>
                      <w:b w:val="0"/>
                      <w:bCs/>
                      <w:color w:val="auto"/>
                      <w:sz w:val="21"/>
                      <w:szCs w:val="21"/>
                      <w:highlight w:val="none"/>
                      <w:lang w:val="en-US" w:eastAsia="zh-CN"/>
                    </w:rPr>
                    <w:t>的生产</w:t>
                  </w:r>
                  <w:r>
                    <w:rPr>
                      <w:rFonts w:hint="eastAsia" w:ascii="Times New Roman" w:hAnsi="Times New Roman" w:cs="Times New Roman"/>
                      <w:b w:val="0"/>
                      <w:bCs/>
                      <w:color w:val="auto"/>
                      <w:sz w:val="21"/>
                      <w:szCs w:val="21"/>
                      <w:highlight w:val="none"/>
                      <w:lang w:val="en-US" w:eastAsia="zh-CN"/>
                    </w:rPr>
                    <w:t>；项目主要产品为</w:t>
                  </w:r>
                  <w:r>
                    <w:rPr>
                      <w:rFonts w:hint="default" w:ascii="宋体" w:hAnsi="宋体" w:eastAsia="宋体" w:cs="宋体"/>
                      <w:color w:val="auto"/>
                      <w:kern w:val="0"/>
                      <w:sz w:val="21"/>
                      <w:szCs w:val="21"/>
                      <w:lang w:val="en-US" w:eastAsia="zh-CN"/>
                    </w:rPr>
                    <w:t>利用粉煤灰生产聚合氯化铝</w:t>
                  </w:r>
                  <w:r>
                    <w:rPr>
                      <w:rFonts w:hint="eastAsia" w:ascii="宋体" w:hAnsi="宋体" w:eastAsia="宋体" w:cs="宋体"/>
                      <w:color w:val="auto"/>
                      <w:kern w:val="0"/>
                      <w:sz w:val="21"/>
                      <w:szCs w:val="21"/>
                      <w:lang w:val="en-US" w:eastAsia="zh-CN"/>
                    </w:rPr>
                    <w:t>，符合</w:t>
                  </w:r>
                  <w:r>
                    <w:rPr>
                      <w:rFonts w:hint="default" w:ascii="Times New Roman" w:hAnsi="Times New Roman" w:cs="Times New Roman"/>
                      <w:b w:val="0"/>
                      <w:bCs/>
                      <w:color w:val="auto"/>
                      <w:sz w:val="21"/>
                      <w:szCs w:val="21"/>
                      <w:highlight w:val="none"/>
                      <w:lang w:val="en-US" w:eastAsia="zh-CN"/>
                    </w:rPr>
                    <w:t>推进粉煤灰、有色冶炼渣等大宗固体废物综合利用，以及高铝粉煤灰等资源化利用</w:t>
                  </w:r>
                  <w:r>
                    <w:rPr>
                      <w:rFonts w:hint="eastAsia" w:ascii="Times New Roman" w:hAnsi="Times New Roman" w:cs="Times New Roman"/>
                      <w:b w:val="0"/>
                      <w:bCs/>
                      <w:color w:val="auto"/>
                      <w:sz w:val="21"/>
                      <w:szCs w:val="21"/>
                      <w:highlight w:val="none"/>
                      <w:lang w:val="en-US" w:eastAsia="zh-CN"/>
                    </w:rPr>
                    <w:t>；生产过程中产生的废水全部回用，不外排。</w:t>
                  </w:r>
                </w:p>
              </w:tc>
              <w:tc>
                <w:tcPr>
                  <w:tcW w:w="970" w:type="dxa"/>
                  <w:vMerge w:val="restart"/>
                  <w:tcBorders>
                    <w:tl2br w:val="nil"/>
                    <w:tr2bl w:val="nil"/>
                  </w:tcBorders>
                  <w:noWrap w:val="0"/>
                  <w:vAlign w:val="center"/>
                </w:tcPr>
                <w:p w14:paraId="7AA0013A">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符合</w:t>
                  </w:r>
                </w:p>
              </w:tc>
            </w:tr>
            <w:tr w14:paraId="3D834A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527" w:type="dxa"/>
                  <w:vMerge w:val="continue"/>
                  <w:tcBorders>
                    <w:tl2br w:val="nil"/>
                    <w:tr2bl w:val="nil"/>
                  </w:tcBorders>
                  <w:noWrap w:val="0"/>
                  <w:vAlign w:val="center"/>
                </w:tcPr>
                <w:p w14:paraId="0DD9E6A1">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c>
                <w:tcPr>
                  <w:tcW w:w="2742" w:type="dxa"/>
                  <w:tcBorders>
                    <w:tl2br w:val="nil"/>
                    <w:tr2bl w:val="nil"/>
                  </w:tcBorders>
                  <w:noWrap w:val="0"/>
                  <w:vAlign w:val="center"/>
                </w:tcPr>
                <w:p w14:paraId="5EEF7FC4">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2.煤焦油、焦炉煤气等副产品综合利用率达到 100%。</w:t>
                  </w:r>
                </w:p>
              </w:tc>
              <w:tc>
                <w:tcPr>
                  <w:tcW w:w="2659" w:type="dxa"/>
                  <w:vMerge w:val="continue"/>
                  <w:tcBorders>
                    <w:tl2br w:val="nil"/>
                    <w:tr2bl w:val="nil"/>
                  </w:tcBorders>
                  <w:noWrap w:val="0"/>
                  <w:vAlign w:val="center"/>
                </w:tcPr>
                <w:p w14:paraId="7782E0F0">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c>
                <w:tcPr>
                  <w:tcW w:w="970" w:type="dxa"/>
                  <w:vMerge w:val="continue"/>
                  <w:tcBorders>
                    <w:tl2br w:val="nil"/>
                    <w:tr2bl w:val="nil"/>
                  </w:tcBorders>
                  <w:noWrap w:val="0"/>
                  <w:vAlign w:val="center"/>
                </w:tcPr>
                <w:p w14:paraId="04774F9C">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r>
            <w:tr w14:paraId="7F006D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527" w:type="dxa"/>
                  <w:vMerge w:val="continue"/>
                  <w:tcBorders>
                    <w:tl2br w:val="nil"/>
                    <w:tr2bl w:val="nil"/>
                  </w:tcBorders>
                  <w:noWrap w:val="0"/>
                  <w:vAlign w:val="center"/>
                </w:tcPr>
                <w:p w14:paraId="4E07A045">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c>
                <w:tcPr>
                  <w:tcW w:w="2742" w:type="dxa"/>
                  <w:tcBorders>
                    <w:tl2br w:val="nil"/>
                    <w:tr2bl w:val="nil"/>
                  </w:tcBorders>
                  <w:noWrap w:val="0"/>
                  <w:vAlign w:val="center"/>
                </w:tcPr>
                <w:p w14:paraId="006378C0">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3.电石炉气综合利用率达到 100%，聚氯乙烯深加工率达到20%以上。</w:t>
                  </w:r>
                </w:p>
              </w:tc>
              <w:tc>
                <w:tcPr>
                  <w:tcW w:w="2659" w:type="dxa"/>
                  <w:vMerge w:val="continue"/>
                  <w:tcBorders>
                    <w:tl2br w:val="nil"/>
                    <w:tr2bl w:val="nil"/>
                  </w:tcBorders>
                  <w:noWrap w:val="0"/>
                  <w:vAlign w:val="center"/>
                </w:tcPr>
                <w:p w14:paraId="6B5684DF">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c>
                <w:tcPr>
                  <w:tcW w:w="970" w:type="dxa"/>
                  <w:vMerge w:val="continue"/>
                  <w:tcBorders>
                    <w:tl2br w:val="nil"/>
                    <w:tr2bl w:val="nil"/>
                  </w:tcBorders>
                  <w:noWrap w:val="0"/>
                  <w:vAlign w:val="center"/>
                </w:tcPr>
                <w:p w14:paraId="27AD1DF4">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r>
            <w:tr w14:paraId="31715F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527" w:type="dxa"/>
                  <w:vMerge w:val="continue"/>
                  <w:tcBorders>
                    <w:tl2br w:val="nil"/>
                    <w:tr2bl w:val="nil"/>
                  </w:tcBorders>
                  <w:noWrap w:val="0"/>
                  <w:vAlign w:val="center"/>
                </w:tcPr>
                <w:p w14:paraId="7F2BE6FD">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c>
                <w:tcPr>
                  <w:tcW w:w="2742" w:type="dxa"/>
                  <w:tcBorders>
                    <w:tl2br w:val="nil"/>
                    <w:tr2bl w:val="nil"/>
                  </w:tcBorders>
                  <w:noWrap w:val="0"/>
                  <w:vAlign w:val="center"/>
                </w:tcPr>
                <w:p w14:paraId="104BF693">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4.推进粉煤灰、有色冶炼渣等大宗固体废物综合利用，以及高铝粉煤灰等资源化利用。</w:t>
                  </w:r>
                </w:p>
              </w:tc>
              <w:tc>
                <w:tcPr>
                  <w:tcW w:w="2659" w:type="dxa"/>
                  <w:vMerge w:val="continue"/>
                  <w:tcBorders>
                    <w:tl2br w:val="nil"/>
                    <w:tr2bl w:val="nil"/>
                  </w:tcBorders>
                  <w:noWrap w:val="0"/>
                  <w:vAlign w:val="center"/>
                </w:tcPr>
                <w:p w14:paraId="0B8012B4">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c>
                <w:tcPr>
                  <w:tcW w:w="970" w:type="dxa"/>
                  <w:vMerge w:val="continue"/>
                  <w:tcBorders>
                    <w:tl2br w:val="nil"/>
                    <w:tr2bl w:val="nil"/>
                  </w:tcBorders>
                  <w:noWrap w:val="0"/>
                  <w:vAlign w:val="center"/>
                </w:tcPr>
                <w:p w14:paraId="2BEFBDFA">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r>
            <w:tr w14:paraId="7E8B9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527" w:type="dxa"/>
                  <w:vMerge w:val="continue"/>
                  <w:tcBorders>
                    <w:tl2br w:val="nil"/>
                    <w:tr2bl w:val="nil"/>
                  </w:tcBorders>
                  <w:noWrap w:val="0"/>
                  <w:vAlign w:val="center"/>
                </w:tcPr>
                <w:p w14:paraId="211457F6">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c>
                <w:tcPr>
                  <w:tcW w:w="2742" w:type="dxa"/>
                  <w:tcBorders>
                    <w:tl2br w:val="nil"/>
                    <w:tr2bl w:val="nil"/>
                  </w:tcBorders>
                  <w:noWrap w:val="0"/>
                  <w:vAlign w:val="center"/>
                </w:tcPr>
                <w:p w14:paraId="4AFF5B46">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5.“以水定产”，统筹生产、生活用水。</w:t>
                  </w:r>
                </w:p>
              </w:tc>
              <w:tc>
                <w:tcPr>
                  <w:tcW w:w="2659" w:type="dxa"/>
                  <w:vMerge w:val="continue"/>
                  <w:tcBorders>
                    <w:tl2br w:val="nil"/>
                    <w:tr2bl w:val="nil"/>
                  </w:tcBorders>
                  <w:noWrap w:val="0"/>
                  <w:vAlign w:val="center"/>
                </w:tcPr>
                <w:p w14:paraId="62ACF414">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c>
                <w:tcPr>
                  <w:tcW w:w="970" w:type="dxa"/>
                  <w:vMerge w:val="continue"/>
                  <w:tcBorders>
                    <w:tl2br w:val="nil"/>
                    <w:tr2bl w:val="nil"/>
                  </w:tcBorders>
                  <w:noWrap w:val="0"/>
                  <w:vAlign w:val="center"/>
                </w:tcPr>
                <w:p w14:paraId="0905D984">
                  <w:pPr>
                    <w:keepNext w:val="0"/>
                    <w:keepLines/>
                    <w:pageBreakBefore w:val="0"/>
                    <w:widowControl/>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auto"/>
                      <w:sz w:val="21"/>
                      <w:szCs w:val="21"/>
                      <w:highlight w:val="none"/>
                      <w:lang w:val="en-US" w:eastAsia="zh-CN"/>
                    </w:rPr>
                  </w:pPr>
                </w:p>
              </w:tc>
            </w:tr>
          </w:tbl>
          <w:p w14:paraId="7580B731">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综合以上分析，本项目建设符合“三线一单”要求。</w:t>
            </w:r>
          </w:p>
          <w:p w14:paraId="30405066">
            <w:pPr>
              <w:keepNext w:val="0"/>
              <w:keepLines w:val="0"/>
              <w:pageBreakBefore w:val="0"/>
              <w:widowControl/>
              <w:kinsoku/>
              <w:wordWrap/>
              <w:overflowPunct/>
              <w:topLinePunct w:val="0"/>
              <w:autoSpaceDE/>
              <w:autoSpaceDN/>
              <w:bidi w:val="0"/>
              <w:adjustRightInd/>
              <w:snapToGrid/>
              <w:spacing w:line="480" w:lineRule="exact"/>
              <w:ind w:left="0" w:leftChars="0" w:firstLine="0" w:firstLineChars="0"/>
              <w:textAlignment w:val="center"/>
              <w:rPr>
                <w:rFonts w:hint="eastAsia"/>
                <w:color w:val="auto"/>
                <w:lang w:val="en-US" w:eastAsia="zh-CN"/>
              </w:rPr>
            </w:pPr>
            <w:r>
              <w:rPr>
                <w:rFonts w:hint="eastAsia" w:ascii="宋体" w:hAnsi="宋体" w:cs="宋体"/>
                <w:b/>
                <w:bCs/>
                <w:color w:val="auto"/>
                <w:sz w:val="24"/>
                <w:szCs w:val="24"/>
                <w:lang w:val="en-US" w:eastAsia="zh-CN"/>
              </w:rPr>
              <w:t>2、与《内蒙古自治区乌海市及周边地区大气污染防治条例》内蒙古自治区第十三届人民代表大会常务委员会公告第二十九号符合性分析</w:t>
            </w:r>
          </w:p>
          <w:p w14:paraId="10343806">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与本项目相符性分析详见表1-3。</w:t>
            </w:r>
          </w:p>
          <w:p w14:paraId="721D0EBD">
            <w:pPr>
              <w:pStyle w:val="16"/>
              <w:keepNext w:val="0"/>
              <w:keepLines w:val="0"/>
              <w:pageBreakBefore w:val="0"/>
              <w:widowControl/>
              <w:kinsoku/>
              <w:wordWrap/>
              <w:overflowPunct/>
              <w:topLinePunct w:val="0"/>
              <w:autoSpaceDE/>
              <w:autoSpaceDN/>
              <w:bidi w:val="0"/>
              <w:adjustRightInd/>
              <w:snapToGrid/>
              <w:spacing w:line="480" w:lineRule="exact"/>
              <w:textAlignment w:val="center"/>
              <w:rPr>
                <w:rFonts w:hint="eastAsia"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表1-3  与《内蒙古自治区乌海市及周边地区大气污染防治条例》</w:t>
            </w:r>
            <w:r>
              <w:rPr>
                <w:rFonts w:hint="eastAsia" w:eastAsia="宋体" w:cs="Times New Roman"/>
                <w:color w:val="auto"/>
                <w:sz w:val="24"/>
                <w:szCs w:val="24"/>
                <w:lang w:val="en-US" w:eastAsia="zh-CN"/>
              </w:rPr>
              <w:t>符合性分析表</w:t>
            </w:r>
          </w:p>
          <w:tbl>
            <w:tblPr>
              <w:tblStyle w:val="11"/>
              <w:tblW w:w="68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9"/>
              <w:gridCol w:w="3012"/>
              <w:gridCol w:w="2456"/>
              <w:gridCol w:w="887"/>
            </w:tblGrid>
            <w:tr w14:paraId="73465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 w:type="dxa"/>
                  <w:vAlign w:val="center"/>
                </w:tcPr>
                <w:p w14:paraId="4777A35A">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项目</w:t>
                  </w:r>
                </w:p>
              </w:tc>
              <w:tc>
                <w:tcPr>
                  <w:tcW w:w="3012" w:type="dxa"/>
                  <w:vAlign w:val="center"/>
                </w:tcPr>
                <w:p w14:paraId="606F0361">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条例</w:t>
                  </w:r>
                  <w:r>
                    <w:rPr>
                      <w:rFonts w:hint="eastAsia" w:cs="Times New Roman"/>
                      <w:b/>
                      <w:bCs w:val="0"/>
                      <w:color w:val="auto"/>
                      <w:sz w:val="21"/>
                      <w:szCs w:val="21"/>
                      <w:highlight w:val="none"/>
                      <w:lang w:val="en-US" w:eastAsia="zh-CN"/>
                    </w:rPr>
                    <w:t>相关</w:t>
                  </w:r>
                  <w:r>
                    <w:rPr>
                      <w:rFonts w:hint="default" w:ascii="Times New Roman" w:hAnsi="Times New Roman" w:eastAsia="宋体" w:cs="Times New Roman"/>
                      <w:b/>
                      <w:bCs w:val="0"/>
                      <w:color w:val="auto"/>
                      <w:sz w:val="21"/>
                      <w:szCs w:val="21"/>
                      <w:highlight w:val="none"/>
                      <w:lang w:val="en-US" w:eastAsia="zh-CN"/>
                    </w:rPr>
                    <w:t>要求</w:t>
                  </w:r>
                </w:p>
              </w:tc>
              <w:tc>
                <w:tcPr>
                  <w:tcW w:w="2456" w:type="dxa"/>
                  <w:vAlign w:val="center"/>
                </w:tcPr>
                <w:p w14:paraId="7F311548">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本项目</w:t>
                  </w:r>
                </w:p>
              </w:tc>
              <w:tc>
                <w:tcPr>
                  <w:tcW w:w="887" w:type="dxa"/>
                  <w:vAlign w:val="center"/>
                </w:tcPr>
                <w:p w14:paraId="663D3B94">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符合性</w:t>
                  </w:r>
                </w:p>
              </w:tc>
            </w:tr>
            <w:tr w14:paraId="4CADA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 w:type="dxa"/>
                  <w:vMerge w:val="restart"/>
                  <w:vAlign w:val="center"/>
                </w:tcPr>
                <w:p w14:paraId="29058BC1">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工业污染防治</w:t>
                  </w:r>
                </w:p>
              </w:tc>
              <w:tc>
                <w:tcPr>
                  <w:tcW w:w="3012" w:type="dxa"/>
                  <w:vAlign w:val="center"/>
                </w:tcPr>
                <w:p w14:paraId="2F285F12">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第十八条 鼓励工业园区实施煤改气或者可再生能源替代化石能源，推进余热余压梯级利用，建设生产用热热源以及热网，推广集中供热和制冷，淘汰分散锅炉。</w:t>
                  </w:r>
                </w:p>
              </w:tc>
              <w:tc>
                <w:tcPr>
                  <w:tcW w:w="2456" w:type="dxa"/>
                  <w:vAlign w:val="center"/>
                </w:tcPr>
                <w:p w14:paraId="682C2A21">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color w:val="auto"/>
                      <w:lang w:val="en-US" w:eastAsia="zh-CN"/>
                    </w:rPr>
                    <w:t>现有项目将原有燃煤供热锅炉改为1台10t/h燃气蒸汽锅炉供暖，待厂区具备集中供热条件后，</w:t>
                  </w:r>
                  <w:r>
                    <w:rPr>
                      <w:rFonts w:hint="default" w:ascii="Times New Roman" w:hAnsi="Times New Roman" w:cs="Times New Roman"/>
                      <w:bCs/>
                      <w:color w:val="auto"/>
                      <w:highlight w:val="none"/>
                      <w:lang w:val="en-US" w:eastAsia="zh-CN"/>
                    </w:rPr>
                    <w:t>替代现有</w:t>
                  </w:r>
                  <w:r>
                    <w:rPr>
                      <w:rFonts w:hint="default" w:ascii="Times New Roman" w:hAnsi="Times New Roman" w:cs="Times New Roman"/>
                      <w:bCs/>
                      <w:color w:val="auto"/>
                    </w:rPr>
                    <w:t>锅炉，严格执行集中供热</w:t>
                  </w:r>
                  <w:r>
                    <w:rPr>
                      <w:rFonts w:hint="eastAsia" w:cs="Times New Roman"/>
                      <w:bCs/>
                      <w:color w:val="auto"/>
                      <w:lang w:eastAsia="zh-CN"/>
                    </w:rPr>
                    <w:t>。</w:t>
                  </w:r>
                </w:p>
              </w:tc>
              <w:tc>
                <w:tcPr>
                  <w:tcW w:w="887" w:type="dxa"/>
                  <w:vAlign w:val="center"/>
                </w:tcPr>
                <w:p w14:paraId="49E7C484">
                  <w:pPr>
                    <w:pStyle w:val="8"/>
                    <w:keepNext w:val="0"/>
                    <w:keepLines w:val="0"/>
                    <w:pageBreakBefore w:val="0"/>
                    <w:kinsoku/>
                    <w:wordWrap/>
                    <w:overflowPunct/>
                    <w:topLinePunct w:val="0"/>
                    <w:bidi w:val="0"/>
                    <w:ind w:right="21" w:rightChars="10"/>
                    <w:jc w:val="center"/>
                    <w:textAlignment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color w:val="auto"/>
                      <w:sz w:val="21"/>
                      <w:szCs w:val="21"/>
                      <w:highlight w:val="none"/>
                      <w:lang w:val="en-US" w:eastAsia="zh-CN"/>
                    </w:rPr>
                    <w:t>符合</w:t>
                  </w:r>
                </w:p>
              </w:tc>
            </w:tr>
            <w:tr w14:paraId="6DDE6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 w:type="dxa"/>
                  <w:vMerge w:val="continue"/>
                  <w:vAlign w:val="center"/>
                </w:tcPr>
                <w:p w14:paraId="09D4FBCC">
                  <w:pPr>
                    <w:pStyle w:val="8"/>
                    <w:keepNext w:val="0"/>
                    <w:keepLines w:val="0"/>
                    <w:pageBreakBefore w:val="0"/>
                    <w:kinsoku/>
                    <w:wordWrap/>
                    <w:overflowPunct/>
                    <w:topLinePunct w:val="0"/>
                    <w:bidi w:val="0"/>
                    <w:ind w:right="21" w:rightChars="10"/>
                    <w:jc w:val="center"/>
                    <w:textAlignment w:val="center"/>
                    <w:rPr>
                      <w:rFonts w:hint="default" w:ascii="Times New Roman" w:hAnsi="Times New Roman" w:eastAsia="宋体" w:cs="Times New Roman"/>
                      <w:color w:val="auto"/>
                      <w:sz w:val="24"/>
                      <w:szCs w:val="24"/>
                      <w:vertAlign w:val="baseline"/>
                      <w:lang w:val="en-US" w:eastAsia="zh-CN"/>
                    </w:rPr>
                  </w:pPr>
                </w:p>
              </w:tc>
              <w:tc>
                <w:tcPr>
                  <w:tcW w:w="3012" w:type="dxa"/>
                  <w:vAlign w:val="center"/>
                </w:tcPr>
                <w:p w14:paraId="7CC42CCD">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第十九条 乌海市及周边地区人民政府应当结合区域实际，确定本地区挥发性有机物控制重点企业，制定并组织实施挥发性有机物治理方案。</w:t>
                  </w:r>
                </w:p>
              </w:tc>
              <w:tc>
                <w:tcPr>
                  <w:tcW w:w="2456" w:type="dxa"/>
                  <w:vAlign w:val="center"/>
                </w:tcPr>
                <w:p w14:paraId="20617262">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本项目不属于</w:t>
                  </w:r>
                  <w:r>
                    <w:rPr>
                      <w:rFonts w:hint="default" w:ascii="Times New Roman" w:hAnsi="Times New Roman" w:eastAsia="宋体" w:cs="Times New Roman"/>
                      <w:b w:val="0"/>
                      <w:bCs/>
                      <w:color w:val="auto"/>
                      <w:sz w:val="21"/>
                      <w:szCs w:val="21"/>
                      <w:highlight w:val="none"/>
                      <w:lang w:val="en-US" w:eastAsia="zh-CN"/>
                    </w:rPr>
                    <w:t>挥发性有机物控制重点企业</w:t>
                  </w:r>
                  <w:r>
                    <w:rPr>
                      <w:rFonts w:hint="eastAsia" w:cs="Times New Roman"/>
                      <w:b w:val="0"/>
                      <w:bCs/>
                      <w:color w:val="auto"/>
                      <w:sz w:val="21"/>
                      <w:szCs w:val="21"/>
                      <w:highlight w:val="none"/>
                      <w:lang w:val="en-US" w:eastAsia="zh-CN"/>
                    </w:rPr>
                    <w:t>，且废气均处理后达标排放。</w:t>
                  </w:r>
                </w:p>
              </w:tc>
              <w:tc>
                <w:tcPr>
                  <w:tcW w:w="887" w:type="dxa"/>
                  <w:vAlign w:val="center"/>
                </w:tcPr>
                <w:p w14:paraId="6E4B60A2">
                  <w:pPr>
                    <w:pStyle w:val="8"/>
                    <w:keepNext w:val="0"/>
                    <w:keepLines w:val="0"/>
                    <w:pageBreakBefore w:val="0"/>
                    <w:kinsoku/>
                    <w:wordWrap/>
                    <w:overflowPunct/>
                    <w:topLinePunct w:val="0"/>
                    <w:bidi w:val="0"/>
                    <w:ind w:right="21" w:rightChars="10"/>
                    <w:jc w:val="center"/>
                    <w:textAlignment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color w:val="auto"/>
                      <w:sz w:val="21"/>
                      <w:szCs w:val="21"/>
                      <w:highlight w:val="none"/>
                      <w:lang w:val="en-US" w:eastAsia="zh-CN"/>
                    </w:rPr>
                    <w:t>符合</w:t>
                  </w:r>
                </w:p>
              </w:tc>
            </w:tr>
            <w:tr w14:paraId="4DABC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 w:type="dxa"/>
                  <w:vMerge w:val="continue"/>
                  <w:vAlign w:val="center"/>
                </w:tcPr>
                <w:p w14:paraId="206AC587">
                  <w:pPr>
                    <w:pStyle w:val="8"/>
                    <w:keepNext w:val="0"/>
                    <w:keepLines w:val="0"/>
                    <w:pageBreakBefore w:val="0"/>
                    <w:kinsoku/>
                    <w:wordWrap/>
                    <w:overflowPunct/>
                    <w:topLinePunct w:val="0"/>
                    <w:bidi w:val="0"/>
                    <w:ind w:right="21" w:rightChars="10"/>
                    <w:jc w:val="center"/>
                    <w:textAlignment w:val="center"/>
                    <w:rPr>
                      <w:rFonts w:hint="default" w:ascii="Times New Roman" w:hAnsi="Times New Roman" w:eastAsia="宋体" w:cs="Times New Roman"/>
                      <w:color w:val="auto"/>
                      <w:sz w:val="24"/>
                      <w:szCs w:val="24"/>
                      <w:vertAlign w:val="baseline"/>
                      <w:lang w:val="en-US" w:eastAsia="zh-CN"/>
                    </w:rPr>
                  </w:pPr>
                </w:p>
              </w:tc>
              <w:tc>
                <w:tcPr>
                  <w:tcW w:w="3012" w:type="dxa"/>
                  <w:vAlign w:val="center"/>
                </w:tcPr>
                <w:p w14:paraId="661C9B06">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第二十条 有色金属冶炼（不含氧化铝）、钢铁、水泥、燃煤发电、平板玻璃、焦化、石化和化工等行业应当执行大气污染物特别排放限值，国家、自治区排放标准中未规定大气污染物特别排放限值的行业，执行现有排放标准。</w:t>
                  </w:r>
                </w:p>
              </w:tc>
              <w:tc>
                <w:tcPr>
                  <w:tcW w:w="2456" w:type="dxa"/>
                  <w:vAlign w:val="center"/>
                </w:tcPr>
                <w:p w14:paraId="60B98C5B">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本项目大气污染物排放执行</w:t>
                  </w:r>
                  <w:r>
                    <w:rPr>
                      <w:rFonts w:hint="default" w:ascii="Times New Roman" w:hAnsi="Times New Roman" w:eastAsia="宋体" w:cs="Times New Roman"/>
                      <w:b w:val="0"/>
                      <w:bCs/>
                      <w:color w:val="auto"/>
                      <w:sz w:val="21"/>
                      <w:szCs w:val="21"/>
                      <w:highlight w:val="none"/>
                      <w:lang w:val="en-US" w:eastAsia="zh-CN"/>
                    </w:rPr>
                    <w:t>《无机化学工业污染物排放标准》及修改单（GB 31573-2015）表4大气污染物特别排放限值</w:t>
                  </w:r>
                  <w:r>
                    <w:rPr>
                      <w:rFonts w:hint="eastAsia" w:cs="Times New Roman"/>
                      <w:b w:val="0"/>
                      <w:bCs/>
                      <w:color w:val="auto"/>
                      <w:sz w:val="21"/>
                      <w:szCs w:val="21"/>
                      <w:highlight w:val="none"/>
                      <w:lang w:val="en-US" w:eastAsia="zh-CN"/>
                    </w:rPr>
                    <w:t>。</w:t>
                  </w:r>
                </w:p>
              </w:tc>
              <w:tc>
                <w:tcPr>
                  <w:tcW w:w="887" w:type="dxa"/>
                  <w:vAlign w:val="center"/>
                </w:tcPr>
                <w:p w14:paraId="15D680EB">
                  <w:pPr>
                    <w:pStyle w:val="8"/>
                    <w:keepNext w:val="0"/>
                    <w:keepLines w:val="0"/>
                    <w:pageBreakBefore w:val="0"/>
                    <w:kinsoku/>
                    <w:wordWrap/>
                    <w:overflowPunct/>
                    <w:topLinePunct w:val="0"/>
                    <w:bidi w:val="0"/>
                    <w:ind w:right="21" w:rightChars="10"/>
                    <w:jc w:val="center"/>
                    <w:textAlignment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color w:val="auto"/>
                      <w:sz w:val="21"/>
                      <w:szCs w:val="21"/>
                      <w:highlight w:val="none"/>
                      <w:lang w:val="en-US" w:eastAsia="zh-CN"/>
                    </w:rPr>
                    <w:t>符合</w:t>
                  </w:r>
                </w:p>
              </w:tc>
            </w:tr>
            <w:tr w14:paraId="6A1B8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 w:type="dxa"/>
                  <w:vMerge w:val="continue"/>
                  <w:vAlign w:val="center"/>
                </w:tcPr>
                <w:p w14:paraId="4BAE663F">
                  <w:pPr>
                    <w:pStyle w:val="8"/>
                    <w:keepNext w:val="0"/>
                    <w:keepLines w:val="0"/>
                    <w:pageBreakBefore w:val="0"/>
                    <w:kinsoku/>
                    <w:wordWrap/>
                    <w:overflowPunct/>
                    <w:topLinePunct w:val="0"/>
                    <w:bidi w:val="0"/>
                    <w:ind w:right="21" w:rightChars="10"/>
                    <w:jc w:val="center"/>
                    <w:textAlignment w:val="center"/>
                    <w:rPr>
                      <w:rFonts w:hint="default" w:ascii="Times New Roman" w:hAnsi="Times New Roman" w:eastAsia="宋体" w:cs="Times New Roman"/>
                      <w:color w:val="auto"/>
                      <w:sz w:val="24"/>
                      <w:szCs w:val="24"/>
                      <w:vertAlign w:val="baseline"/>
                      <w:lang w:val="en-US" w:eastAsia="zh-CN"/>
                    </w:rPr>
                  </w:pPr>
                </w:p>
              </w:tc>
              <w:tc>
                <w:tcPr>
                  <w:tcW w:w="3012" w:type="dxa"/>
                  <w:vAlign w:val="center"/>
                </w:tcPr>
                <w:p w14:paraId="6127615E">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第二十一条 工业炉窑应当采用封闭、密闭或者集气罩等有效措施控制无组织排放，物料落料点应当配备集气罩和除尘设施，或者采取喷雾等抑尘措施。</w:t>
                  </w:r>
                </w:p>
                <w:p w14:paraId="371F4836">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粉状物料应当采取密闭措施储存，采用密闭皮带、封闭通廊、真空罐车等方式输送。</w:t>
                  </w:r>
                </w:p>
                <w:p w14:paraId="6DC6E28E">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块状物料应当采取入棚入仓或者建设防风抑尘网等方式储存及封闭输送等有效抑尘措施。</w:t>
                  </w:r>
                </w:p>
                <w:p w14:paraId="77E7CC33">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大宗物料应当通过铁路、管道或者管状带式输送机等清洁方式运输，确需汽车运输的应当封闭车厢或者遮盖严密。</w:t>
                  </w:r>
                </w:p>
              </w:tc>
              <w:tc>
                <w:tcPr>
                  <w:tcW w:w="2456" w:type="dxa"/>
                  <w:vAlign w:val="center"/>
                </w:tcPr>
                <w:p w14:paraId="0FBC8301">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本项目热风炉建于热风炉房内，燃料及灰渣堆场于全封闭储棚内，并洒水抑尘；物料运输车辆采用苫布苫盖。</w:t>
                  </w:r>
                </w:p>
              </w:tc>
              <w:tc>
                <w:tcPr>
                  <w:tcW w:w="887" w:type="dxa"/>
                  <w:vAlign w:val="center"/>
                </w:tcPr>
                <w:p w14:paraId="2980B7B2">
                  <w:pPr>
                    <w:pStyle w:val="8"/>
                    <w:keepNext w:val="0"/>
                    <w:keepLines w:val="0"/>
                    <w:pageBreakBefore w:val="0"/>
                    <w:kinsoku/>
                    <w:wordWrap/>
                    <w:overflowPunct/>
                    <w:topLinePunct w:val="0"/>
                    <w:bidi w:val="0"/>
                    <w:ind w:right="21" w:rightChars="10"/>
                    <w:jc w:val="center"/>
                    <w:textAlignment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color w:val="auto"/>
                      <w:sz w:val="21"/>
                      <w:szCs w:val="21"/>
                      <w:highlight w:val="none"/>
                      <w:lang w:val="en-US" w:eastAsia="zh-CN"/>
                    </w:rPr>
                    <w:t>符合</w:t>
                  </w:r>
                </w:p>
              </w:tc>
            </w:tr>
            <w:tr w14:paraId="17752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 w:type="dxa"/>
                  <w:vMerge w:val="continue"/>
                  <w:vAlign w:val="center"/>
                </w:tcPr>
                <w:p w14:paraId="4CB23C00">
                  <w:pPr>
                    <w:pStyle w:val="8"/>
                    <w:keepNext w:val="0"/>
                    <w:keepLines w:val="0"/>
                    <w:pageBreakBefore w:val="0"/>
                    <w:kinsoku/>
                    <w:wordWrap/>
                    <w:overflowPunct/>
                    <w:topLinePunct w:val="0"/>
                    <w:bidi w:val="0"/>
                    <w:ind w:right="21" w:rightChars="10"/>
                    <w:jc w:val="center"/>
                    <w:textAlignment w:val="center"/>
                    <w:rPr>
                      <w:rFonts w:hint="default" w:ascii="Times New Roman" w:hAnsi="Times New Roman" w:eastAsia="宋体" w:cs="Times New Roman"/>
                      <w:color w:val="auto"/>
                      <w:sz w:val="24"/>
                      <w:szCs w:val="24"/>
                      <w:vertAlign w:val="baseline"/>
                      <w:lang w:val="en-US" w:eastAsia="zh-CN"/>
                    </w:rPr>
                  </w:pPr>
                </w:p>
              </w:tc>
              <w:tc>
                <w:tcPr>
                  <w:tcW w:w="3012" w:type="dxa"/>
                  <w:vAlign w:val="center"/>
                </w:tcPr>
                <w:p w14:paraId="69BAFC22">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第二十二条 水泥熟料窑应当配备低氮燃烧器，采用分级燃烧等技术，窑尾应当采用选择性催化还原、选择性非催化还原等成熟先进的脱硝技术。</w:t>
                  </w:r>
                </w:p>
                <w:p w14:paraId="76E61789">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鼓励利用工业固体废物生产水泥。</w:t>
                  </w:r>
                </w:p>
              </w:tc>
              <w:tc>
                <w:tcPr>
                  <w:tcW w:w="2456" w:type="dxa"/>
                  <w:vAlign w:val="center"/>
                </w:tcPr>
                <w:p w14:paraId="18EF53C8">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本项目不涉及</w:t>
                  </w:r>
                  <w:r>
                    <w:rPr>
                      <w:rFonts w:hint="default" w:ascii="Times New Roman" w:hAnsi="Times New Roman" w:eastAsia="宋体" w:cs="Times New Roman"/>
                      <w:b w:val="0"/>
                      <w:bCs/>
                      <w:color w:val="auto"/>
                      <w:sz w:val="21"/>
                      <w:szCs w:val="21"/>
                      <w:highlight w:val="none"/>
                      <w:lang w:val="en-US" w:eastAsia="zh-CN"/>
                    </w:rPr>
                    <w:t>水泥熟料窑</w:t>
                  </w:r>
                  <w:r>
                    <w:rPr>
                      <w:rFonts w:hint="eastAsia" w:cs="Times New Roman"/>
                      <w:b w:val="0"/>
                      <w:bCs/>
                      <w:color w:val="auto"/>
                      <w:sz w:val="21"/>
                      <w:szCs w:val="21"/>
                      <w:highlight w:val="none"/>
                      <w:lang w:val="en-US" w:eastAsia="zh-CN"/>
                    </w:rPr>
                    <w:t>，本项目热风炉配备低氮燃烧和SNCR。</w:t>
                  </w:r>
                </w:p>
              </w:tc>
              <w:tc>
                <w:tcPr>
                  <w:tcW w:w="887" w:type="dxa"/>
                  <w:vAlign w:val="center"/>
                </w:tcPr>
                <w:p w14:paraId="3FCD554A">
                  <w:pPr>
                    <w:pStyle w:val="8"/>
                    <w:keepNext w:val="0"/>
                    <w:keepLines w:val="0"/>
                    <w:pageBreakBefore w:val="0"/>
                    <w:kinsoku/>
                    <w:wordWrap/>
                    <w:overflowPunct/>
                    <w:topLinePunct w:val="0"/>
                    <w:bidi w:val="0"/>
                    <w:ind w:right="21" w:rightChars="10"/>
                    <w:jc w:val="center"/>
                    <w:textAlignment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color w:val="auto"/>
                      <w:sz w:val="21"/>
                      <w:szCs w:val="21"/>
                      <w:highlight w:val="none"/>
                      <w:lang w:val="en-US" w:eastAsia="zh-CN"/>
                    </w:rPr>
                    <w:t>符合</w:t>
                  </w:r>
                </w:p>
              </w:tc>
            </w:tr>
            <w:tr w14:paraId="5F19D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89" w:type="dxa"/>
                  <w:vMerge w:val="continue"/>
                  <w:vAlign w:val="center"/>
                </w:tcPr>
                <w:p w14:paraId="19BAF09A">
                  <w:pPr>
                    <w:pStyle w:val="8"/>
                    <w:keepNext w:val="0"/>
                    <w:keepLines w:val="0"/>
                    <w:pageBreakBefore w:val="0"/>
                    <w:kinsoku/>
                    <w:wordWrap/>
                    <w:overflowPunct/>
                    <w:topLinePunct w:val="0"/>
                    <w:bidi w:val="0"/>
                    <w:ind w:right="21" w:rightChars="10"/>
                    <w:jc w:val="center"/>
                    <w:textAlignment w:val="center"/>
                    <w:rPr>
                      <w:rFonts w:hint="default" w:ascii="Times New Roman" w:hAnsi="Times New Roman" w:eastAsia="宋体" w:cs="Times New Roman"/>
                      <w:color w:val="auto"/>
                      <w:sz w:val="24"/>
                      <w:szCs w:val="24"/>
                      <w:vertAlign w:val="baseline"/>
                      <w:lang w:val="en-US" w:eastAsia="zh-CN"/>
                    </w:rPr>
                  </w:pPr>
                </w:p>
              </w:tc>
              <w:tc>
                <w:tcPr>
                  <w:tcW w:w="3012" w:type="dxa"/>
                  <w:vAlign w:val="center"/>
                </w:tcPr>
                <w:p w14:paraId="4278E11B">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第二十三条 焦化企业化工物料罐、槽的排放气体应当返回系统或者收集处理，减少挥发性有机物无组织排放。焦化企业应当确保污水处理设施正常运转，熄焦废水未经处理、未达到排放标准的，禁止用于重复熄焦。</w:t>
                  </w:r>
                </w:p>
                <w:p w14:paraId="7AC0C26F">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鼓励焦化企业进行干熄焦改造，实施焦炉煤气精脱硫，采用成熟先进的污染防治技术控制焦炉炉体无组织排放。</w:t>
                  </w:r>
                </w:p>
              </w:tc>
              <w:tc>
                <w:tcPr>
                  <w:tcW w:w="2456" w:type="dxa"/>
                  <w:vAlign w:val="center"/>
                </w:tcPr>
                <w:p w14:paraId="7ADE5834">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本项目不属于</w:t>
                  </w:r>
                  <w:r>
                    <w:rPr>
                      <w:rFonts w:hint="default" w:ascii="Times New Roman" w:hAnsi="Times New Roman" w:eastAsia="宋体" w:cs="Times New Roman"/>
                      <w:b w:val="0"/>
                      <w:bCs/>
                      <w:color w:val="auto"/>
                      <w:sz w:val="21"/>
                      <w:szCs w:val="21"/>
                      <w:highlight w:val="none"/>
                      <w:lang w:val="en-US" w:eastAsia="zh-CN"/>
                    </w:rPr>
                    <w:t>焦化企业</w:t>
                  </w:r>
                  <w:r>
                    <w:rPr>
                      <w:rFonts w:hint="eastAsia" w:cs="Times New Roman"/>
                      <w:b w:val="0"/>
                      <w:bCs/>
                      <w:color w:val="auto"/>
                      <w:sz w:val="21"/>
                      <w:szCs w:val="21"/>
                      <w:highlight w:val="none"/>
                      <w:lang w:val="en-US" w:eastAsia="zh-CN"/>
                    </w:rPr>
                    <w:t>。</w:t>
                  </w:r>
                </w:p>
              </w:tc>
              <w:tc>
                <w:tcPr>
                  <w:tcW w:w="887" w:type="dxa"/>
                  <w:vAlign w:val="center"/>
                </w:tcPr>
                <w:p w14:paraId="725F89B5">
                  <w:pPr>
                    <w:pStyle w:val="8"/>
                    <w:keepNext w:val="0"/>
                    <w:keepLines w:val="0"/>
                    <w:pageBreakBefore w:val="0"/>
                    <w:kinsoku/>
                    <w:wordWrap/>
                    <w:overflowPunct/>
                    <w:topLinePunct w:val="0"/>
                    <w:bidi w:val="0"/>
                    <w:ind w:right="21" w:rightChars="10"/>
                    <w:jc w:val="center"/>
                    <w:textAlignment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color w:val="auto"/>
                      <w:sz w:val="21"/>
                      <w:szCs w:val="21"/>
                      <w:highlight w:val="none"/>
                      <w:lang w:val="en-US" w:eastAsia="zh-CN"/>
                    </w:rPr>
                    <w:t>符合</w:t>
                  </w:r>
                </w:p>
              </w:tc>
            </w:tr>
            <w:tr w14:paraId="118FE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 w:type="dxa"/>
                  <w:vMerge w:val="continue"/>
                  <w:vAlign w:val="center"/>
                </w:tcPr>
                <w:p w14:paraId="76E663AF">
                  <w:pPr>
                    <w:pStyle w:val="8"/>
                    <w:keepNext w:val="0"/>
                    <w:keepLines w:val="0"/>
                    <w:pageBreakBefore w:val="0"/>
                    <w:kinsoku/>
                    <w:wordWrap/>
                    <w:overflowPunct/>
                    <w:topLinePunct w:val="0"/>
                    <w:bidi w:val="0"/>
                    <w:ind w:right="21" w:rightChars="10"/>
                    <w:jc w:val="center"/>
                    <w:textAlignment w:val="center"/>
                    <w:rPr>
                      <w:rFonts w:hint="default" w:ascii="Times New Roman" w:hAnsi="Times New Roman" w:eastAsia="宋体" w:cs="Times New Roman"/>
                      <w:color w:val="auto"/>
                      <w:sz w:val="24"/>
                      <w:szCs w:val="24"/>
                      <w:vertAlign w:val="baseline"/>
                      <w:lang w:val="en-US" w:eastAsia="zh-CN"/>
                    </w:rPr>
                  </w:pPr>
                </w:p>
              </w:tc>
              <w:tc>
                <w:tcPr>
                  <w:tcW w:w="3012" w:type="dxa"/>
                  <w:vAlign w:val="center"/>
                </w:tcPr>
                <w:p w14:paraId="68CB7F26">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第二十四条 钢铁企业烧结烟气应当采用除尘、脱硫、脱硝措施，烧结、球团竖炉、炼钢、轧钢等主要生产车间、高炉出铁场、钢渣处理设施应当密闭，铁沟、渣沟应当加盖封闭。</w:t>
                  </w:r>
                </w:p>
                <w:p w14:paraId="3FF30A0F">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鼓励实施烧结机头烟气循环。</w:t>
                  </w:r>
                </w:p>
              </w:tc>
              <w:tc>
                <w:tcPr>
                  <w:tcW w:w="2456" w:type="dxa"/>
                  <w:vAlign w:val="center"/>
                </w:tcPr>
                <w:p w14:paraId="1ED2591B">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本项目不属于</w:t>
                  </w:r>
                  <w:r>
                    <w:rPr>
                      <w:rFonts w:hint="default" w:ascii="Times New Roman" w:hAnsi="Times New Roman" w:eastAsia="宋体" w:cs="Times New Roman"/>
                      <w:b w:val="0"/>
                      <w:bCs/>
                      <w:color w:val="auto"/>
                      <w:sz w:val="21"/>
                      <w:szCs w:val="21"/>
                      <w:highlight w:val="none"/>
                      <w:lang w:val="en-US" w:eastAsia="zh-CN"/>
                    </w:rPr>
                    <w:t>钢铁企业</w:t>
                  </w:r>
                  <w:r>
                    <w:rPr>
                      <w:rFonts w:hint="eastAsia" w:cs="Times New Roman"/>
                      <w:b w:val="0"/>
                      <w:bCs/>
                      <w:color w:val="auto"/>
                      <w:sz w:val="21"/>
                      <w:szCs w:val="21"/>
                      <w:highlight w:val="none"/>
                      <w:lang w:val="en-US" w:eastAsia="zh-CN"/>
                    </w:rPr>
                    <w:t>。</w:t>
                  </w:r>
                </w:p>
              </w:tc>
              <w:tc>
                <w:tcPr>
                  <w:tcW w:w="887" w:type="dxa"/>
                  <w:vAlign w:val="center"/>
                </w:tcPr>
                <w:p w14:paraId="17878A56">
                  <w:pPr>
                    <w:pStyle w:val="8"/>
                    <w:keepNext w:val="0"/>
                    <w:keepLines w:val="0"/>
                    <w:pageBreakBefore w:val="0"/>
                    <w:kinsoku/>
                    <w:wordWrap/>
                    <w:overflowPunct/>
                    <w:topLinePunct w:val="0"/>
                    <w:bidi w:val="0"/>
                    <w:ind w:right="21" w:rightChars="10"/>
                    <w:jc w:val="center"/>
                    <w:textAlignment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color w:val="auto"/>
                      <w:sz w:val="21"/>
                      <w:szCs w:val="21"/>
                      <w:highlight w:val="none"/>
                      <w:lang w:val="en-US" w:eastAsia="zh-CN"/>
                    </w:rPr>
                    <w:t>符合</w:t>
                  </w:r>
                </w:p>
              </w:tc>
            </w:tr>
            <w:tr w14:paraId="346D4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 w:type="dxa"/>
                  <w:vMerge w:val="continue"/>
                  <w:vAlign w:val="center"/>
                </w:tcPr>
                <w:p w14:paraId="2DB5F456">
                  <w:pPr>
                    <w:pStyle w:val="8"/>
                    <w:keepNext w:val="0"/>
                    <w:keepLines w:val="0"/>
                    <w:pageBreakBefore w:val="0"/>
                    <w:kinsoku/>
                    <w:wordWrap/>
                    <w:overflowPunct/>
                    <w:topLinePunct w:val="0"/>
                    <w:bidi w:val="0"/>
                    <w:ind w:right="21" w:rightChars="10"/>
                    <w:jc w:val="center"/>
                    <w:textAlignment w:val="center"/>
                    <w:rPr>
                      <w:rFonts w:hint="default" w:ascii="Times New Roman" w:hAnsi="Times New Roman" w:eastAsia="宋体" w:cs="Times New Roman"/>
                      <w:color w:val="auto"/>
                      <w:sz w:val="24"/>
                      <w:szCs w:val="24"/>
                      <w:vertAlign w:val="baseline"/>
                      <w:lang w:val="en-US" w:eastAsia="zh-CN"/>
                    </w:rPr>
                  </w:pPr>
                </w:p>
              </w:tc>
              <w:tc>
                <w:tcPr>
                  <w:tcW w:w="3012" w:type="dxa"/>
                  <w:vAlign w:val="center"/>
                </w:tcPr>
                <w:p w14:paraId="601C3C14">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第二十五条 冶金、石化和化工行业中有重大环境风险，建设地点敏感，且持续排放重金属或者持久性有机污染物的建设项目，在运行过程中产生不符合经审批的环境影响报告书情形的，应当在正式投入生产或者运营后三至五年内，开展环境影响后评价工作。</w:t>
                  </w:r>
                </w:p>
              </w:tc>
              <w:tc>
                <w:tcPr>
                  <w:tcW w:w="2456" w:type="dxa"/>
                  <w:vAlign w:val="center"/>
                </w:tcPr>
                <w:p w14:paraId="4DC0C186">
                  <w:pPr>
                    <w:keepNext w:val="0"/>
                    <w:keepLines/>
                    <w:pageBreakBefore w:val="0"/>
                    <w:widowControl w:val="0"/>
                    <w:kinsoku/>
                    <w:wordWrap/>
                    <w:overflowPunct w:val="0"/>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本项目为热源技改项目，无重大环境风险</w:t>
                  </w:r>
                  <w:r>
                    <w:rPr>
                      <w:rFonts w:hint="default" w:ascii="Times New Roman" w:hAnsi="Times New Roman" w:eastAsia="宋体" w:cs="Times New Roman"/>
                      <w:b w:val="0"/>
                      <w:bCs/>
                      <w:color w:val="auto"/>
                      <w:sz w:val="21"/>
                      <w:szCs w:val="21"/>
                      <w:highlight w:val="none"/>
                      <w:lang w:val="en-US" w:eastAsia="zh-CN"/>
                    </w:rPr>
                    <w:t>，且</w:t>
                  </w:r>
                  <w:r>
                    <w:rPr>
                      <w:rFonts w:hint="eastAsia" w:cs="Times New Roman"/>
                      <w:b w:val="0"/>
                      <w:bCs/>
                      <w:color w:val="auto"/>
                      <w:sz w:val="21"/>
                      <w:szCs w:val="21"/>
                      <w:highlight w:val="none"/>
                      <w:lang w:val="en-US" w:eastAsia="zh-CN"/>
                    </w:rPr>
                    <w:t>不</w:t>
                  </w:r>
                  <w:r>
                    <w:rPr>
                      <w:rFonts w:hint="default" w:ascii="Times New Roman" w:hAnsi="Times New Roman" w:eastAsia="宋体" w:cs="Times New Roman"/>
                      <w:b w:val="0"/>
                      <w:bCs/>
                      <w:color w:val="auto"/>
                      <w:sz w:val="21"/>
                      <w:szCs w:val="21"/>
                      <w:highlight w:val="none"/>
                      <w:lang w:val="en-US" w:eastAsia="zh-CN"/>
                    </w:rPr>
                    <w:t>持续排放重金属或者持久性有机污染物</w:t>
                  </w:r>
                  <w:r>
                    <w:rPr>
                      <w:rFonts w:hint="eastAsia" w:cs="Times New Roman"/>
                      <w:b w:val="0"/>
                      <w:bCs/>
                      <w:color w:val="auto"/>
                      <w:sz w:val="21"/>
                      <w:szCs w:val="21"/>
                      <w:highlight w:val="none"/>
                      <w:lang w:val="en-US" w:eastAsia="zh-CN"/>
                    </w:rPr>
                    <w:t>。</w:t>
                  </w:r>
                </w:p>
              </w:tc>
              <w:tc>
                <w:tcPr>
                  <w:tcW w:w="887" w:type="dxa"/>
                  <w:vAlign w:val="center"/>
                </w:tcPr>
                <w:p w14:paraId="5D5D09BC">
                  <w:pPr>
                    <w:pStyle w:val="8"/>
                    <w:keepNext w:val="0"/>
                    <w:keepLines w:val="0"/>
                    <w:pageBreakBefore w:val="0"/>
                    <w:kinsoku/>
                    <w:wordWrap/>
                    <w:overflowPunct/>
                    <w:topLinePunct w:val="0"/>
                    <w:bidi w:val="0"/>
                    <w:ind w:right="21" w:rightChars="10"/>
                    <w:jc w:val="center"/>
                    <w:textAlignment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val="0"/>
                      <w:bCs/>
                      <w:color w:val="auto"/>
                      <w:sz w:val="21"/>
                      <w:szCs w:val="21"/>
                      <w:highlight w:val="none"/>
                      <w:lang w:val="en-US" w:eastAsia="zh-CN"/>
                    </w:rPr>
                    <w:t>符合</w:t>
                  </w:r>
                </w:p>
              </w:tc>
            </w:tr>
          </w:tbl>
          <w:p w14:paraId="240844E2">
            <w:pPr>
              <w:keepNext w:val="0"/>
              <w:keepLines w:val="0"/>
              <w:pageBreakBefore w:val="0"/>
              <w:widowControl/>
              <w:kinsoku/>
              <w:wordWrap/>
              <w:overflowPunct/>
              <w:topLinePunct w:val="0"/>
              <w:autoSpaceDE/>
              <w:autoSpaceDN/>
              <w:bidi w:val="0"/>
              <w:adjustRightInd/>
              <w:snapToGrid/>
              <w:spacing w:line="480" w:lineRule="exact"/>
              <w:ind w:left="0" w:leftChars="0" w:firstLine="0" w:firstLineChars="0"/>
              <w:textAlignment w:val="center"/>
              <w:rPr>
                <w:rFonts w:hint="eastAsia" w:ascii="宋体" w:hAnsi="宋体" w:eastAsia="宋体" w:cs="宋体"/>
                <w:b/>
                <w:bCs/>
                <w:color w:val="auto"/>
                <w:sz w:val="24"/>
                <w:szCs w:val="24"/>
                <w:lang w:val="en-US" w:eastAsia="zh-CN"/>
              </w:rPr>
            </w:pPr>
            <w:r>
              <w:rPr>
                <w:rFonts w:hint="eastAsia" w:ascii="宋体" w:hAnsi="宋体" w:cs="宋体"/>
                <w:b/>
                <w:bCs/>
                <w:color w:val="auto"/>
                <w:sz w:val="24"/>
                <w:szCs w:val="24"/>
                <w:lang w:val="en-US" w:eastAsia="zh-CN"/>
              </w:rPr>
              <w:t>3</w:t>
            </w:r>
            <w:r>
              <w:rPr>
                <w:rFonts w:hint="eastAsia" w:ascii="宋体" w:hAnsi="宋体" w:eastAsia="宋体" w:cs="宋体"/>
                <w:b/>
                <w:bCs/>
                <w:color w:val="auto"/>
                <w:sz w:val="24"/>
                <w:szCs w:val="24"/>
                <w:lang w:val="en-US" w:eastAsia="zh-CN"/>
              </w:rPr>
              <w:t>、选址合理性分析</w:t>
            </w:r>
          </w:p>
          <w:p w14:paraId="24154938">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center"/>
              <w:rPr>
                <w:rFonts w:hint="default" w:ascii="宋体" w:hAnsi="宋体" w:eastAsia="宋体" w:cs="宋体"/>
                <w:color w:val="auto"/>
                <w:sz w:val="24"/>
                <w:szCs w:val="24"/>
                <w:lang w:val="en-US" w:eastAsia="zh-CN"/>
              </w:rPr>
            </w:pPr>
            <w:r>
              <w:rPr>
                <w:rFonts w:hint="default" w:ascii="宋体" w:hAnsi="宋体" w:eastAsia="宋体" w:cs="宋体"/>
                <w:color w:val="auto"/>
                <w:sz w:val="24"/>
                <w:szCs w:val="24"/>
                <w:lang w:val="en-US" w:eastAsia="zh-CN"/>
              </w:rPr>
              <w:t>（1）本项目选址位于蒙西高新技术工业园区规划的工业用地，且在利用粉煤灰生产聚合氯化铝技改扩建项目现有厂区内，不新增占地。项目选址不在自然保护区、风景名胜区、文物（考古）保护区、生活饮用水源保护区和其他需要特别保护的区域内</w:t>
            </w:r>
            <w:r>
              <w:rPr>
                <w:rFonts w:hint="eastAsia" w:ascii="宋体" w:hAnsi="宋体" w:cs="宋体"/>
                <w:color w:val="auto"/>
                <w:sz w:val="24"/>
                <w:szCs w:val="24"/>
                <w:lang w:val="en-US" w:eastAsia="zh-CN"/>
              </w:rPr>
              <w:t>，厂界外500m范围内无居民等保护目标</w:t>
            </w:r>
            <w:r>
              <w:rPr>
                <w:rFonts w:hint="default" w:ascii="宋体" w:hAnsi="宋体" w:eastAsia="宋体" w:cs="宋体"/>
                <w:color w:val="auto"/>
                <w:sz w:val="24"/>
                <w:szCs w:val="24"/>
                <w:lang w:val="en-US" w:eastAsia="zh-CN"/>
              </w:rPr>
              <w:t>。厂址西侧距黄河</w:t>
            </w:r>
            <w:r>
              <w:rPr>
                <w:rFonts w:hint="eastAsia" w:ascii="宋体" w:hAnsi="宋体" w:cs="宋体"/>
                <w:color w:val="auto"/>
                <w:sz w:val="24"/>
                <w:szCs w:val="24"/>
                <w:lang w:val="en-US" w:eastAsia="zh-CN"/>
              </w:rPr>
              <w:t>最近距离约3.027</w:t>
            </w:r>
            <w:r>
              <w:rPr>
                <w:rFonts w:hint="default" w:ascii="宋体" w:hAnsi="宋体" w:eastAsia="宋体" w:cs="宋体"/>
                <w:color w:val="auto"/>
                <w:sz w:val="24"/>
                <w:szCs w:val="24"/>
                <w:lang w:val="en-US" w:eastAsia="zh-CN"/>
              </w:rPr>
              <w:t>km，东北方向距西鄂尔多斯国家级自然保护区实验区有4.</w:t>
            </w:r>
            <w:r>
              <w:rPr>
                <w:rFonts w:ascii="宋体" w:hAnsi="宋体" w:cs="宋体"/>
                <w:color w:val="auto"/>
                <w:sz w:val="24"/>
              </w:rPr>
              <w:t>3km</w:t>
            </w:r>
            <w:r>
              <w:rPr>
                <w:rFonts w:hint="default" w:ascii="宋体" w:hAnsi="宋体" w:eastAsia="宋体" w:cs="宋体"/>
                <w:color w:val="auto"/>
                <w:sz w:val="24"/>
                <w:szCs w:val="24"/>
                <w:lang w:val="en-US" w:eastAsia="zh-CN"/>
              </w:rPr>
              <w:t>。</w:t>
            </w:r>
          </w:p>
          <w:p w14:paraId="792D888E">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center"/>
              <w:rPr>
                <w:rFonts w:hint="default" w:ascii="宋体" w:hAnsi="宋体" w:eastAsia="宋体" w:cs="宋体"/>
                <w:color w:val="auto"/>
                <w:sz w:val="24"/>
                <w:szCs w:val="24"/>
                <w:lang w:val="en-US" w:eastAsia="zh-CN"/>
              </w:rPr>
            </w:pPr>
            <w:r>
              <w:rPr>
                <w:rFonts w:hint="default" w:ascii="宋体" w:hAnsi="宋体" w:eastAsia="宋体" w:cs="宋体"/>
                <w:color w:val="auto"/>
                <w:sz w:val="24"/>
                <w:szCs w:val="24"/>
                <w:lang w:val="en-US" w:eastAsia="zh-CN"/>
              </w:rPr>
              <w:t>（2）本项目产生的废气均得到相应处理，可达标排放，对大气环境产生的影响较小；废水全部回用，不外排；项目厂界噪声可满足《工业企业厂界环境噪声排放标准》（GB12348-2008）中的3类标准要求；固体废物全部妥善处置。本项目产生的废气、废水、固体废物等均采取了有效的处理措施，均可满足排放标准的要求。</w:t>
            </w:r>
          </w:p>
          <w:p w14:paraId="58E517A3">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center"/>
              <w:rPr>
                <w:rFonts w:hint="default" w:ascii="宋体" w:hAnsi="宋体" w:eastAsia="宋体" w:cs="宋体"/>
                <w:color w:val="auto"/>
                <w:sz w:val="24"/>
                <w:szCs w:val="24"/>
                <w:lang w:val="en-US" w:eastAsia="zh-CN"/>
              </w:rPr>
            </w:pPr>
            <w:r>
              <w:rPr>
                <w:rFonts w:hint="default" w:ascii="宋体" w:hAnsi="宋体" w:eastAsia="宋体" w:cs="宋体"/>
                <w:color w:val="auto"/>
                <w:sz w:val="24"/>
                <w:szCs w:val="24"/>
                <w:lang w:val="en-US" w:eastAsia="zh-CN"/>
              </w:rPr>
              <w:t>综上所述，本项目厂址符合用地规划，交通运输条件便利，项目选址不在生态保护红线、自然保护区、饮用水水源保护区等环境敏感区内，不占用永久基本农田，不占用林地</w:t>
            </w:r>
            <w:r>
              <w:rPr>
                <w:rFonts w:hint="eastAsia" w:ascii="宋体" w:hAnsi="宋体" w:cs="宋体"/>
                <w:color w:val="auto"/>
                <w:sz w:val="24"/>
                <w:szCs w:val="24"/>
                <w:lang w:val="en-US" w:eastAsia="zh-CN"/>
              </w:rPr>
              <w:t>。</w:t>
            </w:r>
            <w:r>
              <w:rPr>
                <w:rFonts w:hint="default" w:ascii="宋体" w:hAnsi="宋体" w:eastAsia="宋体" w:cs="宋体"/>
                <w:color w:val="auto"/>
                <w:sz w:val="24"/>
                <w:szCs w:val="24"/>
                <w:lang w:val="en-US" w:eastAsia="zh-CN"/>
              </w:rPr>
              <w:t>因此，本项目选址可行。</w:t>
            </w:r>
          </w:p>
          <w:p w14:paraId="1C8E2B4E">
            <w:pPr>
              <w:keepNext w:val="0"/>
              <w:keepLines w:val="0"/>
              <w:pageBreakBefore w:val="0"/>
              <w:widowControl/>
              <w:kinsoku/>
              <w:wordWrap/>
              <w:overflowPunct/>
              <w:topLinePunct w:val="0"/>
              <w:autoSpaceDE/>
              <w:autoSpaceDN/>
              <w:bidi w:val="0"/>
              <w:adjustRightInd/>
              <w:snapToGrid/>
              <w:spacing w:line="240" w:lineRule="auto"/>
              <w:textAlignment w:val="center"/>
              <w:rPr>
                <w:rFonts w:hint="default" w:ascii="宋体" w:hAnsi="宋体" w:eastAsia="宋体" w:cs="宋体"/>
                <w:color w:val="auto"/>
                <w:sz w:val="24"/>
                <w:szCs w:val="24"/>
                <w:lang w:val="en-US" w:eastAsia="zh-CN"/>
              </w:rPr>
            </w:pPr>
            <w:r>
              <w:rPr>
                <w:rFonts w:hint="default" w:ascii="宋体" w:hAnsi="宋体" w:eastAsia="宋体" w:cs="宋体"/>
                <w:color w:val="auto"/>
                <w:sz w:val="24"/>
                <w:szCs w:val="24"/>
                <w:lang w:val="en-US" w:eastAsia="zh-CN"/>
              </w:rPr>
              <w:drawing>
                <wp:inline distT="0" distB="0" distL="114300" distR="114300">
                  <wp:extent cx="4382135" cy="2910840"/>
                  <wp:effectExtent l="0" t="0" r="18415" b="3810"/>
                  <wp:docPr id="55" name="图片 5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图片1"/>
                          <pic:cNvPicPr>
                            <a:picLocks noChangeAspect="1"/>
                          </pic:cNvPicPr>
                        </pic:nvPicPr>
                        <pic:blipFill>
                          <a:blip r:embed="rId7"/>
                          <a:stretch>
                            <a:fillRect/>
                          </a:stretch>
                        </pic:blipFill>
                        <pic:spPr>
                          <a:xfrm>
                            <a:off x="0" y="0"/>
                            <a:ext cx="4382135" cy="2910840"/>
                          </a:xfrm>
                          <a:prstGeom prst="rect">
                            <a:avLst/>
                          </a:prstGeom>
                        </pic:spPr>
                      </pic:pic>
                    </a:graphicData>
                  </a:graphic>
                </wp:inline>
              </w:drawing>
            </w:r>
          </w:p>
          <w:p w14:paraId="1D80CF7C">
            <w:pPr>
              <w:keepNext w:val="0"/>
              <w:keepLines/>
              <w:pageBreakBefore w:val="0"/>
              <w:widowControl w:val="0"/>
              <w:kinsoku/>
              <w:wordWrap/>
              <w:overflowPunct/>
              <w:topLinePunct w:val="0"/>
              <w:autoSpaceDE/>
              <w:autoSpaceDN/>
              <w:bidi w:val="0"/>
              <w:adjustRightInd/>
              <w:snapToGrid/>
              <w:spacing w:line="480" w:lineRule="exact"/>
              <w:ind w:firstLine="0" w:firstLineChars="0"/>
              <w:jc w:val="center"/>
              <w:textAlignment w:val="center"/>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 xml:space="preserve">图1-1  </w:t>
            </w:r>
            <w:r>
              <w:rPr>
                <w:rFonts w:hint="default" w:ascii="Times New Roman" w:hAnsi="Times New Roman" w:eastAsia="宋体" w:cs="Times New Roman"/>
                <w:b/>
                <w:bCs/>
                <w:color w:val="auto"/>
                <w:sz w:val="24"/>
                <w:szCs w:val="24"/>
                <w:lang w:val="en-US" w:eastAsia="zh-CN"/>
              </w:rPr>
              <w:t>本项目与西鄂尔多斯保护区位置关系图</w:t>
            </w:r>
          </w:p>
          <w:p w14:paraId="21A930E3">
            <w:pPr>
              <w:rPr>
                <w:rFonts w:hint="default"/>
                <w:color w:val="auto"/>
                <w:lang w:val="en-US" w:eastAsia="zh-CN"/>
              </w:rPr>
            </w:pPr>
          </w:p>
          <w:p w14:paraId="75F650A2">
            <w:pPr>
              <w:pStyle w:val="2"/>
              <w:rPr>
                <w:rFonts w:hint="default"/>
                <w:color w:val="auto"/>
                <w:lang w:val="en-US" w:eastAsia="zh-CN"/>
              </w:rPr>
            </w:pPr>
          </w:p>
          <w:p w14:paraId="1259D62F">
            <w:pPr>
              <w:rPr>
                <w:rFonts w:hint="default"/>
                <w:color w:val="auto"/>
                <w:lang w:val="en-US" w:eastAsia="zh-CN"/>
              </w:rPr>
            </w:pPr>
          </w:p>
          <w:p w14:paraId="10F87D89">
            <w:pPr>
              <w:pStyle w:val="2"/>
              <w:rPr>
                <w:rFonts w:hint="default"/>
                <w:color w:val="auto"/>
                <w:lang w:val="en-US" w:eastAsia="zh-CN"/>
              </w:rPr>
            </w:pPr>
          </w:p>
          <w:p w14:paraId="7C8CCC92">
            <w:pPr>
              <w:rPr>
                <w:rFonts w:hint="default"/>
                <w:color w:val="auto"/>
                <w:lang w:val="en-US" w:eastAsia="zh-CN"/>
              </w:rPr>
            </w:pPr>
          </w:p>
          <w:p w14:paraId="63D1579E">
            <w:pPr>
              <w:pStyle w:val="2"/>
              <w:rPr>
                <w:rFonts w:hint="default"/>
                <w:color w:val="auto"/>
                <w:lang w:val="en-US" w:eastAsia="zh-CN"/>
              </w:rPr>
            </w:pPr>
          </w:p>
          <w:p w14:paraId="5614B1CE">
            <w:pPr>
              <w:rPr>
                <w:rFonts w:hint="default"/>
                <w:color w:val="auto"/>
                <w:lang w:val="en-US" w:eastAsia="zh-CN"/>
              </w:rPr>
            </w:pPr>
          </w:p>
          <w:p w14:paraId="237C3420">
            <w:pPr>
              <w:pStyle w:val="2"/>
              <w:rPr>
                <w:rFonts w:hint="default"/>
                <w:color w:val="auto"/>
                <w:lang w:val="en-US" w:eastAsia="zh-CN"/>
              </w:rPr>
            </w:pPr>
          </w:p>
          <w:p w14:paraId="274BB5F8">
            <w:pPr>
              <w:rPr>
                <w:rFonts w:hint="default"/>
                <w:color w:val="auto"/>
                <w:lang w:val="en-US" w:eastAsia="zh-CN"/>
              </w:rPr>
            </w:pPr>
          </w:p>
          <w:p w14:paraId="4CB91E78">
            <w:pPr>
              <w:rPr>
                <w:rFonts w:hint="default"/>
                <w:color w:val="auto"/>
                <w:lang w:val="en-US" w:eastAsia="zh-CN"/>
              </w:rPr>
            </w:pPr>
          </w:p>
          <w:p w14:paraId="5D087010">
            <w:pPr>
              <w:pStyle w:val="2"/>
              <w:rPr>
                <w:rFonts w:hint="default"/>
                <w:color w:val="auto"/>
                <w:lang w:val="en-US" w:eastAsia="zh-CN"/>
              </w:rPr>
            </w:pPr>
          </w:p>
        </w:tc>
      </w:tr>
    </w:tbl>
    <w:p w14:paraId="272140D7">
      <w:pPr>
        <w:rPr>
          <w:color w:val="auto"/>
        </w:rPr>
      </w:pPr>
      <w:r>
        <w:rPr>
          <w:color w:val="auto"/>
        </w:rPr>
        <w:br w:type="page"/>
      </w:r>
    </w:p>
    <w:p w14:paraId="567B200A">
      <w:pPr>
        <w:pStyle w:val="9"/>
        <w:jc w:val="center"/>
        <w:outlineLvl w:val="0"/>
        <w:rPr>
          <w:rFonts w:hint="eastAsia" w:ascii="黑体" w:hAnsi="黑体" w:eastAsia="黑体" w:cs="Times New Roman"/>
          <w:snapToGrid w:val="0"/>
          <w:color w:val="auto"/>
          <w:sz w:val="30"/>
          <w:szCs w:val="30"/>
          <w:lang w:val="en-US" w:eastAsia="zh-CN"/>
        </w:rPr>
      </w:pPr>
      <w:r>
        <w:rPr>
          <w:rFonts w:hint="eastAsia" w:ascii="黑体" w:hAnsi="黑体" w:eastAsia="黑体" w:cs="Times New Roman"/>
          <w:snapToGrid w:val="0"/>
          <w:color w:val="auto"/>
          <w:sz w:val="30"/>
          <w:szCs w:val="30"/>
        </w:rPr>
        <w:t>二、建设项目工程分析</w:t>
      </w:r>
    </w:p>
    <w:tbl>
      <w:tblPr>
        <w:tblStyle w:val="1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0D2FBB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8769" w:hRule="atLeast"/>
          <w:jc w:val="center"/>
        </w:trPr>
        <w:tc>
          <w:tcPr>
            <w:tcW w:w="823" w:type="dxa"/>
            <w:noWrap w:val="0"/>
            <w:vAlign w:val="center"/>
          </w:tcPr>
          <w:p w14:paraId="4EC4A8E3">
            <w:pPr>
              <w:pStyle w:val="15"/>
              <w:keepNext w:val="0"/>
              <w:keepLines/>
              <w:pageBreakBefore w:val="0"/>
              <w:widowControl w:val="0"/>
              <w:kinsoku/>
              <w:wordWrap/>
              <w:topLinePunct w:val="0"/>
              <w:autoSpaceDE/>
              <w:autoSpaceDN/>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建设内容</w:t>
            </w:r>
          </w:p>
        </w:tc>
        <w:tc>
          <w:tcPr>
            <w:tcW w:w="8161" w:type="dxa"/>
            <w:noWrap w:val="0"/>
            <w:vAlign w:val="top"/>
          </w:tcPr>
          <w:p w14:paraId="61336F9B">
            <w:pPr>
              <w:keepNext w:val="0"/>
              <w:keepLines/>
              <w:pageBreakBefore w:val="0"/>
              <w:widowControl w:val="0"/>
              <w:kinsoku/>
              <w:wordWrap/>
              <w:overflowPunct/>
              <w:topLinePunct w:val="0"/>
              <w:autoSpaceDE/>
              <w:autoSpaceDN/>
              <w:bidi w:val="0"/>
              <w:adjustRightInd/>
              <w:snapToGrid/>
              <w:spacing w:line="480" w:lineRule="exact"/>
              <w:ind w:left="0" w:leftChars="0" w:firstLine="0" w:firstLineChars="0"/>
              <w:textAlignment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1、历史沿革</w:t>
            </w:r>
          </w:p>
          <w:p w14:paraId="7B2D9D9C">
            <w:pPr>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鄂尔多斯市蓝天白云环保材料有限公司成立于2013年，位于鄂尔多斯市鄂托克旗蒙西工业园区内，公司主要经营水处理剂的研发、生产、销售。</w:t>
            </w:r>
          </w:p>
          <w:p w14:paraId="5315C775">
            <w:pPr>
              <w:keepLines/>
              <w:spacing w:line="480" w:lineRule="exact"/>
              <w:ind w:firstLine="480" w:firstLineChars="200"/>
              <w:textAlignment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2013年11月</w:t>
            </w:r>
            <w:r>
              <w:rPr>
                <w:rFonts w:hint="eastAsia" w:cs="Times New Roman"/>
                <w:color w:val="auto"/>
                <w:sz w:val="24"/>
                <w:szCs w:val="24"/>
                <w:lang w:val="en-US" w:eastAsia="zh-CN"/>
              </w:rPr>
              <w:t>编制完成</w:t>
            </w:r>
            <w:r>
              <w:rPr>
                <w:rFonts w:hint="default" w:ascii="Times New Roman" w:hAnsi="Times New Roman" w:eastAsia="宋体" w:cs="Times New Roman"/>
                <w:color w:val="auto"/>
                <w:sz w:val="24"/>
                <w:szCs w:val="24"/>
                <w:lang w:val="en-US" w:eastAsia="zh-CN"/>
              </w:rPr>
              <w:t>《鄂尔多斯市蓝天白云环保材料有限责任公司利用粉煤灰生产聚合氯化铝</w:t>
            </w:r>
            <w:r>
              <w:rPr>
                <w:rFonts w:hint="eastAsia" w:cs="Times New Roman"/>
                <w:color w:val="auto"/>
                <w:sz w:val="24"/>
                <w:szCs w:val="24"/>
                <w:lang w:val="en-US" w:eastAsia="zh-CN"/>
              </w:rPr>
              <w:t>）（净水剂）</w:t>
            </w:r>
            <w:r>
              <w:rPr>
                <w:rFonts w:hint="default" w:ascii="Times New Roman" w:hAnsi="Times New Roman" w:eastAsia="宋体" w:cs="Times New Roman"/>
                <w:color w:val="auto"/>
                <w:sz w:val="24"/>
                <w:szCs w:val="24"/>
                <w:lang w:val="en-US" w:eastAsia="zh-CN"/>
              </w:rPr>
              <w:t>项目环境影响报告书》</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于2013年11月21日由原鄂尔多斯市环境保护局以鄂环评字</w:t>
            </w:r>
            <w:r>
              <w:rPr>
                <w:rFonts w:hint="eastAsia" w:ascii="宋体" w:hAnsi="宋体" w:eastAsia="宋体" w:cs="宋体"/>
                <w:color w:val="auto"/>
                <w:sz w:val="24"/>
                <w:szCs w:val="24"/>
                <w:lang w:val="en-US" w:eastAsia="zh-CN"/>
              </w:rPr>
              <w:t>〔</w:t>
            </w:r>
            <w:r>
              <w:rPr>
                <w:rFonts w:hint="default" w:ascii="Times New Roman" w:hAnsi="Times New Roman" w:eastAsia="宋体" w:cs="Times New Roman"/>
                <w:color w:val="auto"/>
                <w:sz w:val="24"/>
                <w:szCs w:val="24"/>
                <w:lang w:val="en-US" w:eastAsia="zh-CN"/>
              </w:rPr>
              <w:t>2013</w:t>
            </w:r>
            <w:r>
              <w:rPr>
                <w:rFonts w:hint="eastAsia" w:ascii="宋体" w:hAnsi="宋体" w:eastAsia="宋体" w:cs="宋体"/>
                <w:color w:val="auto"/>
                <w:sz w:val="24"/>
                <w:szCs w:val="24"/>
                <w:lang w:val="en-US" w:eastAsia="zh-CN"/>
              </w:rPr>
              <w:t>〕</w:t>
            </w:r>
            <w:r>
              <w:rPr>
                <w:rFonts w:hint="default" w:ascii="Times New Roman" w:hAnsi="Times New Roman" w:eastAsia="宋体" w:cs="Times New Roman"/>
                <w:color w:val="auto"/>
                <w:sz w:val="24"/>
                <w:szCs w:val="24"/>
                <w:lang w:val="en-US" w:eastAsia="zh-CN"/>
              </w:rPr>
              <w:t>431号文件给予该建设项目环境影响报告书批复，</w:t>
            </w:r>
            <w:r>
              <w:rPr>
                <w:color w:val="auto"/>
                <w:sz w:val="24"/>
              </w:rPr>
              <w:t>并于2019年1月3日由原鄂尔多斯市环境保护局以鄂环监字“</w:t>
            </w:r>
            <w:r>
              <w:rPr>
                <w:rFonts w:hint="eastAsia" w:ascii="宋体" w:hAnsi="宋体" w:cs="宋体"/>
                <w:color w:val="auto"/>
                <w:sz w:val="24"/>
              </w:rPr>
              <w:t>〔</w:t>
            </w:r>
            <w:r>
              <w:rPr>
                <w:color w:val="auto"/>
                <w:sz w:val="24"/>
              </w:rPr>
              <w:t>201</w:t>
            </w:r>
            <w:r>
              <w:rPr>
                <w:rFonts w:hint="eastAsia"/>
                <w:color w:val="auto"/>
                <w:sz w:val="24"/>
              </w:rPr>
              <w:t>9</w:t>
            </w:r>
            <w:r>
              <w:rPr>
                <w:rFonts w:hint="eastAsia" w:ascii="宋体" w:hAnsi="宋体" w:cs="宋体"/>
                <w:color w:val="auto"/>
                <w:sz w:val="24"/>
              </w:rPr>
              <w:t>〕</w:t>
            </w:r>
            <w:r>
              <w:rPr>
                <w:color w:val="auto"/>
                <w:sz w:val="24"/>
              </w:rPr>
              <w:t>5号”文件通过该项目竣工环境保护验收</w:t>
            </w:r>
            <w:r>
              <w:rPr>
                <w:rFonts w:hint="eastAsia"/>
                <w:color w:val="auto"/>
                <w:sz w:val="24"/>
                <w:lang w:eastAsia="zh-CN"/>
              </w:rPr>
              <w:t>（</w:t>
            </w:r>
            <w:r>
              <w:rPr>
                <w:rFonts w:hint="eastAsia"/>
                <w:color w:val="auto"/>
                <w:sz w:val="24"/>
                <w:lang w:val="en-US" w:eastAsia="zh-CN"/>
              </w:rPr>
              <w:t>验收内容为：噪声、固体废物</w:t>
            </w:r>
            <w:r>
              <w:rPr>
                <w:rFonts w:hint="eastAsia"/>
                <w:color w:val="auto"/>
                <w:sz w:val="24"/>
                <w:lang w:eastAsia="zh-CN"/>
              </w:rPr>
              <w:t>）</w:t>
            </w:r>
            <w:r>
              <w:rPr>
                <w:color w:val="auto"/>
                <w:sz w:val="24"/>
              </w:rPr>
              <w:t>，于2018年12月30日通过自主验收</w:t>
            </w:r>
            <w:r>
              <w:rPr>
                <w:rFonts w:hint="eastAsia"/>
                <w:color w:val="auto"/>
                <w:sz w:val="24"/>
                <w:lang w:eastAsia="zh-CN"/>
              </w:rPr>
              <w:t>（</w:t>
            </w:r>
            <w:r>
              <w:rPr>
                <w:rFonts w:hint="eastAsia"/>
                <w:color w:val="auto"/>
                <w:sz w:val="24"/>
                <w:lang w:val="en-US" w:eastAsia="zh-CN"/>
              </w:rPr>
              <w:t>验收内容为：废水、废气</w:t>
            </w:r>
            <w:r>
              <w:rPr>
                <w:rFonts w:hint="eastAsia"/>
                <w:color w:val="auto"/>
                <w:sz w:val="24"/>
                <w:lang w:eastAsia="zh-CN"/>
              </w:rPr>
              <w:t>）</w:t>
            </w:r>
            <w:r>
              <w:rPr>
                <w:color w:val="auto"/>
                <w:sz w:val="24"/>
              </w:rPr>
              <w:t>。</w:t>
            </w:r>
          </w:p>
          <w:p w14:paraId="763B767E">
            <w:pPr>
              <w:pStyle w:val="17"/>
              <w:ind w:left="0" w:leftChars="0" w:firstLine="480" w:firstLineChars="200"/>
              <w:rPr>
                <w:rFonts w:hint="eastAsia" w:cs="Times New Roman"/>
                <w:color w:val="auto"/>
                <w:sz w:val="24"/>
                <w:szCs w:val="24"/>
                <w:lang w:val="en-US" w:eastAsia="zh-CN"/>
              </w:rPr>
            </w:pPr>
            <w:r>
              <w:rPr>
                <w:rFonts w:hint="eastAsia" w:cs="Times New Roman"/>
                <w:color w:val="auto"/>
                <w:sz w:val="24"/>
                <w:szCs w:val="24"/>
                <w:lang w:val="en-US" w:eastAsia="zh-CN"/>
              </w:rPr>
              <w:t>项目位于鄂托克旗蒙西高新技术工业园区内，总占地面积为40000m</w:t>
            </w:r>
            <w:r>
              <w:rPr>
                <w:rFonts w:hint="eastAsia" w:cs="Times New Roman"/>
                <w:color w:val="auto"/>
                <w:sz w:val="24"/>
                <w:szCs w:val="24"/>
                <w:vertAlign w:val="superscript"/>
                <w:lang w:val="en-US" w:eastAsia="zh-CN"/>
              </w:rPr>
              <w:t>2</w:t>
            </w:r>
            <w:r>
              <w:rPr>
                <w:rFonts w:hint="eastAsia" w:cs="Times New Roman"/>
                <w:color w:val="auto"/>
                <w:sz w:val="24"/>
                <w:szCs w:val="24"/>
                <w:lang w:val="en-US" w:eastAsia="zh-CN"/>
              </w:rPr>
              <w:t>，生产规模为液体聚合氯化铝6.0万t/a，固体聚合氯化铝成品1.0万t/a。主要建设内容</w:t>
            </w:r>
            <w:r>
              <w:rPr>
                <w:rFonts w:ascii="Times New Roman" w:hAnsi="Times New Roman" w:cs="Times New Roman"/>
                <w:color w:val="auto"/>
              </w:rPr>
              <w:t>为聚合氯化铝生产线、综合楼、盐酸储罐、粉煤灰储罐等</w:t>
            </w:r>
            <w:r>
              <w:rPr>
                <w:rFonts w:hint="eastAsia" w:cs="Times New Roman"/>
                <w:color w:val="auto"/>
                <w:sz w:val="24"/>
                <w:szCs w:val="24"/>
                <w:lang w:val="en-US" w:eastAsia="zh-CN"/>
              </w:rPr>
              <w:t>。</w:t>
            </w:r>
          </w:p>
          <w:p w14:paraId="0930F893">
            <w:pPr>
              <w:pStyle w:val="17"/>
              <w:ind w:left="0" w:leftChars="0" w:firstLine="480" w:firstLineChars="200"/>
              <w:rPr>
                <w:rFonts w:hint="default" w:cs="Times New Roman"/>
                <w:color w:val="auto"/>
                <w:sz w:val="24"/>
                <w:szCs w:val="24"/>
                <w:lang w:val="en-US" w:eastAsia="zh-CN"/>
              </w:rPr>
            </w:pPr>
            <w:r>
              <w:rPr>
                <w:rFonts w:hint="default" w:cs="Times New Roman"/>
                <w:color w:val="auto"/>
                <w:sz w:val="24"/>
                <w:szCs w:val="24"/>
                <w:lang w:val="en-US" w:eastAsia="zh-CN"/>
              </w:rPr>
              <w:t>为满足不同市场需求，</w:t>
            </w:r>
            <w:r>
              <w:rPr>
                <w:rFonts w:hint="default" w:ascii="Times New Roman" w:hAnsi="Times New Roman" w:eastAsia="宋体" w:cs="Times New Roman"/>
                <w:color w:val="auto"/>
                <w:sz w:val="24"/>
                <w:szCs w:val="24"/>
                <w:lang w:val="en-US" w:eastAsia="zh-CN"/>
              </w:rPr>
              <w:t>鄂尔多斯市蓝天白云环保材料有限责任公司</w:t>
            </w:r>
            <w:r>
              <w:rPr>
                <w:rFonts w:hint="eastAsia" w:cs="Times New Roman"/>
                <w:color w:val="auto"/>
                <w:sz w:val="24"/>
                <w:szCs w:val="24"/>
                <w:lang w:val="en-US" w:eastAsia="zh-CN"/>
              </w:rPr>
              <w:t>决定</w:t>
            </w:r>
            <w:r>
              <w:rPr>
                <w:rFonts w:hint="default" w:cs="Times New Roman"/>
                <w:color w:val="auto"/>
                <w:sz w:val="24"/>
                <w:szCs w:val="24"/>
                <w:lang w:val="en-US" w:eastAsia="zh-CN"/>
              </w:rPr>
              <w:t>扩建现有固体聚合氯化铝生产线，新建液体硫酸铝。此外，现有项目产生的粉煤灰废渣量较大，均运往园区渣场处理，造成资源浪费，</w:t>
            </w:r>
            <w:r>
              <w:rPr>
                <w:rFonts w:hint="eastAsia" w:cs="Times New Roman"/>
                <w:color w:val="auto"/>
                <w:sz w:val="24"/>
                <w:szCs w:val="24"/>
                <w:lang w:val="en-US" w:eastAsia="zh-CN"/>
              </w:rPr>
              <w:t>建设单位</w:t>
            </w:r>
            <w:r>
              <w:rPr>
                <w:rFonts w:hint="default" w:cs="Times New Roman"/>
                <w:color w:val="auto"/>
                <w:sz w:val="24"/>
                <w:szCs w:val="24"/>
                <w:lang w:val="en-US" w:eastAsia="zh-CN"/>
              </w:rPr>
              <w:t>决定新建废渣综合利用生产线，使提取铝后的粉煤灰再次资源化利用。</w:t>
            </w:r>
          </w:p>
          <w:p w14:paraId="616703CC">
            <w:pPr>
              <w:keepLines/>
              <w:spacing w:line="480" w:lineRule="exact"/>
              <w:ind w:firstLine="480" w:firstLineChars="200"/>
              <w:textAlignment w:val="center"/>
              <w:rPr>
                <w:color w:val="auto"/>
                <w:sz w:val="24"/>
              </w:rPr>
            </w:pPr>
            <w:r>
              <w:rPr>
                <w:rFonts w:hint="eastAsia" w:cs="Times New Roman"/>
                <w:color w:val="auto"/>
                <w:sz w:val="24"/>
                <w:szCs w:val="24"/>
                <w:lang w:val="en-US" w:eastAsia="zh-CN"/>
              </w:rPr>
              <w:t>2021年3月由内蒙古信中环保科技发展有限责任公司编制完成《利用粉煤灰生产聚合氯化铝技改扩建项目环境影响报告书》，于2021年3月23日由鄂尔多斯市生态环境局以鄂环审字</w:t>
            </w:r>
            <w:r>
              <w:rPr>
                <w:rFonts w:hint="eastAsia" w:ascii="宋体" w:hAnsi="宋体" w:eastAsia="宋体" w:cs="宋体"/>
                <w:color w:val="auto"/>
                <w:sz w:val="24"/>
                <w:szCs w:val="24"/>
                <w:lang w:val="en-US" w:eastAsia="zh-CN"/>
              </w:rPr>
              <w:t>〔</w:t>
            </w:r>
            <w:r>
              <w:rPr>
                <w:rFonts w:hint="default" w:ascii="Times New Roman" w:hAnsi="Times New Roman" w:eastAsia="宋体" w:cs="Times New Roman"/>
                <w:color w:val="auto"/>
                <w:sz w:val="24"/>
                <w:szCs w:val="24"/>
                <w:lang w:val="en-US" w:eastAsia="zh-CN"/>
              </w:rPr>
              <w:t>20</w:t>
            </w:r>
            <w:r>
              <w:rPr>
                <w:rFonts w:hint="eastAsia" w:cs="Times New Roman"/>
                <w:color w:val="auto"/>
                <w:sz w:val="24"/>
                <w:szCs w:val="24"/>
                <w:lang w:val="en-US" w:eastAsia="zh-CN"/>
              </w:rPr>
              <w:t>21</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187号文件</w:t>
            </w:r>
            <w:r>
              <w:rPr>
                <w:rFonts w:hint="default" w:ascii="Times New Roman" w:hAnsi="Times New Roman" w:eastAsia="宋体" w:cs="Times New Roman"/>
                <w:color w:val="auto"/>
                <w:sz w:val="24"/>
                <w:szCs w:val="24"/>
                <w:lang w:val="en-US" w:eastAsia="zh-CN"/>
              </w:rPr>
              <w:t>给予该建设项目环境影响报告书批复</w:t>
            </w:r>
            <w:r>
              <w:rPr>
                <w:rFonts w:hint="eastAsia" w:cs="Times New Roman"/>
                <w:color w:val="auto"/>
                <w:sz w:val="24"/>
                <w:szCs w:val="24"/>
                <w:lang w:val="en-US" w:eastAsia="zh-CN"/>
              </w:rPr>
              <w:t>。</w:t>
            </w:r>
          </w:p>
          <w:p w14:paraId="4F69B037">
            <w:pPr>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现</w:t>
            </w:r>
            <w:r>
              <w:rPr>
                <w:rFonts w:hint="default" w:ascii="Times New Roman" w:hAnsi="Times New Roman" w:eastAsia="宋体" w:cs="Times New Roman"/>
                <w:color w:val="auto"/>
                <w:sz w:val="24"/>
                <w:szCs w:val="24"/>
                <w:lang w:val="en-US" w:eastAsia="zh-CN"/>
              </w:rPr>
              <w:t>产能为年产6万t/a液体聚合氯化铝成品、9万吨固体聚合氯化铝、2万t/a液体硫酸铝、</w:t>
            </w:r>
            <w:r>
              <w:rPr>
                <w:rFonts w:hint="eastAsia"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万m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保温板。</w:t>
            </w:r>
          </w:p>
          <w:p w14:paraId="466C7339">
            <w:pPr>
              <w:keepNext w:val="0"/>
              <w:keepLines/>
              <w:pageBreakBefore w:val="0"/>
              <w:widowControl w:val="0"/>
              <w:kinsoku/>
              <w:wordWrap/>
              <w:overflowPunct/>
              <w:topLinePunct w:val="0"/>
              <w:autoSpaceDE/>
              <w:autoSpaceDN/>
              <w:bidi w:val="0"/>
              <w:adjustRightInd/>
              <w:snapToGrid/>
              <w:spacing w:line="480" w:lineRule="exact"/>
              <w:ind w:left="0" w:leftChars="0" w:firstLine="0" w:firstLineChars="0"/>
              <w:textAlignment w:val="center"/>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2、现有工程概况</w:t>
            </w:r>
          </w:p>
          <w:p w14:paraId="44F10015">
            <w:pPr>
              <w:pStyle w:val="17"/>
              <w:ind w:left="0" w:leftChars="0" w:firstLine="480" w:firstLineChars="200"/>
              <w:rPr>
                <w:rFonts w:hint="eastAsia" w:ascii="Times New Roman" w:hAnsi="Times New Roman" w:eastAsia="宋体" w:cs="Times New Roman"/>
                <w:color w:val="auto"/>
                <w:lang w:val="en-US" w:eastAsia="zh-CN" w:bidi="mn-Mong-CN"/>
              </w:rPr>
            </w:pPr>
            <w:r>
              <w:rPr>
                <w:rFonts w:hint="eastAsia" w:cs="Times New Roman"/>
                <w:color w:val="auto"/>
                <w:lang w:val="en-US" w:eastAsia="zh-CN" w:bidi="mn-Mong-CN"/>
              </w:rPr>
              <w:t>（1）</w:t>
            </w:r>
            <w:r>
              <w:rPr>
                <w:rFonts w:hint="eastAsia" w:ascii="Times New Roman" w:hAnsi="Times New Roman" w:eastAsia="宋体" w:cs="Times New Roman"/>
                <w:color w:val="auto"/>
                <w:lang w:val="en-US" w:eastAsia="zh-CN" w:bidi="mn-Mong-CN"/>
              </w:rPr>
              <w:t>项目名称：利用粉煤灰生产聚合氯化铝技改扩建项目</w:t>
            </w:r>
          </w:p>
          <w:p w14:paraId="199B413C">
            <w:pPr>
              <w:pStyle w:val="17"/>
              <w:ind w:left="0" w:leftChars="0" w:firstLine="480" w:firstLineChars="200"/>
              <w:rPr>
                <w:rFonts w:hint="eastAsia" w:ascii="Times New Roman" w:hAnsi="Times New Roman" w:eastAsia="宋体" w:cs="Times New Roman"/>
                <w:color w:val="auto"/>
                <w:lang w:val="en-US" w:eastAsia="zh-CN" w:bidi="mn-Mong-CN"/>
              </w:rPr>
            </w:pPr>
            <w:r>
              <w:rPr>
                <w:rFonts w:hint="eastAsia" w:cs="Times New Roman"/>
                <w:color w:val="auto"/>
                <w:lang w:val="en-US" w:eastAsia="zh-CN" w:bidi="mn-Mong-CN"/>
              </w:rPr>
              <w:t>（2）</w:t>
            </w:r>
            <w:r>
              <w:rPr>
                <w:rFonts w:hint="eastAsia" w:ascii="Times New Roman" w:hAnsi="Times New Roman" w:eastAsia="宋体" w:cs="Times New Roman"/>
                <w:color w:val="auto"/>
                <w:lang w:val="en-US" w:eastAsia="zh-CN" w:bidi="mn-Mong-CN"/>
              </w:rPr>
              <w:t>建设性质：改扩建</w:t>
            </w:r>
          </w:p>
          <w:p w14:paraId="625D92AC">
            <w:pPr>
              <w:pStyle w:val="17"/>
              <w:ind w:left="0" w:leftChars="0" w:firstLine="480" w:firstLineChars="200"/>
              <w:rPr>
                <w:rFonts w:hint="eastAsia" w:ascii="Times New Roman" w:hAnsi="Times New Roman" w:eastAsia="宋体" w:cs="Times New Roman"/>
                <w:color w:val="auto"/>
                <w:lang w:val="en-US" w:eastAsia="zh-CN" w:bidi="mn-Mong-CN"/>
              </w:rPr>
            </w:pPr>
            <w:r>
              <w:rPr>
                <w:rFonts w:hint="eastAsia" w:cs="Times New Roman"/>
                <w:color w:val="auto"/>
                <w:lang w:val="en-US" w:eastAsia="zh-CN" w:bidi="mn-Mong-CN"/>
              </w:rPr>
              <w:t>（3）</w:t>
            </w:r>
            <w:r>
              <w:rPr>
                <w:rFonts w:hint="eastAsia" w:ascii="Times New Roman" w:hAnsi="Times New Roman" w:eastAsia="宋体" w:cs="Times New Roman"/>
                <w:color w:val="auto"/>
                <w:lang w:val="en-US" w:eastAsia="zh-CN" w:bidi="mn-Mong-CN"/>
              </w:rPr>
              <w:t>建设单位：鄂尔多斯市蓝天白云环保材料有限责任公司</w:t>
            </w:r>
          </w:p>
          <w:p w14:paraId="038AF363">
            <w:pPr>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eastAsia" w:cs="Times New Roman"/>
                <w:color w:val="auto"/>
                <w:sz w:val="24"/>
                <w:szCs w:val="24"/>
                <w:lang w:val="en-US" w:eastAsia="zh-CN"/>
              </w:rPr>
            </w:pPr>
            <w:r>
              <w:rPr>
                <w:rFonts w:hint="eastAsia" w:cs="Times New Roman"/>
                <w:color w:val="auto"/>
                <w:sz w:val="24"/>
                <w:szCs w:val="24"/>
                <w:lang w:val="en-US" w:eastAsia="zh-CN"/>
              </w:rPr>
              <w:t>（4）建设地点：鄂尔多斯市鄂托克旗蒙西工业园，场地中心坐标为：东经106°47′7.34062″，北纬39°51′46.35493″。</w:t>
            </w:r>
          </w:p>
          <w:p w14:paraId="3D93EB8F">
            <w:pPr>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cs="Times New Roman"/>
                <w:color w:val="auto"/>
                <w:sz w:val="24"/>
                <w:szCs w:val="24"/>
                <w:lang w:val="en-US" w:eastAsia="zh-CN"/>
              </w:rPr>
            </w:pPr>
            <w:r>
              <w:rPr>
                <w:rFonts w:hint="eastAsia" w:cs="Times New Roman"/>
                <w:color w:val="auto"/>
                <w:sz w:val="24"/>
                <w:szCs w:val="24"/>
                <w:lang w:val="en-US" w:eastAsia="zh-CN"/>
              </w:rPr>
              <w:t>（5）占地面积：扩建项目新增占地7500m</w:t>
            </w:r>
            <w:r>
              <w:rPr>
                <w:rFonts w:hint="eastAsia" w:cs="Times New Roman"/>
                <w:color w:val="auto"/>
                <w:sz w:val="24"/>
                <w:szCs w:val="24"/>
                <w:vertAlign w:val="superscript"/>
                <w:lang w:val="en-US" w:eastAsia="zh-CN"/>
              </w:rPr>
              <w:t>2</w:t>
            </w:r>
            <w:r>
              <w:rPr>
                <w:rFonts w:hint="eastAsia" w:cs="Times New Roman"/>
                <w:color w:val="auto"/>
                <w:sz w:val="24"/>
                <w:szCs w:val="24"/>
                <w:lang w:val="en-US" w:eastAsia="zh-CN"/>
              </w:rPr>
              <w:t>，扩建后总占地面积47500m</w:t>
            </w:r>
            <w:r>
              <w:rPr>
                <w:rFonts w:hint="eastAsia" w:cs="Times New Roman"/>
                <w:color w:val="auto"/>
                <w:sz w:val="24"/>
                <w:szCs w:val="24"/>
                <w:vertAlign w:val="superscript"/>
                <w:lang w:val="en-US" w:eastAsia="zh-CN"/>
              </w:rPr>
              <w:t>2</w:t>
            </w:r>
            <w:r>
              <w:rPr>
                <w:rFonts w:hint="eastAsia" w:cs="Times New Roman"/>
                <w:color w:val="auto"/>
                <w:sz w:val="24"/>
                <w:szCs w:val="24"/>
                <w:lang w:val="en-US" w:eastAsia="zh-CN"/>
              </w:rPr>
              <w:t>。</w:t>
            </w:r>
          </w:p>
          <w:p w14:paraId="382744AE">
            <w:pPr>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（6）扩建内容为：</w:t>
            </w:r>
            <w:r>
              <w:rPr>
                <w:rFonts w:hint="default" w:ascii="Times New Roman" w:hAnsi="Times New Roman" w:eastAsia="宋体" w:cs="Times New Roman"/>
                <w:color w:val="auto"/>
                <w:sz w:val="24"/>
                <w:szCs w:val="24"/>
                <w:lang w:val="en-US" w:eastAsia="zh-CN"/>
              </w:rPr>
              <w:t>在</w:t>
            </w:r>
            <w:r>
              <w:rPr>
                <w:rFonts w:hint="eastAsia" w:cs="Times New Roman"/>
                <w:color w:val="auto"/>
                <w:sz w:val="24"/>
                <w:szCs w:val="24"/>
                <w:lang w:val="en-US" w:eastAsia="zh-CN"/>
              </w:rPr>
              <w:t>原</w:t>
            </w:r>
            <w:r>
              <w:rPr>
                <w:rFonts w:hint="default" w:ascii="Times New Roman" w:hAnsi="Times New Roman" w:eastAsia="宋体" w:cs="Times New Roman"/>
                <w:color w:val="auto"/>
                <w:sz w:val="24"/>
                <w:szCs w:val="24"/>
                <w:lang w:val="en-US" w:eastAsia="zh-CN"/>
              </w:rPr>
              <w:t>有6万t/a液体聚合氯化铝成品、1万t/a固体聚合氯</w:t>
            </w:r>
            <w:r>
              <w:rPr>
                <w:rFonts w:hint="eastAsia"/>
                <w:color w:val="auto"/>
                <w:sz w:val="24"/>
                <w:lang w:val="en-US" w:eastAsia="zh-CN"/>
              </w:rPr>
              <w:t>”</w:t>
            </w:r>
            <w:r>
              <w:rPr>
                <w:rFonts w:hint="default" w:ascii="Times New Roman" w:hAnsi="Times New Roman" w:eastAsia="宋体" w:cs="Times New Roman"/>
                <w:color w:val="auto"/>
                <w:sz w:val="24"/>
                <w:szCs w:val="24"/>
                <w:lang w:val="en-US" w:eastAsia="zh-CN"/>
              </w:rPr>
              <w:t>化铝生产规模的基础上，进行改扩建工程：</w:t>
            </w:r>
          </w:p>
          <w:p w14:paraId="6780D744">
            <w:pPr>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①</w:t>
            </w:r>
            <w:r>
              <w:rPr>
                <w:rFonts w:hint="default" w:ascii="Times New Roman" w:hAnsi="Times New Roman" w:eastAsia="宋体" w:cs="Times New Roman"/>
                <w:color w:val="auto"/>
                <w:sz w:val="24"/>
                <w:szCs w:val="24"/>
                <w:lang w:val="en-US" w:eastAsia="zh-CN"/>
              </w:rPr>
              <w:t>扩增8万吨/年固体聚合氯化铝生产；</w:t>
            </w:r>
          </w:p>
          <w:p w14:paraId="38AB62DF">
            <w:pPr>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②</w:t>
            </w:r>
            <w:r>
              <w:rPr>
                <w:rFonts w:hint="default" w:ascii="Times New Roman" w:hAnsi="Times New Roman" w:eastAsia="宋体" w:cs="Times New Roman"/>
                <w:color w:val="auto"/>
                <w:sz w:val="24"/>
                <w:szCs w:val="24"/>
                <w:lang w:val="en-US" w:eastAsia="zh-CN"/>
              </w:rPr>
              <w:t>新增2万吨/年液体硫酸铝生产，依托现有液体聚合氯化铝生产线生产；</w:t>
            </w:r>
          </w:p>
          <w:p w14:paraId="3B49C976">
            <w:pPr>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③</w:t>
            </w:r>
            <w:r>
              <w:rPr>
                <w:rFonts w:hint="default" w:ascii="Times New Roman" w:hAnsi="Times New Roman" w:eastAsia="宋体" w:cs="Times New Roman"/>
                <w:color w:val="auto"/>
                <w:sz w:val="24"/>
                <w:szCs w:val="24"/>
                <w:lang w:val="en-US" w:eastAsia="zh-CN"/>
              </w:rPr>
              <w:t>新建废渣综合利用生产线一条（年可综合利用废渣4.7万吨，主要产品为轻质保温板）。</w:t>
            </w:r>
          </w:p>
          <w:p w14:paraId="15348CF9">
            <w:pPr>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扩建工程</w:t>
            </w:r>
            <w:r>
              <w:rPr>
                <w:rFonts w:hint="default" w:ascii="Times New Roman" w:hAnsi="Times New Roman" w:eastAsia="宋体" w:cs="Times New Roman"/>
                <w:color w:val="auto"/>
                <w:sz w:val="24"/>
                <w:szCs w:val="24"/>
                <w:lang w:val="en-US" w:eastAsia="zh-CN"/>
              </w:rPr>
              <w:t>分期建设，一期年产2万t/a固体聚合氯化铝、2万t/a液体硫酸铝，二期年产6万吨/年固体聚合氯化铝、</w:t>
            </w:r>
            <w:r>
              <w:rPr>
                <w:rFonts w:hint="eastAsia"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万m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保温板。</w:t>
            </w:r>
          </w:p>
          <w:p w14:paraId="04480E66">
            <w:pPr>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扩建后总产能为年产6万t/a液体聚合氯化铝成品、9万吨固体聚合氯化铝、2万吨/年液体硫酸铝成品及</w:t>
            </w:r>
            <w:r>
              <w:rPr>
                <w:rFonts w:hint="eastAsia"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万m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保温板。</w:t>
            </w:r>
          </w:p>
          <w:p w14:paraId="20B04586">
            <w:pPr>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现有项目工程建设内容见表2-3。</w:t>
            </w:r>
          </w:p>
          <w:p w14:paraId="7AE0E775">
            <w:pPr>
              <w:pStyle w:val="17"/>
              <w:ind w:left="0" w:leftChars="0" w:firstLine="480" w:firstLineChars="200"/>
              <w:rPr>
                <w:rFonts w:hint="default" w:cs="Times New Roman"/>
                <w:b w:val="0"/>
                <w:bCs w:val="0"/>
                <w:color w:val="auto"/>
                <w:sz w:val="24"/>
                <w:szCs w:val="24"/>
                <w:lang w:val="en-US" w:eastAsia="zh-CN"/>
              </w:rPr>
            </w:pPr>
            <w:r>
              <w:rPr>
                <w:rFonts w:hint="eastAsia" w:cs="Times New Roman"/>
                <w:b w:val="0"/>
                <w:bCs w:val="0"/>
                <w:color w:val="auto"/>
                <w:sz w:val="24"/>
                <w:szCs w:val="24"/>
                <w:lang w:val="en-US" w:eastAsia="zh-CN"/>
              </w:rPr>
              <w:t>（7）与本项目相关的现有工程</w:t>
            </w:r>
            <w:r>
              <w:rPr>
                <w:rFonts w:hint="default" w:ascii="Times New Roman" w:hAnsi="Times New Roman" w:eastAsia="宋体" w:cs="Times New Roman"/>
                <w:b w:val="0"/>
                <w:bCs w:val="0"/>
                <w:color w:val="auto"/>
                <w:sz w:val="24"/>
                <w:szCs w:val="24"/>
                <w:lang w:val="en-US" w:eastAsia="zh-CN"/>
              </w:rPr>
              <w:t>工艺流程及产排污</w:t>
            </w:r>
            <w:r>
              <w:rPr>
                <w:rFonts w:hint="eastAsia" w:cs="Times New Roman"/>
                <w:b w:val="0"/>
                <w:bCs w:val="0"/>
                <w:color w:val="auto"/>
                <w:sz w:val="24"/>
                <w:szCs w:val="24"/>
                <w:lang w:val="en-US" w:eastAsia="zh-CN"/>
              </w:rPr>
              <w:t>情况：</w:t>
            </w:r>
          </w:p>
          <w:p w14:paraId="379545D9">
            <w:pPr>
              <w:pStyle w:val="17"/>
              <w:ind w:left="0" w:leftChars="0" w:firstLine="480" w:firstLineChars="200"/>
              <w:rPr>
                <w:rFonts w:hint="default" w:cs="Times New Roman"/>
                <w:b w:val="0"/>
                <w:bCs w:val="0"/>
                <w:color w:val="auto"/>
                <w:sz w:val="24"/>
                <w:szCs w:val="24"/>
                <w:lang w:val="en-US" w:eastAsia="zh-CN"/>
              </w:rPr>
            </w:pPr>
            <w:r>
              <w:rPr>
                <w:rFonts w:hint="eastAsia" w:cs="Times New Roman"/>
                <w:b w:val="0"/>
                <w:bCs w:val="0"/>
                <w:color w:val="auto"/>
                <w:sz w:val="24"/>
                <w:szCs w:val="24"/>
                <w:lang w:val="en-US" w:eastAsia="zh-CN"/>
              </w:rPr>
              <w:t>本次技改工程针对现有固体聚合氯化铝生产线喷雾干燥塔热源进行技改，现有</w:t>
            </w:r>
            <w:r>
              <w:rPr>
                <w:rFonts w:hint="default" w:ascii="Times New Roman" w:hAnsi="Times New Roman" w:eastAsia="宋体" w:cs="Times New Roman"/>
                <w:b w:val="0"/>
                <w:bCs w:val="0"/>
                <w:color w:val="auto"/>
                <w:sz w:val="24"/>
                <w:szCs w:val="24"/>
                <w:lang w:val="en-US" w:eastAsia="zh-CN"/>
              </w:rPr>
              <w:t>固体聚合氯化铝生产工艺流程及产排污环节</w:t>
            </w:r>
            <w:r>
              <w:rPr>
                <w:rFonts w:hint="eastAsia" w:cs="Times New Roman"/>
                <w:b w:val="0"/>
                <w:bCs w:val="0"/>
                <w:color w:val="auto"/>
                <w:sz w:val="24"/>
                <w:szCs w:val="24"/>
                <w:lang w:val="en-US" w:eastAsia="zh-CN"/>
              </w:rPr>
              <w:t>如下，</w:t>
            </w:r>
            <w:r>
              <w:rPr>
                <w:rFonts w:hint="default" w:ascii="Times New Roman" w:hAnsi="Times New Roman" w:eastAsia="宋体" w:cs="Times New Roman"/>
                <w:b w:val="0"/>
                <w:bCs w:val="0"/>
                <w:color w:val="auto"/>
                <w:sz w:val="24"/>
                <w:szCs w:val="24"/>
                <w:lang w:val="en-US" w:eastAsia="zh-CN"/>
              </w:rPr>
              <w:t>工艺</w:t>
            </w:r>
            <w:r>
              <w:rPr>
                <w:rFonts w:hint="eastAsia" w:cs="Times New Roman"/>
                <w:b w:val="0"/>
                <w:bCs w:val="0"/>
                <w:color w:val="auto"/>
                <w:sz w:val="24"/>
                <w:szCs w:val="24"/>
                <w:lang w:val="en-US" w:eastAsia="zh-CN"/>
              </w:rPr>
              <w:t>流程</w:t>
            </w:r>
            <w:r>
              <w:rPr>
                <w:rFonts w:hint="default" w:ascii="Times New Roman" w:hAnsi="Times New Roman" w:eastAsia="宋体" w:cs="Times New Roman"/>
                <w:b w:val="0"/>
                <w:bCs w:val="0"/>
                <w:color w:val="auto"/>
                <w:sz w:val="24"/>
                <w:szCs w:val="24"/>
                <w:lang w:val="en-US" w:eastAsia="zh-CN"/>
              </w:rPr>
              <w:t>及产排污节点图</w:t>
            </w:r>
            <w:r>
              <w:rPr>
                <w:rFonts w:hint="eastAsia" w:cs="Times New Roman"/>
                <w:b w:val="0"/>
                <w:bCs w:val="0"/>
                <w:color w:val="auto"/>
                <w:sz w:val="24"/>
                <w:szCs w:val="24"/>
                <w:lang w:val="en-US" w:eastAsia="zh-CN"/>
              </w:rPr>
              <w:t>见</w:t>
            </w:r>
            <w:r>
              <w:rPr>
                <w:rFonts w:hint="default" w:ascii="Times New Roman" w:hAnsi="Times New Roman" w:eastAsia="宋体" w:cs="Times New Roman"/>
                <w:b w:val="0"/>
                <w:bCs w:val="0"/>
                <w:color w:val="auto"/>
                <w:sz w:val="24"/>
                <w:szCs w:val="24"/>
                <w:lang w:val="en-US" w:eastAsia="zh-CN"/>
              </w:rPr>
              <w:t>图2</w:t>
            </w:r>
            <w:r>
              <w:rPr>
                <w:rFonts w:hint="eastAsia" w:ascii="Times New Roman" w:hAnsi="Times New Roman" w:eastAsia="宋体" w:cs="Times New Roman"/>
                <w:b w:val="0"/>
                <w:bCs w:val="0"/>
                <w:color w:val="auto"/>
                <w:sz w:val="24"/>
                <w:szCs w:val="24"/>
                <w:lang w:val="en-US" w:eastAsia="zh-CN"/>
              </w:rPr>
              <w:t>-3</w:t>
            </w:r>
            <w:r>
              <w:rPr>
                <w:rFonts w:hint="eastAsia" w:cs="Times New Roman"/>
                <w:b w:val="0"/>
                <w:bCs w:val="0"/>
                <w:color w:val="auto"/>
                <w:sz w:val="24"/>
                <w:szCs w:val="24"/>
                <w:lang w:val="en-US" w:eastAsia="zh-CN"/>
              </w:rPr>
              <w:t>：</w:t>
            </w:r>
          </w:p>
          <w:p w14:paraId="2D94DC7A">
            <w:pPr>
              <w:pStyle w:val="17"/>
              <w:ind w:left="0" w:leftChars="0" w:firstLine="480" w:firstLineChars="200"/>
              <w:rPr>
                <w:rFonts w:hint="eastAsia" w:cs="Times New Roman"/>
                <w:b w:val="0"/>
                <w:bCs w:val="0"/>
                <w:color w:val="auto"/>
                <w:sz w:val="24"/>
                <w:szCs w:val="24"/>
                <w:lang w:val="en-US" w:eastAsia="zh-CN"/>
              </w:rPr>
            </w:pPr>
            <w:r>
              <w:rPr>
                <w:rFonts w:hint="eastAsia" w:cs="Times New Roman"/>
                <w:b w:val="0"/>
                <w:bCs w:val="0"/>
                <w:color w:val="auto"/>
                <w:sz w:val="24"/>
                <w:szCs w:val="24"/>
                <w:lang w:val="en-US" w:eastAsia="zh-CN"/>
              </w:rPr>
              <w:t>①现有工程</w:t>
            </w:r>
            <w:r>
              <w:rPr>
                <w:rFonts w:hint="default" w:ascii="Times New Roman" w:hAnsi="Times New Roman" w:eastAsia="宋体" w:cs="Times New Roman"/>
                <w:b w:val="0"/>
                <w:bCs w:val="0"/>
                <w:color w:val="auto"/>
                <w:sz w:val="24"/>
                <w:szCs w:val="24"/>
                <w:lang w:val="en-US" w:eastAsia="zh-CN"/>
              </w:rPr>
              <w:t>固体聚合氯化铝生产工艺流程及产排污环节</w:t>
            </w:r>
            <w:r>
              <w:rPr>
                <w:rFonts w:hint="eastAsia" w:cs="Times New Roman"/>
                <w:b w:val="0"/>
                <w:bCs w:val="0"/>
                <w:color w:val="auto"/>
                <w:sz w:val="24"/>
                <w:szCs w:val="24"/>
                <w:lang w:val="en-US" w:eastAsia="zh-CN"/>
              </w:rPr>
              <w:t>：</w:t>
            </w:r>
          </w:p>
          <w:p w14:paraId="7BA368F3">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cs="Times New Roman"/>
                <w:b w:val="0"/>
                <w:bCs w:val="0"/>
                <w:color w:val="auto"/>
                <w:kern w:val="2"/>
                <w:sz w:val="24"/>
                <w:szCs w:val="24"/>
                <w:lang w:val="en-US" w:eastAsia="zh-CN"/>
              </w:rPr>
            </w:pPr>
            <w:r>
              <w:rPr>
                <w:rFonts w:hint="eastAsia" w:ascii="Times New Roman" w:hAnsi="Times New Roman" w:cs="Times New Roman"/>
                <w:b w:val="0"/>
                <w:bCs w:val="0"/>
                <w:color w:val="auto"/>
                <w:kern w:val="2"/>
                <w:sz w:val="24"/>
                <w:szCs w:val="24"/>
                <w:lang w:val="en-US" w:eastAsia="zh-CN"/>
              </w:rPr>
              <w:t>生产聚合氯化铝所采用的生产工艺为酸溶法，酸法处理粉煤灰的基本原理是用盐酸在一定温度下溶出粉煤灰中的大部分氧化铝（溶出率60%），酸溶后的料浆进行固液分离洗涤，固体部分送园区渣场处理或作为生产保温板的原料回收利用，液体则通过投加添加剂铝酸钙粉聚合反应后得到液体聚合氯化铝，通过喷雾干燥设备烘干后得到固体产品。</w:t>
            </w:r>
          </w:p>
          <w:p w14:paraId="6F15720A">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cs="Times New Roman"/>
                <w:b w:val="0"/>
                <w:bCs w:val="0"/>
                <w:color w:val="auto"/>
                <w:kern w:val="2"/>
                <w:sz w:val="24"/>
                <w:szCs w:val="24"/>
                <w:lang w:val="en-US" w:eastAsia="zh-CN"/>
              </w:rPr>
            </w:pPr>
            <w:r>
              <w:rPr>
                <w:rFonts w:hint="eastAsia" w:ascii="Times New Roman" w:hAnsi="Times New Roman" w:cs="Times New Roman"/>
                <w:b w:val="0"/>
                <w:bCs w:val="0"/>
                <w:color w:val="auto"/>
                <w:kern w:val="2"/>
                <w:sz w:val="24"/>
                <w:szCs w:val="24"/>
                <w:lang w:val="en-US" w:eastAsia="zh-CN"/>
              </w:rPr>
              <w:t>发生的主</w:t>
            </w:r>
            <w:r>
              <w:rPr>
                <w:rFonts w:hint="eastAsia" w:cs="Times New Roman"/>
                <w:b w:val="0"/>
                <w:bCs w:val="0"/>
                <w:color w:val="auto"/>
                <w:kern w:val="2"/>
                <w:sz w:val="24"/>
                <w:szCs w:val="24"/>
                <w:lang w:val="en-US" w:eastAsia="zh-CN"/>
              </w:rPr>
              <w:t>要</w:t>
            </w:r>
            <w:r>
              <w:rPr>
                <w:rFonts w:hint="eastAsia" w:ascii="Times New Roman" w:hAnsi="Times New Roman" w:cs="Times New Roman"/>
                <w:b w:val="0"/>
                <w:bCs w:val="0"/>
                <w:color w:val="auto"/>
                <w:kern w:val="2"/>
                <w:sz w:val="24"/>
                <w:szCs w:val="24"/>
                <w:lang w:val="en-US" w:eastAsia="zh-CN"/>
              </w:rPr>
              <w:t>反应如下：</w:t>
            </w:r>
          </w:p>
          <w:p w14:paraId="1C4945FF">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cs="Times New Roman"/>
                <w:b w:val="0"/>
                <w:bCs w:val="0"/>
                <w:color w:val="auto"/>
                <w:kern w:val="2"/>
                <w:sz w:val="24"/>
                <w:szCs w:val="24"/>
                <w:lang w:val="en-US" w:eastAsia="zh-CN"/>
              </w:rPr>
            </w:pPr>
            <w:r>
              <w:rPr>
                <w:rFonts w:hint="eastAsia" w:ascii="Times New Roman" w:hAnsi="Times New Roman" w:cs="Times New Roman"/>
                <w:b w:val="0"/>
                <w:bCs w:val="0"/>
                <w:color w:val="auto"/>
                <w:kern w:val="2"/>
                <w:sz w:val="24"/>
                <w:szCs w:val="24"/>
                <w:lang w:val="en-US" w:eastAsia="zh-CN"/>
              </w:rPr>
              <w:t>Al</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w:t>
            </w:r>
            <w:r>
              <w:rPr>
                <w:rFonts w:hint="eastAsia" w:ascii="Times New Roman" w:hAnsi="Times New Roman" w:cs="Times New Roman"/>
                <w:b w:val="0"/>
                <w:bCs w:val="0"/>
                <w:color w:val="auto"/>
                <w:kern w:val="2"/>
                <w:sz w:val="24"/>
                <w:szCs w:val="24"/>
                <w:vertAlign w:val="subscript"/>
                <w:lang w:val="en-US" w:eastAsia="zh-CN"/>
              </w:rPr>
              <w:t>3</w:t>
            </w:r>
            <w:r>
              <w:rPr>
                <w:rFonts w:hint="eastAsia" w:ascii="Times New Roman" w:hAnsi="Times New Roman" w:cs="Times New Roman"/>
                <w:b w:val="0"/>
                <w:bCs w:val="0"/>
                <w:color w:val="auto"/>
                <w:kern w:val="2"/>
                <w:sz w:val="24"/>
                <w:szCs w:val="24"/>
                <w:lang w:val="en-US" w:eastAsia="zh-CN"/>
              </w:rPr>
              <w:t>+6HCl+3H</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O=2AlCl</w:t>
            </w:r>
            <w:r>
              <w:rPr>
                <w:rFonts w:hint="eastAsia" w:ascii="Times New Roman" w:hAnsi="Times New Roman" w:cs="Times New Roman"/>
                <w:b w:val="0"/>
                <w:bCs w:val="0"/>
                <w:color w:val="auto"/>
                <w:kern w:val="2"/>
                <w:sz w:val="24"/>
                <w:szCs w:val="24"/>
                <w:vertAlign w:val="subscript"/>
                <w:lang w:val="en-US" w:eastAsia="zh-CN"/>
              </w:rPr>
              <w:t>3</w:t>
            </w:r>
            <w:r>
              <w:rPr>
                <w:rFonts w:hint="eastAsia" w:ascii="Times New Roman" w:hAnsi="Times New Roman" w:cs="Times New Roman"/>
                <w:b w:val="0"/>
                <w:bCs w:val="0"/>
                <w:color w:val="auto"/>
                <w:kern w:val="2"/>
                <w:sz w:val="24"/>
                <w:szCs w:val="24"/>
                <w:lang w:val="en-US" w:eastAsia="zh-CN"/>
              </w:rPr>
              <w:t>•6H</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w:t>
            </w:r>
          </w:p>
          <w:p w14:paraId="76C6C609">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cs="Times New Roman"/>
                <w:b w:val="0"/>
                <w:bCs w:val="0"/>
                <w:color w:val="auto"/>
                <w:kern w:val="2"/>
                <w:sz w:val="24"/>
                <w:szCs w:val="24"/>
                <w:lang w:val="en-US" w:eastAsia="zh-CN"/>
              </w:rPr>
            </w:pPr>
            <w:r>
              <w:rPr>
                <w:rFonts w:hint="eastAsia" w:ascii="Times New Roman" w:hAnsi="Times New Roman" w:cs="Times New Roman"/>
                <w:b w:val="0"/>
                <w:bCs w:val="0"/>
                <w:color w:val="auto"/>
                <w:kern w:val="2"/>
                <w:sz w:val="24"/>
                <w:szCs w:val="24"/>
                <w:lang w:val="en-US" w:eastAsia="zh-CN"/>
              </w:rPr>
              <w:t>Al(OH)</w:t>
            </w:r>
            <w:r>
              <w:rPr>
                <w:rFonts w:hint="eastAsia" w:ascii="Times New Roman" w:hAnsi="Times New Roman" w:cs="Times New Roman"/>
                <w:b w:val="0"/>
                <w:bCs w:val="0"/>
                <w:color w:val="auto"/>
                <w:kern w:val="2"/>
                <w:sz w:val="24"/>
                <w:szCs w:val="24"/>
                <w:vertAlign w:val="subscript"/>
                <w:lang w:val="en-US" w:eastAsia="zh-CN"/>
              </w:rPr>
              <w:t>3</w:t>
            </w:r>
            <w:r>
              <w:rPr>
                <w:rFonts w:hint="eastAsia" w:ascii="Times New Roman" w:hAnsi="Times New Roman" w:cs="Times New Roman"/>
                <w:b w:val="0"/>
                <w:bCs w:val="0"/>
                <w:color w:val="auto"/>
                <w:kern w:val="2"/>
                <w:sz w:val="24"/>
                <w:szCs w:val="24"/>
                <w:lang w:val="en-US" w:eastAsia="zh-CN"/>
              </w:rPr>
              <w:t>+3HCl+3H</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O=AlCl</w:t>
            </w:r>
            <w:r>
              <w:rPr>
                <w:rFonts w:hint="eastAsia" w:ascii="Times New Roman" w:hAnsi="Times New Roman" w:cs="Times New Roman"/>
                <w:b w:val="0"/>
                <w:bCs w:val="0"/>
                <w:color w:val="auto"/>
                <w:kern w:val="2"/>
                <w:sz w:val="24"/>
                <w:szCs w:val="24"/>
                <w:vertAlign w:val="subscript"/>
                <w:lang w:val="en-US" w:eastAsia="zh-CN"/>
              </w:rPr>
              <w:t>3</w:t>
            </w:r>
            <w:r>
              <w:rPr>
                <w:rFonts w:hint="eastAsia" w:ascii="Times New Roman" w:hAnsi="Times New Roman" w:cs="Times New Roman"/>
                <w:b w:val="0"/>
                <w:bCs w:val="0"/>
                <w:color w:val="auto"/>
                <w:kern w:val="2"/>
                <w:sz w:val="24"/>
                <w:szCs w:val="24"/>
                <w:lang w:val="en-US" w:eastAsia="zh-CN"/>
              </w:rPr>
              <w:t>•6H</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w:t>
            </w:r>
          </w:p>
          <w:p w14:paraId="675CD645">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cs="Times New Roman"/>
                <w:b w:val="0"/>
                <w:bCs w:val="0"/>
                <w:color w:val="auto"/>
                <w:kern w:val="2"/>
                <w:sz w:val="24"/>
                <w:szCs w:val="24"/>
                <w:lang w:val="en-US" w:eastAsia="zh-CN"/>
              </w:rPr>
            </w:pPr>
            <w:r>
              <w:rPr>
                <w:rFonts w:hint="eastAsia" w:ascii="Times New Roman" w:hAnsi="Times New Roman" w:cs="Times New Roman"/>
                <w:b w:val="0"/>
                <w:bCs w:val="0"/>
                <w:color w:val="auto"/>
                <w:kern w:val="2"/>
                <w:sz w:val="24"/>
                <w:szCs w:val="24"/>
                <w:lang w:val="en-US" w:eastAsia="zh-CN"/>
              </w:rPr>
              <w:t>2AlCl</w:t>
            </w:r>
            <w:r>
              <w:rPr>
                <w:rFonts w:hint="eastAsia" w:ascii="Times New Roman" w:hAnsi="Times New Roman" w:cs="Times New Roman"/>
                <w:b w:val="0"/>
                <w:bCs w:val="0"/>
                <w:color w:val="auto"/>
                <w:kern w:val="2"/>
                <w:sz w:val="24"/>
                <w:szCs w:val="24"/>
                <w:vertAlign w:val="subscript"/>
                <w:lang w:val="en-US" w:eastAsia="zh-CN"/>
              </w:rPr>
              <w:t>3</w:t>
            </w:r>
            <w:r>
              <w:rPr>
                <w:rFonts w:hint="eastAsia" w:ascii="Times New Roman" w:hAnsi="Times New Roman" w:cs="Times New Roman"/>
                <w:b w:val="0"/>
                <w:bCs w:val="0"/>
                <w:color w:val="auto"/>
                <w:kern w:val="2"/>
                <w:sz w:val="24"/>
                <w:szCs w:val="24"/>
                <w:lang w:val="en-US" w:eastAsia="zh-CN"/>
              </w:rPr>
              <w:t>•6H</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O=Al</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(OH)nCl</w:t>
            </w:r>
            <w:r>
              <w:rPr>
                <w:rFonts w:hint="eastAsia" w:ascii="Times New Roman" w:hAnsi="Times New Roman" w:cs="Times New Roman"/>
                <w:b w:val="0"/>
                <w:bCs w:val="0"/>
                <w:color w:val="auto"/>
                <w:kern w:val="2"/>
                <w:sz w:val="24"/>
                <w:szCs w:val="24"/>
                <w:vertAlign w:val="subscript"/>
                <w:lang w:val="en-US" w:eastAsia="zh-CN"/>
              </w:rPr>
              <w:t>6-n</w:t>
            </w:r>
            <w:r>
              <w:rPr>
                <w:rFonts w:hint="eastAsia" w:ascii="Times New Roman" w:hAnsi="Times New Roman" w:cs="Times New Roman"/>
                <w:b w:val="0"/>
                <w:bCs w:val="0"/>
                <w:color w:val="auto"/>
                <w:kern w:val="2"/>
                <w:sz w:val="24"/>
                <w:szCs w:val="24"/>
                <w:lang w:val="en-US" w:eastAsia="zh-CN"/>
              </w:rPr>
              <w:t>+(12-n)H</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O+nHCl</w:t>
            </w:r>
          </w:p>
          <w:p w14:paraId="2DA21F33">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cs="Times New Roman"/>
                <w:b w:val="0"/>
                <w:bCs w:val="0"/>
                <w:color w:val="auto"/>
                <w:kern w:val="2"/>
                <w:sz w:val="24"/>
                <w:szCs w:val="24"/>
                <w:lang w:val="en-US" w:eastAsia="zh-CN"/>
              </w:rPr>
            </w:pPr>
            <w:r>
              <w:rPr>
                <w:rFonts w:hint="eastAsia" w:ascii="Times New Roman" w:hAnsi="Times New Roman" w:cs="Times New Roman"/>
                <w:b w:val="0"/>
                <w:bCs w:val="0"/>
                <w:color w:val="auto"/>
                <w:kern w:val="2"/>
                <w:sz w:val="24"/>
                <w:szCs w:val="24"/>
                <w:lang w:val="en-US" w:eastAsia="zh-CN"/>
              </w:rPr>
              <w:t>mAl</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(OH)nCl</w:t>
            </w:r>
            <w:r>
              <w:rPr>
                <w:rFonts w:hint="eastAsia" w:ascii="Times New Roman" w:hAnsi="Times New Roman" w:cs="Times New Roman"/>
                <w:b w:val="0"/>
                <w:bCs w:val="0"/>
                <w:color w:val="auto"/>
                <w:kern w:val="2"/>
                <w:sz w:val="24"/>
                <w:szCs w:val="24"/>
                <w:vertAlign w:val="subscript"/>
                <w:lang w:val="en-US" w:eastAsia="zh-CN"/>
              </w:rPr>
              <w:t>6-n</w:t>
            </w:r>
            <w:r>
              <w:rPr>
                <w:rFonts w:hint="eastAsia" w:ascii="Times New Roman" w:hAnsi="Times New Roman" w:cs="Times New Roman"/>
                <w:b w:val="0"/>
                <w:bCs w:val="0"/>
                <w:color w:val="auto"/>
                <w:kern w:val="2"/>
                <w:sz w:val="24"/>
                <w:szCs w:val="24"/>
                <w:lang w:val="en-US" w:eastAsia="zh-CN"/>
              </w:rPr>
              <w:t>+mxH</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O→[Al</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(OH)nCl</w:t>
            </w:r>
            <w:r>
              <w:rPr>
                <w:rFonts w:hint="eastAsia" w:ascii="Times New Roman" w:hAnsi="Times New Roman" w:cs="Times New Roman"/>
                <w:b w:val="0"/>
                <w:bCs w:val="0"/>
                <w:color w:val="auto"/>
                <w:kern w:val="2"/>
                <w:sz w:val="24"/>
                <w:szCs w:val="24"/>
                <w:vertAlign w:val="subscript"/>
                <w:lang w:val="en-US" w:eastAsia="zh-CN"/>
              </w:rPr>
              <w:t>6-n</w:t>
            </w:r>
            <w:r>
              <w:rPr>
                <w:rFonts w:hint="eastAsia" w:ascii="Times New Roman" w:hAnsi="Times New Roman" w:cs="Times New Roman"/>
                <w:b w:val="0"/>
                <w:bCs w:val="0"/>
                <w:color w:val="auto"/>
                <w:kern w:val="2"/>
                <w:sz w:val="24"/>
                <w:szCs w:val="24"/>
                <w:lang w:val="en-US" w:eastAsia="zh-CN"/>
              </w:rPr>
              <w:t>•xH</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O]m（n：3~5，m≤10）</w:t>
            </w:r>
          </w:p>
          <w:p w14:paraId="0ED74D81">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cs="Times New Roman"/>
                <w:b w:val="0"/>
                <w:bCs w:val="0"/>
                <w:color w:val="auto"/>
                <w:kern w:val="2"/>
                <w:sz w:val="24"/>
                <w:szCs w:val="24"/>
                <w:lang w:val="en-US" w:eastAsia="zh-CN"/>
              </w:rPr>
            </w:pPr>
            <w:r>
              <w:rPr>
                <w:rFonts w:hint="eastAsia" w:ascii="Times New Roman" w:hAnsi="Times New Roman" w:cs="Times New Roman"/>
                <w:b w:val="0"/>
                <w:bCs w:val="0"/>
                <w:color w:val="auto"/>
                <w:kern w:val="2"/>
                <w:sz w:val="24"/>
                <w:szCs w:val="24"/>
                <w:lang w:val="en-US" w:eastAsia="zh-CN"/>
              </w:rPr>
              <w:t>副反应：</w:t>
            </w:r>
          </w:p>
          <w:p w14:paraId="7122E4B1">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cs="Times New Roman"/>
                <w:b w:val="0"/>
                <w:bCs w:val="0"/>
                <w:color w:val="auto"/>
                <w:kern w:val="2"/>
                <w:sz w:val="24"/>
                <w:szCs w:val="24"/>
                <w:lang w:val="en-US" w:eastAsia="zh-CN"/>
              </w:rPr>
            </w:pPr>
            <w:r>
              <w:rPr>
                <w:rFonts w:hint="eastAsia" w:ascii="Times New Roman" w:hAnsi="Times New Roman" w:cs="Times New Roman"/>
                <w:b w:val="0"/>
                <w:bCs w:val="0"/>
                <w:color w:val="auto"/>
                <w:kern w:val="2"/>
                <w:sz w:val="24"/>
                <w:szCs w:val="24"/>
                <w:lang w:val="en-US" w:eastAsia="zh-CN"/>
              </w:rPr>
              <w:t>Fe</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w:t>
            </w:r>
            <w:r>
              <w:rPr>
                <w:rFonts w:hint="eastAsia" w:ascii="Times New Roman" w:hAnsi="Times New Roman" w:cs="Times New Roman"/>
                <w:b w:val="0"/>
                <w:bCs w:val="0"/>
                <w:color w:val="auto"/>
                <w:kern w:val="2"/>
                <w:sz w:val="24"/>
                <w:szCs w:val="24"/>
                <w:vertAlign w:val="subscript"/>
                <w:lang w:val="en-US" w:eastAsia="zh-CN"/>
              </w:rPr>
              <w:t>3</w:t>
            </w:r>
            <w:r>
              <w:rPr>
                <w:rFonts w:hint="eastAsia" w:ascii="Times New Roman" w:hAnsi="Times New Roman" w:cs="Times New Roman"/>
                <w:b w:val="0"/>
                <w:bCs w:val="0"/>
                <w:color w:val="auto"/>
                <w:kern w:val="2"/>
                <w:sz w:val="24"/>
                <w:szCs w:val="24"/>
                <w:lang w:val="en-US" w:eastAsia="zh-CN"/>
              </w:rPr>
              <w:t xml:space="preserve"> + 6HCl + 9H</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 =2FeCl</w:t>
            </w:r>
            <w:r>
              <w:rPr>
                <w:rFonts w:hint="eastAsia" w:ascii="Times New Roman" w:hAnsi="Times New Roman" w:cs="Times New Roman"/>
                <w:b w:val="0"/>
                <w:bCs w:val="0"/>
                <w:color w:val="auto"/>
                <w:kern w:val="2"/>
                <w:sz w:val="24"/>
                <w:szCs w:val="24"/>
                <w:vertAlign w:val="subscript"/>
                <w:lang w:val="en-US" w:eastAsia="zh-CN"/>
              </w:rPr>
              <w:t>3</w:t>
            </w:r>
            <w:r>
              <w:rPr>
                <w:rFonts w:hint="eastAsia" w:ascii="Times New Roman" w:hAnsi="Times New Roman" w:cs="Times New Roman"/>
                <w:b w:val="0"/>
                <w:bCs w:val="0"/>
                <w:color w:val="auto"/>
                <w:kern w:val="2"/>
                <w:sz w:val="24"/>
                <w:szCs w:val="24"/>
                <w:lang w:val="en-US" w:eastAsia="zh-CN"/>
              </w:rPr>
              <w:t>.6H</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w:t>
            </w:r>
          </w:p>
          <w:p w14:paraId="78600F21">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cs="Times New Roman"/>
                <w:b w:val="0"/>
                <w:bCs w:val="0"/>
                <w:color w:val="auto"/>
                <w:kern w:val="2"/>
                <w:sz w:val="24"/>
                <w:szCs w:val="24"/>
                <w:lang w:val="en-US" w:eastAsia="zh-CN"/>
              </w:rPr>
            </w:pPr>
            <w:r>
              <w:rPr>
                <w:rFonts w:hint="eastAsia" w:ascii="Times New Roman" w:hAnsi="Times New Roman" w:cs="Times New Roman"/>
                <w:b w:val="0"/>
                <w:bCs w:val="0"/>
                <w:color w:val="auto"/>
                <w:kern w:val="2"/>
                <w:sz w:val="24"/>
                <w:szCs w:val="24"/>
                <w:lang w:val="en-US" w:eastAsia="zh-CN"/>
              </w:rPr>
              <w:t>CaO +2HCl + 2H</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 = CaCl</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.3H</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w:t>
            </w:r>
          </w:p>
          <w:p w14:paraId="34149D7E">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cs="Times New Roman"/>
                <w:b w:val="0"/>
                <w:bCs w:val="0"/>
                <w:color w:val="auto"/>
                <w:kern w:val="2"/>
                <w:sz w:val="24"/>
                <w:szCs w:val="24"/>
                <w:lang w:val="en-US" w:eastAsia="zh-CN"/>
              </w:rPr>
            </w:pPr>
            <w:r>
              <w:rPr>
                <w:rFonts w:hint="eastAsia" w:ascii="Times New Roman" w:hAnsi="Times New Roman" w:cs="Times New Roman"/>
                <w:b w:val="0"/>
                <w:bCs w:val="0"/>
                <w:color w:val="auto"/>
                <w:kern w:val="2"/>
                <w:sz w:val="24"/>
                <w:szCs w:val="24"/>
                <w:lang w:val="en-US" w:eastAsia="zh-CN"/>
              </w:rPr>
              <w:t>2FeCl</w:t>
            </w:r>
            <w:r>
              <w:rPr>
                <w:rFonts w:hint="eastAsia" w:ascii="Times New Roman" w:hAnsi="Times New Roman" w:cs="Times New Roman"/>
                <w:b w:val="0"/>
                <w:bCs w:val="0"/>
                <w:color w:val="auto"/>
                <w:kern w:val="2"/>
                <w:sz w:val="24"/>
                <w:szCs w:val="24"/>
                <w:vertAlign w:val="subscript"/>
                <w:lang w:val="en-US" w:eastAsia="zh-CN"/>
              </w:rPr>
              <w:t>3</w:t>
            </w:r>
            <w:r>
              <w:rPr>
                <w:rFonts w:hint="eastAsia" w:ascii="Times New Roman" w:hAnsi="Times New Roman" w:cs="Times New Roman"/>
                <w:b w:val="0"/>
                <w:bCs w:val="0"/>
                <w:color w:val="auto"/>
                <w:kern w:val="2"/>
                <w:sz w:val="24"/>
                <w:szCs w:val="24"/>
                <w:lang w:val="en-US" w:eastAsia="zh-CN"/>
              </w:rPr>
              <w:t>+nH</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O=Fe</w:t>
            </w:r>
            <w:r>
              <w:rPr>
                <w:rFonts w:hint="eastAsia" w:ascii="Times New Roman" w:hAnsi="Times New Roman" w:cs="Times New Roman"/>
                <w:b w:val="0"/>
                <w:bCs w:val="0"/>
                <w:color w:val="auto"/>
                <w:kern w:val="2"/>
                <w:sz w:val="24"/>
                <w:szCs w:val="24"/>
                <w:vertAlign w:val="subscript"/>
                <w:lang w:val="en-US" w:eastAsia="zh-CN"/>
              </w:rPr>
              <w:t>2</w:t>
            </w:r>
            <w:r>
              <w:rPr>
                <w:rFonts w:hint="eastAsia" w:ascii="Times New Roman" w:hAnsi="Times New Roman" w:cs="Times New Roman"/>
                <w:b w:val="0"/>
                <w:bCs w:val="0"/>
                <w:color w:val="auto"/>
                <w:kern w:val="2"/>
                <w:sz w:val="24"/>
                <w:szCs w:val="24"/>
                <w:lang w:val="en-US" w:eastAsia="zh-CN"/>
              </w:rPr>
              <w:t>(OH)nCl</w:t>
            </w:r>
            <w:r>
              <w:rPr>
                <w:rFonts w:hint="eastAsia" w:ascii="Times New Roman" w:hAnsi="Times New Roman" w:cs="Times New Roman"/>
                <w:b w:val="0"/>
                <w:bCs w:val="0"/>
                <w:color w:val="auto"/>
                <w:kern w:val="2"/>
                <w:sz w:val="24"/>
                <w:szCs w:val="24"/>
                <w:vertAlign w:val="subscript"/>
                <w:lang w:val="en-US" w:eastAsia="zh-CN"/>
              </w:rPr>
              <w:t>6-n</w:t>
            </w:r>
            <w:r>
              <w:rPr>
                <w:rFonts w:hint="eastAsia" w:ascii="Times New Roman" w:hAnsi="Times New Roman" w:cs="Times New Roman"/>
                <w:b w:val="0"/>
                <w:bCs w:val="0"/>
                <w:color w:val="auto"/>
                <w:kern w:val="2"/>
                <w:sz w:val="24"/>
                <w:szCs w:val="24"/>
                <w:lang w:val="en-US" w:eastAsia="zh-CN"/>
              </w:rPr>
              <w:t xml:space="preserve"> +nHCl</w:t>
            </w:r>
          </w:p>
          <w:p w14:paraId="42F15A57">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cs="Times New Roman"/>
                <w:b w:val="0"/>
                <w:bCs w:val="0"/>
                <w:color w:val="auto"/>
                <w:kern w:val="2"/>
                <w:sz w:val="24"/>
                <w:szCs w:val="24"/>
                <w:lang w:val="en-US" w:eastAsia="zh-CN"/>
              </w:rPr>
            </w:pPr>
            <w:r>
              <w:rPr>
                <w:rFonts w:hint="eastAsia" w:cs="Times New Roman"/>
                <w:b w:val="0"/>
                <w:bCs w:val="0"/>
                <w:color w:val="auto"/>
                <w:kern w:val="2"/>
                <w:sz w:val="24"/>
                <w:szCs w:val="24"/>
                <w:lang w:val="en-US" w:eastAsia="zh-CN"/>
              </w:rPr>
              <w:t>A.</w:t>
            </w:r>
            <w:r>
              <w:rPr>
                <w:rFonts w:hint="eastAsia" w:ascii="Times New Roman" w:hAnsi="Times New Roman" w:cs="Times New Roman"/>
                <w:b w:val="0"/>
                <w:bCs w:val="0"/>
                <w:color w:val="auto"/>
                <w:kern w:val="2"/>
                <w:sz w:val="24"/>
                <w:szCs w:val="24"/>
                <w:lang w:val="en-US" w:eastAsia="zh-CN"/>
              </w:rPr>
              <w:t>原料粉煤灰运输</w:t>
            </w:r>
          </w:p>
          <w:p w14:paraId="44CAC498">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eastAsia="宋体" w:cs="Times New Roman"/>
                <w:b w:val="0"/>
                <w:bCs w:val="0"/>
                <w:color w:val="auto"/>
                <w:kern w:val="2"/>
                <w:sz w:val="24"/>
                <w:szCs w:val="24"/>
                <w:lang w:val="en-US" w:eastAsia="zh-CN"/>
              </w:rPr>
            </w:pPr>
            <w:r>
              <w:rPr>
                <w:rFonts w:hint="eastAsia" w:ascii="Times New Roman" w:hAnsi="Times New Roman" w:eastAsia="宋体" w:cs="Times New Roman"/>
                <w:b w:val="0"/>
                <w:bCs w:val="0"/>
                <w:color w:val="auto"/>
                <w:kern w:val="2"/>
                <w:sz w:val="24"/>
                <w:szCs w:val="24"/>
                <w:lang w:val="en-US" w:eastAsia="zh-CN"/>
              </w:rPr>
              <w:t>厂外来的粉煤灰由全封闭管道输送至粉煤灰储罐。粉煤灰储罐底部设置输送系统，粉煤灰由输送系统密闭输送至反应车间反应釜。</w:t>
            </w:r>
          </w:p>
          <w:p w14:paraId="64666597">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eastAsia="宋体" w:cs="Times New Roman"/>
                <w:b w:val="0"/>
                <w:bCs w:val="0"/>
                <w:color w:val="auto"/>
                <w:kern w:val="2"/>
                <w:sz w:val="24"/>
                <w:szCs w:val="24"/>
                <w:lang w:val="en-US" w:eastAsia="zh-CN"/>
              </w:rPr>
            </w:pPr>
            <w:r>
              <w:rPr>
                <w:rFonts w:hint="eastAsia" w:cs="Times New Roman"/>
                <w:b w:val="0"/>
                <w:bCs w:val="0"/>
                <w:color w:val="auto"/>
                <w:kern w:val="2"/>
                <w:sz w:val="24"/>
                <w:szCs w:val="24"/>
                <w:lang w:val="en-US" w:eastAsia="zh-CN"/>
              </w:rPr>
              <w:t>B.</w:t>
            </w:r>
            <w:r>
              <w:rPr>
                <w:rFonts w:hint="eastAsia" w:ascii="Times New Roman" w:hAnsi="Times New Roman" w:cs="Times New Roman"/>
                <w:b w:val="0"/>
                <w:bCs w:val="0"/>
                <w:color w:val="auto"/>
                <w:kern w:val="2"/>
                <w:sz w:val="24"/>
                <w:szCs w:val="24"/>
                <w:lang w:val="en-US" w:eastAsia="zh-CN"/>
              </w:rPr>
              <w:t>盐酸溶出</w:t>
            </w:r>
          </w:p>
          <w:p w14:paraId="0EF47292">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cs="Times New Roman"/>
                <w:b w:val="0"/>
                <w:bCs w:val="0"/>
                <w:color w:val="auto"/>
                <w:kern w:val="2"/>
                <w:sz w:val="24"/>
                <w:szCs w:val="24"/>
                <w:lang w:val="en-US" w:eastAsia="zh-CN"/>
              </w:rPr>
            </w:pPr>
            <w:r>
              <w:rPr>
                <w:rFonts w:hint="eastAsia" w:cs="Times New Roman"/>
                <w:b w:val="0"/>
                <w:bCs w:val="0"/>
                <w:color w:val="auto"/>
                <w:kern w:val="2"/>
                <w:sz w:val="24"/>
                <w:szCs w:val="24"/>
                <w:lang w:val="en-US" w:eastAsia="zh-CN"/>
              </w:rPr>
              <w:t>a.</w:t>
            </w:r>
            <w:r>
              <w:rPr>
                <w:rFonts w:hint="eastAsia" w:ascii="Times New Roman" w:hAnsi="Times New Roman" w:cs="Times New Roman"/>
                <w:b w:val="0"/>
                <w:bCs w:val="0"/>
                <w:color w:val="auto"/>
                <w:kern w:val="2"/>
                <w:sz w:val="24"/>
                <w:szCs w:val="24"/>
                <w:lang w:val="en-US" w:eastAsia="zh-CN"/>
              </w:rPr>
              <w:t>盐酸储存</w:t>
            </w:r>
          </w:p>
          <w:p w14:paraId="54310FF5">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cs="Times New Roman"/>
                <w:b w:val="0"/>
                <w:bCs w:val="0"/>
                <w:color w:val="auto"/>
                <w:kern w:val="2"/>
                <w:sz w:val="24"/>
                <w:szCs w:val="24"/>
                <w:lang w:val="en-US" w:eastAsia="zh-CN"/>
              </w:rPr>
            </w:pPr>
            <w:r>
              <w:rPr>
                <w:rFonts w:hint="eastAsia" w:ascii="Times New Roman" w:hAnsi="Times New Roman" w:cs="Times New Roman"/>
                <w:b w:val="0"/>
                <w:bCs w:val="0"/>
                <w:color w:val="auto"/>
                <w:kern w:val="2"/>
                <w:sz w:val="24"/>
                <w:szCs w:val="24"/>
                <w:lang w:val="en-US" w:eastAsia="zh-CN"/>
              </w:rPr>
              <w:t>盐酸由罐车运输，通过卸车泵输送到盐酸储罐。生产时罐内盐酸自流至溶出反应釜，通过加水调配到盐酸溶出所需要的浓度，用于溶出反应。</w:t>
            </w:r>
          </w:p>
          <w:p w14:paraId="6884682B">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cs="Times New Roman"/>
                <w:b w:val="0"/>
                <w:bCs w:val="0"/>
                <w:color w:val="auto"/>
                <w:kern w:val="2"/>
                <w:sz w:val="24"/>
                <w:szCs w:val="24"/>
                <w:lang w:val="en-US" w:eastAsia="zh-CN"/>
              </w:rPr>
            </w:pPr>
            <w:r>
              <w:rPr>
                <w:rFonts w:hint="eastAsia" w:cs="Times New Roman"/>
                <w:b w:val="0"/>
                <w:bCs w:val="0"/>
                <w:color w:val="auto"/>
                <w:kern w:val="2"/>
                <w:sz w:val="24"/>
                <w:szCs w:val="24"/>
                <w:lang w:val="en-US" w:eastAsia="zh-CN"/>
              </w:rPr>
              <w:t>b.</w:t>
            </w:r>
            <w:r>
              <w:rPr>
                <w:rFonts w:hint="eastAsia" w:ascii="Times New Roman" w:hAnsi="Times New Roman" w:cs="Times New Roman"/>
                <w:b w:val="0"/>
                <w:bCs w:val="0"/>
                <w:color w:val="auto"/>
                <w:kern w:val="2"/>
                <w:sz w:val="24"/>
                <w:szCs w:val="24"/>
                <w:lang w:val="en-US" w:eastAsia="zh-CN"/>
              </w:rPr>
              <w:t>溶出反应</w:t>
            </w:r>
          </w:p>
          <w:p w14:paraId="09788B4B">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cs="Times New Roman"/>
                <w:b w:val="0"/>
                <w:bCs w:val="0"/>
                <w:color w:val="auto"/>
                <w:kern w:val="2"/>
                <w:sz w:val="24"/>
                <w:szCs w:val="24"/>
                <w:lang w:val="en-US" w:eastAsia="zh-CN"/>
              </w:rPr>
            </w:pPr>
            <w:r>
              <w:rPr>
                <w:rFonts w:hint="eastAsia" w:ascii="Times New Roman" w:hAnsi="Times New Roman" w:cs="Times New Roman"/>
                <w:b w:val="0"/>
                <w:bCs w:val="0"/>
                <w:color w:val="auto"/>
                <w:kern w:val="2"/>
                <w:sz w:val="24"/>
                <w:szCs w:val="24"/>
                <w:lang w:val="en-US" w:eastAsia="zh-CN"/>
              </w:rPr>
              <w:t>本工序采用直通蒸汽的方式将料浆加热至溶出温度，使用的热源为压力1.25MPa、温度194℃饱和新蒸汽，将料浆加热至100℃，在溶出反应釜中停留反应3h。反应充分后，将渣浆输送至分离洗涤工序。</w:t>
            </w:r>
          </w:p>
          <w:p w14:paraId="7FCFBE63">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eastAsia="宋体" w:cs="Times New Roman"/>
                <w:b w:val="0"/>
                <w:bCs w:val="0"/>
                <w:color w:val="auto"/>
                <w:kern w:val="2"/>
                <w:sz w:val="24"/>
                <w:szCs w:val="24"/>
                <w:lang w:val="en-US" w:eastAsia="zh-CN"/>
              </w:rPr>
            </w:pPr>
            <w:r>
              <w:rPr>
                <w:rFonts w:hint="eastAsia" w:cs="Times New Roman"/>
                <w:b w:val="0"/>
                <w:bCs w:val="0"/>
                <w:color w:val="auto"/>
                <w:kern w:val="2"/>
                <w:sz w:val="24"/>
                <w:szCs w:val="24"/>
                <w:lang w:val="en-US" w:eastAsia="zh-CN"/>
              </w:rPr>
              <w:t>C.</w:t>
            </w:r>
            <w:r>
              <w:rPr>
                <w:rFonts w:hint="eastAsia" w:ascii="Times New Roman" w:hAnsi="Times New Roman" w:cs="Times New Roman"/>
                <w:b w:val="0"/>
                <w:bCs w:val="0"/>
                <w:color w:val="auto"/>
                <w:kern w:val="2"/>
                <w:sz w:val="24"/>
                <w:szCs w:val="24"/>
                <w:lang w:val="en-US" w:eastAsia="zh-CN"/>
              </w:rPr>
              <w:t>酸溶渣浆分离洗涤</w:t>
            </w:r>
          </w:p>
          <w:p w14:paraId="13F7454D">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cs="Times New Roman"/>
                <w:b w:val="0"/>
                <w:bCs w:val="0"/>
                <w:color w:val="auto"/>
                <w:kern w:val="2"/>
                <w:sz w:val="24"/>
                <w:szCs w:val="24"/>
                <w:lang w:val="en-US" w:eastAsia="zh-CN"/>
              </w:rPr>
            </w:pPr>
            <w:r>
              <w:rPr>
                <w:rFonts w:hint="eastAsia" w:ascii="Times New Roman" w:hAnsi="Times New Roman" w:cs="Times New Roman"/>
                <w:b w:val="0"/>
                <w:bCs w:val="0"/>
                <w:color w:val="auto"/>
                <w:kern w:val="2"/>
                <w:sz w:val="24"/>
                <w:szCs w:val="24"/>
                <w:lang w:val="en-US" w:eastAsia="zh-CN"/>
              </w:rPr>
              <w:t>酸溶出后的料浆泵入压滤车间进行压滤，分离出的滤液进入滤液槽用泵送至聚合反应工序，滤饼进行洗涤后暂存于固废堆场，后期作为废渣利用生产线原料，综合利用。洗涤后的洗液收集至回用水储水池回用于工艺。</w:t>
            </w:r>
          </w:p>
          <w:p w14:paraId="27565358">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eastAsia="宋体" w:cs="Times New Roman"/>
                <w:b w:val="0"/>
                <w:bCs w:val="0"/>
                <w:color w:val="auto"/>
                <w:kern w:val="2"/>
                <w:sz w:val="24"/>
                <w:szCs w:val="24"/>
                <w:lang w:val="en-US" w:eastAsia="zh-CN"/>
              </w:rPr>
            </w:pPr>
            <w:r>
              <w:rPr>
                <w:rFonts w:hint="eastAsia" w:cs="Times New Roman"/>
                <w:b w:val="0"/>
                <w:bCs w:val="0"/>
                <w:color w:val="auto"/>
                <w:kern w:val="2"/>
                <w:sz w:val="24"/>
                <w:szCs w:val="24"/>
                <w:lang w:val="en-US" w:eastAsia="zh-CN"/>
              </w:rPr>
              <w:t>D.</w:t>
            </w:r>
            <w:r>
              <w:rPr>
                <w:rFonts w:hint="eastAsia" w:ascii="Times New Roman" w:hAnsi="Times New Roman" w:cs="Times New Roman"/>
                <w:b w:val="0"/>
                <w:bCs w:val="0"/>
                <w:color w:val="auto"/>
                <w:kern w:val="2"/>
                <w:sz w:val="24"/>
                <w:szCs w:val="24"/>
                <w:lang w:val="en-US" w:eastAsia="zh-CN"/>
              </w:rPr>
              <w:t>聚合反应</w:t>
            </w:r>
          </w:p>
          <w:p w14:paraId="03A58DED">
            <w:pPr>
              <w:keepNext w:val="0"/>
              <w:keepLines/>
              <w:pageBreakBefore w:val="0"/>
              <w:widowControl w:val="0"/>
              <w:tabs>
                <w:tab w:val="left" w:pos="922"/>
              </w:tabs>
              <w:kinsoku/>
              <w:wordWrap/>
              <w:overflowPunct/>
              <w:topLinePunct w:val="0"/>
              <w:autoSpaceDE/>
              <w:autoSpaceDN/>
              <w:bidi w:val="0"/>
              <w:adjustRightInd/>
              <w:snapToGrid/>
              <w:spacing w:line="480" w:lineRule="exact"/>
              <w:ind w:firstLine="480" w:firstLineChars="200"/>
              <w:jc w:val="left"/>
              <w:textAlignment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本工序在盐酸溶出反应所得滤液中使用人工加入铝酸钙粉进行聚合反应，采用直通蒸汽的方式将料浆加热至溶出温度，使用的热源为压力1.25MPa、温度194℃饱和蒸汽，将料浆加热至100℃，在聚合反应釜中停留反应3h。反应充分后，将物料输送至压滤洗涤工序。</w:t>
            </w:r>
          </w:p>
          <w:p w14:paraId="6BFADED5">
            <w:pPr>
              <w:keepNext w:val="0"/>
              <w:keepLines/>
              <w:pageBreakBefore w:val="0"/>
              <w:widowControl w:val="0"/>
              <w:tabs>
                <w:tab w:val="left" w:pos="922"/>
              </w:tabs>
              <w:kinsoku/>
              <w:wordWrap/>
              <w:overflowPunct/>
              <w:topLinePunct w:val="0"/>
              <w:autoSpaceDE/>
              <w:autoSpaceDN/>
              <w:bidi w:val="0"/>
              <w:adjustRightInd/>
              <w:snapToGrid/>
              <w:spacing w:line="480" w:lineRule="exact"/>
              <w:ind w:firstLine="480" w:firstLineChars="200"/>
              <w:jc w:val="left"/>
              <w:textAlignment w:val="center"/>
              <w:rPr>
                <w:rFonts w:hint="default" w:ascii="Times New Roman" w:hAnsi="Times New Roman" w:eastAsia="宋体" w:cs="Times New Roman"/>
                <w:b w:val="0"/>
                <w:bCs w:val="0"/>
                <w:color w:val="auto"/>
                <w:sz w:val="24"/>
                <w:szCs w:val="24"/>
                <w:lang w:val="en-US" w:eastAsia="zh-CN"/>
              </w:rPr>
            </w:pPr>
            <w:r>
              <w:rPr>
                <w:rFonts w:hint="eastAsia" w:cs="Times New Roman"/>
                <w:b w:val="0"/>
                <w:bCs w:val="0"/>
                <w:color w:val="auto"/>
                <w:sz w:val="24"/>
                <w:szCs w:val="24"/>
                <w:lang w:val="en-US" w:eastAsia="zh-CN"/>
              </w:rPr>
              <w:t>E.聚合后物料分离洗涤</w:t>
            </w:r>
          </w:p>
          <w:p w14:paraId="370FE242">
            <w:pPr>
              <w:keepNext w:val="0"/>
              <w:keepLines/>
              <w:pageBreakBefore w:val="0"/>
              <w:widowControl w:val="0"/>
              <w:tabs>
                <w:tab w:val="left" w:pos="922"/>
              </w:tabs>
              <w:kinsoku/>
              <w:wordWrap/>
              <w:overflowPunct/>
              <w:topLinePunct w:val="0"/>
              <w:autoSpaceDE/>
              <w:autoSpaceDN/>
              <w:bidi w:val="0"/>
              <w:adjustRightInd/>
              <w:snapToGrid/>
              <w:spacing w:line="480" w:lineRule="exact"/>
              <w:ind w:firstLine="480" w:firstLineChars="200"/>
              <w:jc w:val="left"/>
              <w:textAlignment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聚合反应后的料浆泵送入压滤车间压滤，滤液送至喷雾干燥工序进行干燥得固体产品，滤饼进行洗涤，滤饼进行洗涤后暂存于固废堆场，</w:t>
            </w:r>
            <w:r>
              <w:rPr>
                <w:rFonts w:hint="eastAsia" w:cs="Times New Roman"/>
                <w:b w:val="0"/>
                <w:bCs w:val="0"/>
                <w:color w:val="auto"/>
                <w:sz w:val="24"/>
                <w:szCs w:val="24"/>
                <w:lang w:val="en-US" w:eastAsia="zh-CN"/>
              </w:rPr>
              <w:t>先期</w:t>
            </w:r>
            <w:r>
              <w:rPr>
                <w:rFonts w:hint="default" w:ascii="Times New Roman" w:hAnsi="Times New Roman" w:eastAsia="宋体" w:cs="Times New Roman"/>
                <w:b w:val="0"/>
                <w:bCs w:val="0"/>
                <w:color w:val="auto"/>
                <w:sz w:val="24"/>
                <w:szCs w:val="24"/>
                <w:lang w:val="en-US" w:eastAsia="zh-CN"/>
              </w:rPr>
              <w:t>废渣送至园区渣场处理；</w:t>
            </w:r>
            <w:r>
              <w:rPr>
                <w:rFonts w:hint="eastAsia" w:cs="Times New Roman"/>
                <w:b w:val="0"/>
                <w:bCs w:val="0"/>
                <w:color w:val="auto"/>
                <w:sz w:val="24"/>
                <w:szCs w:val="24"/>
                <w:lang w:val="en-US" w:eastAsia="zh-CN"/>
              </w:rPr>
              <w:t>后期</w:t>
            </w:r>
            <w:r>
              <w:rPr>
                <w:rFonts w:hint="default" w:ascii="Times New Roman" w:hAnsi="Times New Roman" w:eastAsia="宋体" w:cs="Times New Roman"/>
                <w:b w:val="0"/>
                <w:bCs w:val="0"/>
                <w:color w:val="auto"/>
                <w:sz w:val="24"/>
                <w:szCs w:val="24"/>
                <w:lang w:val="en-US" w:eastAsia="zh-CN"/>
              </w:rPr>
              <w:t>产生的废渣作为废渣利用生产线原料，综合利用。洗涤后的洗液收集至回用水储水池回用于工艺。</w:t>
            </w:r>
          </w:p>
          <w:p w14:paraId="1F13793B">
            <w:pPr>
              <w:keepNext w:val="0"/>
              <w:keepLines/>
              <w:pageBreakBefore w:val="0"/>
              <w:widowControl w:val="0"/>
              <w:tabs>
                <w:tab w:val="left" w:pos="922"/>
              </w:tabs>
              <w:kinsoku/>
              <w:wordWrap/>
              <w:overflowPunct/>
              <w:topLinePunct w:val="0"/>
              <w:autoSpaceDE/>
              <w:autoSpaceDN/>
              <w:bidi w:val="0"/>
              <w:adjustRightInd/>
              <w:snapToGrid/>
              <w:spacing w:line="480" w:lineRule="exact"/>
              <w:ind w:firstLine="480" w:firstLineChars="200"/>
              <w:jc w:val="left"/>
              <w:textAlignment w:val="center"/>
              <w:rPr>
                <w:rFonts w:hint="default" w:ascii="Times New Roman" w:hAnsi="Times New Roman" w:eastAsia="宋体" w:cs="Times New Roman"/>
                <w:b w:val="0"/>
                <w:bCs w:val="0"/>
                <w:color w:val="auto"/>
                <w:sz w:val="24"/>
                <w:szCs w:val="24"/>
                <w:lang w:val="en-US" w:eastAsia="zh-CN"/>
              </w:rPr>
            </w:pPr>
            <w:r>
              <w:rPr>
                <w:rFonts w:hint="eastAsia" w:cs="Times New Roman"/>
                <w:b w:val="0"/>
                <w:bCs w:val="0"/>
                <w:color w:val="auto"/>
                <w:sz w:val="24"/>
                <w:szCs w:val="24"/>
                <w:lang w:val="en-US" w:eastAsia="zh-CN"/>
              </w:rPr>
              <w:t>F.喷雾干燥</w:t>
            </w:r>
          </w:p>
          <w:p w14:paraId="03095F5B">
            <w:pPr>
              <w:keepNext w:val="0"/>
              <w:keepLines/>
              <w:pageBreakBefore w:val="0"/>
              <w:widowControl w:val="0"/>
              <w:tabs>
                <w:tab w:val="left" w:pos="922"/>
              </w:tabs>
              <w:kinsoku/>
              <w:wordWrap/>
              <w:overflowPunct/>
              <w:topLinePunct w:val="0"/>
              <w:autoSpaceDE/>
              <w:autoSpaceDN/>
              <w:bidi w:val="0"/>
              <w:adjustRightInd/>
              <w:snapToGrid/>
              <w:spacing w:line="480" w:lineRule="exact"/>
              <w:ind w:firstLine="480" w:firstLineChars="200"/>
              <w:jc w:val="left"/>
              <w:textAlignment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液体产品经干燥塔顶雾化器雾化形成微小料液雾点喷下，达到生产工艺要求温度的热空气（烟气+空气）经送风机从干燥装置的热风分布器，均匀地吹入干燥室，与形成的微小料液雾点相遇，表面水分迅速蒸发（恒速干燥阶段），热空气带动干燥后的料粉进入降速干燥阶段，几秒钟时间内干燥成粉末产品（产品含水率小于3%）。气固混合物在系统引风机的作用下运行并输送至内置分离器进行气固分离，其中9</w:t>
            </w:r>
            <w:r>
              <w:rPr>
                <w:rFonts w:hint="eastAsia" w:cs="Times New Roman"/>
                <w:b w:val="0"/>
                <w:bCs w:val="0"/>
                <w:color w:val="auto"/>
                <w:sz w:val="24"/>
                <w:szCs w:val="24"/>
                <w:lang w:val="en-US" w:eastAsia="zh-CN"/>
              </w:rPr>
              <w:t>8</w:t>
            </w:r>
            <w:r>
              <w:rPr>
                <w:rFonts w:hint="default" w:ascii="Times New Roman" w:hAnsi="Times New Roman" w:eastAsia="宋体" w:cs="Times New Roman"/>
                <w:b w:val="0"/>
                <w:bCs w:val="0"/>
                <w:color w:val="auto"/>
                <w:sz w:val="24"/>
                <w:szCs w:val="24"/>
                <w:lang w:val="en-US" w:eastAsia="zh-CN"/>
              </w:rPr>
              <w:t>%以上的固体成品物料在分离器下部进入集料仓，经防卡出料阀下行至送料管路，由吸料风机把物料抽送到收料旋风，物料从收料旋风下部进入收料绞龙进行收料和包装。剩余不到</w:t>
            </w:r>
            <w:r>
              <w:rPr>
                <w:rFonts w:hint="eastAsia"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lang w:val="en-US" w:eastAsia="zh-CN"/>
              </w:rPr>
              <w:t>%的微粉废气首先经过粉尘收集装置进行吸收，再经过三级吸收塔（2级水+1级碱</w:t>
            </w:r>
            <w:r>
              <w:rPr>
                <w:rFonts w:hint="eastAsia"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吸收处理达标排放。</w:t>
            </w:r>
          </w:p>
          <w:p w14:paraId="7DB591D0">
            <w:pPr>
              <w:pStyle w:val="17"/>
              <w:ind w:left="0" w:leftChars="0" w:firstLine="480" w:firstLineChars="200"/>
              <w:rPr>
                <w:rFonts w:hint="default" w:cs="Times New Roman"/>
                <w:b w:val="0"/>
                <w:bCs w:val="0"/>
                <w:color w:val="auto"/>
                <w:sz w:val="24"/>
                <w:szCs w:val="24"/>
                <w:lang w:val="en-US" w:eastAsia="zh-CN"/>
              </w:rPr>
            </w:pPr>
            <w:r>
              <w:rPr>
                <w:rFonts w:hint="eastAsia" w:cs="Times New Roman"/>
                <w:b w:val="0"/>
                <w:bCs w:val="0"/>
                <w:color w:val="auto"/>
                <w:sz w:val="24"/>
                <w:szCs w:val="24"/>
                <w:lang w:val="en-US" w:eastAsia="zh-CN"/>
              </w:rPr>
              <w:t>②现有工程</w:t>
            </w:r>
            <w:r>
              <w:rPr>
                <w:rFonts w:hint="default" w:ascii="Times New Roman" w:hAnsi="Times New Roman" w:eastAsia="宋体" w:cs="Times New Roman"/>
                <w:b w:val="0"/>
                <w:bCs w:val="0"/>
                <w:color w:val="auto"/>
                <w:sz w:val="24"/>
                <w:szCs w:val="24"/>
                <w:lang w:val="en-US" w:eastAsia="zh-CN"/>
              </w:rPr>
              <w:t>固体聚合氯化铝生产</w:t>
            </w:r>
            <w:r>
              <w:rPr>
                <w:rFonts w:hint="eastAsia" w:cs="Times New Roman"/>
                <w:b w:val="0"/>
                <w:bCs w:val="0"/>
                <w:color w:val="auto"/>
                <w:sz w:val="24"/>
                <w:szCs w:val="24"/>
                <w:lang w:val="en-US" w:eastAsia="zh-CN"/>
              </w:rPr>
              <w:t>线喷雾干燥塔</w:t>
            </w:r>
            <w:r>
              <w:rPr>
                <w:rFonts w:hint="default" w:cs="Times New Roman"/>
                <w:b w:val="0"/>
                <w:bCs w:val="0"/>
                <w:color w:val="auto"/>
                <w:sz w:val="24"/>
                <w:szCs w:val="24"/>
                <w:lang w:val="en-US" w:eastAsia="zh-CN"/>
              </w:rPr>
              <w:t>热源</w:t>
            </w:r>
          </w:p>
          <w:p w14:paraId="17FB1DCA">
            <w:pPr>
              <w:pStyle w:val="17"/>
              <w:ind w:left="0" w:leftChars="0" w:firstLine="480" w:firstLineChars="200"/>
              <w:rPr>
                <w:rFonts w:hint="eastAsia" w:ascii="Times New Roman" w:cs="Times New Roman"/>
                <w:color w:val="auto"/>
                <w:lang w:val="en-US" w:eastAsia="zh-CN" w:bidi="mn-Mong-CN"/>
              </w:rPr>
            </w:pPr>
            <w:r>
              <w:rPr>
                <w:rFonts w:hint="default" w:cs="Times New Roman"/>
                <w:b w:val="0"/>
                <w:bCs w:val="0"/>
                <w:color w:val="auto"/>
                <w:sz w:val="24"/>
                <w:szCs w:val="24"/>
                <w:lang w:val="en-US" w:eastAsia="zh-CN"/>
              </w:rPr>
              <w:t>喷雾干燥设备自带热风炉，型号：MJ400；功率：0.2KW</w:t>
            </w:r>
            <w:r>
              <w:rPr>
                <w:rFonts w:hint="eastAsia" w:cs="Times New Roman"/>
                <w:b w:val="0"/>
                <w:bCs w:val="0"/>
                <w:color w:val="auto"/>
                <w:sz w:val="24"/>
                <w:szCs w:val="24"/>
                <w:lang w:val="en-US" w:eastAsia="zh-CN"/>
              </w:rPr>
              <w:t>，</w:t>
            </w:r>
            <w:r>
              <w:rPr>
                <w:rFonts w:hint="eastAsia" w:ascii="Times New Roman" w:cs="Times New Roman"/>
                <w:color w:val="auto"/>
                <w:lang w:val="en-US" w:eastAsia="zh-CN" w:bidi="mn-Mong-CN"/>
              </w:rPr>
              <w:t>燃用焦炉煤气，由内蒙古星光煤炭集团鄂托克旗华誉煤焦化有限公司提供，该公司位于本项目北侧180m，通过管道输送至本项目。焦炉煤气成分见表</w:t>
            </w:r>
            <w:r>
              <w:rPr>
                <w:rFonts w:hint="eastAsia" w:cs="Times New Roman"/>
                <w:color w:val="auto"/>
                <w:lang w:val="en-US" w:eastAsia="zh-CN" w:bidi="mn-Mong-CN"/>
              </w:rPr>
              <w:t>2</w:t>
            </w:r>
            <w:r>
              <w:rPr>
                <w:rFonts w:hint="eastAsia" w:ascii="Times New Roman" w:cs="Times New Roman"/>
                <w:color w:val="auto"/>
                <w:lang w:val="en-US" w:eastAsia="zh-CN" w:bidi="mn-Mong-CN"/>
              </w:rPr>
              <w:t>-1。</w:t>
            </w:r>
          </w:p>
          <w:p w14:paraId="3815228B">
            <w:pPr>
              <w:pStyle w:val="16"/>
              <w:keepNext w:val="0"/>
              <w:keepLines/>
              <w:pageBreakBefore w:val="0"/>
              <w:widowControl w:val="0"/>
              <w:kinsoku/>
              <w:wordWrap/>
              <w:overflowPunct/>
              <w:topLinePunct w:val="0"/>
              <w:autoSpaceDE/>
              <w:autoSpaceDN/>
              <w:bidi w:val="0"/>
              <w:adjustRightInd/>
              <w:snapToGrid/>
              <w:spacing w:line="480" w:lineRule="exact"/>
              <w:textAlignment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表</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-1  焦炉煤气成分</w:t>
            </w:r>
          </w:p>
          <w:tbl>
            <w:tblPr>
              <w:tblStyle w:val="1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7"/>
              <w:gridCol w:w="1174"/>
              <w:gridCol w:w="845"/>
              <w:gridCol w:w="900"/>
              <w:gridCol w:w="834"/>
              <w:gridCol w:w="866"/>
              <w:gridCol w:w="817"/>
              <w:gridCol w:w="883"/>
              <w:gridCol w:w="716"/>
            </w:tblGrid>
            <w:tr w14:paraId="3A72F2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797" w:type="dxa"/>
                  <w:tcBorders>
                    <w:tl2br w:val="nil"/>
                    <w:tr2bl w:val="nil"/>
                  </w:tcBorders>
                  <w:vAlign w:val="center"/>
                </w:tcPr>
                <w:p w14:paraId="6F1645FD">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成分</w:t>
                  </w:r>
                </w:p>
              </w:tc>
              <w:tc>
                <w:tcPr>
                  <w:tcW w:w="1174" w:type="dxa"/>
                  <w:tcBorders>
                    <w:tl2br w:val="nil"/>
                    <w:tr2bl w:val="nil"/>
                  </w:tcBorders>
                  <w:vAlign w:val="center"/>
                </w:tcPr>
                <w:p w14:paraId="204638A7">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低发热值</w:t>
                  </w:r>
                </w:p>
                <w:p w14:paraId="39BB60A5">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（MJ/m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w:t>
                  </w:r>
                </w:p>
              </w:tc>
              <w:tc>
                <w:tcPr>
                  <w:tcW w:w="845" w:type="dxa"/>
                  <w:tcBorders>
                    <w:tl2br w:val="nil"/>
                    <w:tr2bl w:val="nil"/>
                  </w:tcBorders>
                  <w:vAlign w:val="center"/>
                </w:tcPr>
                <w:p w14:paraId="7DE51979">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C</w:t>
                  </w:r>
                  <w:r>
                    <w:rPr>
                      <w:rFonts w:ascii="Times New Roman" w:hAnsi="Times New Roman" w:cs="Times New Roman"/>
                      <w:color w:val="auto"/>
                      <w:sz w:val="21"/>
                      <w:szCs w:val="21"/>
                      <w:vertAlign w:val="subscript"/>
                    </w:rPr>
                    <w:t>2</w:t>
                  </w:r>
                  <w:r>
                    <w:rPr>
                      <w:rFonts w:ascii="Times New Roman" w:hAnsi="Times New Roman" w:cs="Times New Roman"/>
                      <w:color w:val="auto"/>
                      <w:sz w:val="21"/>
                      <w:szCs w:val="21"/>
                    </w:rPr>
                    <w:t>H</w:t>
                  </w:r>
                  <w:r>
                    <w:rPr>
                      <w:rFonts w:ascii="Times New Roman" w:hAnsi="Times New Roman" w:cs="Times New Roman"/>
                      <w:color w:val="auto"/>
                      <w:sz w:val="21"/>
                      <w:szCs w:val="21"/>
                      <w:vertAlign w:val="subscript"/>
                    </w:rPr>
                    <w:t>4</w:t>
                  </w:r>
                </w:p>
              </w:tc>
              <w:tc>
                <w:tcPr>
                  <w:tcW w:w="900" w:type="dxa"/>
                  <w:tcBorders>
                    <w:tl2br w:val="nil"/>
                    <w:tr2bl w:val="nil"/>
                  </w:tcBorders>
                  <w:vAlign w:val="center"/>
                </w:tcPr>
                <w:p w14:paraId="0A8B9AA7">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CH</w:t>
                  </w:r>
                  <w:r>
                    <w:rPr>
                      <w:rFonts w:ascii="Times New Roman" w:hAnsi="Times New Roman" w:cs="Times New Roman"/>
                      <w:color w:val="auto"/>
                      <w:sz w:val="21"/>
                      <w:szCs w:val="21"/>
                      <w:vertAlign w:val="subscript"/>
                    </w:rPr>
                    <w:t>4</w:t>
                  </w:r>
                </w:p>
              </w:tc>
              <w:tc>
                <w:tcPr>
                  <w:tcW w:w="834" w:type="dxa"/>
                  <w:tcBorders>
                    <w:tl2br w:val="nil"/>
                    <w:tr2bl w:val="nil"/>
                  </w:tcBorders>
                  <w:vAlign w:val="center"/>
                </w:tcPr>
                <w:p w14:paraId="442F0F4E">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CO</w:t>
                  </w:r>
                </w:p>
              </w:tc>
              <w:tc>
                <w:tcPr>
                  <w:tcW w:w="866" w:type="dxa"/>
                  <w:tcBorders>
                    <w:tl2br w:val="nil"/>
                    <w:tr2bl w:val="nil"/>
                  </w:tcBorders>
                  <w:vAlign w:val="center"/>
                </w:tcPr>
                <w:p w14:paraId="3A0DBC86">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CO</w:t>
                  </w:r>
                  <w:r>
                    <w:rPr>
                      <w:rFonts w:ascii="Times New Roman" w:hAnsi="Times New Roman" w:cs="Times New Roman"/>
                      <w:color w:val="auto"/>
                      <w:sz w:val="21"/>
                      <w:szCs w:val="21"/>
                      <w:vertAlign w:val="subscript"/>
                    </w:rPr>
                    <w:t>2</w:t>
                  </w:r>
                </w:p>
              </w:tc>
              <w:tc>
                <w:tcPr>
                  <w:tcW w:w="817" w:type="dxa"/>
                  <w:tcBorders>
                    <w:tl2br w:val="nil"/>
                    <w:tr2bl w:val="nil"/>
                  </w:tcBorders>
                  <w:vAlign w:val="center"/>
                </w:tcPr>
                <w:p w14:paraId="2FBE063C">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N</w:t>
                  </w:r>
                  <w:r>
                    <w:rPr>
                      <w:rFonts w:ascii="Times New Roman" w:hAnsi="Times New Roman" w:cs="Times New Roman"/>
                      <w:color w:val="auto"/>
                      <w:sz w:val="21"/>
                      <w:szCs w:val="21"/>
                      <w:vertAlign w:val="subscript"/>
                    </w:rPr>
                    <w:t>2</w:t>
                  </w:r>
                </w:p>
              </w:tc>
              <w:tc>
                <w:tcPr>
                  <w:tcW w:w="883" w:type="dxa"/>
                  <w:tcBorders>
                    <w:tl2br w:val="nil"/>
                    <w:tr2bl w:val="nil"/>
                  </w:tcBorders>
                  <w:vAlign w:val="center"/>
                </w:tcPr>
                <w:p w14:paraId="59D352C0">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C</w:t>
                  </w:r>
                  <w:r>
                    <w:rPr>
                      <w:rFonts w:ascii="Times New Roman" w:hAnsi="Times New Roman" w:cs="Times New Roman"/>
                      <w:color w:val="auto"/>
                      <w:sz w:val="21"/>
                      <w:szCs w:val="21"/>
                      <w:vertAlign w:val="subscript"/>
                    </w:rPr>
                    <w:t>2</w:t>
                  </w:r>
                  <w:r>
                    <w:rPr>
                      <w:rFonts w:ascii="Times New Roman" w:hAnsi="Times New Roman" w:cs="Times New Roman"/>
                      <w:color w:val="auto"/>
                      <w:sz w:val="21"/>
                      <w:szCs w:val="21"/>
                    </w:rPr>
                    <w:t>H</w:t>
                  </w:r>
                  <w:r>
                    <w:rPr>
                      <w:rFonts w:ascii="Times New Roman" w:hAnsi="Times New Roman" w:cs="Times New Roman"/>
                      <w:color w:val="auto"/>
                      <w:sz w:val="21"/>
                      <w:szCs w:val="21"/>
                      <w:vertAlign w:val="subscript"/>
                    </w:rPr>
                    <w:t>6</w:t>
                  </w:r>
                </w:p>
              </w:tc>
              <w:tc>
                <w:tcPr>
                  <w:tcW w:w="716" w:type="dxa"/>
                  <w:tcBorders>
                    <w:tl2br w:val="nil"/>
                    <w:tr2bl w:val="nil"/>
                  </w:tcBorders>
                  <w:vAlign w:val="center"/>
                </w:tcPr>
                <w:p w14:paraId="66C95AB1">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H</w:t>
                  </w:r>
                  <w:r>
                    <w:rPr>
                      <w:rFonts w:ascii="Times New Roman" w:hAnsi="Times New Roman" w:cs="Times New Roman"/>
                      <w:color w:val="auto"/>
                      <w:sz w:val="21"/>
                      <w:szCs w:val="21"/>
                      <w:vertAlign w:val="subscript"/>
                    </w:rPr>
                    <w:t>2</w:t>
                  </w:r>
                  <w:r>
                    <w:rPr>
                      <w:rFonts w:ascii="Times New Roman" w:hAnsi="Times New Roman" w:cs="Times New Roman"/>
                      <w:color w:val="auto"/>
                      <w:sz w:val="21"/>
                      <w:szCs w:val="21"/>
                    </w:rPr>
                    <w:t>S</w:t>
                  </w:r>
                </w:p>
              </w:tc>
            </w:tr>
            <w:tr w14:paraId="6549D1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97" w:type="dxa"/>
                  <w:tcBorders>
                    <w:tl2br w:val="nil"/>
                    <w:tr2bl w:val="nil"/>
                  </w:tcBorders>
                  <w:vAlign w:val="center"/>
                </w:tcPr>
                <w:p w14:paraId="448CBDC6">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含量</w:t>
                  </w:r>
                </w:p>
                <w:p w14:paraId="08DBE268">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w:t>
                  </w:r>
                </w:p>
              </w:tc>
              <w:tc>
                <w:tcPr>
                  <w:tcW w:w="1174" w:type="dxa"/>
                  <w:tcBorders>
                    <w:tl2br w:val="nil"/>
                    <w:tr2bl w:val="nil"/>
                  </w:tcBorders>
                  <w:vAlign w:val="center"/>
                </w:tcPr>
                <w:p w14:paraId="37B72A5E">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19.59</w:t>
                  </w:r>
                </w:p>
              </w:tc>
              <w:tc>
                <w:tcPr>
                  <w:tcW w:w="845" w:type="dxa"/>
                  <w:tcBorders>
                    <w:tl2br w:val="nil"/>
                    <w:tr2bl w:val="nil"/>
                  </w:tcBorders>
                  <w:vAlign w:val="center"/>
                </w:tcPr>
                <w:p w14:paraId="0244A0E5">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1.4204</w:t>
                  </w:r>
                </w:p>
              </w:tc>
              <w:tc>
                <w:tcPr>
                  <w:tcW w:w="900" w:type="dxa"/>
                  <w:tcBorders>
                    <w:tl2br w:val="nil"/>
                    <w:tr2bl w:val="nil"/>
                  </w:tcBorders>
                  <w:vAlign w:val="center"/>
                </w:tcPr>
                <w:p w14:paraId="0DD157F7">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30.0584</w:t>
                  </w:r>
                </w:p>
              </w:tc>
              <w:tc>
                <w:tcPr>
                  <w:tcW w:w="834" w:type="dxa"/>
                  <w:tcBorders>
                    <w:tl2br w:val="nil"/>
                    <w:tr2bl w:val="nil"/>
                  </w:tcBorders>
                  <w:vAlign w:val="center"/>
                </w:tcPr>
                <w:p w14:paraId="3DB81C84">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7.0340</w:t>
                  </w:r>
                </w:p>
              </w:tc>
              <w:tc>
                <w:tcPr>
                  <w:tcW w:w="866" w:type="dxa"/>
                  <w:tcBorders>
                    <w:tl2br w:val="nil"/>
                    <w:tr2bl w:val="nil"/>
                  </w:tcBorders>
                  <w:vAlign w:val="center"/>
                </w:tcPr>
                <w:p w14:paraId="3E7EE058">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2.6438</w:t>
                  </w:r>
                </w:p>
              </w:tc>
              <w:tc>
                <w:tcPr>
                  <w:tcW w:w="817" w:type="dxa"/>
                  <w:tcBorders>
                    <w:tl2br w:val="nil"/>
                    <w:tr2bl w:val="nil"/>
                  </w:tcBorders>
                  <w:vAlign w:val="center"/>
                </w:tcPr>
                <w:p w14:paraId="28262E76">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4.7718</w:t>
                  </w:r>
                </w:p>
              </w:tc>
              <w:tc>
                <w:tcPr>
                  <w:tcW w:w="883" w:type="dxa"/>
                  <w:tcBorders>
                    <w:tl2br w:val="nil"/>
                    <w:tr2bl w:val="nil"/>
                  </w:tcBorders>
                  <w:vAlign w:val="center"/>
                </w:tcPr>
                <w:p w14:paraId="59E59474">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2.2431</w:t>
                  </w:r>
                </w:p>
              </w:tc>
              <w:tc>
                <w:tcPr>
                  <w:tcW w:w="716" w:type="dxa"/>
                  <w:tcBorders>
                    <w:tl2br w:val="nil"/>
                    <w:tr2bl w:val="nil"/>
                  </w:tcBorders>
                  <w:vAlign w:val="center"/>
                </w:tcPr>
                <w:p w14:paraId="57EE6FE6">
                  <w:pPr>
                    <w:kinsoku w:val="0"/>
                    <w:overflowPunct w:val="0"/>
                    <w:autoSpaceDE w:val="0"/>
                    <w:autoSpaceDN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0.037g/m</w:t>
                  </w:r>
                  <w:r>
                    <w:rPr>
                      <w:rFonts w:ascii="Times New Roman" w:hAnsi="Times New Roman" w:cs="Times New Roman"/>
                      <w:color w:val="auto"/>
                      <w:sz w:val="21"/>
                      <w:szCs w:val="21"/>
                      <w:vertAlign w:val="superscript"/>
                    </w:rPr>
                    <w:t>3</w:t>
                  </w:r>
                </w:p>
              </w:tc>
            </w:tr>
          </w:tbl>
          <w:p w14:paraId="0BCA6D42">
            <w:pPr>
              <w:pStyle w:val="17"/>
              <w:ind w:left="0" w:leftChars="0" w:firstLine="480" w:firstLineChars="200"/>
              <w:rPr>
                <w:rFonts w:hint="default" w:cs="Times New Roman"/>
                <w:b w:val="0"/>
                <w:bCs w:val="0"/>
                <w:color w:val="auto"/>
                <w:sz w:val="24"/>
                <w:szCs w:val="24"/>
                <w:lang w:val="en-US" w:eastAsia="zh-CN"/>
              </w:rPr>
            </w:pPr>
            <w:r>
              <w:rPr>
                <w:rFonts w:hint="eastAsia" w:cs="Times New Roman"/>
                <w:b w:val="0"/>
                <w:bCs w:val="0"/>
                <w:color w:val="auto"/>
                <w:sz w:val="24"/>
                <w:szCs w:val="24"/>
                <w:lang w:val="en-US" w:eastAsia="zh-CN"/>
              </w:rPr>
              <w:t>③现有工程</w:t>
            </w:r>
            <w:r>
              <w:rPr>
                <w:rFonts w:hint="default" w:cs="Times New Roman"/>
                <w:b w:val="0"/>
                <w:bCs w:val="0"/>
                <w:color w:val="auto"/>
                <w:sz w:val="24"/>
                <w:szCs w:val="24"/>
                <w:lang w:val="en-US" w:eastAsia="zh-CN"/>
              </w:rPr>
              <w:t>固体聚合氯化铝生产</w:t>
            </w:r>
            <w:r>
              <w:rPr>
                <w:rFonts w:hint="eastAsia" w:cs="Times New Roman"/>
                <w:b w:val="0"/>
                <w:bCs w:val="0"/>
                <w:color w:val="auto"/>
                <w:sz w:val="24"/>
                <w:szCs w:val="24"/>
                <w:lang w:val="en-US" w:eastAsia="zh-CN"/>
              </w:rPr>
              <w:t>线主要原辅材料及能源消耗</w:t>
            </w:r>
          </w:p>
          <w:p w14:paraId="30DC7F35">
            <w:pPr>
              <w:pStyle w:val="16"/>
              <w:keepNext w:val="0"/>
              <w:keepLines/>
              <w:pageBreakBefore w:val="0"/>
              <w:widowControl w:val="0"/>
              <w:kinsoku/>
              <w:wordWrap/>
              <w:overflowPunct/>
              <w:topLinePunct w:val="0"/>
              <w:autoSpaceDE/>
              <w:autoSpaceDN/>
              <w:bidi w:val="0"/>
              <w:adjustRightInd/>
              <w:snapToGrid/>
              <w:spacing w:line="480" w:lineRule="exact"/>
              <w:textAlignment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表</w:t>
            </w:r>
            <w:r>
              <w:rPr>
                <w:rFonts w:hint="eastAsia" w:ascii="Times New Roman" w:hAnsi="Times New Roman" w:eastAsia="宋体" w:cs="Times New Roman"/>
                <w:color w:val="auto"/>
                <w:sz w:val="24"/>
                <w:szCs w:val="24"/>
                <w:lang w:val="en-US" w:eastAsia="zh-CN"/>
              </w:rPr>
              <w:t>2-2</w:t>
            </w:r>
            <w:r>
              <w:rPr>
                <w:rFonts w:hint="default" w:ascii="Times New Roman" w:hAnsi="Times New Roman" w:eastAsia="宋体" w:cs="Times New Roman"/>
                <w:color w:val="auto"/>
                <w:sz w:val="24"/>
                <w:szCs w:val="24"/>
                <w:lang w:val="en-US" w:eastAsia="zh-CN"/>
              </w:rPr>
              <w:t xml:space="preserve">  </w:t>
            </w:r>
            <w:r>
              <w:rPr>
                <w:rFonts w:hint="eastAsia" w:ascii="Times New Roman" w:hAnsi="Times New Roman" w:eastAsia="宋体" w:cs="Times New Roman"/>
                <w:color w:val="auto"/>
                <w:sz w:val="24"/>
                <w:szCs w:val="24"/>
                <w:lang w:val="en-US" w:eastAsia="zh-CN"/>
              </w:rPr>
              <w:t>现有工程</w:t>
            </w:r>
            <w:r>
              <w:rPr>
                <w:rFonts w:hint="default" w:ascii="Times New Roman" w:hAnsi="Times New Roman" w:eastAsia="宋体" w:cs="Times New Roman"/>
                <w:color w:val="auto"/>
                <w:sz w:val="24"/>
                <w:szCs w:val="24"/>
                <w:lang w:val="en-US" w:eastAsia="zh-CN"/>
              </w:rPr>
              <w:t>固体聚合氯化铝生产线</w:t>
            </w:r>
            <w:r>
              <w:rPr>
                <w:rFonts w:hint="eastAsia" w:ascii="Times New Roman" w:hAnsi="Times New Roman" w:eastAsia="宋体" w:cs="Times New Roman"/>
                <w:color w:val="auto"/>
                <w:sz w:val="24"/>
                <w:szCs w:val="24"/>
                <w:lang w:val="en-US" w:eastAsia="zh-CN"/>
              </w:rPr>
              <w:t>（一期）</w:t>
            </w:r>
            <w:r>
              <w:rPr>
                <w:rFonts w:hint="default" w:ascii="Times New Roman" w:hAnsi="Times New Roman" w:eastAsia="宋体" w:cs="Times New Roman"/>
                <w:color w:val="auto"/>
                <w:sz w:val="24"/>
                <w:szCs w:val="24"/>
                <w:lang w:val="en-US" w:eastAsia="zh-CN"/>
              </w:rPr>
              <w:t>主要原辅材料</w:t>
            </w:r>
          </w:p>
          <w:tbl>
            <w:tblPr>
              <w:tblStyle w:val="10"/>
              <w:tblW w:w="7945"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06"/>
              <w:gridCol w:w="1250"/>
              <w:gridCol w:w="700"/>
              <w:gridCol w:w="1300"/>
              <w:gridCol w:w="1933"/>
              <w:gridCol w:w="2056"/>
            </w:tblGrid>
            <w:tr w14:paraId="264ACC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06" w:type="dxa"/>
                  <w:tcBorders>
                    <w:tl2br w:val="nil"/>
                    <w:tr2bl w:val="nil"/>
                  </w:tcBorders>
                  <w:noWrap/>
                  <w:vAlign w:val="center"/>
                </w:tcPr>
                <w:p w14:paraId="33041521">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序号</w:t>
                  </w:r>
                </w:p>
              </w:tc>
              <w:tc>
                <w:tcPr>
                  <w:tcW w:w="1250" w:type="dxa"/>
                  <w:tcBorders>
                    <w:tl2br w:val="nil"/>
                    <w:tr2bl w:val="nil"/>
                  </w:tcBorders>
                  <w:noWrap/>
                  <w:vAlign w:val="center"/>
                </w:tcPr>
                <w:p w14:paraId="7A69216B">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名称</w:t>
                  </w:r>
                </w:p>
              </w:tc>
              <w:tc>
                <w:tcPr>
                  <w:tcW w:w="700" w:type="dxa"/>
                  <w:tcBorders>
                    <w:tl2br w:val="nil"/>
                    <w:tr2bl w:val="nil"/>
                  </w:tcBorders>
                  <w:noWrap/>
                  <w:vAlign w:val="center"/>
                </w:tcPr>
                <w:p w14:paraId="60F9C59E">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单位</w:t>
                  </w:r>
                </w:p>
              </w:tc>
              <w:tc>
                <w:tcPr>
                  <w:tcW w:w="1300" w:type="dxa"/>
                  <w:tcBorders>
                    <w:tl2br w:val="nil"/>
                    <w:tr2bl w:val="nil"/>
                  </w:tcBorders>
                  <w:noWrap/>
                  <w:vAlign w:val="center"/>
                </w:tcPr>
                <w:p w14:paraId="04781C30">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数量</w:t>
                  </w:r>
                </w:p>
              </w:tc>
              <w:tc>
                <w:tcPr>
                  <w:tcW w:w="1933" w:type="dxa"/>
                  <w:tcBorders>
                    <w:tl2br w:val="nil"/>
                    <w:tr2bl w:val="nil"/>
                  </w:tcBorders>
                  <w:noWrap/>
                  <w:vAlign w:val="center"/>
                </w:tcPr>
                <w:p w14:paraId="64A8FB95">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来源</w:t>
                  </w:r>
                </w:p>
              </w:tc>
              <w:tc>
                <w:tcPr>
                  <w:tcW w:w="2056" w:type="dxa"/>
                  <w:tcBorders>
                    <w:tl2br w:val="nil"/>
                    <w:tr2bl w:val="nil"/>
                  </w:tcBorders>
                  <w:noWrap/>
                  <w:vAlign w:val="center"/>
                </w:tcPr>
                <w:p w14:paraId="2E0CF697">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储存方式</w:t>
                  </w:r>
                </w:p>
              </w:tc>
            </w:tr>
            <w:tr w14:paraId="3B315B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8" w:hRule="atLeast"/>
                <w:jc w:val="center"/>
              </w:trPr>
              <w:tc>
                <w:tcPr>
                  <w:tcW w:w="706" w:type="dxa"/>
                  <w:tcBorders>
                    <w:tl2br w:val="nil"/>
                    <w:tr2bl w:val="nil"/>
                  </w:tcBorders>
                  <w:noWrap/>
                  <w:vAlign w:val="center"/>
                </w:tcPr>
                <w:p w14:paraId="2220C740">
                  <w:pPr>
                    <w:keepNext w:val="0"/>
                    <w:keepLines/>
                    <w:pageBreakBefore w:val="0"/>
                    <w:widowControl w:val="0"/>
                    <w:numPr>
                      <w:ilvl w:val="0"/>
                      <w:numId w:val="1"/>
                    </w:numPr>
                    <w:kinsoku/>
                    <w:wordWrap/>
                    <w:overflowPunct w:val="0"/>
                    <w:topLinePunct w:val="0"/>
                    <w:autoSpaceDE/>
                    <w:autoSpaceDN/>
                    <w:bidi w:val="0"/>
                    <w:adjustRightInd w:val="0"/>
                    <w:snapToGrid w:val="0"/>
                    <w:spacing w:line="240" w:lineRule="auto"/>
                    <w:ind w:left="425" w:leftChars="0" w:hanging="425" w:firstLineChars="0"/>
                    <w:jc w:val="center"/>
                    <w:rPr>
                      <w:rFonts w:hint="default" w:ascii="Times New Roman" w:hAnsi="Times New Roman" w:eastAsia="宋体" w:cs="Times New Roman"/>
                      <w:b w:val="0"/>
                      <w:bCs/>
                      <w:color w:val="auto"/>
                      <w:sz w:val="21"/>
                      <w:szCs w:val="21"/>
                      <w:highlight w:val="none"/>
                      <w:lang w:val="en-US" w:eastAsia="zh-CN"/>
                    </w:rPr>
                  </w:pPr>
                </w:p>
              </w:tc>
              <w:tc>
                <w:tcPr>
                  <w:tcW w:w="1250" w:type="dxa"/>
                  <w:tcBorders>
                    <w:tl2br w:val="nil"/>
                    <w:tr2bl w:val="nil"/>
                  </w:tcBorders>
                  <w:noWrap/>
                  <w:vAlign w:val="center"/>
                </w:tcPr>
                <w:p w14:paraId="4F7A59A2">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粉煤灰</w:t>
                  </w:r>
                </w:p>
              </w:tc>
              <w:tc>
                <w:tcPr>
                  <w:tcW w:w="700" w:type="dxa"/>
                  <w:tcBorders>
                    <w:tl2br w:val="nil"/>
                    <w:tr2bl w:val="nil"/>
                  </w:tcBorders>
                  <w:noWrap/>
                  <w:vAlign w:val="center"/>
                </w:tcPr>
                <w:p w14:paraId="3002B9B0">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t</w:t>
                  </w:r>
                  <w:r>
                    <w:rPr>
                      <w:rFonts w:hint="eastAsia" w:ascii="Times New Roman" w:hAnsi="Times New Roman" w:eastAsia="宋体" w:cs="Times New Roman"/>
                      <w:b w:val="0"/>
                      <w:bCs/>
                      <w:color w:val="auto"/>
                      <w:sz w:val="21"/>
                      <w:szCs w:val="21"/>
                      <w:highlight w:val="none"/>
                      <w:lang w:val="en-US" w:eastAsia="zh-CN"/>
                    </w:rPr>
                    <w:t>/a</w:t>
                  </w:r>
                </w:p>
              </w:tc>
              <w:tc>
                <w:tcPr>
                  <w:tcW w:w="1300" w:type="dxa"/>
                  <w:tcBorders>
                    <w:tl2br w:val="nil"/>
                    <w:tr2bl w:val="nil"/>
                  </w:tcBorders>
                  <w:noWrap/>
                  <w:vAlign w:val="center"/>
                </w:tcPr>
                <w:p w14:paraId="27487FD6">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eastAsia" w:cs="Times New Roman"/>
                      <w:b w:val="0"/>
                      <w:bCs/>
                      <w:color w:val="auto"/>
                      <w:sz w:val="21"/>
                      <w:szCs w:val="21"/>
                      <w:highlight w:val="none"/>
                      <w:lang w:val="en-US" w:eastAsia="zh-CN"/>
                    </w:rPr>
                  </w:pPr>
                  <w:r>
                    <w:rPr>
                      <w:rFonts w:ascii="Times New Roman" w:hAnsi="Times New Roman" w:cs="Times New Roman"/>
                      <w:bCs/>
                      <w:color w:val="auto"/>
                      <w:sz w:val="21"/>
                      <w:szCs w:val="21"/>
                    </w:rPr>
                    <w:t>1.2</w:t>
                  </w:r>
                </w:p>
              </w:tc>
              <w:tc>
                <w:tcPr>
                  <w:tcW w:w="1933" w:type="dxa"/>
                  <w:tcBorders>
                    <w:tl2br w:val="nil"/>
                    <w:tr2bl w:val="nil"/>
                  </w:tcBorders>
                  <w:noWrap/>
                  <w:vAlign w:val="center"/>
                </w:tcPr>
                <w:p w14:paraId="567F4CFD">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北方联合电力蒙西发电公司</w:t>
                  </w:r>
                </w:p>
              </w:tc>
              <w:tc>
                <w:tcPr>
                  <w:tcW w:w="2056" w:type="dxa"/>
                  <w:tcBorders>
                    <w:tl2br w:val="nil"/>
                    <w:tr2bl w:val="nil"/>
                  </w:tcBorders>
                  <w:noWrap/>
                  <w:vAlign w:val="center"/>
                </w:tcPr>
                <w:p w14:paraId="438451AA">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储灰罐存储，直径3m、高9m</w:t>
                  </w:r>
                </w:p>
              </w:tc>
            </w:tr>
            <w:tr w14:paraId="65311E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8" w:hRule="atLeast"/>
                <w:jc w:val="center"/>
              </w:trPr>
              <w:tc>
                <w:tcPr>
                  <w:tcW w:w="706" w:type="dxa"/>
                  <w:tcBorders>
                    <w:tl2br w:val="nil"/>
                    <w:tr2bl w:val="nil"/>
                  </w:tcBorders>
                  <w:noWrap/>
                  <w:vAlign w:val="center"/>
                </w:tcPr>
                <w:p w14:paraId="1461F71A">
                  <w:pPr>
                    <w:keepNext w:val="0"/>
                    <w:keepLines/>
                    <w:pageBreakBefore w:val="0"/>
                    <w:widowControl w:val="0"/>
                    <w:numPr>
                      <w:ilvl w:val="0"/>
                      <w:numId w:val="1"/>
                    </w:numPr>
                    <w:kinsoku/>
                    <w:wordWrap/>
                    <w:overflowPunct w:val="0"/>
                    <w:topLinePunct w:val="0"/>
                    <w:autoSpaceDE/>
                    <w:autoSpaceDN/>
                    <w:bidi w:val="0"/>
                    <w:adjustRightInd w:val="0"/>
                    <w:snapToGrid w:val="0"/>
                    <w:spacing w:line="240" w:lineRule="auto"/>
                    <w:ind w:left="425" w:leftChars="0" w:hanging="425" w:firstLineChars="0"/>
                    <w:jc w:val="center"/>
                    <w:rPr>
                      <w:rFonts w:hint="default" w:ascii="Times New Roman" w:hAnsi="Times New Roman" w:eastAsia="宋体" w:cs="Times New Roman"/>
                      <w:b w:val="0"/>
                      <w:bCs/>
                      <w:color w:val="auto"/>
                      <w:sz w:val="21"/>
                      <w:szCs w:val="21"/>
                      <w:highlight w:val="none"/>
                      <w:lang w:val="en-US" w:eastAsia="zh-CN"/>
                    </w:rPr>
                  </w:pPr>
                </w:p>
              </w:tc>
              <w:tc>
                <w:tcPr>
                  <w:tcW w:w="1250" w:type="dxa"/>
                  <w:tcBorders>
                    <w:tl2br w:val="nil"/>
                    <w:tr2bl w:val="nil"/>
                  </w:tcBorders>
                  <w:noWrap/>
                  <w:vAlign w:val="center"/>
                </w:tcPr>
                <w:p w14:paraId="087B6CD9">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盐酸</w:t>
                  </w:r>
                </w:p>
              </w:tc>
              <w:tc>
                <w:tcPr>
                  <w:tcW w:w="700" w:type="dxa"/>
                  <w:tcBorders>
                    <w:tl2br w:val="nil"/>
                    <w:tr2bl w:val="nil"/>
                  </w:tcBorders>
                  <w:noWrap/>
                  <w:vAlign w:val="center"/>
                </w:tcPr>
                <w:p w14:paraId="35F09B9A">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t</w:t>
                  </w:r>
                  <w:r>
                    <w:rPr>
                      <w:rFonts w:hint="eastAsia" w:ascii="Times New Roman" w:hAnsi="Times New Roman" w:eastAsia="宋体" w:cs="Times New Roman"/>
                      <w:b w:val="0"/>
                      <w:bCs/>
                      <w:color w:val="auto"/>
                      <w:sz w:val="21"/>
                      <w:szCs w:val="21"/>
                      <w:highlight w:val="none"/>
                      <w:lang w:val="en-US" w:eastAsia="zh-CN"/>
                    </w:rPr>
                    <w:t>/a</w:t>
                  </w:r>
                </w:p>
              </w:tc>
              <w:tc>
                <w:tcPr>
                  <w:tcW w:w="1300" w:type="dxa"/>
                  <w:tcBorders>
                    <w:tl2br w:val="nil"/>
                    <w:tr2bl w:val="nil"/>
                  </w:tcBorders>
                  <w:noWrap/>
                  <w:vAlign w:val="center"/>
                </w:tcPr>
                <w:p w14:paraId="0F0CD29B">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ascii="Times New Roman" w:hAnsi="Times New Roman" w:cs="Times New Roman"/>
                      <w:bCs/>
                      <w:color w:val="auto"/>
                      <w:sz w:val="21"/>
                      <w:szCs w:val="21"/>
                    </w:rPr>
                  </w:pPr>
                  <w:r>
                    <w:rPr>
                      <w:rFonts w:hint="eastAsia" w:ascii="Times New Roman" w:hAnsi="Times New Roman" w:cs="Times New Roman"/>
                      <w:bCs/>
                      <w:color w:val="auto"/>
                      <w:sz w:val="21"/>
                      <w:szCs w:val="21"/>
                    </w:rPr>
                    <w:t>1.87</w:t>
                  </w:r>
                </w:p>
              </w:tc>
              <w:tc>
                <w:tcPr>
                  <w:tcW w:w="1933" w:type="dxa"/>
                  <w:tcBorders>
                    <w:tl2br w:val="nil"/>
                    <w:tr2bl w:val="nil"/>
                  </w:tcBorders>
                  <w:noWrap/>
                  <w:vAlign w:val="center"/>
                </w:tcPr>
                <w:p w14:paraId="6D5F7D80">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乌海附近PVC厂副产盐酸</w:t>
                  </w:r>
                </w:p>
              </w:tc>
              <w:tc>
                <w:tcPr>
                  <w:tcW w:w="2056" w:type="dxa"/>
                  <w:tcBorders>
                    <w:tl2br w:val="nil"/>
                    <w:tr2bl w:val="nil"/>
                  </w:tcBorders>
                  <w:noWrap/>
                  <w:vAlign w:val="center"/>
                </w:tcPr>
                <w:p w14:paraId="48C6FF76">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ascii="Times New Roman" w:hAnsi="Times New Roman" w:cs="Times New Roman"/>
                      <w:color w:val="auto"/>
                      <w:sz w:val="21"/>
                      <w:szCs w:val="21"/>
                    </w:rPr>
                    <w:t>3个直径3.5m、高6m的玻璃钢罐存储</w:t>
                  </w:r>
                </w:p>
              </w:tc>
            </w:tr>
            <w:tr w14:paraId="7460D4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6" w:hRule="atLeast"/>
                <w:jc w:val="center"/>
              </w:trPr>
              <w:tc>
                <w:tcPr>
                  <w:tcW w:w="706" w:type="dxa"/>
                  <w:tcBorders>
                    <w:tl2br w:val="nil"/>
                    <w:tr2bl w:val="nil"/>
                  </w:tcBorders>
                  <w:noWrap/>
                  <w:vAlign w:val="center"/>
                </w:tcPr>
                <w:p w14:paraId="38B4514D">
                  <w:pPr>
                    <w:keepNext w:val="0"/>
                    <w:keepLines/>
                    <w:pageBreakBefore w:val="0"/>
                    <w:widowControl w:val="0"/>
                    <w:numPr>
                      <w:ilvl w:val="0"/>
                      <w:numId w:val="1"/>
                    </w:numPr>
                    <w:kinsoku/>
                    <w:wordWrap/>
                    <w:overflowPunct w:val="0"/>
                    <w:topLinePunct w:val="0"/>
                    <w:autoSpaceDE/>
                    <w:autoSpaceDN/>
                    <w:bidi w:val="0"/>
                    <w:adjustRightInd w:val="0"/>
                    <w:snapToGrid w:val="0"/>
                    <w:spacing w:line="240" w:lineRule="auto"/>
                    <w:ind w:left="425" w:leftChars="0" w:hanging="425" w:firstLineChars="0"/>
                    <w:jc w:val="center"/>
                    <w:rPr>
                      <w:rFonts w:hint="default" w:ascii="Times New Roman" w:hAnsi="Times New Roman" w:eastAsia="宋体" w:cs="Times New Roman"/>
                      <w:b w:val="0"/>
                      <w:bCs/>
                      <w:color w:val="auto"/>
                      <w:sz w:val="21"/>
                      <w:szCs w:val="21"/>
                      <w:highlight w:val="none"/>
                      <w:lang w:val="en-US" w:eastAsia="zh-CN"/>
                    </w:rPr>
                  </w:pPr>
                </w:p>
              </w:tc>
              <w:tc>
                <w:tcPr>
                  <w:tcW w:w="1250" w:type="dxa"/>
                  <w:tcBorders>
                    <w:tl2br w:val="nil"/>
                    <w:tr2bl w:val="nil"/>
                  </w:tcBorders>
                  <w:noWrap/>
                  <w:vAlign w:val="center"/>
                </w:tcPr>
                <w:p w14:paraId="44614F8D">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铝酸钙粉</w:t>
                  </w:r>
                </w:p>
              </w:tc>
              <w:tc>
                <w:tcPr>
                  <w:tcW w:w="700" w:type="dxa"/>
                  <w:tcBorders>
                    <w:tl2br w:val="nil"/>
                    <w:tr2bl w:val="nil"/>
                  </w:tcBorders>
                  <w:noWrap/>
                  <w:vAlign w:val="center"/>
                </w:tcPr>
                <w:p w14:paraId="7F36E0C8">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t</w:t>
                  </w:r>
                  <w:r>
                    <w:rPr>
                      <w:rFonts w:hint="eastAsia" w:ascii="Times New Roman" w:hAnsi="Times New Roman" w:eastAsia="宋体" w:cs="Times New Roman"/>
                      <w:b w:val="0"/>
                      <w:bCs/>
                      <w:color w:val="auto"/>
                      <w:sz w:val="21"/>
                      <w:szCs w:val="21"/>
                      <w:highlight w:val="none"/>
                      <w:lang w:val="en-US" w:eastAsia="zh-CN"/>
                    </w:rPr>
                    <w:t>/a</w:t>
                  </w:r>
                </w:p>
              </w:tc>
              <w:tc>
                <w:tcPr>
                  <w:tcW w:w="1300" w:type="dxa"/>
                  <w:tcBorders>
                    <w:tl2br w:val="nil"/>
                    <w:tr2bl w:val="nil"/>
                  </w:tcBorders>
                  <w:noWrap/>
                  <w:vAlign w:val="center"/>
                </w:tcPr>
                <w:p w14:paraId="189DB277">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eastAsia" w:ascii="Times New Roman" w:hAnsi="Times New Roman" w:cs="Times New Roman"/>
                      <w:bCs/>
                      <w:color w:val="auto"/>
                      <w:sz w:val="21"/>
                      <w:szCs w:val="21"/>
                    </w:rPr>
                  </w:pPr>
                  <w:r>
                    <w:rPr>
                      <w:rFonts w:hint="eastAsia" w:ascii="Times New Roman" w:hAnsi="Times New Roman" w:cs="Times New Roman"/>
                      <w:bCs/>
                      <w:color w:val="auto"/>
                      <w:sz w:val="21"/>
                      <w:szCs w:val="21"/>
                    </w:rPr>
                    <w:t xml:space="preserve">0.5 </w:t>
                  </w:r>
                </w:p>
              </w:tc>
              <w:tc>
                <w:tcPr>
                  <w:tcW w:w="1933" w:type="dxa"/>
                  <w:tcBorders>
                    <w:tl2br w:val="nil"/>
                    <w:tr2bl w:val="nil"/>
                  </w:tcBorders>
                  <w:noWrap/>
                  <w:vAlign w:val="center"/>
                </w:tcPr>
                <w:p w14:paraId="22D531AF">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华通水泥厂</w:t>
                  </w:r>
                </w:p>
              </w:tc>
              <w:tc>
                <w:tcPr>
                  <w:tcW w:w="2056" w:type="dxa"/>
                  <w:tcBorders>
                    <w:tl2br w:val="nil"/>
                    <w:tr2bl w:val="nil"/>
                  </w:tcBorders>
                  <w:noWrap/>
                  <w:vAlign w:val="center"/>
                </w:tcPr>
                <w:p w14:paraId="1275BCCC">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ascii="Times New Roman" w:hAnsi="Times New Roman" w:cs="Times New Roman"/>
                      <w:color w:val="auto"/>
                      <w:sz w:val="21"/>
                      <w:szCs w:val="21"/>
                    </w:rPr>
                    <w:t>吨包袋存储于库房内，库房长42m,宽18m，高6m</w:t>
                  </w:r>
                </w:p>
              </w:tc>
            </w:tr>
            <w:tr w14:paraId="09B91C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6" w:hRule="atLeast"/>
                <w:jc w:val="center"/>
              </w:trPr>
              <w:tc>
                <w:tcPr>
                  <w:tcW w:w="706" w:type="dxa"/>
                  <w:tcBorders>
                    <w:tl2br w:val="nil"/>
                    <w:tr2bl w:val="nil"/>
                  </w:tcBorders>
                  <w:noWrap/>
                  <w:vAlign w:val="center"/>
                </w:tcPr>
                <w:p w14:paraId="3E0C128E">
                  <w:pPr>
                    <w:keepNext w:val="0"/>
                    <w:keepLines/>
                    <w:pageBreakBefore w:val="0"/>
                    <w:widowControl w:val="0"/>
                    <w:numPr>
                      <w:ilvl w:val="0"/>
                      <w:numId w:val="1"/>
                    </w:numPr>
                    <w:kinsoku/>
                    <w:wordWrap/>
                    <w:overflowPunct w:val="0"/>
                    <w:topLinePunct w:val="0"/>
                    <w:autoSpaceDE/>
                    <w:autoSpaceDN/>
                    <w:bidi w:val="0"/>
                    <w:adjustRightInd w:val="0"/>
                    <w:snapToGrid w:val="0"/>
                    <w:spacing w:line="240" w:lineRule="auto"/>
                    <w:ind w:left="425" w:leftChars="0" w:hanging="425" w:firstLineChars="0"/>
                    <w:jc w:val="center"/>
                    <w:rPr>
                      <w:rFonts w:hint="default" w:ascii="Times New Roman" w:hAnsi="Times New Roman" w:eastAsia="宋体" w:cs="Times New Roman"/>
                      <w:b w:val="0"/>
                      <w:bCs/>
                      <w:color w:val="auto"/>
                      <w:sz w:val="21"/>
                      <w:szCs w:val="21"/>
                      <w:highlight w:val="none"/>
                      <w:lang w:val="en-US" w:eastAsia="zh-CN"/>
                    </w:rPr>
                  </w:pPr>
                </w:p>
              </w:tc>
              <w:tc>
                <w:tcPr>
                  <w:tcW w:w="1250" w:type="dxa"/>
                  <w:tcBorders>
                    <w:tl2br w:val="nil"/>
                    <w:tr2bl w:val="nil"/>
                  </w:tcBorders>
                  <w:noWrap/>
                  <w:vAlign w:val="center"/>
                </w:tcPr>
                <w:p w14:paraId="4B0CF4BD">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焦炉煤气（热风炉燃料）</w:t>
                  </w:r>
                </w:p>
              </w:tc>
              <w:tc>
                <w:tcPr>
                  <w:tcW w:w="700" w:type="dxa"/>
                  <w:tcBorders>
                    <w:tl2br w:val="nil"/>
                    <w:tr2bl w:val="nil"/>
                  </w:tcBorders>
                  <w:noWrap/>
                  <w:vAlign w:val="center"/>
                </w:tcPr>
                <w:p w14:paraId="605D99DA">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m</w:t>
                  </w:r>
                  <w:r>
                    <w:rPr>
                      <w:rFonts w:hint="eastAsia" w:cs="Times New Roman"/>
                      <w:b w:val="0"/>
                      <w:bCs/>
                      <w:color w:val="auto"/>
                      <w:sz w:val="21"/>
                      <w:szCs w:val="21"/>
                      <w:highlight w:val="none"/>
                      <w:vertAlign w:val="superscript"/>
                      <w:lang w:val="en-US" w:eastAsia="zh-CN"/>
                    </w:rPr>
                    <w:t>3</w:t>
                  </w:r>
                  <w:r>
                    <w:rPr>
                      <w:rFonts w:hint="eastAsia" w:cs="Times New Roman"/>
                      <w:b w:val="0"/>
                      <w:bCs/>
                      <w:color w:val="auto"/>
                      <w:sz w:val="21"/>
                      <w:szCs w:val="21"/>
                      <w:highlight w:val="none"/>
                      <w:lang w:val="en-US" w:eastAsia="zh-CN"/>
                    </w:rPr>
                    <w:t>/a</w:t>
                  </w:r>
                </w:p>
              </w:tc>
              <w:tc>
                <w:tcPr>
                  <w:tcW w:w="1300" w:type="dxa"/>
                  <w:tcBorders>
                    <w:tl2br w:val="nil"/>
                    <w:tr2bl w:val="nil"/>
                  </w:tcBorders>
                  <w:noWrap/>
                  <w:vAlign w:val="center"/>
                </w:tcPr>
                <w:p w14:paraId="1F631468">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eastAsia" w:ascii="Times New Roman" w:hAnsi="Times New Roman" w:cs="Times New Roman"/>
                      <w:bCs/>
                      <w:color w:val="auto"/>
                      <w:sz w:val="21"/>
                      <w:szCs w:val="21"/>
                    </w:rPr>
                  </w:pPr>
                  <w:r>
                    <w:rPr>
                      <w:rFonts w:ascii="Times New Roman" w:cs="Times New Roman"/>
                      <w:color w:val="auto"/>
                      <w:lang w:bidi="mn-Mong-CN"/>
                    </w:rPr>
                    <w:t>159.55×10</w:t>
                  </w:r>
                  <w:r>
                    <w:rPr>
                      <w:rFonts w:ascii="Times New Roman" w:cs="Times New Roman"/>
                      <w:color w:val="auto"/>
                      <w:vertAlign w:val="superscript"/>
                      <w:lang w:bidi="mn-Mong-CN"/>
                    </w:rPr>
                    <w:t>4</w:t>
                  </w:r>
                </w:p>
              </w:tc>
              <w:tc>
                <w:tcPr>
                  <w:tcW w:w="1933" w:type="dxa"/>
                  <w:tcBorders>
                    <w:tl2br w:val="nil"/>
                    <w:tr2bl w:val="nil"/>
                  </w:tcBorders>
                  <w:noWrap/>
                  <w:vAlign w:val="center"/>
                </w:tcPr>
                <w:p w14:paraId="1B919833">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内蒙古星光煤炭集团鄂托克旗华誉煤焦化有限公司</w:t>
                  </w:r>
                </w:p>
              </w:tc>
              <w:tc>
                <w:tcPr>
                  <w:tcW w:w="2056" w:type="dxa"/>
                  <w:tcBorders>
                    <w:tl2br w:val="nil"/>
                    <w:tr2bl w:val="nil"/>
                  </w:tcBorders>
                  <w:noWrap/>
                  <w:vAlign w:val="center"/>
                </w:tcPr>
                <w:p w14:paraId="5B7FBA46">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ascii="Times New Roman" w:cs="Times New Roman"/>
                      <w:color w:val="auto"/>
                      <w:lang w:val="en-US" w:eastAsia="zh-CN" w:bidi="mn-Mong-CN"/>
                    </w:rPr>
                    <w:t>通过管道输送至本项目</w:t>
                  </w:r>
                </w:p>
              </w:tc>
            </w:tr>
          </w:tbl>
          <w:p w14:paraId="4A77D4C5">
            <w:pPr>
              <w:pStyle w:val="17"/>
              <w:ind w:left="0" w:leftChars="0" w:firstLine="0" w:firstLineChars="0"/>
              <w:jc w:val="center"/>
              <w:rPr>
                <w:rFonts w:hint="eastAsia" w:cs="Times New Roman"/>
                <w:b/>
                <w:bCs/>
                <w:color w:val="auto"/>
                <w:sz w:val="24"/>
                <w:szCs w:val="24"/>
                <w:lang w:val="en-US" w:eastAsia="zh-CN"/>
              </w:rPr>
            </w:pPr>
          </w:p>
          <w:p w14:paraId="1D782A1A">
            <w:pPr>
              <w:pStyle w:val="17"/>
              <w:ind w:left="0" w:leftChars="0" w:firstLine="0" w:firstLineChars="0"/>
              <w:jc w:val="center"/>
              <w:rPr>
                <w:rFonts w:hint="eastAsia" w:cs="Times New Roman"/>
                <w:b/>
                <w:bCs/>
                <w:color w:val="auto"/>
                <w:sz w:val="24"/>
                <w:szCs w:val="24"/>
                <w:lang w:val="en-US" w:eastAsia="zh-CN"/>
              </w:rPr>
            </w:pPr>
            <w:r>
              <w:rPr>
                <w:rFonts w:hint="eastAsia" w:cs="Times New Roman"/>
                <w:b/>
                <w:bCs/>
                <w:color w:val="auto"/>
                <w:sz w:val="24"/>
                <w:szCs w:val="24"/>
                <w:lang w:val="en-US" w:eastAsia="zh-CN"/>
              </w:rPr>
              <w:drawing>
                <wp:inline distT="0" distB="0" distL="114300" distR="114300">
                  <wp:extent cx="4739640" cy="8382000"/>
                  <wp:effectExtent l="0" t="0" r="3810" b="0"/>
                  <wp:docPr id="72" name="图片 72" descr="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平面布置图"/>
                          <pic:cNvPicPr>
                            <a:picLocks noChangeAspect="1"/>
                          </pic:cNvPicPr>
                        </pic:nvPicPr>
                        <pic:blipFill>
                          <a:blip r:embed="rId8"/>
                          <a:stretch>
                            <a:fillRect/>
                          </a:stretch>
                        </pic:blipFill>
                        <pic:spPr>
                          <a:xfrm>
                            <a:off x="0" y="0"/>
                            <a:ext cx="4739640" cy="8382000"/>
                          </a:xfrm>
                          <a:prstGeom prst="rect">
                            <a:avLst/>
                          </a:prstGeom>
                        </pic:spPr>
                      </pic:pic>
                    </a:graphicData>
                  </a:graphic>
                </wp:inline>
              </w:drawing>
            </w:r>
          </w:p>
          <w:p w14:paraId="074B0A16">
            <w:pPr>
              <w:pStyle w:val="17"/>
              <w:ind w:left="0" w:leftChars="0" w:firstLine="0" w:firstLineChars="0"/>
              <w:jc w:val="center"/>
              <w:rPr>
                <w:rFonts w:hint="default" w:cs="Times New Roman"/>
                <w:b/>
                <w:bCs/>
                <w:color w:val="auto"/>
                <w:sz w:val="24"/>
                <w:szCs w:val="24"/>
                <w:lang w:val="en-US" w:eastAsia="zh-CN"/>
              </w:rPr>
            </w:pPr>
            <w:r>
              <w:rPr>
                <w:rFonts w:hint="eastAsia" w:cs="Times New Roman"/>
                <w:b/>
                <w:bCs/>
                <w:color w:val="auto"/>
                <w:sz w:val="24"/>
                <w:szCs w:val="24"/>
                <w:lang w:val="en-US" w:eastAsia="zh-CN"/>
              </w:rPr>
              <w:t>图2-1  现有工程平面布置图</w:t>
            </w:r>
          </w:p>
          <w:p w14:paraId="65EFA7E1">
            <w:pPr>
              <w:keepNext w:val="0"/>
              <w:keepLines/>
              <w:pageBreakBefore w:val="0"/>
              <w:widowControl w:val="0"/>
              <w:kinsoku/>
              <w:wordWrap/>
              <w:overflowPunct/>
              <w:topLinePunct w:val="0"/>
              <w:autoSpaceDE/>
              <w:autoSpaceDN/>
              <w:bidi w:val="0"/>
              <w:adjustRightInd/>
              <w:snapToGrid/>
              <w:spacing w:line="480" w:lineRule="exact"/>
              <w:ind w:left="0" w:leftChars="0" w:firstLine="0" w:firstLineChars="0"/>
              <w:textAlignment w:val="center"/>
              <w:rPr>
                <w:rFonts w:hint="default" w:ascii="Times New Roman" w:hAnsi="Times New Roman" w:eastAsia="宋体" w:cs="Times New Roman"/>
                <w:b/>
                <w:bCs/>
                <w:color w:val="auto"/>
                <w:sz w:val="24"/>
                <w:szCs w:val="24"/>
                <w:lang w:val="en-US" w:eastAsia="zh-CN"/>
              </w:rPr>
            </w:pPr>
            <w:r>
              <w:rPr>
                <w:rFonts w:hint="eastAsia" w:cs="Times New Roman"/>
                <w:b/>
                <w:bCs/>
                <w:color w:val="auto"/>
                <w:sz w:val="24"/>
                <w:szCs w:val="24"/>
                <w:lang w:val="en-US" w:eastAsia="zh-CN"/>
              </w:rPr>
              <w:t>3</w:t>
            </w:r>
            <w:r>
              <w:rPr>
                <w:rFonts w:hint="eastAsia" w:ascii="Times New Roman" w:hAnsi="Times New Roman" w:eastAsia="宋体" w:cs="Times New Roman"/>
                <w:b/>
                <w:bCs/>
                <w:color w:val="auto"/>
                <w:sz w:val="24"/>
                <w:szCs w:val="24"/>
                <w:lang w:val="en-US" w:eastAsia="zh-CN"/>
              </w:rPr>
              <w:t>、</w:t>
            </w:r>
            <w:r>
              <w:rPr>
                <w:rFonts w:hint="eastAsia" w:cs="Times New Roman"/>
                <w:b/>
                <w:bCs/>
                <w:color w:val="auto"/>
                <w:sz w:val="24"/>
                <w:szCs w:val="24"/>
                <w:lang w:val="en-US" w:eastAsia="zh-CN"/>
              </w:rPr>
              <w:t>技改</w:t>
            </w:r>
            <w:r>
              <w:rPr>
                <w:rFonts w:hint="eastAsia" w:ascii="Times New Roman" w:hAnsi="Times New Roman" w:eastAsia="宋体" w:cs="Times New Roman"/>
                <w:b/>
                <w:bCs/>
                <w:color w:val="auto"/>
                <w:sz w:val="24"/>
                <w:szCs w:val="24"/>
                <w:lang w:val="en-US" w:eastAsia="zh-CN"/>
              </w:rPr>
              <w:t>项目由来</w:t>
            </w:r>
          </w:p>
          <w:p w14:paraId="4BEDC86A">
            <w:pPr>
              <w:pStyle w:val="17"/>
              <w:ind w:left="0" w:leftChars="0" w:firstLine="480" w:firstLineChars="200"/>
              <w:rPr>
                <w:rFonts w:hint="default" w:eastAsia="宋体" w:cs="Times New Roman"/>
                <w:b/>
                <w:bCs/>
                <w:color w:val="auto"/>
                <w:sz w:val="24"/>
                <w:szCs w:val="24"/>
                <w:lang w:val="en-US" w:eastAsia="zh-CN"/>
              </w:rPr>
            </w:pPr>
            <w:r>
              <w:rPr>
                <w:rFonts w:hint="eastAsia" w:cs="Times New Roman"/>
                <w:b w:val="0"/>
                <w:bCs w:val="0"/>
                <w:color w:val="auto"/>
                <w:sz w:val="24"/>
                <w:szCs w:val="24"/>
                <w:lang w:val="en-US" w:eastAsia="zh-CN"/>
              </w:rPr>
              <w:t>本次技改工程是针对利用粉煤灰生产聚合氯化铝技改扩建项目固体聚合氯化铝生产线喷雾干燥塔热源进行技改，</w:t>
            </w:r>
            <w:r>
              <w:rPr>
                <w:rFonts w:hint="eastAsia" w:ascii="Times New Roman" w:cs="Times New Roman"/>
                <w:color w:val="auto"/>
                <w:lang w:val="en-US" w:eastAsia="zh-CN" w:bidi="mn-Mong-CN"/>
              </w:rPr>
              <w:t>项目</w:t>
            </w:r>
            <w:r>
              <w:rPr>
                <w:rFonts w:hint="eastAsia" w:cs="Times New Roman"/>
                <w:color w:val="auto"/>
                <w:lang w:val="en-US" w:eastAsia="zh-CN" w:bidi="mn-Mong-CN"/>
              </w:rPr>
              <w:t>现</w:t>
            </w:r>
            <w:r>
              <w:rPr>
                <w:rFonts w:hint="eastAsia" w:ascii="Times New Roman" w:cs="Times New Roman"/>
                <w:color w:val="auto"/>
                <w:lang w:val="en-US" w:eastAsia="zh-CN" w:bidi="mn-Mong-CN"/>
              </w:rPr>
              <w:t>有</w:t>
            </w:r>
            <w:r>
              <w:rPr>
                <w:rFonts w:hint="eastAsia" w:ascii="Times New Roman" w:cs="Times New Roman"/>
                <w:color w:val="auto"/>
                <w:lang w:bidi="mn-Mong-CN"/>
              </w:rPr>
              <w:t>喷雾干燥设备自带热风炉</w:t>
            </w:r>
            <w:r>
              <w:rPr>
                <w:rFonts w:hint="eastAsia" w:ascii="Times New Roman" w:cs="Times New Roman"/>
                <w:color w:val="auto"/>
                <w:lang w:eastAsia="zh-CN" w:bidi="mn-Mong-CN"/>
              </w:rPr>
              <w:t>，</w:t>
            </w:r>
            <w:r>
              <w:rPr>
                <w:rFonts w:hint="eastAsia" w:ascii="Times New Roman" w:cs="Times New Roman"/>
                <w:color w:val="auto"/>
                <w:lang w:val="en-US" w:eastAsia="zh-CN" w:bidi="mn-Mong-CN"/>
              </w:rPr>
              <w:t>燃用焦炉煤气，由内蒙古星光煤炭集团鄂托克旗华誉煤焦化有限公司提供，该公司位于本项目北侧180m，通过管道输送至</w:t>
            </w:r>
            <w:r>
              <w:rPr>
                <w:rFonts w:hint="eastAsia" w:cs="Times New Roman"/>
                <w:color w:val="auto"/>
                <w:lang w:val="en-US" w:eastAsia="zh-CN" w:bidi="mn-Mong-CN"/>
              </w:rPr>
              <w:t>厂区内</w:t>
            </w:r>
            <w:r>
              <w:rPr>
                <w:rFonts w:hint="eastAsia" w:ascii="Times New Roman" w:cs="Times New Roman"/>
                <w:color w:val="auto"/>
                <w:lang w:val="en-US" w:eastAsia="zh-CN" w:bidi="mn-Mong-CN"/>
              </w:rPr>
              <w:t>。现因该公司无法正常供应焦炉煤气，</w:t>
            </w:r>
            <w:r>
              <w:rPr>
                <w:rFonts w:hint="default" w:ascii="Times New Roman" w:hAnsi="Times New Roman" w:eastAsia="宋体" w:cs="Times New Roman"/>
                <w:color w:val="auto"/>
                <w:sz w:val="24"/>
                <w:szCs w:val="24"/>
                <w:lang w:val="en-US" w:eastAsia="zh-CN"/>
              </w:rPr>
              <w:t>鄂尔多斯市蓝天白云环保材料有限责任公司</w:t>
            </w:r>
            <w:r>
              <w:rPr>
                <w:rFonts w:hint="eastAsia" w:cs="Times New Roman"/>
                <w:color w:val="auto"/>
                <w:sz w:val="24"/>
                <w:szCs w:val="24"/>
                <w:lang w:val="en-US" w:eastAsia="zh-CN"/>
              </w:rPr>
              <w:t>决定在厂区内喷雾干燥车间北侧新建一台MBZ直接式燃煤热风炉及配套的储运工程，为喷雾干燥塔提供热源，保留原有</w:t>
            </w:r>
            <w:r>
              <w:rPr>
                <w:rFonts w:hint="eastAsia" w:ascii="Times New Roman" w:cs="Times New Roman"/>
                <w:color w:val="auto"/>
                <w:lang w:val="en-US" w:eastAsia="zh-CN" w:bidi="mn-Mong-CN"/>
              </w:rPr>
              <w:t>焦炉煤气</w:t>
            </w:r>
            <w:r>
              <w:rPr>
                <w:rFonts w:hint="eastAsia" w:cs="Times New Roman"/>
                <w:color w:val="auto"/>
                <w:sz w:val="24"/>
                <w:szCs w:val="24"/>
                <w:lang w:val="en-US" w:eastAsia="zh-CN"/>
              </w:rPr>
              <w:t>热风炉，作为备用热源。本次技改项目只改变</w:t>
            </w:r>
            <w:r>
              <w:rPr>
                <w:rFonts w:hint="eastAsia" w:ascii="Times New Roman" w:cs="Times New Roman"/>
                <w:color w:val="auto"/>
                <w:lang w:bidi="mn-Mong-CN"/>
              </w:rPr>
              <w:t>喷雾干燥设备</w:t>
            </w:r>
            <w:r>
              <w:rPr>
                <w:rFonts w:hint="eastAsia" w:ascii="Times New Roman" w:cs="Times New Roman"/>
                <w:color w:val="auto"/>
                <w:lang w:val="en-US" w:eastAsia="zh-CN" w:bidi="mn-Mong-CN"/>
              </w:rPr>
              <w:t>热源，产品、产能不改变。</w:t>
            </w:r>
          </w:p>
          <w:p w14:paraId="603FE31C">
            <w:pPr>
              <w:keepNext w:val="0"/>
              <w:keepLines/>
              <w:pageBreakBefore w:val="0"/>
              <w:widowControl w:val="0"/>
              <w:kinsoku/>
              <w:wordWrap/>
              <w:overflowPunct/>
              <w:topLinePunct w:val="0"/>
              <w:autoSpaceDE/>
              <w:autoSpaceDN/>
              <w:bidi w:val="0"/>
              <w:adjustRightInd/>
              <w:snapToGrid/>
              <w:spacing w:line="480" w:lineRule="exact"/>
              <w:ind w:left="0" w:leftChars="0" w:firstLine="0" w:firstLineChars="0"/>
              <w:textAlignment w:val="center"/>
              <w:rPr>
                <w:rFonts w:hint="default" w:ascii="Times New Roman" w:hAnsi="Times New Roman" w:eastAsia="宋体" w:cs="Times New Roman"/>
                <w:b/>
                <w:bCs/>
                <w:color w:val="auto"/>
                <w:sz w:val="24"/>
                <w:szCs w:val="24"/>
                <w:lang w:val="en-US" w:eastAsia="zh-CN"/>
              </w:rPr>
            </w:pPr>
            <w:r>
              <w:rPr>
                <w:rFonts w:hint="eastAsia" w:cs="Times New Roman"/>
                <w:b/>
                <w:bCs/>
                <w:color w:val="auto"/>
                <w:sz w:val="24"/>
                <w:szCs w:val="24"/>
                <w:lang w:val="en-US" w:eastAsia="zh-CN"/>
              </w:rPr>
              <w:t>4</w:t>
            </w:r>
            <w:r>
              <w:rPr>
                <w:rFonts w:hint="default" w:ascii="Times New Roman" w:hAnsi="Times New Roman" w:eastAsia="宋体" w:cs="Times New Roman"/>
                <w:b/>
                <w:bCs/>
                <w:color w:val="auto"/>
                <w:sz w:val="24"/>
                <w:szCs w:val="24"/>
                <w:lang w:val="en-US" w:eastAsia="zh-CN"/>
              </w:rPr>
              <w:t>、</w:t>
            </w:r>
            <w:r>
              <w:rPr>
                <w:rFonts w:hint="eastAsia" w:cs="Times New Roman"/>
                <w:b/>
                <w:bCs/>
                <w:color w:val="auto"/>
                <w:sz w:val="24"/>
                <w:szCs w:val="24"/>
                <w:lang w:val="en-US" w:eastAsia="zh-CN"/>
              </w:rPr>
              <w:t>技改</w:t>
            </w:r>
            <w:r>
              <w:rPr>
                <w:rFonts w:hint="default" w:ascii="Times New Roman" w:hAnsi="Times New Roman" w:eastAsia="宋体" w:cs="Times New Roman"/>
                <w:b/>
                <w:bCs/>
                <w:color w:val="auto"/>
                <w:sz w:val="24"/>
                <w:szCs w:val="24"/>
                <w:lang w:val="en-US" w:eastAsia="zh-CN"/>
              </w:rPr>
              <w:t>项目概况</w:t>
            </w:r>
          </w:p>
          <w:p w14:paraId="21820E9C">
            <w:pPr>
              <w:pStyle w:val="17"/>
              <w:ind w:left="0" w:leftChars="0" w:firstLine="480" w:firstLineChars="200"/>
              <w:rPr>
                <w:rFonts w:hint="eastAsia" w:ascii="Times New Roman" w:hAnsi="Times New Roman" w:eastAsia="宋体" w:cs="Times New Roman"/>
                <w:color w:val="auto"/>
                <w:lang w:val="en-US" w:eastAsia="zh-CN" w:bidi="mn-Mong-CN"/>
              </w:rPr>
            </w:pPr>
            <w:r>
              <w:rPr>
                <w:rFonts w:hint="eastAsia" w:cs="Times New Roman"/>
                <w:color w:val="auto"/>
                <w:lang w:val="en-US" w:eastAsia="zh-CN" w:bidi="mn-Mong-CN"/>
              </w:rPr>
              <w:t>（1）</w:t>
            </w:r>
            <w:r>
              <w:rPr>
                <w:rFonts w:hint="eastAsia" w:ascii="Times New Roman" w:hAnsi="Times New Roman" w:eastAsia="宋体" w:cs="Times New Roman"/>
                <w:color w:val="auto"/>
                <w:lang w:val="en-US" w:eastAsia="zh-CN" w:bidi="mn-Mong-CN"/>
              </w:rPr>
              <w:t>项目名称：鄂尔多斯市蓝天白云环保材料有限责任公司固体聚合氯化铝生产线喷雾干燥塔热源技改项目</w:t>
            </w:r>
          </w:p>
          <w:p w14:paraId="73AC15CD">
            <w:pPr>
              <w:pStyle w:val="17"/>
              <w:ind w:left="0" w:leftChars="0" w:firstLine="480" w:firstLineChars="200"/>
              <w:rPr>
                <w:rFonts w:hint="eastAsia" w:ascii="Times New Roman" w:hAnsi="Times New Roman" w:eastAsia="宋体" w:cs="Times New Roman"/>
                <w:color w:val="auto"/>
                <w:lang w:val="en-US" w:eastAsia="zh-CN" w:bidi="mn-Mong-CN"/>
              </w:rPr>
            </w:pPr>
            <w:r>
              <w:rPr>
                <w:rFonts w:hint="eastAsia" w:cs="Times New Roman"/>
                <w:color w:val="auto"/>
                <w:lang w:val="en-US" w:eastAsia="zh-CN" w:bidi="mn-Mong-CN"/>
              </w:rPr>
              <w:t>（2）</w:t>
            </w:r>
            <w:r>
              <w:rPr>
                <w:rFonts w:hint="eastAsia" w:ascii="Times New Roman" w:hAnsi="Times New Roman" w:eastAsia="宋体" w:cs="Times New Roman"/>
                <w:color w:val="auto"/>
                <w:lang w:val="en-US" w:eastAsia="zh-CN" w:bidi="mn-Mong-CN"/>
              </w:rPr>
              <w:t>建设性质：技改</w:t>
            </w:r>
          </w:p>
          <w:p w14:paraId="5A9EC389">
            <w:pPr>
              <w:pStyle w:val="17"/>
              <w:ind w:left="0" w:leftChars="0" w:firstLine="480" w:firstLineChars="200"/>
              <w:rPr>
                <w:rFonts w:hint="eastAsia" w:ascii="Times New Roman" w:hAnsi="Times New Roman" w:eastAsia="宋体" w:cs="Times New Roman"/>
                <w:color w:val="auto"/>
                <w:lang w:val="en-US" w:eastAsia="zh-CN" w:bidi="mn-Mong-CN"/>
              </w:rPr>
            </w:pPr>
            <w:r>
              <w:rPr>
                <w:rFonts w:hint="eastAsia" w:cs="Times New Roman"/>
                <w:color w:val="auto"/>
                <w:lang w:val="en-US" w:eastAsia="zh-CN" w:bidi="mn-Mong-CN"/>
              </w:rPr>
              <w:t>（3）</w:t>
            </w:r>
            <w:r>
              <w:rPr>
                <w:rFonts w:hint="eastAsia" w:ascii="Times New Roman" w:hAnsi="Times New Roman" w:eastAsia="宋体" w:cs="Times New Roman"/>
                <w:color w:val="auto"/>
                <w:lang w:val="en-US" w:eastAsia="zh-CN" w:bidi="mn-Mong-CN"/>
              </w:rPr>
              <w:t>建设单位：鄂尔多斯市蓝天白云环保材料有限责任公司</w:t>
            </w:r>
          </w:p>
          <w:p w14:paraId="6D06DE85">
            <w:pPr>
              <w:pStyle w:val="17"/>
              <w:ind w:left="0" w:leftChars="0" w:firstLine="480" w:firstLineChars="200"/>
              <w:rPr>
                <w:rFonts w:hint="eastAsia" w:ascii="Times New Roman" w:hAnsi="Times New Roman" w:eastAsia="宋体" w:cs="Times New Roman"/>
                <w:color w:val="auto"/>
                <w:lang w:val="en-US" w:eastAsia="zh-CN" w:bidi="mn-Mong-CN"/>
              </w:rPr>
            </w:pPr>
            <w:r>
              <w:rPr>
                <w:rFonts w:hint="eastAsia" w:cs="Times New Roman"/>
                <w:color w:val="auto"/>
                <w:lang w:val="en-US" w:eastAsia="zh-CN" w:bidi="mn-Mong-CN"/>
              </w:rPr>
              <w:t>（4）</w:t>
            </w:r>
            <w:r>
              <w:rPr>
                <w:rFonts w:hint="eastAsia" w:ascii="Times New Roman" w:hAnsi="Times New Roman" w:eastAsia="宋体" w:cs="Times New Roman"/>
                <w:color w:val="auto"/>
                <w:lang w:val="en-US" w:eastAsia="zh-CN" w:bidi="mn-Mong-CN"/>
              </w:rPr>
              <w:t>项目投资：本项目总投资300万元，其中环保投资</w:t>
            </w:r>
            <w:r>
              <w:rPr>
                <w:rFonts w:hint="eastAsia" w:cs="Times New Roman"/>
                <w:color w:val="auto"/>
                <w:lang w:val="en-US" w:eastAsia="zh-CN" w:bidi="mn-Mong-CN"/>
              </w:rPr>
              <w:t>18</w:t>
            </w:r>
            <w:r>
              <w:rPr>
                <w:rFonts w:hint="eastAsia" w:ascii="Times New Roman" w:hAnsi="Times New Roman" w:eastAsia="宋体" w:cs="Times New Roman"/>
                <w:color w:val="auto"/>
                <w:lang w:val="en-US" w:eastAsia="zh-CN" w:bidi="mn-Mong-CN"/>
              </w:rPr>
              <w:t>万元，环保投资比例为</w:t>
            </w:r>
            <w:r>
              <w:rPr>
                <w:rFonts w:hint="eastAsia" w:cs="Times New Roman"/>
                <w:color w:val="auto"/>
                <w:lang w:val="en-US" w:eastAsia="zh-CN" w:bidi="mn-Mong-CN"/>
              </w:rPr>
              <w:t>6</w:t>
            </w:r>
            <w:r>
              <w:rPr>
                <w:rFonts w:hint="eastAsia" w:ascii="Times New Roman" w:hAnsi="Times New Roman" w:eastAsia="宋体" w:cs="Times New Roman"/>
                <w:color w:val="auto"/>
                <w:lang w:val="en-US" w:eastAsia="zh-CN" w:bidi="mn-Mong-CN"/>
              </w:rPr>
              <w:t>%。</w:t>
            </w:r>
          </w:p>
          <w:p w14:paraId="6A96D2E5">
            <w:pPr>
              <w:pStyle w:val="17"/>
              <w:ind w:left="0" w:leftChars="0" w:firstLine="480" w:firstLineChars="200"/>
              <w:rPr>
                <w:rFonts w:hint="eastAsia" w:ascii="Times New Roman" w:hAnsi="Times New Roman" w:eastAsia="宋体" w:cs="Times New Roman"/>
                <w:color w:val="auto"/>
                <w:lang w:val="en-US" w:eastAsia="zh-CN" w:bidi="mn-Mong-CN"/>
              </w:rPr>
            </w:pPr>
            <w:r>
              <w:rPr>
                <w:rFonts w:hint="eastAsia" w:cs="Times New Roman"/>
                <w:color w:val="auto"/>
                <w:lang w:val="en-US" w:eastAsia="zh-CN" w:bidi="mn-Mong-CN"/>
              </w:rPr>
              <w:t>（5）</w:t>
            </w:r>
            <w:r>
              <w:rPr>
                <w:rFonts w:hint="eastAsia" w:ascii="Times New Roman" w:hAnsi="Times New Roman" w:eastAsia="宋体" w:cs="Times New Roman"/>
                <w:color w:val="auto"/>
                <w:lang w:val="en-US" w:eastAsia="zh-CN" w:bidi="mn-Mong-CN"/>
              </w:rPr>
              <w:t>建设地点：</w:t>
            </w:r>
            <w:r>
              <w:rPr>
                <w:rFonts w:hint="eastAsia" w:ascii="宋体" w:hAnsi="宋体" w:cs="宋体"/>
                <w:color w:val="auto"/>
                <w:sz w:val="24"/>
                <w:szCs w:val="24"/>
                <w:lang w:eastAsia="zh-CN"/>
              </w:rPr>
              <w:t>鄂尔多斯市鄂托克旗</w:t>
            </w:r>
            <w:r>
              <w:rPr>
                <w:rFonts w:hint="default" w:ascii="Times New Roman" w:hAnsi="Times New Roman" w:cs="Times New Roman"/>
                <w:color w:val="auto"/>
                <w:kern w:val="2"/>
                <w:sz w:val="24"/>
                <w:szCs w:val="24"/>
              </w:rPr>
              <w:t>内蒙古蒙西高新技术工业园区</w:t>
            </w:r>
            <w:r>
              <w:rPr>
                <w:rFonts w:hint="eastAsia" w:ascii="Times New Roman" w:hAnsi="Times New Roman" w:eastAsia="宋体" w:cs="Times New Roman"/>
                <w:color w:val="auto"/>
                <w:lang w:val="en-US" w:eastAsia="zh-CN" w:bidi="mn-Mong-CN"/>
              </w:rPr>
              <w:t>鄂尔多斯市蓝天白云环保材料有限责任公司厂区内，本项目占地面积400m</w:t>
            </w:r>
            <w:r>
              <w:rPr>
                <w:rFonts w:hint="eastAsia" w:ascii="Times New Roman" w:hAnsi="Times New Roman" w:eastAsia="宋体" w:cs="Times New Roman"/>
                <w:color w:val="auto"/>
                <w:vertAlign w:val="superscript"/>
                <w:lang w:val="en-US" w:eastAsia="zh-CN" w:bidi="mn-Mong-CN"/>
              </w:rPr>
              <w:t>2</w:t>
            </w:r>
            <w:r>
              <w:rPr>
                <w:rFonts w:hint="eastAsia" w:ascii="Times New Roman" w:hAnsi="Times New Roman" w:eastAsia="宋体" w:cs="Times New Roman"/>
                <w:color w:val="auto"/>
                <w:lang w:val="en-US" w:eastAsia="zh-CN" w:bidi="mn-Mong-CN"/>
              </w:rPr>
              <w:t>，不新增占地，中心经纬度为：</w:t>
            </w:r>
            <w:r>
              <w:rPr>
                <w:rFonts w:hint="eastAsia" w:ascii="宋体" w:hAnsi="宋体" w:cs="宋体"/>
                <w:color w:val="auto"/>
                <w:sz w:val="24"/>
                <w:szCs w:val="24"/>
                <w:lang w:val="en-US" w:eastAsia="zh-CN"/>
              </w:rPr>
              <w:t>106</w:t>
            </w:r>
            <w:r>
              <w:rPr>
                <w:rFonts w:hint="eastAsia" w:ascii="宋体" w:hAnsi="宋体" w:eastAsia="宋体" w:cs="宋体"/>
                <w:color w:val="auto"/>
                <w:sz w:val="24"/>
                <w:szCs w:val="24"/>
              </w:rPr>
              <w:t>度</w:t>
            </w:r>
            <w:r>
              <w:rPr>
                <w:rFonts w:hint="eastAsia" w:ascii="宋体" w:hAnsi="宋体" w:cs="宋体"/>
                <w:color w:val="auto"/>
                <w:sz w:val="24"/>
                <w:szCs w:val="24"/>
                <w:lang w:val="en-US" w:eastAsia="zh-CN"/>
              </w:rPr>
              <w:t>47</w:t>
            </w:r>
            <w:r>
              <w:rPr>
                <w:rFonts w:hint="eastAsia" w:ascii="宋体" w:hAnsi="宋体" w:eastAsia="宋体" w:cs="宋体"/>
                <w:color w:val="auto"/>
                <w:sz w:val="24"/>
                <w:szCs w:val="24"/>
              </w:rPr>
              <w:t>分</w:t>
            </w:r>
            <w:r>
              <w:rPr>
                <w:rFonts w:hint="eastAsia" w:ascii="宋体" w:hAnsi="宋体" w:cs="宋体"/>
                <w:color w:val="auto"/>
                <w:sz w:val="24"/>
                <w:szCs w:val="24"/>
                <w:lang w:val="en-US" w:eastAsia="zh-CN"/>
              </w:rPr>
              <w:t>8.459</w:t>
            </w:r>
            <w:r>
              <w:rPr>
                <w:rFonts w:hint="eastAsia" w:ascii="宋体" w:hAnsi="宋体" w:eastAsia="宋体" w:cs="宋体"/>
                <w:color w:val="auto"/>
                <w:sz w:val="24"/>
                <w:szCs w:val="24"/>
              </w:rPr>
              <w:t>秒，</w:t>
            </w:r>
            <w:r>
              <w:rPr>
                <w:rFonts w:hint="eastAsia" w:ascii="宋体" w:hAnsi="宋体" w:cs="宋体"/>
                <w:color w:val="auto"/>
                <w:sz w:val="24"/>
                <w:szCs w:val="24"/>
                <w:lang w:val="en-US" w:eastAsia="zh-CN"/>
              </w:rPr>
              <w:t>39</w:t>
            </w:r>
            <w:r>
              <w:rPr>
                <w:rFonts w:hint="eastAsia" w:ascii="宋体" w:hAnsi="宋体" w:eastAsia="宋体" w:cs="宋体"/>
                <w:color w:val="auto"/>
                <w:sz w:val="24"/>
                <w:szCs w:val="24"/>
              </w:rPr>
              <w:t>度</w:t>
            </w:r>
            <w:r>
              <w:rPr>
                <w:rFonts w:hint="eastAsia" w:ascii="宋体" w:hAnsi="宋体" w:cs="宋体"/>
                <w:color w:val="auto"/>
                <w:sz w:val="24"/>
                <w:szCs w:val="24"/>
                <w:lang w:val="en-US" w:eastAsia="zh-CN"/>
              </w:rPr>
              <w:t>51</w:t>
            </w:r>
            <w:r>
              <w:rPr>
                <w:rFonts w:hint="eastAsia" w:ascii="宋体" w:hAnsi="宋体" w:eastAsia="宋体" w:cs="宋体"/>
                <w:color w:val="auto"/>
                <w:sz w:val="24"/>
                <w:szCs w:val="24"/>
              </w:rPr>
              <w:t>分</w:t>
            </w:r>
            <w:r>
              <w:rPr>
                <w:rFonts w:hint="eastAsia" w:ascii="宋体" w:hAnsi="宋体" w:cs="宋体"/>
                <w:color w:val="auto"/>
                <w:sz w:val="24"/>
                <w:szCs w:val="24"/>
                <w:lang w:val="en-US" w:eastAsia="zh-CN"/>
              </w:rPr>
              <w:t>50.202</w:t>
            </w:r>
            <w:r>
              <w:rPr>
                <w:rFonts w:hint="eastAsia" w:ascii="宋体" w:hAnsi="宋体" w:eastAsia="宋体" w:cs="宋体"/>
                <w:color w:val="auto"/>
                <w:sz w:val="24"/>
                <w:szCs w:val="24"/>
              </w:rPr>
              <w:t>秒</w:t>
            </w:r>
            <w:r>
              <w:rPr>
                <w:rFonts w:hint="eastAsia" w:ascii="Times New Roman" w:hAnsi="Times New Roman" w:eastAsia="宋体" w:cs="Times New Roman"/>
                <w:color w:val="auto"/>
                <w:lang w:val="en-US" w:eastAsia="zh-CN" w:bidi="mn-Mong-CN"/>
              </w:rPr>
              <w:t>。</w:t>
            </w:r>
          </w:p>
          <w:p w14:paraId="0B5CD4E8">
            <w:pPr>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sz w:val="24"/>
                <w:szCs w:val="24"/>
                <w:lang w:val="en-US" w:eastAsia="zh-CN"/>
              </w:rPr>
            </w:pPr>
            <w:r>
              <w:rPr>
                <w:rFonts w:hint="eastAsia" w:cs="Times New Roman"/>
                <w:b w:val="0"/>
                <w:bCs/>
                <w:color w:val="auto"/>
                <w:sz w:val="24"/>
                <w:szCs w:val="24"/>
                <w:highlight w:val="none"/>
                <w:lang w:val="en-US" w:eastAsia="zh-CN"/>
              </w:rPr>
              <w:t>（6）建设规模及内容：新建一台MBZ直接式燃煤热风炉为喷雾干燥塔提供热源，保留原有焦炉煤气热风炉，作为备用热源</w:t>
            </w:r>
            <w:r>
              <w:rPr>
                <w:rFonts w:hint="eastAsia" w:cs="Times New Roman"/>
                <w:color w:val="auto"/>
                <w:sz w:val="24"/>
                <w:szCs w:val="24"/>
                <w:lang w:val="en-US" w:eastAsia="zh-CN"/>
              </w:rPr>
              <w:t>，配套建设的储运工程包括燃料煤储棚和灰渣储棚</w:t>
            </w:r>
            <w:r>
              <w:rPr>
                <w:rFonts w:hint="eastAsia" w:cs="Times New Roman"/>
                <w:b w:val="0"/>
                <w:bCs/>
                <w:color w:val="auto"/>
                <w:sz w:val="24"/>
                <w:szCs w:val="24"/>
                <w:highlight w:val="none"/>
                <w:lang w:val="en-US" w:eastAsia="zh-CN"/>
              </w:rPr>
              <w:t>。</w:t>
            </w:r>
            <w:r>
              <w:rPr>
                <w:rFonts w:hint="default" w:ascii="Times New Roman" w:hAnsi="Times New Roman" w:eastAsia="宋体" w:cs="Times New Roman"/>
                <w:color w:val="auto"/>
                <w:sz w:val="24"/>
                <w:szCs w:val="24"/>
                <w:lang w:val="en-US" w:eastAsia="zh-CN"/>
              </w:rPr>
              <w:t>本项目具体工程内容详见表2-</w:t>
            </w:r>
            <w:r>
              <w:rPr>
                <w:rFonts w:hint="eastAsia"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w:t>
            </w:r>
          </w:p>
          <w:p w14:paraId="5B46D43C">
            <w:pPr>
              <w:pStyle w:val="16"/>
              <w:keepNext w:val="0"/>
              <w:keepLines/>
              <w:pageBreakBefore w:val="0"/>
              <w:widowControl w:val="0"/>
              <w:kinsoku/>
              <w:wordWrap/>
              <w:overflowPunct/>
              <w:topLinePunct w:val="0"/>
              <w:autoSpaceDE/>
              <w:autoSpaceDN/>
              <w:bidi w:val="0"/>
              <w:adjustRightInd/>
              <w:snapToGrid/>
              <w:spacing w:line="480" w:lineRule="exact"/>
              <w:textAlignment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表2-</w:t>
            </w:r>
            <w:r>
              <w:rPr>
                <w:rFonts w:hint="eastAsia" w:eastAsia="宋体"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 xml:space="preserve">  工程组成一览表</w:t>
            </w:r>
          </w:p>
          <w:tbl>
            <w:tblPr>
              <w:tblStyle w:val="1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1"/>
              <w:gridCol w:w="524"/>
              <w:gridCol w:w="126"/>
              <w:gridCol w:w="653"/>
              <w:gridCol w:w="3048"/>
              <w:gridCol w:w="2197"/>
              <w:gridCol w:w="963"/>
            </w:tblGrid>
            <w:tr w14:paraId="14B3AE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1" w:type="pct"/>
                  <w:gridSpan w:val="4"/>
                  <w:vMerge w:val="restart"/>
                  <w:tcBorders>
                    <w:tl2br w:val="nil"/>
                    <w:tr2bl w:val="nil"/>
                  </w:tcBorders>
                  <w:vAlign w:val="center"/>
                </w:tcPr>
                <w:p w14:paraId="4A39114F">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项目名称</w:t>
                  </w:r>
                </w:p>
              </w:tc>
              <w:tc>
                <w:tcPr>
                  <w:tcW w:w="3302" w:type="pct"/>
                  <w:gridSpan w:val="2"/>
                  <w:tcBorders>
                    <w:tl2br w:val="nil"/>
                    <w:tr2bl w:val="nil"/>
                  </w:tcBorders>
                  <w:vAlign w:val="center"/>
                </w:tcPr>
                <w:p w14:paraId="0A6B99FD">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建设内容</w:t>
                  </w:r>
                </w:p>
              </w:tc>
              <w:tc>
                <w:tcPr>
                  <w:tcW w:w="606" w:type="pct"/>
                  <w:vMerge w:val="restart"/>
                  <w:tcBorders>
                    <w:tl2br w:val="nil"/>
                    <w:tr2bl w:val="nil"/>
                  </w:tcBorders>
                  <w:vAlign w:val="center"/>
                </w:tcPr>
                <w:p w14:paraId="6494074C">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备注</w:t>
                  </w:r>
                </w:p>
              </w:tc>
            </w:tr>
            <w:tr w14:paraId="1AFF3F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1" w:type="pct"/>
                  <w:gridSpan w:val="4"/>
                  <w:vMerge w:val="continue"/>
                  <w:tcBorders>
                    <w:tl2br w:val="nil"/>
                    <w:tr2bl w:val="nil"/>
                  </w:tcBorders>
                  <w:vAlign w:val="center"/>
                </w:tcPr>
                <w:p w14:paraId="2ABD6287">
                  <w:pPr>
                    <w:widowControl w:val="0"/>
                    <w:adjustRightInd w:val="0"/>
                    <w:snapToGrid w:val="0"/>
                    <w:jc w:val="center"/>
                    <w:rPr>
                      <w:rFonts w:ascii="Times New Roman" w:hAnsi="Times New Roman" w:cs="Times New Roman"/>
                      <w:color w:val="auto"/>
                      <w:sz w:val="21"/>
                      <w:szCs w:val="21"/>
                    </w:rPr>
                  </w:pPr>
                </w:p>
              </w:tc>
              <w:tc>
                <w:tcPr>
                  <w:tcW w:w="1918" w:type="pct"/>
                  <w:tcBorders>
                    <w:tl2br w:val="nil"/>
                    <w:tr2bl w:val="nil"/>
                  </w:tcBorders>
                  <w:vAlign w:val="center"/>
                </w:tcPr>
                <w:p w14:paraId="0C623011">
                  <w:pPr>
                    <w:widowControl w:val="0"/>
                    <w:adjustRightInd w:val="0"/>
                    <w:snapToGrid w:val="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利用粉煤灰生产聚合氯化铝技改扩建项目</w:t>
                  </w:r>
                </w:p>
              </w:tc>
              <w:tc>
                <w:tcPr>
                  <w:tcW w:w="1383" w:type="pct"/>
                  <w:tcBorders>
                    <w:tl2br w:val="nil"/>
                    <w:tr2bl w:val="nil"/>
                  </w:tcBorders>
                  <w:vAlign w:val="center"/>
                </w:tcPr>
                <w:p w14:paraId="66B9BD7C">
                  <w:pPr>
                    <w:widowControl w:val="0"/>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本次技改项目</w:t>
                  </w:r>
                </w:p>
              </w:tc>
              <w:tc>
                <w:tcPr>
                  <w:tcW w:w="606" w:type="pct"/>
                  <w:vMerge w:val="continue"/>
                  <w:tcBorders>
                    <w:tl2br w:val="nil"/>
                    <w:tr2bl w:val="nil"/>
                  </w:tcBorders>
                  <w:vAlign w:val="center"/>
                </w:tcPr>
                <w:p w14:paraId="07FBECF2">
                  <w:pPr>
                    <w:widowControl w:val="0"/>
                    <w:adjustRightInd w:val="0"/>
                    <w:snapToGrid w:val="0"/>
                    <w:jc w:val="center"/>
                    <w:rPr>
                      <w:rFonts w:ascii="Times New Roman" w:hAnsi="Times New Roman" w:cs="Times New Roman"/>
                      <w:color w:val="auto"/>
                      <w:sz w:val="21"/>
                      <w:szCs w:val="21"/>
                    </w:rPr>
                  </w:pPr>
                </w:p>
              </w:tc>
            </w:tr>
            <w:tr w14:paraId="7D4D60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restart"/>
                  <w:tcBorders>
                    <w:tl2br w:val="nil"/>
                    <w:tr2bl w:val="nil"/>
                  </w:tcBorders>
                  <w:vAlign w:val="center"/>
                </w:tcPr>
                <w:p w14:paraId="59F7A2DB">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主体工程</w:t>
                  </w:r>
                </w:p>
              </w:tc>
              <w:tc>
                <w:tcPr>
                  <w:tcW w:w="329" w:type="pct"/>
                  <w:vMerge w:val="restart"/>
                  <w:tcBorders>
                    <w:tl2br w:val="nil"/>
                    <w:tr2bl w:val="nil"/>
                  </w:tcBorders>
                  <w:vAlign w:val="center"/>
                </w:tcPr>
                <w:p w14:paraId="3EBF255B">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固体聚合氯化铝生产线</w:t>
                  </w:r>
                </w:p>
              </w:tc>
              <w:tc>
                <w:tcPr>
                  <w:tcW w:w="490" w:type="pct"/>
                  <w:gridSpan w:val="2"/>
                  <w:tcBorders>
                    <w:tl2br w:val="nil"/>
                    <w:tr2bl w:val="nil"/>
                  </w:tcBorders>
                  <w:vAlign w:val="center"/>
                </w:tcPr>
                <w:p w14:paraId="4727F904">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反应车间</w:t>
                  </w:r>
                </w:p>
              </w:tc>
              <w:tc>
                <w:tcPr>
                  <w:tcW w:w="1918" w:type="pct"/>
                  <w:tcBorders>
                    <w:tl2br w:val="nil"/>
                    <w:tr2bl w:val="nil"/>
                  </w:tcBorders>
                  <w:vAlign w:val="center"/>
                </w:tcPr>
                <w:p w14:paraId="49F10857">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新建1座反应车间。在车间设30m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溶出反应釜4台。</w:t>
                  </w:r>
                </w:p>
              </w:tc>
              <w:tc>
                <w:tcPr>
                  <w:tcW w:w="1383" w:type="pct"/>
                  <w:tcBorders>
                    <w:tl2br w:val="nil"/>
                    <w:tr2bl w:val="nil"/>
                  </w:tcBorders>
                  <w:vAlign w:val="center"/>
                </w:tcPr>
                <w:p w14:paraId="3F0CC08E">
                  <w:pPr>
                    <w:widowControl w:val="0"/>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6549777C">
                  <w:pPr>
                    <w:widowControl w:val="0"/>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无变化</w:t>
                  </w:r>
                </w:p>
              </w:tc>
            </w:tr>
            <w:tr w14:paraId="513A3A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63CF0E51">
                  <w:pPr>
                    <w:widowControl w:val="0"/>
                    <w:adjustRightInd w:val="0"/>
                    <w:snapToGrid w:val="0"/>
                    <w:jc w:val="center"/>
                    <w:rPr>
                      <w:rFonts w:ascii="Times New Roman" w:hAnsi="Times New Roman" w:cs="Times New Roman"/>
                      <w:color w:val="auto"/>
                      <w:sz w:val="21"/>
                      <w:szCs w:val="21"/>
                    </w:rPr>
                  </w:pPr>
                </w:p>
              </w:tc>
              <w:tc>
                <w:tcPr>
                  <w:tcW w:w="329" w:type="pct"/>
                  <w:vMerge w:val="continue"/>
                  <w:tcBorders>
                    <w:tl2br w:val="nil"/>
                    <w:tr2bl w:val="nil"/>
                  </w:tcBorders>
                  <w:vAlign w:val="center"/>
                </w:tcPr>
                <w:p w14:paraId="2C034726">
                  <w:pPr>
                    <w:widowControl w:val="0"/>
                    <w:adjustRightInd w:val="0"/>
                    <w:snapToGrid w:val="0"/>
                    <w:jc w:val="center"/>
                    <w:rPr>
                      <w:rFonts w:ascii="Times New Roman" w:hAnsi="Times New Roman" w:cs="Times New Roman"/>
                      <w:color w:val="auto"/>
                      <w:sz w:val="21"/>
                      <w:szCs w:val="21"/>
                    </w:rPr>
                  </w:pPr>
                </w:p>
              </w:tc>
              <w:tc>
                <w:tcPr>
                  <w:tcW w:w="490" w:type="pct"/>
                  <w:gridSpan w:val="2"/>
                  <w:tcBorders>
                    <w:tl2br w:val="nil"/>
                    <w:tr2bl w:val="nil"/>
                  </w:tcBorders>
                  <w:vAlign w:val="center"/>
                </w:tcPr>
                <w:p w14:paraId="31B50BA9">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聚合车间</w:t>
                  </w:r>
                </w:p>
              </w:tc>
              <w:tc>
                <w:tcPr>
                  <w:tcW w:w="1918" w:type="pct"/>
                  <w:tcBorders>
                    <w:tl2br w:val="nil"/>
                    <w:tr2bl w:val="nil"/>
                  </w:tcBorders>
                  <w:vAlign w:val="center"/>
                </w:tcPr>
                <w:p w14:paraId="12C12A85">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依托厂区南侧现有聚合车间，不新建</w:t>
                  </w:r>
                </w:p>
              </w:tc>
              <w:tc>
                <w:tcPr>
                  <w:tcW w:w="1383" w:type="pct"/>
                  <w:tcBorders>
                    <w:tl2br w:val="nil"/>
                    <w:tr2bl w:val="nil"/>
                  </w:tcBorders>
                  <w:vAlign w:val="center"/>
                </w:tcPr>
                <w:p w14:paraId="0CB94CB3">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262E887A">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无变化</w:t>
                  </w:r>
                </w:p>
              </w:tc>
            </w:tr>
            <w:tr w14:paraId="50BC95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058AC547">
                  <w:pPr>
                    <w:widowControl w:val="0"/>
                    <w:adjustRightInd w:val="0"/>
                    <w:snapToGrid w:val="0"/>
                    <w:jc w:val="center"/>
                    <w:rPr>
                      <w:rFonts w:ascii="Times New Roman" w:hAnsi="Times New Roman" w:cs="Times New Roman"/>
                      <w:color w:val="auto"/>
                      <w:sz w:val="21"/>
                      <w:szCs w:val="21"/>
                    </w:rPr>
                  </w:pPr>
                </w:p>
              </w:tc>
              <w:tc>
                <w:tcPr>
                  <w:tcW w:w="329" w:type="pct"/>
                  <w:vMerge w:val="continue"/>
                  <w:tcBorders>
                    <w:tl2br w:val="nil"/>
                    <w:tr2bl w:val="nil"/>
                  </w:tcBorders>
                  <w:vAlign w:val="center"/>
                </w:tcPr>
                <w:p w14:paraId="1832D2A7">
                  <w:pPr>
                    <w:widowControl w:val="0"/>
                    <w:adjustRightInd w:val="0"/>
                    <w:snapToGrid w:val="0"/>
                    <w:jc w:val="center"/>
                    <w:rPr>
                      <w:rFonts w:ascii="Times New Roman" w:hAnsi="Times New Roman" w:cs="Times New Roman"/>
                      <w:color w:val="auto"/>
                      <w:sz w:val="21"/>
                      <w:szCs w:val="21"/>
                    </w:rPr>
                  </w:pPr>
                </w:p>
              </w:tc>
              <w:tc>
                <w:tcPr>
                  <w:tcW w:w="490" w:type="pct"/>
                  <w:gridSpan w:val="2"/>
                  <w:tcBorders>
                    <w:tl2br w:val="nil"/>
                    <w:tr2bl w:val="nil"/>
                  </w:tcBorders>
                  <w:vAlign w:val="center"/>
                </w:tcPr>
                <w:p w14:paraId="553E2BF3">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压滤车间</w:t>
                  </w:r>
                </w:p>
              </w:tc>
              <w:tc>
                <w:tcPr>
                  <w:tcW w:w="1918" w:type="pct"/>
                  <w:tcBorders>
                    <w:tl2br w:val="nil"/>
                    <w:tr2bl w:val="nil"/>
                  </w:tcBorders>
                  <w:vAlign w:val="center"/>
                </w:tcPr>
                <w:p w14:paraId="0CBE4277">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新建压滤车间，位于现有压滤车间南侧，占地面积540 m</w:t>
                  </w:r>
                  <w:r>
                    <w:rPr>
                      <w:rFonts w:ascii="Times New Roman" w:hAnsi="Times New Roman" w:cs="Times New Roman"/>
                      <w:color w:val="auto"/>
                      <w:sz w:val="21"/>
                      <w:szCs w:val="21"/>
                      <w:vertAlign w:val="superscript"/>
                    </w:rPr>
                    <w:t>2</w:t>
                  </w:r>
                  <w:r>
                    <w:rPr>
                      <w:rFonts w:ascii="Times New Roman" w:hAnsi="Times New Roman" w:cs="Times New Roman"/>
                      <w:color w:val="auto"/>
                      <w:sz w:val="21"/>
                      <w:szCs w:val="21"/>
                    </w:rPr>
                    <w:t>，内设600m</w:t>
                  </w:r>
                  <w:r>
                    <w:rPr>
                      <w:rFonts w:ascii="Times New Roman" w:hAnsi="Times New Roman" w:cs="Times New Roman"/>
                      <w:color w:val="auto"/>
                      <w:sz w:val="21"/>
                      <w:szCs w:val="21"/>
                      <w:vertAlign w:val="superscript"/>
                    </w:rPr>
                    <w:t>2</w:t>
                  </w:r>
                  <w:r>
                    <w:rPr>
                      <w:rFonts w:ascii="Times New Roman" w:hAnsi="Times New Roman" w:cs="Times New Roman"/>
                      <w:color w:val="auto"/>
                      <w:sz w:val="21"/>
                      <w:szCs w:val="21"/>
                    </w:rPr>
                    <w:t>压滤机6台。</w:t>
                  </w:r>
                </w:p>
              </w:tc>
              <w:tc>
                <w:tcPr>
                  <w:tcW w:w="1383" w:type="pct"/>
                  <w:tcBorders>
                    <w:tl2br w:val="nil"/>
                    <w:tr2bl w:val="nil"/>
                  </w:tcBorders>
                  <w:vAlign w:val="center"/>
                </w:tcPr>
                <w:p w14:paraId="54AC23B3">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64722ED4">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无变化</w:t>
                  </w:r>
                </w:p>
              </w:tc>
            </w:tr>
            <w:tr w14:paraId="430BA8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271" w:type="pct"/>
                  <w:vMerge w:val="continue"/>
                  <w:tcBorders>
                    <w:tl2br w:val="nil"/>
                    <w:tr2bl w:val="nil"/>
                  </w:tcBorders>
                  <w:vAlign w:val="center"/>
                </w:tcPr>
                <w:p w14:paraId="05296563">
                  <w:pPr>
                    <w:widowControl w:val="0"/>
                    <w:adjustRightInd w:val="0"/>
                    <w:snapToGrid w:val="0"/>
                    <w:jc w:val="center"/>
                    <w:rPr>
                      <w:rFonts w:ascii="Times New Roman" w:hAnsi="Times New Roman" w:cs="Times New Roman"/>
                      <w:color w:val="auto"/>
                      <w:sz w:val="21"/>
                      <w:szCs w:val="21"/>
                    </w:rPr>
                  </w:pPr>
                </w:p>
              </w:tc>
              <w:tc>
                <w:tcPr>
                  <w:tcW w:w="329" w:type="pct"/>
                  <w:vMerge w:val="continue"/>
                  <w:tcBorders>
                    <w:tl2br w:val="nil"/>
                    <w:tr2bl w:val="nil"/>
                  </w:tcBorders>
                  <w:vAlign w:val="center"/>
                </w:tcPr>
                <w:p w14:paraId="5CD05910">
                  <w:pPr>
                    <w:widowControl w:val="0"/>
                    <w:adjustRightInd w:val="0"/>
                    <w:snapToGrid w:val="0"/>
                    <w:jc w:val="center"/>
                    <w:rPr>
                      <w:rFonts w:ascii="Times New Roman" w:hAnsi="Times New Roman" w:cs="Times New Roman"/>
                      <w:color w:val="auto"/>
                      <w:sz w:val="21"/>
                      <w:szCs w:val="21"/>
                    </w:rPr>
                  </w:pPr>
                </w:p>
              </w:tc>
              <w:tc>
                <w:tcPr>
                  <w:tcW w:w="490" w:type="pct"/>
                  <w:gridSpan w:val="2"/>
                  <w:tcBorders>
                    <w:tl2br w:val="nil"/>
                    <w:tr2bl w:val="nil"/>
                  </w:tcBorders>
                  <w:vAlign w:val="center"/>
                </w:tcPr>
                <w:p w14:paraId="3C8874EE">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喷雾干燥车间</w:t>
                  </w:r>
                </w:p>
              </w:tc>
              <w:tc>
                <w:tcPr>
                  <w:tcW w:w="1918" w:type="pct"/>
                  <w:tcBorders>
                    <w:tl2br w:val="nil"/>
                    <w:tr2bl w:val="nil"/>
                  </w:tcBorders>
                  <w:vAlign w:val="center"/>
                </w:tcPr>
                <w:p w14:paraId="3ADA3841">
                  <w:pPr>
                    <w:widowControl w:val="0"/>
                    <w:adjustRightInd w:val="0"/>
                    <w:snapToGrid w:val="0"/>
                    <w:jc w:val="center"/>
                    <w:rPr>
                      <w:rFonts w:hint="eastAsia" w:ascii="Times New Roman" w:hAnsi="Times New Roman" w:eastAsia="宋体" w:cs="Times New Roman"/>
                      <w:color w:val="auto"/>
                      <w:sz w:val="21"/>
                      <w:szCs w:val="21"/>
                      <w:lang w:eastAsia="zh-CN"/>
                    </w:rPr>
                  </w:pPr>
                  <w:r>
                    <w:rPr>
                      <w:rFonts w:ascii="Times New Roman" w:hAnsi="Times New Roman" w:cs="Times New Roman"/>
                      <w:color w:val="auto"/>
                      <w:sz w:val="21"/>
                      <w:szCs w:val="21"/>
                    </w:rPr>
                    <w:t>位于厂区北侧，一期工程新建1套喷雾干燥设备，二期工程新建3套喷雾干燥设备，设备自带热风炉，型号：MJ400</w:t>
                  </w:r>
                  <w:r>
                    <w:rPr>
                      <w:rFonts w:hint="eastAsia" w:cs="Times New Roman"/>
                      <w:color w:val="auto"/>
                      <w:sz w:val="21"/>
                      <w:szCs w:val="21"/>
                      <w:lang w:eastAsia="zh-CN"/>
                    </w:rPr>
                    <w:t>。</w:t>
                  </w:r>
                </w:p>
              </w:tc>
              <w:tc>
                <w:tcPr>
                  <w:tcW w:w="1383" w:type="pct"/>
                  <w:tcBorders>
                    <w:tl2br w:val="nil"/>
                    <w:tr2bl w:val="nil"/>
                  </w:tcBorders>
                  <w:vAlign w:val="center"/>
                </w:tcPr>
                <w:p w14:paraId="76A3C3BB">
                  <w:pPr>
                    <w:widowControl w:val="0"/>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依托现有</w:t>
                  </w:r>
                  <w:r>
                    <w:rPr>
                      <w:rFonts w:ascii="Times New Roman" w:hAnsi="Times New Roman" w:cs="Times New Roman"/>
                      <w:color w:val="auto"/>
                      <w:sz w:val="21"/>
                      <w:szCs w:val="21"/>
                    </w:rPr>
                    <w:t>喷雾干燥设备</w:t>
                  </w:r>
                  <w:r>
                    <w:rPr>
                      <w:rFonts w:hint="eastAsia" w:cs="Times New Roman"/>
                      <w:color w:val="auto"/>
                      <w:sz w:val="21"/>
                      <w:szCs w:val="21"/>
                      <w:lang w:eastAsia="zh-CN"/>
                    </w:rPr>
                    <w:t>，</w:t>
                  </w:r>
                  <w:r>
                    <w:rPr>
                      <w:rFonts w:hint="eastAsia" w:ascii="Times New Roman" w:hAnsi="Times New Roman" w:cs="Times New Roman"/>
                      <w:color w:val="auto"/>
                      <w:sz w:val="21"/>
                      <w:szCs w:val="21"/>
                      <w:lang w:val="en-US" w:eastAsia="zh-CN"/>
                    </w:rPr>
                    <w:t>将</w:t>
                  </w:r>
                  <w:r>
                    <w:rPr>
                      <w:rFonts w:ascii="Times New Roman" w:hAnsi="Times New Roman" w:cs="Times New Roman"/>
                      <w:color w:val="auto"/>
                      <w:sz w:val="21"/>
                      <w:szCs w:val="21"/>
                    </w:rPr>
                    <w:t>设备自带热风炉</w:t>
                  </w:r>
                  <w:r>
                    <w:rPr>
                      <w:rFonts w:hint="eastAsia" w:ascii="Times New Roman" w:hAnsi="Times New Roman" w:cs="Times New Roman"/>
                      <w:color w:val="auto"/>
                      <w:sz w:val="21"/>
                      <w:szCs w:val="21"/>
                      <w:lang w:val="en-US" w:eastAsia="zh-CN"/>
                    </w:rPr>
                    <w:t>作为备用热源，其它不变。</w:t>
                  </w:r>
                </w:p>
              </w:tc>
              <w:tc>
                <w:tcPr>
                  <w:tcW w:w="606" w:type="pct"/>
                  <w:tcBorders>
                    <w:tl2br w:val="nil"/>
                    <w:tr2bl w:val="nil"/>
                  </w:tcBorders>
                  <w:vAlign w:val="center"/>
                </w:tcPr>
                <w:p w14:paraId="00599449">
                  <w:pPr>
                    <w:widowControl w:val="0"/>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依托现有</w:t>
                  </w:r>
                  <w:r>
                    <w:rPr>
                      <w:rFonts w:ascii="Times New Roman" w:hAnsi="Times New Roman" w:cs="Times New Roman"/>
                      <w:color w:val="auto"/>
                      <w:sz w:val="21"/>
                      <w:szCs w:val="21"/>
                    </w:rPr>
                    <w:t>喷雾干燥设备</w:t>
                  </w:r>
                  <w:r>
                    <w:rPr>
                      <w:rFonts w:hint="eastAsia" w:cs="Times New Roman"/>
                      <w:color w:val="auto"/>
                      <w:sz w:val="21"/>
                      <w:szCs w:val="21"/>
                      <w:lang w:eastAsia="zh-CN"/>
                    </w:rPr>
                    <w:t>，</w:t>
                  </w:r>
                  <w:r>
                    <w:rPr>
                      <w:rFonts w:hint="default" w:ascii="Times New Roman" w:hAnsi="Times New Roman" w:eastAsia="宋体" w:cs="Times New Roman"/>
                      <w:b w:val="0"/>
                      <w:bCs/>
                      <w:color w:val="auto"/>
                      <w:sz w:val="21"/>
                      <w:szCs w:val="21"/>
                      <w:highlight w:val="none"/>
                      <w:vertAlign w:val="baseline"/>
                      <w:lang w:val="en-US" w:eastAsia="zh-CN"/>
                    </w:rPr>
                    <w:t>本项目建成后焦炉煤气</w:t>
                  </w:r>
                  <w:r>
                    <w:rPr>
                      <w:rFonts w:hint="eastAsia" w:cs="Times New Roman"/>
                      <w:b w:val="0"/>
                      <w:bCs/>
                      <w:color w:val="auto"/>
                      <w:sz w:val="21"/>
                      <w:szCs w:val="21"/>
                      <w:highlight w:val="none"/>
                      <w:vertAlign w:val="baseline"/>
                      <w:lang w:val="en-US" w:eastAsia="zh-CN"/>
                    </w:rPr>
                    <w:t>热风炉备用</w:t>
                  </w:r>
                </w:p>
              </w:tc>
            </w:tr>
            <w:tr w14:paraId="66944F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271" w:type="pct"/>
                  <w:vMerge w:val="continue"/>
                  <w:tcBorders>
                    <w:tl2br w:val="nil"/>
                    <w:tr2bl w:val="nil"/>
                  </w:tcBorders>
                  <w:vAlign w:val="center"/>
                </w:tcPr>
                <w:p w14:paraId="57EA3040">
                  <w:pPr>
                    <w:widowControl w:val="0"/>
                    <w:adjustRightInd w:val="0"/>
                    <w:snapToGrid w:val="0"/>
                    <w:jc w:val="center"/>
                    <w:rPr>
                      <w:color w:val="auto"/>
                    </w:rPr>
                  </w:pPr>
                </w:p>
              </w:tc>
              <w:tc>
                <w:tcPr>
                  <w:tcW w:w="329" w:type="pct"/>
                  <w:vMerge w:val="continue"/>
                  <w:tcBorders>
                    <w:tl2br w:val="nil"/>
                    <w:tr2bl w:val="nil"/>
                  </w:tcBorders>
                  <w:vAlign w:val="center"/>
                </w:tcPr>
                <w:p w14:paraId="752C1334">
                  <w:pPr>
                    <w:widowControl w:val="0"/>
                    <w:adjustRightInd w:val="0"/>
                    <w:snapToGrid w:val="0"/>
                    <w:jc w:val="center"/>
                    <w:rPr>
                      <w:color w:val="auto"/>
                    </w:rPr>
                  </w:pPr>
                </w:p>
              </w:tc>
              <w:tc>
                <w:tcPr>
                  <w:tcW w:w="490" w:type="pct"/>
                  <w:gridSpan w:val="2"/>
                  <w:tcBorders>
                    <w:tl2br w:val="nil"/>
                    <w:tr2bl w:val="nil"/>
                  </w:tcBorders>
                  <w:vAlign w:val="center"/>
                </w:tcPr>
                <w:p w14:paraId="64BB2540">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热风炉房</w:t>
                  </w:r>
                </w:p>
              </w:tc>
              <w:tc>
                <w:tcPr>
                  <w:tcW w:w="1918" w:type="pct"/>
                  <w:tcBorders>
                    <w:tl2br w:val="nil"/>
                    <w:tr2bl w:val="nil"/>
                  </w:tcBorders>
                  <w:vAlign w:val="center"/>
                </w:tcPr>
                <w:p w14:paraId="7E945F9C">
                  <w:pPr>
                    <w:widowControl w:val="0"/>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383" w:type="pct"/>
                  <w:tcBorders>
                    <w:tl2br w:val="nil"/>
                    <w:tr2bl w:val="nil"/>
                  </w:tcBorders>
                  <w:vAlign w:val="center"/>
                </w:tcPr>
                <w:p w14:paraId="5A8094FB">
                  <w:pPr>
                    <w:widowControl w:val="0"/>
                    <w:adjustRightInd w:val="0"/>
                    <w:snapToGrid w:val="0"/>
                    <w:jc w:val="center"/>
                    <w:rPr>
                      <w:rFonts w:ascii="Times New Roman" w:hAnsi="Times New Roman" w:cs="Times New Roman"/>
                      <w:color w:val="auto"/>
                      <w:sz w:val="21"/>
                      <w:szCs w:val="21"/>
                    </w:rPr>
                  </w:pPr>
                  <w:r>
                    <w:rPr>
                      <w:rFonts w:hint="default" w:ascii="Times New Roman" w:hAnsi="Times New Roman" w:eastAsia="宋体" w:cs="Times New Roman"/>
                      <w:b w:val="0"/>
                      <w:bCs/>
                      <w:color w:val="auto"/>
                      <w:sz w:val="21"/>
                      <w:szCs w:val="21"/>
                      <w:highlight w:val="none"/>
                      <w:vertAlign w:val="baseline"/>
                      <w:lang w:val="en-US" w:eastAsia="zh-CN"/>
                    </w:rPr>
                    <w:t>新建一</w:t>
                  </w:r>
                  <w:r>
                    <w:rPr>
                      <w:rFonts w:hint="eastAsia" w:ascii="Times New Roman" w:hAnsi="Times New Roman" w:eastAsia="宋体" w:cs="Times New Roman"/>
                      <w:b w:val="0"/>
                      <w:bCs/>
                      <w:color w:val="auto"/>
                      <w:sz w:val="21"/>
                      <w:szCs w:val="21"/>
                      <w:highlight w:val="none"/>
                      <w:vertAlign w:val="baseline"/>
                      <w:lang w:val="en-US" w:eastAsia="zh-CN"/>
                    </w:rPr>
                    <w:t>座</w:t>
                  </w:r>
                  <w:r>
                    <w:rPr>
                      <w:rFonts w:hint="eastAsia"/>
                      <w:bCs/>
                      <w:color w:val="auto"/>
                      <w:szCs w:val="21"/>
                    </w:rPr>
                    <w:t>热风</w:t>
                  </w:r>
                  <w:r>
                    <w:rPr>
                      <w:rFonts w:hint="eastAsia"/>
                      <w:bCs/>
                      <w:color w:val="auto"/>
                      <w:szCs w:val="21"/>
                      <w:lang w:val="en-US" w:eastAsia="zh-CN"/>
                    </w:rPr>
                    <w:t>炉</w:t>
                  </w:r>
                  <w:r>
                    <w:rPr>
                      <w:rFonts w:hint="eastAsia" w:ascii="Times New Roman" w:hAnsi="Times New Roman" w:eastAsia="宋体" w:cs="Times New Roman"/>
                      <w:b w:val="0"/>
                      <w:bCs/>
                      <w:color w:val="auto"/>
                      <w:sz w:val="21"/>
                      <w:szCs w:val="21"/>
                      <w:highlight w:val="none"/>
                      <w:vertAlign w:val="baseline"/>
                      <w:lang w:val="en-US" w:eastAsia="zh-CN"/>
                    </w:rPr>
                    <w:t>房，</w:t>
                  </w:r>
                  <w:r>
                    <w:rPr>
                      <w:rFonts w:hint="eastAsia" w:cs="Times New Roman"/>
                      <w:b w:val="0"/>
                      <w:bCs/>
                      <w:color w:val="auto"/>
                      <w:sz w:val="21"/>
                      <w:szCs w:val="21"/>
                      <w:highlight w:val="none"/>
                      <w:lang w:val="en-US" w:eastAsia="zh-CN"/>
                    </w:rPr>
                    <w:t>占地面积</w:t>
                  </w:r>
                  <w:r>
                    <w:rPr>
                      <w:rFonts w:hint="eastAsia" w:cs="Times New Roman"/>
                      <w:b w:val="0"/>
                      <w:bCs w:val="0"/>
                      <w:color w:val="auto"/>
                      <w:sz w:val="21"/>
                      <w:szCs w:val="21"/>
                      <w:lang w:val="en-US" w:eastAsia="zh-CN"/>
                    </w:rPr>
                    <w:t>260m</w:t>
                  </w:r>
                  <w:r>
                    <w:rPr>
                      <w:rFonts w:hint="eastAsia" w:cs="Times New Roman"/>
                      <w:b w:val="0"/>
                      <w:bCs w:val="0"/>
                      <w:color w:val="auto"/>
                      <w:sz w:val="21"/>
                      <w:szCs w:val="21"/>
                      <w:vertAlign w:val="superscript"/>
                      <w:lang w:val="en-US" w:eastAsia="zh-CN"/>
                    </w:rPr>
                    <w:t>2</w:t>
                  </w:r>
                  <w:r>
                    <w:rPr>
                      <w:rFonts w:hint="eastAsia" w:cs="Times New Roman"/>
                      <w:b w:val="0"/>
                      <w:bCs w:val="0"/>
                      <w:color w:val="auto"/>
                      <w:sz w:val="21"/>
                      <w:szCs w:val="21"/>
                      <w:lang w:val="en-US" w:eastAsia="zh-CN"/>
                    </w:rPr>
                    <w:t>，</w:t>
                  </w:r>
                  <w:r>
                    <w:rPr>
                      <w:rFonts w:hint="eastAsia"/>
                      <w:color w:val="auto"/>
                      <w:szCs w:val="21"/>
                    </w:rPr>
                    <w:t>内设一台</w:t>
                  </w:r>
                  <w:r>
                    <w:rPr>
                      <w:bCs/>
                      <w:color w:val="auto"/>
                      <w:szCs w:val="21"/>
                    </w:rPr>
                    <w:t>MBZ500万大卡高洁净直接式燃煤热风炉</w:t>
                  </w:r>
                  <w:r>
                    <w:rPr>
                      <w:rFonts w:hint="eastAsia" w:ascii="Times New Roman" w:hAnsi="Times New Roman" w:eastAsia="宋体" w:cs="Times New Roman"/>
                      <w:b w:val="0"/>
                      <w:bCs/>
                      <w:color w:val="auto"/>
                      <w:sz w:val="21"/>
                      <w:szCs w:val="21"/>
                      <w:highlight w:val="none"/>
                      <w:vertAlign w:val="baseline"/>
                      <w:lang w:val="en-US" w:eastAsia="zh-CN"/>
                    </w:rPr>
                    <w:t>，</w:t>
                  </w:r>
                  <w:r>
                    <w:rPr>
                      <w:rFonts w:hint="eastAsia" w:cs="Times New Roman"/>
                      <w:b w:val="0"/>
                      <w:bCs/>
                      <w:color w:val="auto"/>
                      <w:sz w:val="21"/>
                      <w:szCs w:val="21"/>
                      <w:highlight w:val="none"/>
                      <w:vertAlign w:val="baseline"/>
                      <w:lang w:val="en-US" w:eastAsia="zh-CN"/>
                    </w:rPr>
                    <w:t>最大</w:t>
                  </w:r>
                  <w:r>
                    <w:rPr>
                      <w:rFonts w:ascii="Times New Roman" w:hAnsi="Times New Roman" w:cs="Times New Roman"/>
                      <w:color w:val="auto"/>
                      <w:sz w:val="21"/>
                      <w:szCs w:val="21"/>
                    </w:rPr>
                    <w:t>功率：</w:t>
                  </w:r>
                  <w:r>
                    <w:rPr>
                      <w:rFonts w:hint="eastAsia" w:cs="Times New Roman"/>
                      <w:color w:val="auto"/>
                      <w:sz w:val="21"/>
                      <w:szCs w:val="21"/>
                      <w:lang w:val="en-US" w:eastAsia="zh-CN"/>
                    </w:rPr>
                    <w:t>6M</w:t>
                  </w:r>
                  <w:r>
                    <w:rPr>
                      <w:rFonts w:ascii="Times New Roman" w:hAnsi="Times New Roman" w:cs="Times New Roman"/>
                      <w:color w:val="auto"/>
                      <w:sz w:val="21"/>
                      <w:szCs w:val="21"/>
                    </w:rPr>
                    <w:t>W</w:t>
                  </w:r>
                  <w:r>
                    <w:rPr>
                      <w:rFonts w:hint="eastAsia" w:cs="Times New Roman"/>
                      <w:color w:val="auto"/>
                      <w:sz w:val="21"/>
                      <w:szCs w:val="21"/>
                      <w:lang w:eastAsia="zh-CN"/>
                    </w:rPr>
                    <w:t>（</w:t>
                  </w:r>
                  <w:r>
                    <w:rPr>
                      <w:rFonts w:hint="eastAsia" w:cs="Times New Roman"/>
                      <w:color w:val="auto"/>
                      <w:sz w:val="21"/>
                      <w:szCs w:val="21"/>
                      <w:lang w:val="en-US" w:eastAsia="zh-CN"/>
                    </w:rPr>
                    <w:t>可调控</w:t>
                  </w:r>
                  <w:r>
                    <w:rPr>
                      <w:rFonts w:hint="eastAsia" w:cs="Times New Roman"/>
                      <w:color w:val="auto"/>
                      <w:sz w:val="21"/>
                      <w:szCs w:val="21"/>
                      <w:lang w:eastAsia="zh-CN"/>
                    </w:rPr>
                    <w:t>），</w:t>
                  </w:r>
                  <w:r>
                    <w:rPr>
                      <w:rFonts w:hint="eastAsia" w:cs="Times New Roman"/>
                      <w:color w:val="auto"/>
                      <w:sz w:val="21"/>
                      <w:szCs w:val="21"/>
                      <w:lang w:val="en-US" w:eastAsia="zh-CN"/>
                    </w:rPr>
                    <w:t>大于现有设备自带热风炉</w:t>
                  </w:r>
                  <w:r>
                    <w:rPr>
                      <w:rFonts w:ascii="Times New Roman" w:hAnsi="Times New Roman" w:cs="Times New Roman"/>
                      <w:color w:val="auto"/>
                      <w:sz w:val="21"/>
                      <w:szCs w:val="21"/>
                    </w:rPr>
                    <w:t>功率：</w:t>
                  </w:r>
                  <w:r>
                    <w:rPr>
                      <w:rFonts w:hint="eastAsia" w:cs="Times New Roman"/>
                      <w:color w:val="auto"/>
                      <w:sz w:val="21"/>
                      <w:szCs w:val="21"/>
                      <w:lang w:val="en-US" w:eastAsia="zh-CN"/>
                    </w:rPr>
                    <w:t>1215.5K</w:t>
                  </w:r>
                  <w:r>
                    <w:rPr>
                      <w:rFonts w:ascii="Times New Roman" w:hAnsi="Times New Roman" w:cs="Times New Roman"/>
                      <w:color w:val="auto"/>
                      <w:sz w:val="21"/>
                      <w:szCs w:val="21"/>
                    </w:rPr>
                    <w:t>W</w:t>
                  </w:r>
                  <w:r>
                    <w:rPr>
                      <w:rFonts w:hint="eastAsia" w:cs="Times New Roman"/>
                      <w:color w:val="auto"/>
                      <w:sz w:val="21"/>
                      <w:szCs w:val="21"/>
                      <w:lang w:eastAsia="zh-CN"/>
                    </w:rPr>
                    <w:t>，</w:t>
                  </w:r>
                  <w:r>
                    <w:rPr>
                      <w:rFonts w:hint="default" w:ascii="Times New Roman" w:hAnsi="Times New Roman" w:eastAsia="宋体" w:cs="Times New Roman"/>
                      <w:b w:val="0"/>
                      <w:bCs/>
                      <w:color w:val="auto"/>
                      <w:sz w:val="21"/>
                      <w:szCs w:val="21"/>
                      <w:highlight w:val="none"/>
                      <w:vertAlign w:val="baseline"/>
                      <w:lang w:val="en-US" w:eastAsia="zh-CN"/>
                    </w:rPr>
                    <w:t>用于利用粉煤灰生产聚合氯化铝技改扩建项目固体聚合氯化铝生产线</w:t>
                  </w:r>
                  <w:r>
                    <w:rPr>
                      <w:rFonts w:hint="eastAsia" w:cs="Times New Roman"/>
                      <w:b w:val="0"/>
                      <w:bCs/>
                      <w:color w:val="auto"/>
                      <w:sz w:val="21"/>
                      <w:szCs w:val="21"/>
                      <w:highlight w:val="none"/>
                      <w:vertAlign w:val="baseline"/>
                      <w:lang w:val="en-US" w:eastAsia="zh-CN"/>
                    </w:rPr>
                    <w:t>一期工程</w:t>
                  </w:r>
                  <w:r>
                    <w:rPr>
                      <w:rFonts w:hint="default" w:ascii="Times New Roman" w:hAnsi="Times New Roman" w:eastAsia="宋体" w:cs="Times New Roman"/>
                      <w:b w:val="0"/>
                      <w:bCs/>
                      <w:color w:val="auto"/>
                      <w:sz w:val="21"/>
                      <w:szCs w:val="21"/>
                      <w:highlight w:val="none"/>
                      <w:vertAlign w:val="baseline"/>
                      <w:lang w:val="en-US" w:eastAsia="zh-CN"/>
                    </w:rPr>
                    <w:t>喷雾干燥塔</w:t>
                  </w:r>
                  <w:r>
                    <w:rPr>
                      <w:rFonts w:hint="eastAsia" w:cs="Times New Roman"/>
                      <w:b w:val="0"/>
                      <w:bCs/>
                      <w:color w:val="auto"/>
                      <w:sz w:val="21"/>
                      <w:szCs w:val="21"/>
                      <w:highlight w:val="none"/>
                      <w:vertAlign w:val="baseline"/>
                      <w:lang w:val="en-US" w:eastAsia="zh-CN"/>
                    </w:rPr>
                    <w:t>热源，二期工程另行开展环境影响评价工作。热风炉房</w:t>
                  </w:r>
                  <w:r>
                    <w:rPr>
                      <w:rFonts w:hint="eastAsia" w:ascii="Times New Roman" w:hAnsi="Times New Roman" w:eastAsia="宋体" w:cs="Times New Roman"/>
                      <w:b w:val="0"/>
                      <w:bCs/>
                      <w:color w:val="auto"/>
                      <w:sz w:val="21"/>
                      <w:szCs w:val="21"/>
                      <w:highlight w:val="none"/>
                      <w:vertAlign w:val="baseline"/>
                      <w:lang w:val="en-US" w:eastAsia="zh-CN"/>
                    </w:rPr>
                    <w:t>位于</w:t>
                  </w:r>
                  <w:r>
                    <w:rPr>
                      <w:rFonts w:hint="default" w:ascii="Times New Roman" w:hAnsi="Times New Roman" w:eastAsia="宋体" w:cs="Times New Roman"/>
                      <w:b w:val="0"/>
                      <w:bCs/>
                      <w:color w:val="auto"/>
                      <w:sz w:val="21"/>
                      <w:szCs w:val="21"/>
                      <w:highlight w:val="none"/>
                      <w:vertAlign w:val="baseline"/>
                      <w:lang w:val="en-US" w:eastAsia="zh-CN"/>
                    </w:rPr>
                    <w:t>喷雾干燥车间北侧</w:t>
                  </w:r>
                  <w:r>
                    <w:rPr>
                      <w:rFonts w:hint="eastAsia" w:cs="Times New Roman"/>
                      <w:b w:val="0"/>
                      <w:bCs/>
                      <w:color w:val="auto"/>
                      <w:sz w:val="21"/>
                      <w:szCs w:val="21"/>
                      <w:highlight w:val="none"/>
                      <w:vertAlign w:val="baseline"/>
                      <w:lang w:val="en-US" w:eastAsia="zh-CN"/>
                    </w:rPr>
                    <w:t>。</w:t>
                  </w:r>
                </w:p>
              </w:tc>
              <w:tc>
                <w:tcPr>
                  <w:tcW w:w="606" w:type="pct"/>
                  <w:tcBorders>
                    <w:tl2br w:val="nil"/>
                    <w:tr2bl w:val="nil"/>
                  </w:tcBorders>
                  <w:vAlign w:val="center"/>
                </w:tcPr>
                <w:p w14:paraId="33AEA88C">
                  <w:pPr>
                    <w:widowControl w:val="0"/>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新建</w:t>
                  </w:r>
                </w:p>
              </w:tc>
            </w:tr>
            <w:tr w14:paraId="4C0DB6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3A76D7AA">
                  <w:pPr>
                    <w:widowControl w:val="0"/>
                    <w:adjustRightInd w:val="0"/>
                    <w:snapToGrid w:val="0"/>
                    <w:jc w:val="center"/>
                    <w:rPr>
                      <w:rFonts w:ascii="Times New Roman" w:hAnsi="Times New Roman" w:cs="Times New Roman"/>
                      <w:color w:val="auto"/>
                      <w:sz w:val="21"/>
                      <w:szCs w:val="21"/>
                    </w:rPr>
                  </w:pPr>
                </w:p>
              </w:tc>
              <w:tc>
                <w:tcPr>
                  <w:tcW w:w="820" w:type="pct"/>
                  <w:gridSpan w:val="3"/>
                  <w:tcBorders>
                    <w:tl2br w:val="nil"/>
                    <w:tr2bl w:val="nil"/>
                  </w:tcBorders>
                  <w:vAlign w:val="center"/>
                </w:tcPr>
                <w:p w14:paraId="4D933688">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硫酸铝生产线</w:t>
                  </w:r>
                </w:p>
              </w:tc>
              <w:tc>
                <w:tcPr>
                  <w:tcW w:w="1918" w:type="pct"/>
                  <w:tcBorders>
                    <w:tl2br w:val="nil"/>
                    <w:tr2bl w:val="nil"/>
                  </w:tcBorders>
                  <w:vAlign w:val="center"/>
                </w:tcPr>
                <w:p w14:paraId="398832F5">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硫酸铝生产线不新增建设内容，依托厂区现有溶出反应釜、板框压滤机生产。</w:t>
                  </w:r>
                </w:p>
              </w:tc>
              <w:tc>
                <w:tcPr>
                  <w:tcW w:w="1383" w:type="pct"/>
                  <w:tcBorders>
                    <w:tl2br w:val="nil"/>
                    <w:tr2bl w:val="nil"/>
                  </w:tcBorders>
                  <w:vAlign w:val="center"/>
                </w:tcPr>
                <w:p w14:paraId="1E6E8F2C">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549852FD">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无变化</w:t>
                  </w:r>
                </w:p>
              </w:tc>
            </w:tr>
            <w:tr w14:paraId="0F99F0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73ECE5BE">
                  <w:pPr>
                    <w:widowControl w:val="0"/>
                    <w:adjustRightInd w:val="0"/>
                    <w:snapToGrid w:val="0"/>
                    <w:jc w:val="center"/>
                    <w:rPr>
                      <w:rFonts w:ascii="Times New Roman" w:hAnsi="Times New Roman" w:cs="Times New Roman"/>
                      <w:color w:val="auto"/>
                      <w:sz w:val="21"/>
                      <w:szCs w:val="21"/>
                    </w:rPr>
                  </w:pPr>
                </w:p>
              </w:tc>
              <w:tc>
                <w:tcPr>
                  <w:tcW w:w="329" w:type="pct"/>
                  <w:tcBorders>
                    <w:tl2br w:val="nil"/>
                    <w:tr2bl w:val="nil"/>
                  </w:tcBorders>
                  <w:vAlign w:val="center"/>
                </w:tcPr>
                <w:p w14:paraId="613894B0">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废渣综合利用生产线</w:t>
                  </w:r>
                </w:p>
              </w:tc>
              <w:tc>
                <w:tcPr>
                  <w:tcW w:w="490" w:type="pct"/>
                  <w:gridSpan w:val="2"/>
                  <w:tcBorders>
                    <w:tl2br w:val="nil"/>
                    <w:tr2bl w:val="nil"/>
                  </w:tcBorders>
                  <w:vAlign w:val="center"/>
                </w:tcPr>
                <w:p w14:paraId="77B4AA30">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保温板生产车间</w:t>
                  </w:r>
                </w:p>
              </w:tc>
              <w:tc>
                <w:tcPr>
                  <w:tcW w:w="1918" w:type="pct"/>
                  <w:tcBorders>
                    <w:tl2br w:val="nil"/>
                    <w:tr2bl w:val="nil"/>
                  </w:tcBorders>
                  <w:vAlign w:val="center"/>
                </w:tcPr>
                <w:p w14:paraId="20F77147">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二期工程建设，占地面积7500m</w:t>
                  </w:r>
                  <w:r>
                    <w:rPr>
                      <w:rFonts w:ascii="Times New Roman" w:hAnsi="Times New Roman" w:cs="Times New Roman"/>
                      <w:color w:val="auto"/>
                      <w:sz w:val="21"/>
                      <w:szCs w:val="21"/>
                      <w:vertAlign w:val="superscript"/>
                    </w:rPr>
                    <w:t>2</w:t>
                  </w:r>
                  <w:r>
                    <w:rPr>
                      <w:rFonts w:ascii="Times New Roman" w:hAnsi="Times New Roman" w:cs="Times New Roman"/>
                      <w:color w:val="auto"/>
                      <w:sz w:val="21"/>
                      <w:szCs w:val="21"/>
                    </w:rPr>
                    <w:t>，长150m，宽50m，1层钢结构厂房，位于项目用地东南侧。内设一条保温板生产线及保温板成品储存区。</w:t>
                  </w:r>
                </w:p>
              </w:tc>
              <w:tc>
                <w:tcPr>
                  <w:tcW w:w="1383" w:type="pct"/>
                  <w:tcBorders>
                    <w:tl2br w:val="nil"/>
                    <w:tr2bl w:val="nil"/>
                  </w:tcBorders>
                  <w:vAlign w:val="center"/>
                </w:tcPr>
                <w:p w14:paraId="578DCF03">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59C2AD65">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无变化</w:t>
                  </w:r>
                </w:p>
              </w:tc>
            </w:tr>
            <w:tr w14:paraId="463F1C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71" w:type="pct"/>
                  <w:vMerge w:val="restart"/>
                  <w:tcBorders>
                    <w:tl2br w:val="nil"/>
                    <w:tr2bl w:val="nil"/>
                  </w:tcBorders>
                  <w:vAlign w:val="center"/>
                </w:tcPr>
                <w:p w14:paraId="33AA6735">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公用</w:t>
                  </w:r>
                </w:p>
                <w:p w14:paraId="699AFB13">
                  <w:pPr>
                    <w:widowControl w:val="0"/>
                    <w:adjustRightInd w:val="0"/>
                    <w:snapToGrid w:val="0"/>
                    <w:jc w:val="center"/>
                    <w:rPr>
                      <w:rFonts w:ascii="Times New Roman" w:hAnsi="Times New Roman" w:cs="Times New Roman"/>
                      <w:color w:val="auto"/>
                      <w:sz w:val="21"/>
                      <w:szCs w:val="21"/>
                    </w:rPr>
                  </w:pPr>
                  <w:r>
                    <w:rPr>
                      <w:rFonts w:hint="default" w:ascii="Times New Roman" w:hAnsi="Times New Roman" w:cs="Times New Roman"/>
                      <w:b w:val="0"/>
                      <w:bCs/>
                      <w:color w:val="auto"/>
                      <w:sz w:val="21"/>
                      <w:szCs w:val="21"/>
                      <w:highlight w:val="none"/>
                    </w:rPr>
                    <w:t>工程</w:t>
                  </w:r>
                </w:p>
              </w:tc>
              <w:tc>
                <w:tcPr>
                  <w:tcW w:w="820" w:type="pct"/>
                  <w:gridSpan w:val="3"/>
                  <w:tcBorders>
                    <w:tl2br w:val="nil"/>
                    <w:tr2bl w:val="nil"/>
                  </w:tcBorders>
                  <w:vAlign w:val="center"/>
                </w:tcPr>
                <w:p w14:paraId="2C403E66">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给水</w:t>
                  </w:r>
                </w:p>
              </w:tc>
              <w:tc>
                <w:tcPr>
                  <w:tcW w:w="1918" w:type="pct"/>
                  <w:tcBorders>
                    <w:tl2br w:val="nil"/>
                    <w:tr2bl w:val="nil"/>
                  </w:tcBorders>
                  <w:vAlign w:val="center"/>
                </w:tcPr>
                <w:p w14:paraId="5669B09F">
                  <w:pPr>
                    <w:widowControl w:val="0"/>
                    <w:adjustRightInd w:val="0"/>
                    <w:snapToGrid w:val="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本项目供水来自蒙西工业园区给水管网供，该给水管网供工业用水水源为黄河水，供生活用水水源为地下水。</w:t>
                  </w:r>
                </w:p>
              </w:tc>
              <w:tc>
                <w:tcPr>
                  <w:tcW w:w="1383" w:type="pct"/>
                  <w:tcBorders>
                    <w:tl2br w:val="nil"/>
                    <w:tr2bl w:val="nil"/>
                  </w:tcBorders>
                  <w:vAlign w:val="center"/>
                </w:tcPr>
                <w:p w14:paraId="09FC2D00">
                  <w:pPr>
                    <w:widowControl w:val="0"/>
                    <w:adjustRightInd w:val="0"/>
                    <w:snapToGrid w:val="0"/>
                    <w:jc w:val="center"/>
                    <w:rPr>
                      <w:rFonts w:ascii="Times New Roman" w:hAnsi="Times New Roman" w:cs="Times New Roman"/>
                      <w:color w:val="auto"/>
                      <w:sz w:val="21"/>
                      <w:szCs w:val="21"/>
                    </w:rPr>
                  </w:pPr>
                  <w:r>
                    <w:rPr>
                      <w:rFonts w:hint="eastAsia"/>
                      <w:color w:val="auto"/>
                      <w:lang w:val="en-US" w:eastAsia="zh-CN"/>
                    </w:rPr>
                    <w:t>依托现有工程。</w:t>
                  </w:r>
                </w:p>
              </w:tc>
              <w:tc>
                <w:tcPr>
                  <w:tcW w:w="606" w:type="pct"/>
                  <w:tcBorders>
                    <w:tl2br w:val="nil"/>
                    <w:tr2bl w:val="nil"/>
                  </w:tcBorders>
                  <w:vAlign w:val="center"/>
                </w:tcPr>
                <w:p w14:paraId="1F7BEE09">
                  <w:pPr>
                    <w:widowControl w:val="0"/>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依托</w:t>
                  </w:r>
                </w:p>
              </w:tc>
            </w:tr>
            <w:tr w14:paraId="0EAE4A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71" w:type="pct"/>
                  <w:vMerge w:val="continue"/>
                  <w:tcBorders>
                    <w:tl2br w:val="nil"/>
                    <w:tr2bl w:val="nil"/>
                  </w:tcBorders>
                  <w:vAlign w:val="center"/>
                </w:tcPr>
                <w:p w14:paraId="6CA09506">
                  <w:pPr>
                    <w:widowControl w:val="0"/>
                    <w:adjustRightInd w:val="0"/>
                    <w:snapToGrid w:val="0"/>
                    <w:jc w:val="center"/>
                    <w:rPr>
                      <w:color w:val="auto"/>
                    </w:rPr>
                  </w:pPr>
                </w:p>
              </w:tc>
              <w:tc>
                <w:tcPr>
                  <w:tcW w:w="409" w:type="pct"/>
                  <w:gridSpan w:val="2"/>
                  <w:vMerge w:val="restart"/>
                  <w:tcBorders>
                    <w:tl2br w:val="nil"/>
                    <w:tr2bl w:val="nil"/>
                  </w:tcBorders>
                  <w:vAlign w:val="center"/>
                </w:tcPr>
                <w:p w14:paraId="65635129">
                  <w:pPr>
                    <w:widowControl w:val="0"/>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排水</w:t>
                  </w:r>
                </w:p>
              </w:tc>
              <w:tc>
                <w:tcPr>
                  <w:tcW w:w="411" w:type="pct"/>
                  <w:tcBorders>
                    <w:tl2br w:val="nil"/>
                    <w:tr2bl w:val="nil"/>
                  </w:tcBorders>
                  <w:vAlign w:val="center"/>
                </w:tcPr>
                <w:p w14:paraId="52CF96D1">
                  <w:pPr>
                    <w:widowControl w:val="0"/>
                    <w:adjustRightInd w:val="0"/>
                    <w:snapToGrid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生产废水</w:t>
                  </w:r>
                </w:p>
              </w:tc>
              <w:tc>
                <w:tcPr>
                  <w:tcW w:w="1918" w:type="pct"/>
                  <w:tcBorders>
                    <w:tl2br w:val="nil"/>
                    <w:tr2bl w:val="nil"/>
                  </w:tcBorders>
                  <w:vAlign w:val="center"/>
                </w:tcPr>
                <w:p w14:paraId="4667B6E5">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lang w:val="zh-CN" w:bidi="zh-CN"/>
                    </w:rPr>
                    <w:t>收集至回用水池全部回用，不外排。</w:t>
                  </w:r>
                </w:p>
              </w:tc>
              <w:tc>
                <w:tcPr>
                  <w:tcW w:w="1383" w:type="pct"/>
                  <w:tcBorders>
                    <w:tl2br w:val="nil"/>
                    <w:tr2bl w:val="nil"/>
                  </w:tcBorders>
                  <w:vAlign w:val="center"/>
                </w:tcPr>
                <w:p w14:paraId="3751AA43">
                  <w:pPr>
                    <w:widowControl w:val="0"/>
                    <w:adjustRightInd w:val="0"/>
                    <w:snapToGrid w:val="0"/>
                    <w:jc w:val="center"/>
                    <w:rPr>
                      <w:rFonts w:ascii="Times New Roman" w:hAnsi="Times New Roman" w:cs="Times New Roman"/>
                      <w:color w:val="auto"/>
                      <w:sz w:val="21"/>
                      <w:szCs w:val="21"/>
                    </w:rPr>
                  </w:pPr>
                  <w:r>
                    <w:rPr>
                      <w:rFonts w:hint="eastAsia"/>
                      <w:color w:val="auto"/>
                      <w:lang w:val="en-US" w:eastAsia="zh-CN"/>
                    </w:rPr>
                    <w:t>依托现有工程。</w:t>
                  </w:r>
                </w:p>
              </w:tc>
              <w:tc>
                <w:tcPr>
                  <w:tcW w:w="606" w:type="pct"/>
                  <w:tcBorders>
                    <w:tl2br w:val="nil"/>
                    <w:tr2bl w:val="nil"/>
                  </w:tcBorders>
                  <w:vAlign w:val="center"/>
                </w:tcPr>
                <w:p w14:paraId="5CD7B0AC">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依托</w:t>
                  </w:r>
                </w:p>
              </w:tc>
            </w:tr>
            <w:tr w14:paraId="03501E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71" w:type="pct"/>
                  <w:vMerge w:val="continue"/>
                  <w:tcBorders>
                    <w:tl2br w:val="nil"/>
                    <w:tr2bl w:val="nil"/>
                  </w:tcBorders>
                  <w:vAlign w:val="center"/>
                </w:tcPr>
                <w:p w14:paraId="677E14EC">
                  <w:pPr>
                    <w:widowControl w:val="0"/>
                    <w:adjustRightInd w:val="0"/>
                    <w:snapToGrid w:val="0"/>
                    <w:jc w:val="center"/>
                    <w:rPr>
                      <w:color w:val="auto"/>
                    </w:rPr>
                  </w:pPr>
                </w:p>
              </w:tc>
              <w:tc>
                <w:tcPr>
                  <w:tcW w:w="409" w:type="pct"/>
                  <w:gridSpan w:val="2"/>
                  <w:vMerge w:val="continue"/>
                  <w:tcBorders>
                    <w:tl2br w:val="nil"/>
                    <w:tr2bl w:val="nil"/>
                  </w:tcBorders>
                  <w:vAlign w:val="center"/>
                </w:tcPr>
                <w:p w14:paraId="15647B6A">
                  <w:pPr>
                    <w:widowControl w:val="0"/>
                    <w:adjustRightInd w:val="0"/>
                    <w:snapToGrid w:val="0"/>
                    <w:jc w:val="center"/>
                    <w:rPr>
                      <w:color w:val="auto"/>
                    </w:rPr>
                  </w:pPr>
                </w:p>
              </w:tc>
              <w:tc>
                <w:tcPr>
                  <w:tcW w:w="411" w:type="pct"/>
                  <w:tcBorders>
                    <w:tl2br w:val="nil"/>
                    <w:tr2bl w:val="nil"/>
                  </w:tcBorders>
                  <w:vAlign w:val="center"/>
                </w:tcPr>
                <w:p w14:paraId="0A5E520B">
                  <w:pPr>
                    <w:widowControl w:val="0"/>
                    <w:adjustRightInd w:val="0"/>
                    <w:snapToGrid w:val="0"/>
                    <w:jc w:val="center"/>
                    <w:rPr>
                      <w:rFonts w:hint="eastAsia" w:ascii="Times New Roman" w:hAnsi="Times New Roman" w:cs="Times New Roman"/>
                      <w:color w:val="auto"/>
                      <w:sz w:val="21"/>
                      <w:szCs w:val="21"/>
                      <w:lang w:val="en-US" w:eastAsia="zh-CN"/>
                    </w:rPr>
                  </w:pPr>
                  <w:r>
                    <w:rPr>
                      <w:rFonts w:ascii="Times New Roman" w:hAnsi="Times New Roman" w:cs="Times New Roman"/>
                      <w:color w:val="auto"/>
                    </w:rPr>
                    <w:t>生活污水</w:t>
                  </w:r>
                </w:p>
              </w:tc>
              <w:tc>
                <w:tcPr>
                  <w:tcW w:w="1918" w:type="pct"/>
                  <w:tcBorders>
                    <w:tl2br w:val="nil"/>
                    <w:tr2bl w:val="nil"/>
                  </w:tcBorders>
                  <w:vAlign w:val="center"/>
                </w:tcPr>
                <w:p w14:paraId="1DD8DCAB">
                  <w:pPr>
                    <w:widowControl w:val="0"/>
                    <w:adjustRightInd w:val="0"/>
                    <w:snapToGrid w:val="0"/>
                    <w:jc w:val="center"/>
                    <w:rPr>
                      <w:rFonts w:hint="eastAsia" w:ascii="Times New Roman" w:hAnsi="Times New Roman" w:cs="Times New Roman"/>
                      <w:color w:val="auto"/>
                      <w:sz w:val="21"/>
                      <w:szCs w:val="21"/>
                      <w:lang w:val="en-US" w:eastAsia="zh-CN"/>
                    </w:rPr>
                  </w:pPr>
                  <w:r>
                    <w:rPr>
                      <w:rFonts w:ascii="Times New Roman" w:hAnsi="Times New Roman" w:cs="Times New Roman"/>
                      <w:color w:val="auto"/>
                    </w:rPr>
                    <w:t>生活污水进入园区污水处理站处理。</w:t>
                  </w:r>
                </w:p>
              </w:tc>
              <w:tc>
                <w:tcPr>
                  <w:tcW w:w="1383" w:type="pct"/>
                  <w:tcBorders>
                    <w:tl2br w:val="nil"/>
                    <w:tr2bl w:val="nil"/>
                  </w:tcBorders>
                  <w:vAlign w:val="center"/>
                </w:tcPr>
                <w:p w14:paraId="3BD1B9F1">
                  <w:pPr>
                    <w:widowControl w:val="0"/>
                    <w:adjustRightInd w:val="0"/>
                    <w:snapToGrid w:val="0"/>
                    <w:jc w:val="center"/>
                    <w:rPr>
                      <w:rFonts w:hint="eastAsia" w:ascii="Times New Roman" w:hAnsi="Times New Roman" w:cs="Times New Roman"/>
                      <w:color w:val="auto"/>
                      <w:sz w:val="21"/>
                      <w:szCs w:val="21"/>
                      <w:lang w:val="en-US" w:eastAsia="zh-CN"/>
                    </w:rPr>
                  </w:pPr>
                  <w:r>
                    <w:rPr>
                      <w:rFonts w:hint="eastAsia"/>
                      <w:color w:val="auto"/>
                      <w:lang w:val="en-US" w:eastAsia="zh-CN"/>
                    </w:rPr>
                    <w:t>依托现有工程。</w:t>
                  </w:r>
                </w:p>
              </w:tc>
              <w:tc>
                <w:tcPr>
                  <w:tcW w:w="606" w:type="pct"/>
                  <w:tcBorders>
                    <w:tl2br w:val="nil"/>
                    <w:tr2bl w:val="nil"/>
                  </w:tcBorders>
                  <w:vAlign w:val="center"/>
                </w:tcPr>
                <w:p w14:paraId="5FEB929F">
                  <w:pPr>
                    <w:widowControl w:val="0"/>
                    <w:adjustRightInd w:val="0"/>
                    <w:snapToGrid w:val="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依托</w:t>
                  </w:r>
                </w:p>
              </w:tc>
            </w:tr>
            <w:tr w14:paraId="1D38CD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71" w:type="pct"/>
                  <w:vMerge w:val="continue"/>
                  <w:tcBorders>
                    <w:tl2br w:val="nil"/>
                    <w:tr2bl w:val="nil"/>
                  </w:tcBorders>
                  <w:vAlign w:val="center"/>
                </w:tcPr>
                <w:p w14:paraId="4C1B53EE">
                  <w:pPr>
                    <w:widowControl w:val="0"/>
                    <w:adjustRightInd w:val="0"/>
                    <w:snapToGrid w:val="0"/>
                    <w:jc w:val="center"/>
                    <w:rPr>
                      <w:color w:val="auto"/>
                    </w:rPr>
                  </w:pPr>
                </w:p>
              </w:tc>
              <w:tc>
                <w:tcPr>
                  <w:tcW w:w="409" w:type="pct"/>
                  <w:gridSpan w:val="2"/>
                  <w:vMerge w:val="continue"/>
                  <w:tcBorders>
                    <w:tl2br w:val="nil"/>
                    <w:tr2bl w:val="nil"/>
                  </w:tcBorders>
                  <w:vAlign w:val="center"/>
                </w:tcPr>
                <w:p w14:paraId="01D89548">
                  <w:pPr>
                    <w:widowControl w:val="0"/>
                    <w:adjustRightInd w:val="0"/>
                    <w:snapToGrid w:val="0"/>
                    <w:jc w:val="center"/>
                    <w:rPr>
                      <w:color w:val="auto"/>
                    </w:rPr>
                  </w:pPr>
                </w:p>
              </w:tc>
              <w:tc>
                <w:tcPr>
                  <w:tcW w:w="411" w:type="pct"/>
                  <w:tcBorders>
                    <w:tl2br w:val="nil"/>
                    <w:tr2bl w:val="nil"/>
                  </w:tcBorders>
                  <w:vAlign w:val="center"/>
                </w:tcPr>
                <w:p w14:paraId="74CDC05C">
                  <w:pPr>
                    <w:widowControl w:val="0"/>
                    <w:adjustRightInd w:val="0"/>
                    <w:snapToGrid w:val="0"/>
                    <w:jc w:val="center"/>
                    <w:rPr>
                      <w:rFonts w:hint="eastAsia" w:ascii="Times New Roman" w:hAnsi="Times New Roman" w:eastAsia="宋体" w:cs="Times New Roman"/>
                      <w:color w:val="auto"/>
                      <w:lang w:val="en-US" w:eastAsia="zh-CN"/>
                    </w:rPr>
                  </w:pPr>
                  <w:r>
                    <w:rPr>
                      <w:rFonts w:ascii="Times New Roman" w:hAnsi="Times New Roman" w:cs="Times New Roman"/>
                      <w:color w:val="auto"/>
                      <w:szCs w:val="20"/>
                      <w:lang w:bidi="ar-SA"/>
                    </w:rPr>
                    <w:t>锅炉排污</w:t>
                  </w:r>
                  <w:r>
                    <w:rPr>
                      <w:rFonts w:hint="eastAsia" w:ascii="Times New Roman" w:hAnsi="Times New Roman" w:cs="Times New Roman"/>
                      <w:color w:val="auto"/>
                      <w:szCs w:val="20"/>
                      <w:lang w:val="en-US" w:eastAsia="zh-CN" w:bidi="ar-SA"/>
                    </w:rPr>
                    <w:t>水</w:t>
                  </w:r>
                </w:p>
              </w:tc>
              <w:tc>
                <w:tcPr>
                  <w:tcW w:w="1918" w:type="pct"/>
                  <w:tcBorders>
                    <w:tl2br w:val="nil"/>
                    <w:tr2bl w:val="nil"/>
                  </w:tcBorders>
                  <w:vAlign w:val="center"/>
                </w:tcPr>
                <w:p w14:paraId="458DD34F">
                  <w:pPr>
                    <w:widowControl w:val="0"/>
                    <w:adjustRightInd w:val="0"/>
                    <w:snapToGrid w:val="0"/>
                    <w:jc w:val="center"/>
                    <w:rPr>
                      <w:rFonts w:ascii="Times New Roman" w:hAnsi="Times New Roman" w:cs="Times New Roman"/>
                      <w:color w:val="auto"/>
                    </w:rPr>
                  </w:pPr>
                  <w:r>
                    <w:rPr>
                      <w:rFonts w:ascii="Times New Roman" w:hAnsi="Times New Roman" w:cs="Times New Roman"/>
                      <w:color w:val="auto"/>
                    </w:rPr>
                    <w:t>进入园区污水处理站处理。</w:t>
                  </w:r>
                </w:p>
              </w:tc>
              <w:tc>
                <w:tcPr>
                  <w:tcW w:w="1383" w:type="pct"/>
                  <w:tcBorders>
                    <w:tl2br w:val="nil"/>
                    <w:tr2bl w:val="nil"/>
                  </w:tcBorders>
                  <w:vAlign w:val="center"/>
                </w:tcPr>
                <w:p w14:paraId="1F43B8F7">
                  <w:pPr>
                    <w:widowControl w:val="0"/>
                    <w:adjustRightInd w:val="0"/>
                    <w:snapToGrid w:val="0"/>
                    <w:jc w:val="center"/>
                    <w:rPr>
                      <w:rFonts w:ascii="Times New Roman" w:hAnsi="Times New Roman" w:cs="Times New Roman"/>
                      <w:color w:val="auto"/>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2FC5FB13">
                  <w:pPr>
                    <w:widowControl w:val="0"/>
                    <w:adjustRightInd w:val="0"/>
                    <w:snapToGrid w:val="0"/>
                    <w:jc w:val="center"/>
                    <w:rPr>
                      <w:rFonts w:ascii="Times New Roman" w:hAnsi="Times New Roman" w:cs="Times New Roman"/>
                      <w:color w:val="auto"/>
                    </w:rPr>
                  </w:pPr>
                  <w:r>
                    <w:rPr>
                      <w:rFonts w:hint="eastAsia" w:ascii="Times New Roman" w:hAnsi="Times New Roman" w:cs="Times New Roman"/>
                      <w:color w:val="auto"/>
                      <w:sz w:val="21"/>
                      <w:szCs w:val="21"/>
                      <w:lang w:val="en-US" w:eastAsia="zh-CN"/>
                    </w:rPr>
                    <w:t>无变化</w:t>
                  </w:r>
                </w:p>
              </w:tc>
            </w:tr>
            <w:tr w14:paraId="5E1777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319A911E">
                  <w:pPr>
                    <w:widowControl w:val="0"/>
                    <w:adjustRightInd w:val="0"/>
                    <w:snapToGrid w:val="0"/>
                    <w:jc w:val="center"/>
                    <w:rPr>
                      <w:rFonts w:ascii="Times New Roman" w:hAnsi="Times New Roman" w:cs="Times New Roman"/>
                      <w:color w:val="auto"/>
                      <w:sz w:val="21"/>
                      <w:szCs w:val="21"/>
                    </w:rPr>
                  </w:pPr>
                </w:p>
              </w:tc>
              <w:tc>
                <w:tcPr>
                  <w:tcW w:w="820" w:type="pct"/>
                  <w:gridSpan w:val="3"/>
                  <w:tcBorders>
                    <w:tl2br w:val="nil"/>
                    <w:tr2bl w:val="nil"/>
                  </w:tcBorders>
                  <w:vAlign w:val="center"/>
                </w:tcPr>
                <w:p w14:paraId="19C1BC26">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供热</w:t>
                  </w:r>
                </w:p>
              </w:tc>
              <w:tc>
                <w:tcPr>
                  <w:tcW w:w="1918" w:type="pct"/>
                  <w:tcBorders>
                    <w:tl2br w:val="nil"/>
                    <w:tr2bl w:val="nil"/>
                  </w:tcBorders>
                  <w:vAlign w:val="center"/>
                </w:tcPr>
                <w:p w14:paraId="1AAD6854">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厂区西南侧新建设一座锅炉房，新建1台10t/h燃气蒸汽锅炉。</w:t>
                  </w:r>
                </w:p>
              </w:tc>
              <w:tc>
                <w:tcPr>
                  <w:tcW w:w="1383" w:type="pct"/>
                  <w:tcBorders>
                    <w:tl2br w:val="nil"/>
                    <w:tr2bl w:val="nil"/>
                  </w:tcBorders>
                  <w:vAlign w:val="center"/>
                </w:tcPr>
                <w:p w14:paraId="34FF3047">
                  <w:pPr>
                    <w:widowControl w:val="0"/>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本项目无需供热。</w:t>
                  </w:r>
                </w:p>
              </w:tc>
              <w:tc>
                <w:tcPr>
                  <w:tcW w:w="606" w:type="pct"/>
                  <w:tcBorders>
                    <w:tl2br w:val="nil"/>
                    <w:tr2bl w:val="nil"/>
                  </w:tcBorders>
                  <w:vAlign w:val="center"/>
                </w:tcPr>
                <w:p w14:paraId="5FBFEE24">
                  <w:pPr>
                    <w:widowControl w:val="0"/>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14:paraId="159D16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1C6F0233">
                  <w:pPr>
                    <w:widowControl w:val="0"/>
                    <w:adjustRightInd w:val="0"/>
                    <w:snapToGrid w:val="0"/>
                    <w:jc w:val="center"/>
                    <w:rPr>
                      <w:rFonts w:ascii="Times New Roman" w:hAnsi="Times New Roman" w:cs="Times New Roman"/>
                      <w:color w:val="auto"/>
                      <w:sz w:val="21"/>
                      <w:szCs w:val="21"/>
                    </w:rPr>
                  </w:pPr>
                </w:p>
              </w:tc>
              <w:tc>
                <w:tcPr>
                  <w:tcW w:w="820" w:type="pct"/>
                  <w:gridSpan w:val="3"/>
                  <w:tcBorders>
                    <w:tl2br w:val="nil"/>
                    <w:tr2bl w:val="nil"/>
                  </w:tcBorders>
                  <w:vAlign w:val="center"/>
                </w:tcPr>
                <w:p w14:paraId="47FBAEFE">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供电</w:t>
                  </w:r>
                </w:p>
              </w:tc>
              <w:tc>
                <w:tcPr>
                  <w:tcW w:w="1918" w:type="pct"/>
                  <w:tcBorders>
                    <w:tl2br w:val="nil"/>
                    <w:tr2bl w:val="nil"/>
                  </w:tcBorders>
                  <w:vAlign w:val="center"/>
                </w:tcPr>
                <w:p w14:paraId="581E912E">
                  <w:pPr>
                    <w:widowControl w:val="0"/>
                    <w:adjustRightInd w:val="0"/>
                    <w:snapToGrid w:val="0"/>
                    <w:jc w:val="center"/>
                    <w:rPr>
                      <w:rFonts w:hint="eastAsia" w:ascii="Times New Roman" w:hAnsi="Times New Roman" w:eastAsia="宋体" w:cs="Times New Roman"/>
                      <w:color w:val="auto"/>
                      <w:sz w:val="21"/>
                      <w:szCs w:val="21"/>
                      <w:lang w:eastAsia="zh-CN"/>
                    </w:rPr>
                  </w:pPr>
                  <w:r>
                    <w:rPr>
                      <w:rFonts w:ascii="Times New Roman" w:hAnsi="Times New Roman" w:cs="Times New Roman"/>
                      <w:color w:val="auto"/>
                      <w:sz w:val="21"/>
                      <w:szCs w:val="21"/>
                    </w:rPr>
                    <w:t>在厂区东侧新增400KW变压器一台</w:t>
                  </w:r>
                  <w:r>
                    <w:rPr>
                      <w:rFonts w:hint="eastAsia" w:ascii="Times New Roman" w:hAnsi="Times New Roman" w:cs="Times New Roman"/>
                      <w:color w:val="auto"/>
                      <w:sz w:val="21"/>
                      <w:szCs w:val="21"/>
                      <w:lang w:eastAsia="zh-CN"/>
                    </w:rPr>
                    <w:t>。</w:t>
                  </w:r>
                </w:p>
              </w:tc>
              <w:tc>
                <w:tcPr>
                  <w:tcW w:w="1383" w:type="pct"/>
                  <w:tcBorders>
                    <w:tl2br w:val="nil"/>
                    <w:tr2bl w:val="nil"/>
                  </w:tcBorders>
                  <w:vAlign w:val="center"/>
                </w:tcPr>
                <w:p w14:paraId="09B13033">
                  <w:pPr>
                    <w:widowControl w:val="0"/>
                    <w:adjustRightInd w:val="0"/>
                    <w:snapToGrid w:val="0"/>
                    <w:jc w:val="center"/>
                    <w:rPr>
                      <w:rFonts w:ascii="Times New Roman" w:hAnsi="Times New Roman" w:cs="Times New Roman"/>
                      <w:b/>
                      <w:color w:val="auto"/>
                      <w:sz w:val="21"/>
                      <w:szCs w:val="21"/>
                    </w:rPr>
                  </w:pPr>
                  <w:r>
                    <w:rPr>
                      <w:rFonts w:hint="eastAsia"/>
                      <w:color w:val="auto"/>
                      <w:lang w:val="en-US" w:eastAsia="zh-CN"/>
                    </w:rPr>
                    <w:t>依托现有工程。</w:t>
                  </w:r>
                </w:p>
              </w:tc>
              <w:tc>
                <w:tcPr>
                  <w:tcW w:w="606" w:type="pct"/>
                  <w:tcBorders>
                    <w:tl2br w:val="nil"/>
                    <w:tr2bl w:val="nil"/>
                  </w:tcBorders>
                  <w:vAlign w:val="center"/>
                </w:tcPr>
                <w:p w14:paraId="22B62A06">
                  <w:pPr>
                    <w:widowControl w:val="0"/>
                    <w:adjustRightInd w:val="0"/>
                    <w:snapToGrid w:val="0"/>
                    <w:jc w:val="center"/>
                    <w:rPr>
                      <w:rFonts w:ascii="Times New Roman" w:hAnsi="Times New Roman" w:cs="Times New Roman"/>
                      <w:b/>
                      <w:color w:val="auto"/>
                      <w:sz w:val="21"/>
                      <w:szCs w:val="21"/>
                    </w:rPr>
                  </w:pPr>
                  <w:r>
                    <w:rPr>
                      <w:rFonts w:hint="eastAsia" w:ascii="Times New Roman" w:hAnsi="Times New Roman" w:cs="Times New Roman"/>
                      <w:color w:val="auto"/>
                      <w:sz w:val="21"/>
                      <w:szCs w:val="21"/>
                      <w:lang w:val="en-US" w:eastAsia="zh-CN"/>
                    </w:rPr>
                    <w:t>依托</w:t>
                  </w:r>
                </w:p>
              </w:tc>
            </w:tr>
            <w:tr w14:paraId="52A16D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2E05570B">
                  <w:pPr>
                    <w:widowControl w:val="0"/>
                    <w:adjustRightInd w:val="0"/>
                    <w:snapToGrid w:val="0"/>
                    <w:jc w:val="center"/>
                    <w:rPr>
                      <w:rFonts w:ascii="Times New Roman" w:hAnsi="Times New Roman" w:cs="Times New Roman"/>
                      <w:color w:val="auto"/>
                      <w:sz w:val="21"/>
                      <w:szCs w:val="21"/>
                    </w:rPr>
                  </w:pPr>
                </w:p>
              </w:tc>
              <w:tc>
                <w:tcPr>
                  <w:tcW w:w="820" w:type="pct"/>
                  <w:gridSpan w:val="3"/>
                  <w:tcBorders>
                    <w:tl2br w:val="nil"/>
                    <w:tr2bl w:val="nil"/>
                  </w:tcBorders>
                  <w:vAlign w:val="center"/>
                </w:tcPr>
                <w:p w14:paraId="21C4E91D">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办公室及生活设施</w:t>
                  </w:r>
                </w:p>
              </w:tc>
              <w:tc>
                <w:tcPr>
                  <w:tcW w:w="1918" w:type="pct"/>
                  <w:tcBorders>
                    <w:tl2br w:val="nil"/>
                    <w:tr2bl w:val="nil"/>
                  </w:tcBorders>
                  <w:vAlign w:val="center"/>
                </w:tcPr>
                <w:p w14:paraId="03BDFA4C">
                  <w:pPr>
                    <w:widowControl w:val="0"/>
                    <w:adjustRightInd w:val="0"/>
                    <w:snapToGrid w:val="0"/>
                    <w:jc w:val="center"/>
                    <w:rPr>
                      <w:rFonts w:hint="eastAsia" w:ascii="Times New Roman" w:hAnsi="Times New Roman" w:eastAsia="宋体" w:cs="Times New Roman"/>
                      <w:color w:val="auto"/>
                      <w:sz w:val="21"/>
                      <w:szCs w:val="21"/>
                      <w:lang w:eastAsia="zh-CN"/>
                    </w:rPr>
                  </w:pPr>
                  <w:r>
                    <w:rPr>
                      <w:rFonts w:ascii="Times New Roman" w:hAnsi="Times New Roman" w:cs="Times New Roman"/>
                      <w:color w:val="auto"/>
                      <w:sz w:val="21"/>
                      <w:szCs w:val="21"/>
                    </w:rPr>
                    <w:t>依托厂区现有办公生活区</w:t>
                  </w:r>
                  <w:r>
                    <w:rPr>
                      <w:rFonts w:hint="eastAsia" w:ascii="Times New Roman" w:hAnsi="Times New Roman" w:cs="Times New Roman"/>
                      <w:color w:val="auto"/>
                      <w:sz w:val="21"/>
                      <w:szCs w:val="21"/>
                      <w:lang w:eastAsia="zh-CN"/>
                    </w:rPr>
                    <w:t>。</w:t>
                  </w:r>
                </w:p>
              </w:tc>
              <w:tc>
                <w:tcPr>
                  <w:tcW w:w="1383" w:type="pct"/>
                  <w:tcBorders>
                    <w:tl2br w:val="nil"/>
                    <w:tr2bl w:val="nil"/>
                  </w:tcBorders>
                  <w:vAlign w:val="center"/>
                </w:tcPr>
                <w:p w14:paraId="5ECE639B">
                  <w:pPr>
                    <w:widowControl w:val="0"/>
                    <w:adjustRightInd w:val="0"/>
                    <w:snapToGrid w:val="0"/>
                    <w:jc w:val="center"/>
                    <w:rPr>
                      <w:rFonts w:ascii="Times New Roman" w:hAnsi="Times New Roman" w:cs="Times New Roman"/>
                      <w:color w:val="auto"/>
                      <w:sz w:val="21"/>
                      <w:szCs w:val="21"/>
                    </w:rPr>
                  </w:pPr>
                  <w:r>
                    <w:rPr>
                      <w:rFonts w:hint="eastAsia"/>
                      <w:color w:val="auto"/>
                      <w:lang w:val="en-US" w:eastAsia="zh-CN"/>
                    </w:rPr>
                    <w:t>依托现有工程。</w:t>
                  </w:r>
                </w:p>
              </w:tc>
              <w:tc>
                <w:tcPr>
                  <w:tcW w:w="606" w:type="pct"/>
                  <w:tcBorders>
                    <w:tl2br w:val="nil"/>
                    <w:tr2bl w:val="nil"/>
                  </w:tcBorders>
                  <w:vAlign w:val="center"/>
                </w:tcPr>
                <w:p w14:paraId="7566CE49">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依托</w:t>
                  </w:r>
                </w:p>
              </w:tc>
            </w:tr>
            <w:tr w14:paraId="21BC0A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restart"/>
                  <w:tcBorders>
                    <w:tl2br w:val="nil"/>
                    <w:tr2bl w:val="nil"/>
                  </w:tcBorders>
                  <w:vAlign w:val="center"/>
                </w:tcPr>
                <w:p w14:paraId="62BBEA12">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储运工程</w:t>
                  </w:r>
                </w:p>
              </w:tc>
              <w:tc>
                <w:tcPr>
                  <w:tcW w:w="820" w:type="pct"/>
                  <w:gridSpan w:val="3"/>
                  <w:tcBorders>
                    <w:tl2br w:val="nil"/>
                    <w:tr2bl w:val="nil"/>
                  </w:tcBorders>
                  <w:vAlign w:val="center"/>
                </w:tcPr>
                <w:p w14:paraId="62FDD2AF">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原料罐区</w:t>
                  </w:r>
                </w:p>
              </w:tc>
              <w:tc>
                <w:tcPr>
                  <w:tcW w:w="1918" w:type="pct"/>
                  <w:tcBorders>
                    <w:tl2br w:val="nil"/>
                    <w:tr2bl w:val="nil"/>
                  </w:tcBorders>
                  <w:vAlign w:val="center"/>
                </w:tcPr>
                <w:p w14:paraId="37511321">
                  <w:pPr>
                    <w:widowControl w:val="0"/>
                    <w:adjustRightInd w:val="0"/>
                    <w:snapToGrid w:val="0"/>
                    <w:jc w:val="center"/>
                    <w:rPr>
                      <w:rFonts w:hint="eastAsia" w:ascii="Times New Roman" w:hAnsi="Times New Roman" w:eastAsia="宋体" w:cs="Times New Roman"/>
                      <w:color w:val="auto"/>
                      <w:sz w:val="21"/>
                      <w:szCs w:val="21"/>
                      <w:lang w:eastAsia="zh-CN"/>
                    </w:rPr>
                  </w:pPr>
                  <w:r>
                    <w:rPr>
                      <w:rFonts w:ascii="Times New Roman" w:hAnsi="Times New Roman" w:cs="Times New Roman"/>
                      <w:color w:val="auto"/>
                      <w:sz w:val="21"/>
                      <w:szCs w:val="21"/>
                    </w:rPr>
                    <w:t>反应车间西侧设原料罐区，一期工程设3个粉煤灰储罐，容量3×60m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，二期工程设2个水泥储罐，容量2×50m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储罐</w:t>
                  </w:r>
                  <w:r>
                    <w:rPr>
                      <w:rFonts w:hint="eastAsia" w:ascii="Times New Roman" w:hAnsi="Times New Roman" w:cs="Times New Roman"/>
                      <w:color w:val="auto"/>
                      <w:sz w:val="21"/>
                      <w:szCs w:val="21"/>
                      <w:lang w:eastAsia="zh-CN"/>
                    </w:rPr>
                    <w:t>。</w:t>
                  </w:r>
                </w:p>
              </w:tc>
              <w:tc>
                <w:tcPr>
                  <w:tcW w:w="1383" w:type="pct"/>
                  <w:tcBorders>
                    <w:tl2br w:val="nil"/>
                    <w:tr2bl w:val="nil"/>
                  </w:tcBorders>
                  <w:vAlign w:val="center"/>
                </w:tcPr>
                <w:p w14:paraId="7400A23C">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3BDEEBB5">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无变化</w:t>
                  </w:r>
                </w:p>
              </w:tc>
            </w:tr>
            <w:tr w14:paraId="1D7B94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03B5E458">
                  <w:pPr>
                    <w:widowControl w:val="0"/>
                    <w:adjustRightInd w:val="0"/>
                    <w:snapToGrid w:val="0"/>
                    <w:jc w:val="center"/>
                    <w:rPr>
                      <w:rFonts w:ascii="Times New Roman" w:hAnsi="Times New Roman" w:cs="Times New Roman"/>
                      <w:color w:val="auto"/>
                      <w:sz w:val="21"/>
                      <w:szCs w:val="21"/>
                    </w:rPr>
                  </w:pPr>
                </w:p>
              </w:tc>
              <w:tc>
                <w:tcPr>
                  <w:tcW w:w="820" w:type="pct"/>
                  <w:gridSpan w:val="3"/>
                  <w:tcBorders>
                    <w:tl2br w:val="nil"/>
                    <w:tr2bl w:val="nil"/>
                  </w:tcBorders>
                  <w:vAlign w:val="center"/>
                </w:tcPr>
                <w:p w14:paraId="5FD8FE33">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盐酸储罐</w:t>
                  </w:r>
                </w:p>
              </w:tc>
              <w:tc>
                <w:tcPr>
                  <w:tcW w:w="1918" w:type="pct"/>
                  <w:tcBorders>
                    <w:tl2br w:val="nil"/>
                    <w:tr2bl w:val="nil"/>
                  </w:tcBorders>
                  <w:vAlign w:val="center"/>
                </w:tcPr>
                <w:p w14:paraId="24483634">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依托现有盐酸储罐。新增3个立式玻璃钢结构盐酸储罐，直径3.6m、高度5m，总容积为300m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w:t>
                  </w:r>
                </w:p>
              </w:tc>
              <w:tc>
                <w:tcPr>
                  <w:tcW w:w="1383" w:type="pct"/>
                  <w:tcBorders>
                    <w:tl2br w:val="nil"/>
                    <w:tr2bl w:val="nil"/>
                  </w:tcBorders>
                  <w:vAlign w:val="center"/>
                </w:tcPr>
                <w:p w14:paraId="15076ED3">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5B8FB063">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无变化</w:t>
                  </w:r>
                </w:p>
              </w:tc>
            </w:tr>
            <w:tr w14:paraId="6A9F8F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7E4512BA">
                  <w:pPr>
                    <w:widowControl w:val="0"/>
                    <w:adjustRightInd w:val="0"/>
                    <w:snapToGrid w:val="0"/>
                    <w:jc w:val="center"/>
                    <w:rPr>
                      <w:rFonts w:ascii="Times New Roman" w:hAnsi="Times New Roman" w:cs="Times New Roman"/>
                      <w:color w:val="auto"/>
                      <w:sz w:val="21"/>
                      <w:szCs w:val="21"/>
                    </w:rPr>
                  </w:pPr>
                </w:p>
              </w:tc>
              <w:tc>
                <w:tcPr>
                  <w:tcW w:w="820" w:type="pct"/>
                  <w:gridSpan w:val="3"/>
                  <w:tcBorders>
                    <w:tl2br w:val="nil"/>
                    <w:tr2bl w:val="nil"/>
                  </w:tcBorders>
                  <w:vAlign w:val="center"/>
                </w:tcPr>
                <w:p w14:paraId="5A2B786C">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硫酸储罐</w:t>
                  </w:r>
                </w:p>
              </w:tc>
              <w:tc>
                <w:tcPr>
                  <w:tcW w:w="1918" w:type="pct"/>
                  <w:tcBorders>
                    <w:tl2br w:val="nil"/>
                    <w:tr2bl w:val="nil"/>
                  </w:tcBorders>
                  <w:vAlign w:val="center"/>
                </w:tcPr>
                <w:p w14:paraId="47041194">
                  <w:pPr>
                    <w:widowControl w:val="0"/>
                    <w:adjustRightInd w:val="0"/>
                    <w:snapToGrid w:val="0"/>
                    <w:jc w:val="center"/>
                    <w:rPr>
                      <w:rFonts w:hint="eastAsia" w:ascii="Times New Roman" w:hAnsi="Times New Roman" w:eastAsia="宋体" w:cs="Times New Roman"/>
                      <w:color w:val="auto"/>
                      <w:sz w:val="21"/>
                      <w:szCs w:val="21"/>
                      <w:lang w:eastAsia="zh-CN"/>
                    </w:rPr>
                  </w:pPr>
                  <w:r>
                    <w:rPr>
                      <w:rFonts w:ascii="Times New Roman" w:hAnsi="Times New Roman" w:cs="Times New Roman"/>
                      <w:color w:val="auto"/>
                      <w:sz w:val="21"/>
                      <w:szCs w:val="21"/>
                    </w:rPr>
                    <w:t>在现有盐酸罐区新增2个50m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硫酸储罐</w:t>
                  </w:r>
                  <w:r>
                    <w:rPr>
                      <w:rFonts w:hint="eastAsia" w:ascii="Times New Roman" w:hAnsi="Times New Roman" w:cs="Times New Roman"/>
                      <w:color w:val="auto"/>
                      <w:sz w:val="21"/>
                      <w:szCs w:val="21"/>
                      <w:lang w:eastAsia="zh-CN"/>
                    </w:rPr>
                    <w:t>。</w:t>
                  </w:r>
                </w:p>
              </w:tc>
              <w:tc>
                <w:tcPr>
                  <w:tcW w:w="1383" w:type="pct"/>
                  <w:tcBorders>
                    <w:tl2br w:val="nil"/>
                    <w:tr2bl w:val="nil"/>
                  </w:tcBorders>
                  <w:vAlign w:val="center"/>
                </w:tcPr>
                <w:p w14:paraId="4511C5CE">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233F947F">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无变化</w:t>
                  </w:r>
                </w:p>
              </w:tc>
            </w:tr>
            <w:tr w14:paraId="0AC0DF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28B2BC4F">
                  <w:pPr>
                    <w:widowControl w:val="0"/>
                    <w:adjustRightInd w:val="0"/>
                    <w:snapToGrid w:val="0"/>
                    <w:jc w:val="center"/>
                    <w:rPr>
                      <w:rFonts w:ascii="Times New Roman" w:hAnsi="Times New Roman" w:cs="Times New Roman"/>
                      <w:color w:val="auto"/>
                      <w:sz w:val="21"/>
                      <w:szCs w:val="21"/>
                    </w:rPr>
                  </w:pPr>
                </w:p>
              </w:tc>
              <w:tc>
                <w:tcPr>
                  <w:tcW w:w="820" w:type="pct"/>
                  <w:gridSpan w:val="3"/>
                  <w:tcBorders>
                    <w:tl2br w:val="nil"/>
                    <w:tr2bl w:val="nil"/>
                  </w:tcBorders>
                  <w:vAlign w:val="center"/>
                </w:tcPr>
                <w:p w14:paraId="08227B48">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产品库</w:t>
                  </w:r>
                </w:p>
              </w:tc>
              <w:tc>
                <w:tcPr>
                  <w:tcW w:w="1918" w:type="pct"/>
                  <w:tcBorders>
                    <w:tl2br w:val="nil"/>
                    <w:tr2bl w:val="nil"/>
                  </w:tcBorders>
                  <w:vAlign w:val="center"/>
                </w:tcPr>
                <w:p w14:paraId="5C7BBF44">
                  <w:pPr>
                    <w:widowControl w:val="0"/>
                    <w:adjustRightInd w:val="0"/>
                    <w:snapToGrid w:val="0"/>
                    <w:ind w:firstLine="420" w:firstLineChars="200"/>
                    <w:jc w:val="center"/>
                    <w:rPr>
                      <w:rFonts w:ascii="Times New Roman" w:hAnsi="Times New Roman" w:cs="Times New Roman"/>
                      <w:color w:val="auto"/>
                      <w:sz w:val="21"/>
                      <w:szCs w:val="21"/>
                    </w:rPr>
                  </w:pPr>
                  <w:r>
                    <w:rPr>
                      <w:rFonts w:ascii="Times New Roman" w:hAnsi="Times New Roman" w:cs="Times New Roman"/>
                      <w:color w:val="auto"/>
                      <w:sz w:val="21"/>
                      <w:szCs w:val="21"/>
                    </w:rPr>
                    <w:t>新建1座产品库，长43m，宽18m，高9m，占地面积1000m</w:t>
                  </w:r>
                  <w:r>
                    <w:rPr>
                      <w:rFonts w:ascii="Times New Roman" w:hAnsi="Times New Roman" w:cs="Times New Roman"/>
                      <w:color w:val="auto"/>
                      <w:sz w:val="21"/>
                      <w:szCs w:val="21"/>
                      <w:vertAlign w:val="superscript"/>
                    </w:rPr>
                    <w:t>2</w:t>
                  </w:r>
                  <w:r>
                    <w:rPr>
                      <w:rFonts w:ascii="Times New Roman" w:hAnsi="Times New Roman" w:cs="Times New Roman"/>
                      <w:color w:val="auto"/>
                      <w:sz w:val="21"/>
                      <w:szCs w:val="21"/>
                    </w:rPr>
                    <w:t>。主要用于储存固体聚合氯化铝</w:t>
                  </w:r>
                </w:p>
              </w:tc>
              <w:tc>
                <w:tcPr>
                  <w:tcW w:w="1383" w:type="pct"/>
                  <w:tcBorders>
                    <w:tl2br w:val="nil"/>
                    <w:tr2bl w:val="nil"/>
                  </w:tcBorders>
                  <w:vAlign w:val="center"/>
                </w:tcPr>
                <w:p w14:paraId="59BD7B7C">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2FED8CBC">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无变化</w:t>
                  </w:r>
                </w:p>
              </w:tc>
            </w:tr>
            <w:tr w14:paraId="1217F3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2E553966">
                  <w:pPr>
                    <w:widowControl w:val="0"/>
                    <w:adjustRightInd w:val="0"/>
                    <w:snapToGrid w:val="0"/>
                    <w:jc w:val="center"/>
                    <w:rPr>
                      <w:rFonts w:ascii="Times New Roman" w:hAnsi="Times New Roman" w:cs="Times New Roman"/>
                      <w:color w:val="auto"/>
                      <w:sz w:val="21"/>
                      <w:szCs w:val="21"/>
                    </w:rPr>
                  </w:pPr>
                </w:p>
              </w:tc>
              <w:tc>
                <w:tcPr>
                  <w:tcW w:w="820" w:type="pct"/>
                  <w:gridSpan w:val="3"/>
                  <w:tcBorders>
                    <w:tl2br w:val="nil"/>
                    <w:tr2bl w:val="nil"/>
                  </w:tcBorders>
                  <w:vAlign w:val="center"/>
                </w:tcPr>
                <w:p w14:paraId="4F90FB52">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液体聚合氯化铝储罐</w:t>
                  </w:r>
                </w:p>
              </w:tc>
              <w:tc>
                <w:tcPr>
                  <w:tcW w:w="1918" w:type="pct"/>
                  <w:tcBorders>
                    <w:tl2br w:val="nil"/>
                    <w:tr2bl w:val="nil"/>
                  </w:tcBorders>
                  <w:vAlign w:val="center"/>
                </w:tcPr>
                <w:p w14:paraId="1B9ADED9">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位于现在液体储存池北侧，占地面积1400 m</w:t>
                  </w:r>
                  <w:r>
                    <w:rPr>
                      <w:rFonts w:ascii="Times New Roman" w:hAnsi="Times New Roman" w:cs="Times New Roman"/>
                      <w:color w:val="auto"/>
                      <w:sz w:val="21"/>
                      <w:szCs w:val="21"/>
                      <w:vertAlign w:val="superscript"/>
                    </w:rPr>
                    <w:t>2</w:t>
                  </w:r>
                  <w:r>
                    <w:rPr>
                      <w:rFonts w:ascii="Times New Roman" w:hAnsi="Times New Roman" w:cs="Times New Roman"/>
                      <w:color w:val="auto"/>
                      <w:sz w:val="21"/>
                      <w:szCs w:val="21"/>
                    </w:rPr>
                    <w:t>，设4台储罐，每个罐容积300m³</w:t>
                  </w:r>
                </w:p>
              </w:tc>
              <w:tc>
                <w:tcPr>
                  <w:tcW w:w="1383" w:type="pct"/>
                  <w:tcBorders>
                    <w:tl2br w:val="nil"/>
                    <w:tr2bl w:val="nil"/>
                  </w:tcBorders>
                  <w:vAlign w:val="center"/>
                </w:tcPr>
                <w:p w14:paraId="5EBE0E3C">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6FACF15A">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无变化</w:t>
                  </w:r>
                </w:p>
              </w:tc>
            </w:tr>
            <w:tr w14:paraId="12275C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71" w:type="pct"/>
                  <w:vMerge w:val="continue"/>
                  <w:tcBorders>
                    <w:tl2br w:val="nil"/>
                    <w:tr2bl w:val="nil"/>
                  </w:tcBorders>
                  <w:vAlign w:val="center"/>
                </w:tcPr>
                <w:p w14:paraId="5AA36908">
                  <w:pPr>
                    <w:widowControl w:val="0"/>
                    <w:adjustRightInd w:val="0"/>
                    <w:snapToGrid w:val="0"/>
                    <w:jc w:val="center"/>
                    <w:rPr>
                      <w:rFonts w:ascii="Times New Roman" w:hAnsi="Times New Roman" w:cs="Times New Roman"/>
                      <w:color w:val="auto"/>
                      <w:sz w:val="21"/>
                      <w:szCs w:val="21"/>
                    </w:rPr>
                  </w:pPr>
                </w:p>
              </w:tc>
              <w:tc>
                <w:tcPr>
                  <w:tcW w:w="820" w:type="pct"/>
                  <w:gridSpan w:val="3"/>
                  <w:tcBorders>
                    <w:tl2br w:val="nil"/>
                    <w:tr2bl w:val="nil"/>
                  </w:tcBorders>
                  <w:vAlign w:val="center"/>
                </w:tcPr>
                <w:p w14:paraId="7D774227">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保温板存储区</w:t>
                  </w:r>
                </w:p>
              </w:tc>
              <w:tc>
                <w:tcPr>
                  <w:tcW w:w="1918" w:type="pct"/>
                  <w:tcBorders>
                    <w:tl2br w:val="nil"/>
                    <w:tr2bl w:val="nil"/>
                  </w:tcBorders>
                  <w:vAlign w:val="center"/>
                </w:tcPr>
                <w:p w14:paraId="4ED71E3E">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保温板生产车间单独分区存放，分区面积500m</w:t>
                  </w:r>
                  <w:r>
                    <w:rPr>
                      <w:rFonts w:ascii="Times New Roman" w:hAnsi="Times New Roman" w:cs="Times New Roman"/>
                      <w:color w:val="auto"/>
                      <w:sz w:val="21"/>
                      <w:szCs w:val="21"/>
                      <w:vertAlign w:val="superscript"/>
                    </w:rPr>
                    <w:t>2</w:t>
                  </w:r>
                  <w:r>
                    <w:rPr>
                      <w:rFonts w:ascii="Times New Roman" w:hAnsi="Times New Roman" w:cs="Times New Roman"/>
                      <w:color w:val="auto"/>
                      <w:sz w:val="21"/>
                      <w:szCs w:val="21"/>
                    </w:rPr>
                    <w:t>。</w:t>
                  </w:r>
                </w:p>
              </w:tc>
              <w:tc>
                <w:tcPr>
                  <w:tcW w:w="1383" w:type="pct"/>
                  <w:tcBorders>
                    <w:tl2br w:val="nil"/>
                    <w:tr2bl w:val="nil"/>
                  </w:tcBorders>
                  <w:vAlign w:val="center"/>
                </w:tcPr>
                <w:p w14:paraId="4F294548">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4286F49F">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无变化</w:t>
                  </w:r>
                </w:p>
              </w:tc>
            </w:tr>
            <w:tr w14:paraId="4A5FB0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71" w:type="pct"/>
                  <w:vMerge w:val="continue"/>
                  <w:tcBorders>
                    <w:tl2br w:val="nil"/>
                    <w:tr2bl w:val="nil"/>
                  </w:tcBorders>
                  <w:vAlign w:val="center"/>
                </w:tcPr>
                <w:p w14:paraId="71A53242">
                  <w:pPr>
                    <w:widowControl w:val="0"/>
                    <w:adjustRightInd w:val="0"/>
                    <w:snapToGrid w:val="0"/>
                    <w:jc w:val="center"/>
                    <w:rPr>
                      <w:color w:val="auto"/>
                    </w:rPr>
                  </w:pPr>
                </w:p>
              </w:tc>
              <w:tc>
                <w:tcPr>
                  <w:tcW w:w="820" w:type="pct"/>
                  <w:gridSpan w:val="3"/>
                  <w:tcBorders>
                    <w:tl2br w:val="nil"/>
                    <w:tr2bl w:val="nil"/>
                  </w:tcBorders>
                  <w:vAlign w:val="center"/>
                </w:tcPr>
                <w:p w14:paraId="07ADC8AC">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燃煤储棚</w:t>
                  </w:r>
                </w:p>
              </w:tc>
              <w:tc>
                <w:tcPr>
                  <w:tcW w:w="1918" w:type="pct"/>
                  <w:tcBorders>
                    <w:tl2br w:val="nil"/>
                    <w:tr2bl w:val="nil"/>
                  </w:tcBorders>
                  <w:vAlign w:val="center"/>
                </w:tcPr>
                <w:p w14:paraId="4321A354">
                  <w:pPr>
                    <w:widowControl w:val="0"/>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383" w:type="pct"/>
                  <w:tcBorders>
                    <w:tl2br w:val="nil"/>
                    <w:tr2bl w:val="nil"/>
                  </w:tcBorders>
                  <w:vAlign w:val="center"/>
                </w:tcPr>
                <w:p w14:paraId="4210154C">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新建一座全封闭燃料煤储棚，占地面积100m</w:t>
                  </w:r>
                  <w:r>
                    <w:rPr>
                      <w:rFonts w:hint="eastAsia" w:ascii="Times New Roman" w:hAnsi="Times New Roman" w:cs="Times New Roman"/>
                      <w:color w:val="auto"/>
                      <w:sz w:val="21"/>
                      <w:szCs w:val="21"/>
                      <w:vertAlign w:val="superscript"/>
                    </w:rPr>
                    <w:t>2</w:t>
                  </w:r>
                  <w:r>
                    <w:rPr>
                      <w:rFonts w:hint="eastAsia" w:ascii="Times New Roman" w:hAnsi="Times New Roman" w:cs="Times New Roman"/>
                      <w:color w:val="auto"/>
                      <w:sz w:val="21"/>
                      <w:szCs w:val="21"/>
                    </w:rPr>
                    <w:t>，彩钢结构，位于新建热风炉房北侧，用于堆存热风炉燃</w:t>
                  </w:r>
                  <w:r>
                    <w:rPr>
                      <w:rFonts w:hint="eastAsia"/>
                      <w:color w:val="auto"/>
                      <w:szCs w:val="21"/>
                    </w:rPr>
                    <w:t>料煤</w:t>
                  </w:r>
                  <w:r>
                    <w:rPr>
                      <w:rStyle w:val="14"/>
                      <w:rFonts w:hint="eastAsia"/>
                      <w:color w:val="auto"/>
                      <w:kern w:val="0"/>
                      <w:lang w:eastAsia="zh-CN"/>
                    </w:rPr>
                    <w:t>，</w:t>
                  </w:r>
                  <w:r>
                    <w:rPr>
                      <w:rStyle w:val="14"/>
                      <w:rFonts w:hint="eastAsia"/>
                      <w:color w:val="auto"/>
                      <w:kern w:val="0"/>
                      <w:lang w:val="en-US" w:eastAsia="zh-CN"/>
                    </w:rPr>
                    <w:t>储量为500t</w:t>
                  </w:r>
                  <w:r>
                    <w:rPr>
                      <w:rFonts w:hint="eastAsia"/>
                      <w:color w:val="auto"/>
                      <w:szCs w:val="21"/>
                    </w:rPr>
                    <w:t>。</w:t>
                  </w:r>
                </w:p>
              </w:tc>
              <w:tc>
                <w:tcPr>
                  <w:tcW w:w="606" w:type="pct"/>
                  <w:tcBorders>
                    <w:tl2br w:val="nil"/>
                    <w:tr2bl w:val="nil"/>
                  </w:tcBorders>
                  <w:vAlign w:val="center"/>
                </w:tcPr>
                <w:p w14:paraId="5B17E845">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新建</w:t>
                  </w:r>
                </w:p>
              </w:tc>
            </w:tr>
            <w:tr w14:paraId="3998DA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71" w:type="pct"/>
                  <w:vMerge w:val="continue"/>
                  <w:tcBorders>
                    <w:tl2br w:val="nil"/>
                    <w:tr2bl w:val="nil"/>
                  </w:tcBorders>
                  <w:vAlign w:val="center"/>
                </w:tcPr>
                <w:p w14:paraId="03114B4F">
                  <w:pPr>
                    <w:widowControl w:val="0"/>
                    <w:adjustRightInd w:val="0"/>
                    <w:snapToGrid w:val="0"/>
                    <w:jc w:val="center"/>
                    <w:rPr>
                      <w:rFonts w:ascii="Times New Roman" w:hAnsi="Times New Roman" w:cs="Times New Roman"/>
                      <w:color w:val="auto"/>
                      <w:sz w:val="21"/>
                      <w:szCs w:val="21"/>
                    </w:rPr>
                  </w:pPr>
                </w:p>
              </w:tc>
              <w:tc>
                <w:tcPr>
                  <w:tcW w:w="820" w:type="pct"/>
                  <w:gridSpan w:val="3"/>
                  <w:tcBorders>
                    <w:tl2br w:val="nil"/>
                    <w:tr2bl w:val="nil"/>
                  </w:tcBorders>
                  <w:vAlign w:val="center"/>
                </w:tcPr>
                <w:p w14:paraId="5C34CC35">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灰渣储棚</w:t>
                  </w:r>
                </w:p>
              </w:tc>
              <w:tc>
                <w:tcPr>
                  <w:tcW w:w="1918" w:type="pct"/>
                  <w:tcBorders>
                    <w:tl2br w:val="nil"/>
                    <w:tr2bl w:val="nil"/>
                  </w:tcBorders>
                  <w:vAlign w:val="center"/>
                </w:tcPr>
                <w:p w14:paraId="70F0D53F">
                  <w:pPr>
                    <w:widowControl w:val="0"/>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383" w:type="pct"/>
                  <w:tcBorders>
                    <w:tl2br w:val="nil"/>
                    <w:tr2bl w:val="nil"/>
                  </w:tcBorders>
                  <w:vAlign w:val="center"/>
                </w:tcPr>
                <w:p w14:paraId="1B222A55">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新建一座全封闭灰渣储棚，占地面积40m</w:t>
                  </w:r>
                  <w:r>
                    <w:rPr>
                      <w:rFonts w:hint="eastAsia" w:ascii="Times New Roman" w:hAnsi="Times New Roman" w:cs="Times New Roman"/>
                      <w:color w:val="auto"/>
                      <w:sz w:val="21"/>
                      <w:szCs w:val="21"/>
                      <w:vertAlign w:val="superscript"/>
                    </w:rPr>
                    <w:t>2</w:t>
                  </w:r>
                  <w:r>
                    <w:rPr>
                      <w:rFonts w:hint="eastAsia" w:ascii="Times New Roman" w:hAnsi="Times New Roman" w:cs="Times New Roman"/>
                      <w:color w:val="auto"/>
                      <w:sz w:val="21"/>
                      <w:szCs w:val="21"/>
                    </w:rPr>
                    <w:t>，彩钢结构，位于新建热风炉房北侧，紧邻燃料煤储棚东侧，用于存放热风炉灰渣。</w:t>
                  </w:r>
                </w:p>
              </w:tc>
              <w:tc>
                <w:tcPr>
                  <w:tcW w:w="606" w:type="pct"/>
                  <w:tcBorders>
                    <w:tl2br w:val="nil"/>
                    <w:tr2bl w:val="nil"/>
                  </w:tcBorders>
                  <w:vAlign w:val="center"/>
                </w:tcPr>
                <w:p w14:paraId="1A06BB50">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新建</w:t>
                  </w:r>
                </w:p>
              </w:tc>
            </w:tr>
            <w:tr w14:paraId="4D51D0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restart"/>
                  <w:tcBorders>
                    <w:tl2br w:val="nil"/>
                    <w:tr2bl w:val="nil"/>
                  </w:tcBorders>
                  <w:vAlign w:val="center"/>
                </w:tcPr>
                <w:p w14:paraId="7453F697">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环保工程</w:t>
                  </w:r>
                </w:p>
              </w:tc>
              <w:tc>
                <w:tcPr>
                  <w:tcW w:w="329" w:type="pct"/>
                  <w:vMerge w:val="restart"/>
                  <w:tcBorders>
                    <w:tl2br w:val="nil"/>
                    <w:tr2bl w:val="nil"/>
                  </w:tcBorders>
                  <w:vAlign w:val="center"/>
                </w:tcPr>
                <w:p w14:paraId="3481EDF3">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废气治理</w:t>
                  </w:r>
                </w:p>
              </w:tc>
              <w:tc>
                <w:tcPr>
                  <w:tcW w:w="490" w:type="pct"/>
                  <w:gridSpan w:val="2"/>
                  <w:tcBorders>
                    <w:tl2br w:val="nil"/>
                    <w:tr2bl w:val="nil"/>
                  </w:tcBorders>
                  <w:vAlign w:val="center"/>
                </w:tcPr>
                <w:p w14:paraId="103C625D">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聚合氯化铝生产线</w:t>
                  </w:r>
                </w:p>
              </w:tc>
              <w:tc>
                <w:tcPr>
                  <w:tcW w:w="1918" w:type="pct"/>
                  <w:tcBorders>
                    <w:tl2br w:val="nil"/>
                    <w:tr2bl w:val="nil"/>
                  </w:tcBorders>
                  <w:vAlign w:val="center"/>
                </w:tcPr>
                <w:p w14:paraId="2DB3507B">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溶出反应产生的酸雾经1套酸雾吸收塔处理。喷雾干燥产生的废气经1套三级吸收塔吸收后由高32m，内径为1.6m排气筒排放。吸收塔采用液碱做吸收液。二期工程新增3套酸雾吸收塔，3套三级吸收塔</w:t>
                  </w:r>
                </w:p>
              </w:tc>
              <w:tc>
                <w:tcPr>
                  <w:tcW w:w="1383" w:type="pct"/>
                  <w:tcBorders>
                    <w:tl2br w:val="nil"/>
                    <w:tr2bl w:val="nil"/>
                  </w:tcBorders>
                  <w:vAlign w:val="center"/>
                </w:tcPr>
                <w:p w14:paraId="4B2474AA">
                  <w:pPr>
                    <w:widowControl w:val="0"/>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本次热源技改项目不涉及</w:t>
                  </w:r>
                  <w:r>
                    <w:rPr>
                      <w:rFonts w:ascii="Times New Roman" w:hAnsi="Times New Roman" w:cs="Times New Roman"/>
                      <w:color w:val="auto"/>
                      <w:sz w:val="21"/>
                      <w:szCs w:val="21"/>
                    </w:rPr>
                    <w:t>溶出反应</w:t>
                  </w:r>
                  <w:r>
                    <w:rPr>
                      <w:rFonts w:hint="eastAsia" w:ascii="Times New Roman" w:hAnsi="Times New Roman" w:cs="Times New Roman"/>
                      <w:color w:val="auto"/>
                      <w:sz w:val="21"/>
                      <w:szCs w:val="21"/>
                      <w:lang w:val="en-US" w:eastAsia="zh-CN"/>
                    </w:rPr>
                    <w:t>废气，</w:t>
                  </w:r>
                  <w:r>
                    <w:rPr>
                      <w:rFonts w:hint="eastAsia" w:cs="Times New Roman"/>
                      <w:b w:val="0"/>
                      <w:bCs/>
                      <w:color w:val="auto"/>
                      <w:sz w:val="21"/>
                      <w:szCs w:val="21"/>
                      <w:highlight w:val="none"/>
                      <w:lang w:val="en-US" w:eastAsia="zh-CN"/>
                    </w:rPr>
                    <w:t>新建热风炉配备低氮燃烧和SNCR，热风炉烟气经低氮燃烧+SNCR脱硝（脱硝去除效率30%）+依托现有</w:t>
                  </w:r>
                  <w:r>
                    <w:rPr>
                      <w:rFonts w:hint="default" w:ascii="Times New Roman" w:hAnsi="Times New Roman" w:eastAsia="宋体" w:cs="Times New Roman"/>
                      <w:b w:val="0"/>
                      <w:bCs/>
                      <w:color w:val="auto"/>
                      <w:sz w:val="21"/>
                      <w:szCs w:val="21"/>
                      <w:highlight w:val="none"/>
                      <w:vertAlign w:val="baseline"/>
                      <w:lang w:val="en-US" w:eastAsia="zh-CN"/>
                    </w:rPr>
                    <w:t>三级吸收塔</w:t>
                  </w:r>
                  <w:r>
                    <w:rPr>
                      <w:rFonts w:hint="eastAsia" w:cs="Times New Roman"/>
                      <w:b w:val="0"/>
                      <w:bCs/>
                      <w:color w:val="auto"/>
                      <w:sz w:val="21"/>
                      <w:szCs w:val="21"/>
                      <w:highlight w:val="none"/>
                      <w:vertAlign w:val="baseline"/>
                      <w:lang w:val="en-US" w:eastAsia="zh-CN"/>
                    </w:rPr>
                    <w:t>（</w:t>
                  </w:r>
                  <w:r>
                    <w:rPr>
                      <w:rFonts w:hint="default" w:ascii="Times New Roman" w:hAnsi="Times New Roman" w:eastAsia="宋体" w:cs="Times New Roman"/>
                      <w:b w:val="0"/>
                      <w:bCs/>
                      <w:color w:val="auto"/>
                      <w:sz w:val="21"/>
                      <w:szCs w:val="21"/>
                      <w:highlight w:val="none"/>
                      <w:vertAlign w:val="baseline"/>
                      <w:lang w:val="en-US" w:eastAsia="zh-CN"/>
                    </w:rPr>
                    <w:t>2级水+1级碱（除尘效率为</w:t>
                  </w:r>
                  <w:r>
                    <w:rPr>
                      <w:rFonts w:hint="eastAsia" w:cs="Times New Roman"/>
                      <w:b w:val="0"/>
                      <w:bCs/>
                      <w:color w:val="auto"/>
                      <w:sz w:val="21"/>
                      <w:szCs w:val="21"/>
                      <w:highlight w:val="none"/>
                      <w:vertAlign w:val="baseline"/>
                      <w:lang w:val="en-US" w:eastAsia="zh-CN"/>
                    </w:rPr>
                    <w:t>99</w:t>
                  </w:r>
                  <w:r>
                    <w:rPr>
                      <w:rFonts w:hint="default" w:ascii="Times New Roman" w:hAnsi="Times New Roman" w:eastAsia="宋体" w:cs="Times New Roman"/>
                      <w:b w:val="0"/>
                      <w:bCs/>
                      <w:color w:val="auto"/>
                      <w:sz w:val="21"/>
                      <w:szCs w:val="21"/>
                      <w:highlight w:val="none"/>
                      <w:vertAlign w:val="baseline"/>
                      <w:lang w:val="en-US" w:eastAsia="zh-CN"/>
                    </w:rPr>
                    <w:t>%、脱硫效率90%）</w:t>
                  </w:r>
                  <w:r>
                    <w:rPr>
                      <w:rFonts w:hint="eastAsia" w:cs="Times New Roman"/>
                      <w:b w:val="0"/>
                      <w:bCs/>
                      <w:color w:val="auto"/>
                      <w:sz w:val="21"/>
                      <w:szCs w:val="21"/>
                      <w:highlight w:val="none"/>
                      <w:vertAlign w:val="baseline"/>
                      <w:lang w:val="en-US" w:eastAsia="zh-CN"/>
                    </w:rPr>
                    <w:t>）</w:t>
                  </w:r>
                  <w:r>
                    <w:rPr>
                      <w:rFonts w:hint="eastAsia" w:ascii="Times New Roman" w:hAnsi="Times New Roman" w:eastAsia="宋体" w:cs="Times New Roman"/>
                      <w:b w:val="0"/>
                      <w:bCs/>
                      <w:color w:val="auto"/>
                      <w:sz w:val="21"/>
                      <w:szCs w:val="21"/>
                      <w:highlight w:val="none"/>
                      <w:vertAlign w:val="baseline"/>
                      <w:lang w:val="en-US" w:eastAsia="zh-CN"/>
                    </w:rPr>
                    <w:t>处理后，</w:t>
                  </w:r>
                  <w:r>
                    <w:rPr>
                      <w:rFonts w:hint="eastAsia" w:cs="Times New Roman"/>
                      <w:b w:val="0"/>
                      <w:bCs/>
                      <w:color w:val="auto"/>
                      <w:sz w:val="21"/>
                      <w:szCs w:val="21"/>
                      <w:highlight w:val="none"/>
                      <w:vertAlign w:val="baseline"/>
                      <w:lang w:val="en-US" w:eastAsia="zh-CN"/>
                    </w:rPr>
                    <w:t>烟气</w:t>
                  </w:r>
                  <w:r>
                    <w:rPr>
                      <w:rFonts w:hint="eastAsia" w:ascii="Times New Roman" w:hAnsi="Times New Roman" w:eastAsia="宋体" w:cs="Times New Roman"/>
                      <w:b w:val="0"/>
                      <w:bCs/>
                      <w:color w:val="auto"/>
                      <w:sz w:val="21"/>
                      <w:szCs w:val="21"/>
                      <w:highlight w:val="none"/>
                      <w:vertAlign w:val="baseline"/>
                      <w:lang w:val="en-US" w:eastAsia="zh-CN"/>
                    </w:rPr>
                    <w:t>最终</w:t>
                  </w:r>
                  <w:r>
                    <w:rPr>
                      <w:rFonts w:hint="eastAsia" w:cs="Times New Roman"/>
                      <w:b w:val="0"/>
                      <w:bCs/>
                      <w:color w:val="auto"/>
                      <w:sz w:val="21"/>
                      <w:szCs w:val="21"/>
                      <w:highlight w:val="none"/>
                      <w:vertAlign w:val="baseline"/>
                      <w:lang w:val="en-US" w:eastAsia="zh-CN"/>
                    </w:rPr>
                    <w:t>依托现有3</w:t>
                  </w:r>
                  <w:r>
                    <w:rPr>
                      <w:rFonts w:hint="eastAsia" w:ascii="Times New Roman" w:hAnsi="Times New Roman" w:eastAsia="宋体" w:cs="Times New Roman"/>
                      <w:b w:val="0"/>
                      <w:bCs/>
                      <w:color w:val="auto"/>
                      <w:sz w:val="21"/>
                      <w:szCs w:val="21"/>
                      <w:highlight w:val="none"/>
                      <w:vertAlign w:val="baseline"/>
                      <w:lang w:val="en-US" w:eastAsia="zh-CN"/>
                    </w:rPr>
                    <w:t>2m高，内径为1.6m排气筒排放。</w:t>
                  </w:r>
                </w:p>
              </w:tc>
              <w:tc>
                <w:tcPr>
                  <w:tcW w:w="606" w:type="pct"/>
                  <w:tcBorders>
                    <w:tl2br w:val="nil"/>
                    <w:tr2bl w:val="nil"/>
                  </w:tcBorders>
                  <w:vAlign w:val="center"/>
                </w:tcPr>
                <w:p w14:paraId="46F83675">
                  <w:pPr>
                    <w:widowControl w:val="0"/>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新建</w:t>
                  </w:r>
                  <w:r>
                    <w:rPr>
                      <w:rFonts w:hint="eastAsia" w:cs="Times New Roman"/>
                      <w:b w:val="0"/>
                      <w:bCs/>
                      <w:color w:val="auto"/>
                      <w:sz w:val="21"/>
                      <w:szCs w:val="21"/>
                      <w:highlight w:val="none"/>
                      <w:lang w:val="en-US" w:eastAsia="zh-CN"/>
                    </w:rPr>
                    <w:t>低氮燃烧+SNCR脱硝+依托现有</w:t>
                  </w:r>
                  <w:r>
                    <w:rPr>
                      <w:rFonts w:hint="default" w:ascii="Times New Roman" w:hAnsi="Times New Roman" w:eastAsia="宋体" w:cs="Times New Roman"/>
                      <w:b w:val="0"/>
                      <w:bCs/>
                      <w:color w:val="auto"/>
                      <w:sz w:val="21"/>
                      <w:szCs w:val="21"/>
                      <w:highlight w:val="none"/>
                      <w:vertAlign w:val="baseline"/>
                      <w:lang w:val="en-US" w:eastAsia="zh-CN"/>
                    </w:rPr>
                    <w:t>三级吸收塔</w:t>
                  </w:r>
                  <w:r>
                    <w:rPr>
                      <w:rFonts w:hint="eastAsia" w:ascii="Times New Roman" w:hAnsi="Times New Roman" w:eastAsia="宋体" w:cs="Times New Roman"/>
                      <w:b w:val="0"/>
                      <w:bCs/>
                      <w:color w:val="auto"/>
                      <w:sz w:val="21"/>
                      <w:szCs w:val="21"/>
                      <w:highlight w:val="none"/>
                      <w:vertAlign w:val="baseline"/>
                      <w:lang w:val="en-US" w:eastAsia="zh-CN"/>
                    </w:rPr>
                    <w:t>和排气筒</w:t>
                  </w:r>
                </w:p>
              </w:tc>
            </w:tr>
            <w:tr w14:paraId="347B40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70A1EBEF">
                  <w:pPr>
                    <w:widowControl w:val="0"/>
                    <w:adjustRightInd w:val="0"/>
                    <w:snapToGrid w:val="0"/>
                    <w:jc w:val="center"/>
                    <w:rPr>
                      <w:rFonts w:ascii="Times New Roman" w:hAnsi="Times New Roman" w:cs="Times New Roman"/>
                      <w:color w:val="auto"/>
                      <w:sz w:val="21"/>
                      <w:szCs w:val="21"/>
                    </w:rPr>
                  </w:pPr>
                </w:p>
              </w:tc>
              <w:tc>
                <w:tcPr>
                  <w:tcW w:w="329" w:type="pct"/>
                  <w:vMerge w:val="continue"/>
                  <w:tcBorders>
                    <w:tl2br w:val="nil"/>
                    <w:tr2bl w:val="nil"/>
                  </w:tcBorders>
                  <w:vAlign w:val="center"/>
                </w:tcPr>
                <w:p w14:paraId="35DC9CFC">
                  <w:pPr>
                    <w:widowControl w:val="0"/>
                    <w:adjustRightInd w:val="0"/>
                    <w:snapToGrid w:val="0"/>
                    <w:jc w:val="center"/>
                    <w:rPr>
                      <w:rFonts w:ascii="Times New Roman" w:hAnsi="Times New Roman" w:cs="Times New Roman"/>
                      <w:color w:val="auto"/>
                      <w:sz w:val="21"/>
                      <w:szCs w:val="21"/>
                    </w:rPr>
                  </w:pPr>
                </w:p>
              </w:tc>
              <w:tc>
                <w:tcPr>
                  <w:tcW w:w="490" w:type="pct"/>
                  <w:gridSpan w:val="2"/>
                  <w:tcBorders>
                    <w:tl2br w:val="nil"/>
                    <w:tr2bl w:val="nil"/>
                  </w:tcBorders>
                  <w:vAlign w:val="center"/>
                </w:tcPr>
                <w:p w14:paraId="6252AD88">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硫酸铝生产线</w:t>
                  </w:r>
                </w:p>
              </w:tc>
              <w:tc>
                <w:tcPr>
                  <w:tcW w:w="1918" w:type="pct"/>
                  <w:tcBorders>
                    <w:tl2br w:val="nil"/>
                    <w:tr2bl w:val="nil"/>
                  </w:tcBorders>
                  <w:vAlign w:val="center"/>
                </w:tcPr>
                <w:p w14:paraId="697380F8">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溶出反应产生的酸雾依托现有氯化铝生产线酸雾吸收塔吸收后由15m高排气筒排放。</w:t>
                  </w:r>
                </w:p>
              </w:tc>
              <w:tc>
                <w:tcPr>
                  <w:tcW w:w="1383" w:type="pct"/>
                  <w:tcBorders>
                    <w:tl2br w:val="nil"/>
                    <w:tr2bl w:val="nil"/>
                  </w:tcBorders>
                  <w:vAlign w:val="center"/>
                </w:tcPr>
                <w:p w14:paraId="469B7673">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46C5185C">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无变化</w:t>
                  </w:r>
                </w:p>
              </w:tc>
            </w:tr>
            <w:tr w14:paraId="3CCBA1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18D371CB">
                  <w:pPr>
                    <w:widowControl w:val="0"/>
                    <w:adjustRightInd w:val="0"/>
                    <w:snapToGrid w:val="0"/>
                    <w:jc w:val="center"/>
                    <w:rPr>
                      <w:rFonts w:ascii="Times New Roman" w:hAnsi="Times New Roman" w:cs="Times New Roman"/>
                      <w:color w:val="auto"/>
                      <w:sz w:val="21"/>
                      <w:szCs w:val="21"/>
                    </w:rPr>
                  </w:pPr>
                </w:p>
              </w:tc>
              <w:tc>
                <w:tcPr>
                  <w:tcW w:w="329" w:type="pct"/>
                  <w:vMerge w:val="continue"/>
                  <w:tcBorders>
                    <w:tl2br w:val="nil"/>
                    <w:tr2bl w:val="nil"/>
                  </w:tcBorders>
                  <w:vAlign w:val="center"/>
                </w:tcPr>
                <w:p w14:paraId="60E99206">
                  <w:pPr>
                    <w:widowControl w:val="0"/>
                    <w:adjustRightInd w:val="0"/>
                    <w:snapToGrid w:val="0"/>
                    <w:jc w:val="center"/>
                    <w:rPr>
                      <w:rFonts w:ascii="Times New Roman" w:hAnsi="Times New Roman" w:cs="Times New Roman"/>
                      <w:color w:val="auto"/>
                      <w:sz w:val="21"/>
                      <w:szCs w:val="21"/>
                    </w:rPr>
                  </w:pPr>
                </w:p>
              </w:tc>
              <w:tc>
                <w:tcPr>
                  <w:tcW w:w="490" w:type="pct"/>
                  <w:gridSpan w:val="2"/>
                  <w:tcBorders>
                    <w:tl2br w:val="nil"/>
                    <w:tr2bl w:val="nil"/>
                  </w:tcBorders>
                  <w:vAlign w:val="center"/>
                </w:tcPr>
                <w:p w14:paraId="6CEDBB6C">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保温板生产线</w:t>
                  </w:r>
                </w:p>
              </w:tc>
              <w:tc>
                <w:tcPr>
                  <w:tcW w:w="1918" w:type="pct"/>
                  <w:tcBorders>
                    <w:tl2br w:val="nil"/>
                    <w:tr2bl w:val="nil"/>
                  </w:tcBorders>
                  <w:vAlign w:val="center"/>
                </w:tcPr>
                <w:p w14:paraId="43552808">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保温板生产线上布设布袋除尘器，除尘废气经15m高排气筒排放。水泥罐自带布袋除尘器。</w:t>
                  </w:r>
                </w:p>
              </w:tc>
              <w:tc>
                <w:tcPr>
                  <w:tcW w:w="1383" w:type="pct"/>
                  <w:tcBorders>
                    <w:tl2br w:val="nil"/>
                    <w:tr2bl w:val="nil"/>
                  </w:tcBorders>
                  <w:vAlign w:val="center"/>
                </w:tcPr>
                <w:p w14:paraId="42AC56DE">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1DA4810F">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无变化</w:t>
                  </w:r>
                </w:p>
              </w:tc>
            </w:tr>
            <w:tr w14:paraId="5ABE64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533E4FF5">
                  <w:pPr>
                    <w:widowControl w:val="0"/>
                    <w:adjustRightInd w:val="0"/>
                    <w:snapToGrid w:val="0"/>
                    <w:jc w:val="center"/>
                    <w:rPr>
                      <w:rFonts w:ascii="Times New Roman" w:hAnsi="Times New Roman" w:cs="Times New Roman"/>
                      <w:color w:val="auto"/>
                      <w:sz w:val="21"/>
                      <w:szCs w:val="21"/>
                    </w:rPr>
                  </w:pPr>
                </w:p>
              </w:tc>
              <w:tc>
                <w:tcPr>
                  <w:tcW w:w="329" w:type="pct"/>
                  <w:vMerge w:val="continue"/>
                  <w:tcBorders>
                    <w:tl2br w:val="nil"/>
                    <w:tr2bl w:val="nil"/>
                  </w:tcBorders>
                  <w:vAlign w:val="center"/>
                </w:tcPr>
                <w:p w14:paraId="0FFB4285">
                  <w:pPr>
                    <w:widowControl w:val="0"/>
                    <w:adjustRightInd w:val="0"/>
                    <w:snapToGrid w:val="0"/>
                    <w:jc w:val="center"/>
                    <w:rPr>
                      <w:rFonts w:ascii="Times New Roman" w:hAnsi="Times New Roman" w:cs="Times New Roman"/>
                      <w:color w:val="auto"/>
                      <w:sz w:val="21"/>
                      <w:szCs w:val="21"/>
                    </w:rPr>
                  </w:pPr>
                </w:p>
              </w:tc>
              <w:tc>
                <w:tcPr>
                  <w:tcW w:w="490" w:type="pct"/>
                  <w:gridSpan w:val="2"/>
                  <w:tcBorders>
                    <w:tl2br w:val="nil"/>
                    <w:tr2bl w:val="nil"/>
                  </w:tcBorders>
                  <w:vAlign w:val="center"/>
                </w:tcPr>
                <w:p w14:paraId="6B3E8E8F">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原料罐区</w:t>
                  </w:r>
                </w:p>
              </w:tc>
              <w:tc>
                <w:tcPr>
                  <w:tcW w:w="1918" w:type="pct"/>
                  <w:tcBorders>
                    <w:tl2br w:val="nil"/>
                    <w:tr2bl w:val="nil"/>
                  </w:tcBorders>
                  <w:vAlign w:val="center"/>
                </w:tcPr>
                <w:p w14:paraId="546F58A2">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粉煤灰储罐自带布袋除尘器</w:t>
                  </w:r>
                </w:p>
              </w:tc>
              <w:tc>
                <w:tcPr>
                  <w:tcW w:w="1383" w:type="pct"/>
                  <w:tcBorders>
                    <w:tl2br w:val="nil"/>
                    <w:tr2bl w:val="nil"/>
                  </w:tcBorders>
                  <w:vAlign w:val="center"/>
                </w:tcPr>
                <w:p w14:paraId="37E7C50C">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66DAF580">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无变化</w:t>
                  </w:r>
                </w:p>
              </w:tc>
            </w:tr>
            <w:tr w14:paraId="3729D6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71" w:type="pct"/>
                  <w:vMerge w:val="continue"/>
                  <w:tcBorders>
                    <w:tl2br w:val="nil"/>
                    <w:tr2bl w:val="nil"/>
                  </w:tcBorders>
                  <w:vAlign w:val="center"/>
                </w:tcPr>
                <w:p w14:paraId="0D151056">
                  <w:pPr>
                    <w:widowControl w:val="0"/>
                    <w:adjustRightInd w:val="0"/>
                    <w:snapToGrid w:val="0"/>
                    <w:jc w:val="center"/>
                    <w:rPr>
                      <w:rFonts w:ascii="Times New Roman" w:hAnsi="Times New Roman" w:cs="Times New Roman"/>
                      <w:color w:val="auto"/>
                      <w:sz w:val="21"/>
                      <w:szCs w:val="21"/>
                    </w:rPr>
                  </w:pPr>
                </w:p>
              </w:tc>
              <w:tc>
                <w:tcPr>
                  <w:tcW w:w="329" w:type="pct"/>
                  <w:vMerge w:val="continue"/>
                  <w:tcBorders>
                    <w:tl2br w:val="nil"/>
                    <w:tr2bl w:val="nil"/>
                  </w:tcBorders>
                  <w:vAlign w:val="center"/>
                </w:tcPr>
                <w:p w14:paraId="49375E41">
                  <w:pPr>
                    <w:widowControl w:val="0"/>
                    <w:adjustRightInd w:val="0"/>
                    <w:snapToGrid w:val="0"/>
                    <w:jc w:val="center"/>
                    <w:rPr>
                      <w:rFonts w:ascii="Times New Roman" w:hAnsi="Times New Roman" w:cs="Times New Roman"/>
                      <w:color w:val="auto"/>
                      <w:sz w:val="21"/>
                      <w:szCs w:val="21"/>
                    </w:rPr>
                  </w:pPr>
                </w:p>
              </w:tc>
              <w:tc>
                <w:tcPr>
                  <w:tcW w:w="490" w:type="pct"/>
                  <w:gridSpan w:val="2"/>
                  <w:tcBorders>
                    <w:tl2br w:val="nil"/>
                    <w:tr2bl w:val="nil"/>
                  </w:tcBorders>
                  <w:vAlign w:val="center"/>
                </w:tcPr>
                <w:p w14:paraId="1283159E">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罐区</w:t>
                  </w:r>
                </w:p>
              </w:tc>
              <w:tc>
                <w:tcPr>
                  <w:tcW w:w="1918" w:type="pct"/>
                  <w:tcBorders>
                    <w:tl2br w:val="nil"/>
                    <w:tr2bl w:val="nil"/>
                  </w:tcBorders>
                  <w:vAlign w:val="center"/>
                </w:tcPr>
                <w:p w14:paraId="31F9A677">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盐酸、硫酸储罐呼吸废气顶部排气口接管道，连通到反应车间酸雾吸收塔处理</w:t>
                  </w:r>
                </w:p>
              </w:tc>
              <w:tc>
                <w:tcPr>
                  <w:tcW w:w="1383" w:type="pct"/>
                  <w:tcBorders>
                    <w:tl2br w:val="nil"/>
                    <w:tr2bl w:val="nil"/>
                  </w:tcBorders>
                  <w:vAlign w:val="center"/>
                </w:tcPr>
                <w:p w14:paraId="65532C34">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6F66F925">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无变化</w:t>
                  </w:r>
                </w:p>
              </w:tc>
            </w:tr>
            <w:tr w14:paraId="562CD5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71" w:type="pct"/>
                  <w:vMerge w:val="continue"/>
                  <w:tcBorders>
                    <w:tl2br w:val="nil"/>
                    <w:tr2bl w:val="nil"/>
                  </w:tcBorders>
                  <w:vAlign w:val="center"/>
                </w:tcPr>
                <w:p w14:paraId="706B1A97">
                  <w:pPr>
                    <w:widowControl w:val="0"/>
                    <w:adjustRightInd w:val="0"/>
                    <w:snapToGrid w:val="0"/>
                    <w:jc w:val="center"/>
                    <w:rPr>
                      <w:color w:val="auto"/>
                    </w:rPr>
                  </w:pPr>
                </w:p>
              </w:tc>
              <w:tc>
                <w:tcPr>
                  <w:tcW w:w="329" w:type="pct"/>
                  <w:vMerge w:val="continue"/>
                  <w:tcBorders>
                    <w:tl2br w:val="nil"/>
                    <w:tr2bl w:val="nil"/>
                  </w:tcBorders>
                  <w:vAlign w:val="center"/>
                </w:tcPr>
                <w:p w14:paraId="7352D8D2">
                  <w:pPr>
                    <w:widowControl w:val="0"/>
                    <w:adjustRightInd w:val="0"/>
                    <w:snapToGrid w:val="0"/>
                    <w:jc w:val="center"/>
                    <w:rPr>
                      <w:color w:val="auto"/>
                    </w:rPr>
                  </w:pPr>
                </w:p>
              </w:tc>
              <w:tc>
                <w:tcPr>
                  <w:tcW w:w="490" w:type="pct"/>
                  <w:gridSpan w:val="2"/>
                  <w:tcBorders>
                    <w:tl2br w:val="nil"/>
                    <w:tr2bl w:val="nil"/>
                  </w:tcBorders>
                  <w:vAlign w:val="center"/>
                </w:tcPr>
                <w:p w14:paraId="5E916016">
                  <w:pPr>
                    <w:widowControl w:val="0"/>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燃煤、灰渣堆存粉尘</w:t>
                  </w:r>
                </w:p>
              </w:tc>
              <w:tc>
                <w:tcPr>
                  <w:tcW w:w="1918" w:type="pct"/>
                  <w:tcBorders>
                    <w:tl2br w:val="nil"/>
                    <w:tr2bl w:val="nil"/>
                  </w:tcBorders>
                  <w:vAlign w:val="center"/>
                </w:tcPr>
                <w:p w14:paraId="448DA7F2">
                  <w:pPr>
                    <w:widowControl w:val="0"/>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383" w:type="pct"/>
                  <w:tcBorders>
                    <w:tl2br w:val="nil"/>
                    <w:tr2bl w:val="nil"/>
                  </w:tcBorders>
                  <w:vAlign w:val="center"/>
                </w:tcPr>
                <w:p w14:paraId="6FF68505">
                  <w:pPr>
                    <w:widowControl w:val="0"/>
                    <w:adjustRightInd w:val="0"/>
                    <w:snapToGrid w:val="0"/>
                    <w:jc w:val="center"/>
                    <w:rPr>
                      <w:rFonts w:hint="default" w:ascii="Times New Roman" w:hAnsi="Times New Roman" w:eastAsia="宋体" w:cs="Times New Roman"/>
                      <w:color w:val="auto"/>
                      <w:sz w:val="21"/>
                      <w:szCs w:val="21"/>
                      <w:lang w:val="en-US" w:eastAsia="zh-CN"/>
                    </w:rPr>
                  </w:pPr>
                  <w:r>
                    <w:rPr>
                      <w:rFonts w:hint="eastAsia"/>
                      <w:color w:val="auto"/>
                      <w:sz w:val="21"/>
                      <w:szCs w:val="21"/>
                      <w:lang w:val="en-US" w:eastAsia="zh-CN"/>
                    </w:rPr>
                    <w:t>燃料煤、热风炉灰渣堆于全封闭储棚内，并</w:t>
                  </w:r>
                  <w:r>
                    <w:rPr>
                      <w:rFonts w:hint="eastAsia" w:ascii="Times New Roman" w:hAnsi="Times New Roman" w:cs="Times New Roman"/>
                      <w:color w:val="auto"/>
                      <w:sz w:val="21"/>
                      <w:szCs w:val="21"/>
                      <w:lang w:val="en-US" w:eastAsia="zh-CN"/>
                    </w:rPr>
                    <w:t>采用雾炮车洒水降尘。</w:t>
                  </w:r>
                </w:p>
              </w:tc>
              <w:tc>
                <w:tcPr>
                  <w:tcW w:w="606" w:type="pct"/>
                  <w:tcBorders>
                    <w:tl2br w:val="nil"/>
                    <w:tr2bl w:val="nil"/>
                  </w:tcBorders>
                  <w:vAlign w:val="center"/>
                </w:tcPr>
                <w:p w14:paraId="34E04AED">
                  <w:pPr>
                    <w:widowControl w:val="0"/>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新建</w:t>
                  </w:r>
                </w:p>
              </w:tc>
            </w:tr>
            <w:tr w14:paraId="481EEF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49C2BADE">
                  <w:pPr>
                    <w:widowControl w:val="0"/>
                    <w:adjustRightInd w:val="0"/>
                    <w:snapToGrid w:val="0"/>
                    <w:jc w:val="center"/>
                    <w:rPr>
                      <w:rFonts w:ascii="Times New Roman" w:hAnsi="Times New Roman" w:cs="Times New Roman"/>
                      <w:color w:val="auto"/>
                      <w:sz w:val="21"/>
                      <w:szCs w:val="21"/>
                    </w:rPr>
                  </w:pPr>
                </w:p>
              </w:tc>
              <w:tc>
                <w:tcPr>
                  <w:tcW w:w="329" w:type="pct"/>
                  <w:vMerge w:val="restart"/>
                  <w:tcBorders>
                    <w:tl2br w:val="nil"/>
                    <w:tr2bl w:val="nil"/>
                  </w:tcBorders>
                  <w:vAlign w:val="center"/>
                </w:tcPr>
                <w:p w14:paraId="75327592">
                  <w:pPr>
                    <w:widowControl w:val="0"/>
                    <w:adjustRightInd w:val="0"/>
                    <w:snapToGrid w:val="0"/>
                    <w:jc w:val="center"/>
                    <w:rPr>
                      <w:rFonts w:hint="eastAsia" w:ascii="Times New Roman" w:hAnsi="Times New Roman" w:eastAsia="宋体" w:cs="Times New Roman"/>
                      <w:color w:val="auto"/>
                      <w:sz w:val="21"/>
                      <w:szCs w:val="21"/>
                      <w:lang w:val="en-US" w:eastAsia="zh-CN"/>
                    </w:rPr>
                  </w:pPr>
                  <w:r>
                    <w:rPr>
                      <w:rFonts w:ascii="Times New Roman" w:hAnsi="Times New Roman" w:cs="Times New Roman"/>
                      <w:color w:val="auto"/>
                      <w:sz w:val="21"/>
                      <w:szCs w:val="21"/>
                    </w:rPr>
                    <w:t>废水</w:t>
                  </w:r>
                  <w:r>
                    <w:rPr>
                      <w:rFonts w:hint="eastAsia" w:ascii="Times New Roman" w:hAnsi="Times New Roman" w:cs="Times New Roman"/>
                      <w:color w:val="auto"/>
                      <w:sz w:val="21"/>
                      <w:szCs w:val="21"/>
                      <w:lang w:val="en-US" w:eastAsia="zh-CN"/>
                    </w:rPr>
                    <w:t>治理</w:t>
                  </w:r>
                </w:p>
              </w:tc>
              <w:tc>
                <w:tcPr>
                  <w:tcW w:w="490" w:type="pct"/>
                  <w:gridSpan w:val="2"/>
                  <w:tcBorders>
                    <w:tl2br w:val="nil"/>
                    <w:tr2bl w:val="nil"/>
                  </w:tcBorders>
                  <w:vAlign w:val="center"/>
                </w:tcPr>
                <w:p w14:paraId="7AFD55F0">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生产废水</w:t>
                  </w:r>
                </w:p>
              </w:tc>
              <w:tc>
                <w:tcPr>
                  <w:tcW w:w="1918" w:type="pct"/>
                  <w:tcBorders>
                    <w:tl2br w:val="nil"/>
                    <w:tr2bl w:val="nil"/>
                  </w:tcBorders>
                  <w:vAlign w:val="center"/>
                </w:tcPr>
                <w:p w14:paraId="29EDED27">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生产废水回用于生产</w:t>
                  </w:r>
                </w:p>
              </w:tc>
              <w:tc>
                <w:tcPr>
                  <w:tcW w:w="1383" w:type="pct"/>
                  <w:tcBorders>
                    <w:tl2br w:val="nil"/>
                    <w:tr2bl w:val="nil"/>
                  </w:tcBorders>
                  <w:vAlign w:val="center"/>
                </w:tcPr>
                <w:p w14:paraId="1116F10A">
                  <w:pPr>
                    <w:widowControl w:val="0"/>
                    <w:adjustRightInd w:val="0"/>
                    <w:snapToGrid w:val="0"/>
                    <w:jc w:val="center"/>
                    <w:rPr>
                      <w:rFonts w:ascii="Times New Roman" w:hAnsi="Times New Roman" w:cs="Times New Roman"/>
                      <w:color w:val="auto"/>
                      <w:sz w:val="21"/>
                      <w:szCs w:val="21"/>
                    </w:rPr>
                  </w:pPr>
                  <w:r>
                    <w:rPr>
                      <w:rFonts w:hint="eastAsia"/>
                      <w:color w:val="auto"/>
                      <w:lang w:val="en-US" w:eastAsia="zh-CN"/>
                    </w:rPr>
                    <w:t>依托现有工程。</w:t>
                  </w:r>
                </w:p>
              </w:tc>
              <w:tc>
                <w:tcPr>
                  <w:tcW w:w="606" w:type="pct"/>
                  <w:tcBorders>
                    <w:tl2br w:val="nil"/>
                    <w:tr2bl w:val="nil"/>
                  </w:tcBorders>
                  <w:vAlign w:val="center"/>
                </w:tcPr>
                <w:p w14:paraId="56CC188D">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依托</w:t>
                  </w:r>
                </w:p>
              </w:tc>
            </w:tr>
            <w:tr w14:paraId="671C0E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14E38504">
                  <w:pPr>
                    <w:widowControl w:val="0"/>
                    <w:adjustRightInd w:val="0"/>
                    <w:snapToGrid w:val="0"/>
                    <w:jc w:val="center"/>
                    <w:rPr>
                      <w:rFonts w:ascii="Times New Roman" w:hAnsi="Times New Roman" w:cs="Times New Roman"/>
                      <w:color w:val="auto"/>
                      <w:sz w:val="21"/>
                      <w:szCs w:val="21"/>
                    </w:rPr>
                  </w:pPr>
                </w:p>
              </w:tc>
              <w:tc>
                <w:tcPr>
                  <w:tcW w:w="329" w:type="pct"/>
                  <w:vMerge w:val="continue"/>
                  <w:tcBorders>
                    <w:tl2br w:val="nil"/>
                    <w:tr2bl w:val="nil"/>
                  </w:tcBorders>
                  <w:vAlign w:val="center"/>
                </w:tcPr>
                <w:p w14:paraId="0F0BD627">
                  <w:pPr>
                    <w:widowControl w:val="0"/>
                    <w:adjustRightInd w:val="0"/>
                    <w:snapToGrid w:val="0"/>
                    <w:jc w:val="center"/>
                    <w:rPr>
                      <w:rFonts w:ascii="Times New Roman" w:hAnsi="Times New Roman" w:cs="Times New Roman"/>
                      <w:color w:val="auto"/>
                      <w:sz w:val="21"/>
                      <w:szCs w:val="21"/>
                    </w:rPr>
                  </w:pPr>
                </w:p>
              </w:tc>
              <w:tc>
                <w:tcPr>
                  <w:tcW w:w="490" w:type="pct"/>
                  <w:gridSpan w:val="2"/>
                  <w:tcBorders>
                    <w:tl2br w:val="nil"/>
                    <w:tr2bl w:val="nil"/>
                  </w:tcBorders>
                  <w:vAlign w:val="center"/>
                </w:tcPr>
                <w:p w14:paraId="129613C0">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生活废水</w:t>
                  </w:r>
                </w:p>
              </w:tc>
              <w:tc>
                <w:tcPr>
                  <w:tcW w:w="1918" w:type="pct"/>
                  <w:tcBorders>
                    <w:tl2br w:val="nil"/>
                    <w:tr2bl w:val="nil"/>
                  </w:tcBorders>
                  <w:vAlign w:val="center"/>
                </w:tcPr>
                <w:p w14:paraId="2D2F023E">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依托现有化粪池</w:t>
                  </w:r>
                </w:p>
              </w:tc>
              <w:tc>
                <w:tcPr>
                  <w:tcW w:w="1383" w:type="pct"/>
                  <w:tcBorders>
                    <w:tl2br w:val="nil"/>
                    <w:tr2bl w:val="nil"/>
                  </w:tcBorders>
                  <w:vAlign w:val="center"/>
                </w:tcPr>
                <w:p w14:paraId="51CBABC8">
                  <w:pPr>
                    <w:widowControl w:val="0"/>
                    <w:adjustRightInd w:val="0"/>
                    <w:snapToGrid w:val="0"/>
                    <w:jc w:val="center"/>
                    <w:rPr>
                      <w:rFonts w:ascii="Times New Roman" w:hAnsi="Times New Roman" w:cs="Times New Roman"/>
                      <w:color w:val="auto"/>
                      <w:sz w:val="21"/>
                      <w:szCs w:val="21"/>
                    </w:rPr>
                  </w:pPr>
                  <w:r>
                    <w:rPr>
                      <w:rFonts w:hint="eastAsia"/>
                      <w:color w:val="auto"/>
                      <w:lang w:val="en-US" w:eastAsia="zh-CN"/>
                    </w:rPr>
                    <w:t>依托现有工程。</w:t>
                  </w:r>
                </w:p>
              </w:tc>
              <w:tc>
                <w:tcPr>
                  <w:tcW w:w="606" w:type="pct"/>
                  <w:tcBorders>
                    <w:tl2br w:val="nil"/>
                    <w:tr2bl w:val="nil"/>
                  </w:tcBorders>
                  <w:vAlign w:val="center"/>
                </w:tcPr>
                <w:p w14:paraId="13DD91B5">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依托</w:t>
                  </w:r>
                </w:p>
              </w:tc>
            </w:tr>
            <w:tr w14:paraId="362618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037804F0">
                  <w:pPr>
                    <w:widowControl w:val="0"/>
                    <w:adjustRightInd w:val="0"/>
                    <w:snapToGrid w:val="0"/>
                    <w:jc w:val="center"/>
                    <w:rPr>
                      <w:rFonts w:ascii="Times New Roman" w:hAnsi="Times New Roman" w:cs="Times New Roman"/>
                      <w:color w:val="auto"/>
                      <w:sz w:val="21"/>
                      <w:szCs w:val="21"/>
                    </w:rPr>
                  </w:pPr>
                </w:p>
              </w:tc>
              <w:tc>
                <w:tcPr>
                  <w:tcW w:w="820" w:type="pct"/>
                  <w:gridSpan w:val="3"/>
                  <w:tcBorders>
                    <w:tl2br w:val="nil"/>
                    <w:tr2bl w:val="nil"/>
                  </w:tcBorders>
                  <w:vAlign w:val="center"/>
                </w:tcPr>
                <w:p w14:paraId="7A21CC4E">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噪声治理</w:t>
                  </w:r>
                </w:p>
              </w:tc>
              <w:tc>
                <w:tcPr>
                  <w:tcW w:w="1918" w:type="pct"/>
                  <w:tcBorders>
                    <w:tl2br w:val="nil"/>
                    <w:tr2bl w:val="nil"/>
                  </w:tcBorders>
                  <w:vAlign w:val="center"/>
                </w:tcPr>
                <w:p w14:paraId="0DDA3BB7">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建筑隔声，基础减震</w:t>
                  </w:r>
                </w:p>
              </w:tc>
              <w:tc>
                <w:tcPr>
                  <w:tcW w:w="1383" w:type="pct"/>
                  <w:tcBorders>
                    <w:tl2br w:val="nil"/>
                    <w:tr2bl w:val="nil"/>
                  </w:tcBorders>
                  <w:vAlign w:val="center"/>
                </w:tcPr>
                <w:p w14:paraId="04D8145A">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eastAsia="宋体" w:cs="Times New Roman"/>
                      <w:b w:val="0"/>
                      <w:bCs/>
                      <w:color w:val="auto"/>
                      <w:sz w:val="21"/>
                      <w:szCs w:val="21"/>
                      <w:highlight w:val="none"/>
                      <w:lang w:val="en-US" w:eastAsia="zh-CN"/>
                    </w:rPr>
                    <w:t>选用低噪声设备，加装减震，密闭噪声较高的设备。</w:t>
                  </w:r>
                </w:p>
              </w:tc>
              <w:tc>
                <w:tcPr>
                  <w:tcW w:w="606" w:type="pct"/>
                  <w:tcBorders>
                    <w:tl2br w:val="nil"/>
                    <w:tr2bl w:val="nil"/>
                  </w:tcBorders>
                  <w:vAlign w:val="center"/>
                </w:tcPr>
                <w:p w14:paraId="7BFFB690">
                  <w:pPr>
                    <w:widowControl w:val="0"/>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新建</w:t>
                  </w:r>
                </w:p>
              </w:tc>
            </w:tr>
            <w:tr w14:paraId="03AE8F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8" w:hRule="atLeast"/>
                <w:jc w:val="center"/>
              </w:trPr>
              <w:tc>
                <w:tcPr>
                  <w:tcW w:w="271" w:type="pct"/>
                  <w:vMerge w:val="continue"/>
                  <w:tcBorders>
                    <w:tl2br w:val="nil"/>
                    <w:tr2bl w:val="nil"/>
                  </w:tcBorders>
                  <w:vAlign w:val="center"/>
                </w:tcPr>
                <w:p w14:paraId="3ECE2049">
                  <w:pPr>
                    <w:widowControl w:val="0"/>
                    <w:adjustRightInd w:val="0"/>
                    <w:snapToGrid w:val="0"/>
                    <w:jc w:val="center"/>
                    <w:rPr>
                      <w:rFonts w:ascii="Times New Roman" w:hAnsi="Times New Roman" w:cs="Times New Roman"/>
                      <w:color w:val="auto"/>
                      <w:sz w:val="21"/>
                      <w:szCs w:val="21"/>
                    </w:rPr>
                  </w:pPr>
                </w:p>
              </w:tc>
              <w:tc>
                <w:tcPr>
                  <w:tcW w:w="409" w:type="pct"/>
                  <w:gridSpan w:val="2"/>
                  <w:vMerge w:val="restart"/>
                  <w:tcBorders>
                    <w:tl2br w:val="nil"/>
                    <w:tr2bl w:val="nil"/>
                  </w:tcBorders>
                  <w:vAlign w:val="center"/>
                </w:tcPr>
                <w:p w14:paraId="339587AD">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固废</w:t>
                  </w:r>
                </w:p>
              </w:tc>
              <w:tc>
                <w:tcPr>
                  <w:tcW w:w="411" w:type="pct"/>
                  <w:tcBorders>
                    <w:tl2br w:val="nil"/>
                    <w:tr2bl w:val="nil"/>
                  </w:tcBorders>
                  <w:vAlign w:val="center"/>
                </w:tcPr>
                <w:p w14:paraId="59E3B016">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洗涤废渣</w:t>
                  </w:r>
                </w:p>
              </w:tc>
              <w:tc>
                <w:tcPr>
                  <w:tcW w:w="1918" w:type="pct"/>
                  <w:tcBorders>
                    <w:tl2br w:val="nil"/>
                    <w:tr2bl w:val="nil"/>
                  </w:tcBorders>
                  <w:vAlign w:val="center"/>
                </w:tcPr>
                <w:p w14:paraId="6298F17B">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一期工程废渣依托现有生产车间东南侧现有面积为400m</w:t>
                  </w:r>
                  <w:r>
                    <w:rPr>
                      <w:rFonts w:ascii="Times New Roman" w:hAnsi="Times New Roman" w:cs="Times New Roman"/>
                      <w:color w:val="auto"/>
                      <w:sz w:val="21"/>
                      <w:szCs w:val="21"/>
                      <w:vertAlign w:val="superscript"/>
                    </w:rPr>
                    <w:t>2</w:t>
                  </w:r>
                  <w:r>
                    <w:rPr>
                      <w:rFonts w:ascii="Times New Roman" w:hAnsi="Times New Roman" w:cs="Times New Roman"/>
                      <w:color w:val="auto"/>
                      <w:sz w:val="21"/>
                      <w:szCs w:val="21"/>
                    </w:rPr>
                    <w:t>全封闭水泥硬化固废堆场暂存，定期送至园区渣场处理。二期工程废渣作为废渣利用生产线原料，综合利用。</w:t>
                  </w:r>
                </w:p>
              </w:tc>
              <w:tc>
                <w:tcPr>
                  <w:tcW w:w="1383" w:type="pct"/>
                  <w:tcBorders>
                    <w:tl2br w:val="nil"/>
                    <w:tr2bl w:val="nil"/>
                  </w:tcBorders>
                  <w:vAlign w:val="center"/>
                </w:tcPr>
                <w:p w14:paraId="5916E281">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不涉及</w:t>
                  </w:r>
                </w:p>
              </w:tc>
              <w:tc>
                <w:tcPr>
                  <w:tcW w:w="606" w:type="pct"/>
                  <w:tcBorders>
                    <w:tl2br w:val="nil"/>
                    <w:tr2bl w:val="nil"/>
                  </w:tcBorders>
                  <w:vAlign w:val="center"/>
                </w:tcPr>
                <w:p w14:paraId="26F458A9">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无变化</w:t>
                  </w:r>
                </w:p>
              </w:tc>
            </w:tr>
            <w:tr w14:paraId="0F0973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8" w:hRule="atLeast"/>
                <w:jc w:val="center"/>
              </w:trPr>
              <w:tc>
                <w:tcPr>
                  <w:tcW w:w="271" w:type="pct"/>
                  <w:vMerge w:val="continue"/>
                  <w:tcBorders>
                    <w:tl2br w:val="nil"/>
                    <w:tr2bl w:val="nil"/>
                  </w:tcBorders>
                  <w:vAlign w:val="center"/>
                </w:tcPr>
                <w:p w14:paraId="79E1E2E9">
                  <w:pPr>
                    <w:widowControl w:val="0"/>
                    <w:adjustRightInd w:val="0"/>
                    <w:snapToGrid w:val="0"/>
                    <w:jc w:val="center"/>
                    <w:rPr>
                      <w:color w:val="auto"/>
                    </w:rPr>
                  </w:pPr>
                </w:p>
              </w:tc>
              <w:tc>
                <w:tcPr>
                  <w:tcW w:w="409" w:type="pct"/>
                  <w:gridSpan w:val="2"/>
                  <w:vMerge w:val="continue"/>
                  <w:tcBorders>
                    <w:tl2br w:val="nil"/>
                    <w:tr2bl w:val="nil"/>
                  </w:tcBorders>
                  <w:vAlign w:val="center"/>
                </w:tcPr>
                <w:p w14:paraId="2B0DA5EE">
                  <w:pPr>
                    <w:widowControl w:val="0"/>
                    <w:adjustRightInd w:val="0"/>
                    <w:snapToGrid w:val="0"/>
                    <w:jc w:val="center"/>
                    <w:rPr>
                      <w:color w:val="auto"/>
                    </w:rPr>
                  </w:pPr>
                </w:p>
              </w:tc>
              <w:tc>
                <w:tcPr>
                  <w:tcW w:w="411" w:type="pct"/>
                  <w:tcBorders>
                    <w:tl2br w:val="nil"/>
                    <w:tr2bl w:val="nil"/>
                  </w:tcBorders>
                  <w:vAlign w:val="center"/>
                </w:tcPr>
                <w:p w14:paraId="792F1C71">
                  <w:pPr>
                    <w:widowControl w:val="0"/>
                    <w:adjustRightInd w:val="0"/>
                    <w:snapToGrid w:val="0"/>
                    <w:jc w:val="center"/>
                    <w:rPr>
                      <w:rFonts w:ascii="Times New Roman" w:hAnsi="Times New Roman" w:cs="Times New Roman"/>
                      <w:color w:val="auto"/>
                      <w:sz w:val="21"/>
                      <w:szCs w:val="21"/>
                    </w:rPr>
                  </w:pPr>
                  <w:r>
                    <w:rPr>
                      <w:rFonts w:hint="eastAsia" w:cs="Times New Roman"/>
                      <w:b w:val="0"/>
                      <w:bCs/>
                      <w:color w:val="auto"/>
                      <w:sz w:val="21"/>
                      <w:szCs w:val="21"/>
                      <w:highlight w:val="none"/>
                      <w:lang w:val="en-US" w:eastAsia="zh-CN"/>
                    </w:rPr>
                    <w:t>热风炉灰渣</w:t>
                  </w:r>
                </w:p>
              </w:tc>
              <w:tc>
                <w:tcPr>
                  <w:tcW w:w="1918" w:type="pct"/>
                  <w:tcBorders>
                    <w:tl2br w:val="nil"/>
                    <w:tr2bl w:val="nil"/>
                  </w:tcBorders>
                  <w:vAlign w:val="center"/>
                </w:tcPr>
                <w:p w14:paraId="430553BF">
                  <w:pPr>
                    <w:widowControl w:val="0"/>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383" w:type="pct"/>
                  <w:tcBorders>
                    <w:tl2br w:val="nil"/>
                    <w:tr2bl w:val="nil"/>
                  </w:tcBorders>
                  <w:vAlign w:val="center"/>
                </w:tcPr>
                <w:p w14:paraId="72EC6AB0">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暂存于灰渣储棚内，定期送至园区渣场处理。</w:t>
                  </w:r>
                </w:p>
              </w:tc>
              <w:tc>
                <w:tcPr>
                  <w:tcW w:w="606" w:type="pct"/>
                  <w:tcBorders>
                    <w:tl2br w:val="nil"/>
                    <w:tr2bl w:val="nil"/>
                  </w:tcBorders>
                  <w:vAlign w:val="center"/>
                </w:tcPr>
                <w:p w14:paraId="28A59C37">
                  <w:pPr>
                    <w:widowControl w:val="0"/>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14:paraId="4AAEEA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 w:type="pct"/>
                  <w:vMerge w:val="continue"/>
                  <w:tcBorders>
                    <w:tl2br w:val="nil"/>
                    <w:tr2bl w:val="nil"/>
                  </w:tcBorders>
                  <w:vAlign w:val="center"/>
                </w:tcPr>
                <w:p w14:paraId="0D82FA58">
                  <w:pPr>
                    <w:widowControl w:val="0"/>
                    <w:adjustRightInd w:val="0"/>
                    <w:snapToGrid w:val="0"/>
                    <w:jc w:val="center"/>
                    <w:rPr>
                      <w:rFonts w:ascii="Times New Roman" w:hAnsi="Times New Roman" w:cs="Times New Roman"/>
                      <w:color w:val="auto"/>
                      <w:sz w:val="21"/>
                      <w:szCs w:val="21"/>
                    </w:rPr>
                  </w:pPr>
                </w:p>
              </w:tc>
              <w:tc>
                <w:tcPr>
                  <w:tcW w:w="820" w:type="pct"/>
                  <w:gridSpan w:val="3"/>
                  <w:tcBorders>
                    <w:tl2br w:val="nil"/>
                    <w:tr2bl w:val="nil"/>
                  </w:tcBorders>
                  <w:vAlign w:val="center"/>
                </w:tcPr>
                <w:p w14:paraId="23BA7016">
                  <w:pPr>
                    <w:widowControl w:val="0"/>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防渗工程</w:t>
                  </w:r>
                </w:p>
              </w:tc>
              <w:tc>
                <w:tcPr>
                  <w:tcW w:w="1918" w:type="pct"/>
                  <w:tcBorders>
                    <w:tl2br w:val="nil"/>
                    <w:tr2bl w:val="nil"/>
                  </w:tcBorders>
                  <w:vAlign w:val="center"/>
                </w:tcPr>
                <w:p w14:paraId="45972436">
                  <w:pPr>
                    <w:spacing w:line="280" w:lineRule="exact"/>
                    <w:jc w:val="center"/>
                    <w:rPr>
                      <w:rFonts w:ascii="Times New Roman" w:hAnsi="Times New Roman" w:cs="Times New Roman"/>
                      <w:color w:val="auto"/>
                      <w:kern w:val="2"/>
                      <w:sz w:val="21"/>
                      <w:szCs w:val="21"/>
                      <w:lang w:bidi="ar-SA"/>
                    </w:rPr>
                  </w:pPr>
                  <w:r>
                    <w:rPr>
                      <w:rFonts w:ascii="Times New Roman" w:hAnsi="Times New Roman" w:cs="Times New Roman"/>
                      <w:color w:val="auto"/>
                      <w:sz w:val="21"/>
                      <w:szCs w:val="21"/>
                    </w:rPr>
                    <w:t>液体聚合氯化铝储池</w:t>
                  </w:r>
                  <w:r>
                    <w:rPr>
                      <w:rFonts w:ascii="Times New Roman" w:hAnsi="Times New Roman" w:cs="Times New Roman"/>
                      <w:color w:val="auto"/>
                      <w:kern w:val="2"/>
                      <w:sz w:val="21"/>
                      <w:szCs w:val="21"/>
                      <w:lang w:bidi="ar-SA"/>
                    </w:rPr>
                    <w:t>、储罐区、回用储水池为重点防渗区，原料罐区、仓库、固废堆场为一般防渗区，办公楼及道路为简单防渗区。重点防渗区防渗层的防渗性能不应低于6.0m厚渗透系数为1.0×10</w:t>
                  </w:r>
                  <w:r>
                    <w:rPr>
                      <w:rFonts w:ascii="Times New Roman" w:hAnsi="Times New Roman" w:cs="Times New Roman"/>
                      <w:color w:val="auto"/>
                      <w:kern w:val="2"/>
                      <w:sz w:val="21"/>
                      <w:szCs w:val="21"/>
                      <w:vertAlign w:val="superscript"/>
                      <w:lang w:bidi="ar-SA"/>
                    </w:rPr>
                    <w:t>-7</w:t>
                  </w:r>
                  <w:r>
                    <w:rPr>
                      <w:rFonts w:ascii="Times New Roman" w:hAnsi="Times New Roman" w:cs="Times New Roman"/>
                      <w:color w:val="auto"/>
                      <w:kern w:val="2"/>
                      <w:sz w:val="21"/>
                      <w:szCs w:val="21"/>
                      <w:lang w:bidi="ar-SA"/>
                    </w:rPr>
                    <w:t>cm/s的粘土层的防渗性能，一般防渗区防渗层的防渗性能不应低于1.5m厚渗透系数为1.0×10</w:t>
                  </w:r>
                  <w:r>
                    <w:rPr>
                      <w:rFonts w:ascii="Times New Roman" w:hAnsi="Times New Roman" w:cs="Times New Roman"/>
                      <w:color w:val="auto"/>
                      <w:kern w:val="2"/>
                      <w:sz w:val="21"/>
                      <w:szCs w:val="21"/>
                      <w:vertAlign w:val="superscript"/>
                      <w:lang w:bidi="ar-SA"/>
                    </w:rPr>
                    <w:t>-7</w:t>
                  </w:r>
                  <w:r>
                    <w:rPr>
                      <w:rFonts w:ascii="Times New Roman" w:hAnsi="Times New Roman" w:cs="Times New Roman"/>
                      <w:color w:val="auto"/>
                      <w:kern w:val="2"/>
                      <w:sz w:val="21"/>
                      <w:szCs w:val="21"/>
                      <w:lang w:bidi="ar-SA"/>
                    </w:rPr>
                    <w:t>cm/s的粘土层的防渗性能，简单防渗区要求进行地面硬化。</w:t>
                  </w:r>
                </w:p>
              </w:tc>
              <w:tc>
                <w:tcPr>
                  <w:tcW w:w="1383" w:type="pct"/>
                  <w:tcBorders>
                    <w:tl2br w:val="nil"/>
                    <w:tr2bl w:val="nil"/>
                  </w:tcBorders>
                  <w:vAlign w:val="center"/>
                </w:tcPr>
                <w:p w14:paraId="4A14AEE8">
                  <w:pPr>
                    <w:widowControl w:val="0"/>
                    <w:adjustRightInd w:val="0"/>
                    <w:snapToGrid w:val="0"/>
                    <w:jc w:val="center"/>
                    <w:rPr>
                      <w:rFonts w:hint="eastAsia" w:ascii="Times New Roman" w:hAnsi="Times New Roman" w:cs="Times New Roman"/>
                      <w:color w:val="auto"/>
                      <w:kern w:val="2"/>
                      <w:sz w:val="21"/>
                      <w:szCs w:val="21"/>
                      <w:lang w:eastAsia="zh-CN" w:bidi="ar-SA"/>
                    </w:rPr>
                  </w:pPr>
                  <w:r>
                    <w:rPr>
                      <w:rFonts w:hint="eastAsia" w:ascii="Times New Roman" w:hAnsi="Times New Roman" w:cs="Times New Roman"/>
                      <w:color w:val="auto"/>
                      <w:sz w:val="21"/>
                      <w:szCs w:val="21"/>
                    </w:rPr>
                    <w:t>燃煤储棚</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rPr>
                    <w:t>灰渣储棚</w:t>
                  </w:r>
                  <w:r>
                    <w:rPr>
                      <w:rFonts w:ascii="Times New Roman" w:hAnsi="Times New Roman" w:cs="Times New Roman"/>
                      <w:color w:val="auto"/>
                      <w:kern w:val="2"/>
                      <w:sz w:val="21"/>
                      <w:szCs w:val="21"/>
                      <w:lang w:bidi="ar-SA"/>
                    </w:rPr>
                    <w:t>为</w:t>
                  </w:r>
                  <w:r>
                    <w:rPr>
                      <w:rFonts w:hint="eastAsia" w:cs="Times New Roman"/>
                      <w:color w:val="auto"/>
                      <w:kern w:val="2"/>
                      <w:sz w:val="21"/>
                      <w:szCs w:val="21"/>
                      <w:lang w:val="en-US" w:eastAsia="zh-CN" w:bidi="ar-SA"/>
                    </w:rPr>
                    <w:t>一般</w:t>
                  </w:r>
                  <w:r>
                    <w:rPr>
                      <w:rFonts w:ascii="Times New Roman" w:hAnsi="Times New Roman" w:cs="Times New Roman"/>
                      <w:color w:val="auto"/>
                      <w:kern w:val="2"/>
                      <w:sz w:val="21"/>
                      <w:szCs w:val="21"/>
                      <w:lang w:bidi="ar-SA"/>
                    </w:rPr>
                    <w:t>防渗区</w:t>
                  </w:r>
                  <w:r>
                    <w:rPr>
                      <w:rFonts w:hint="eastAsia" w:ascii="Times New Roman" w:hAnsi="Times New Roman" w:cs="Times New Roman"/>
                      <w:color w:val="auto"/>
                      <w:kern w:val="2"/>
                      <w:sz w:val="21"/>
                      <w:szCs w:val="21"/>
                      <w:lang w:eastAsia="zh-CN" w:bidi="ar-SA"/>
                    </w:rPr>
                    <w:t>，地面采取三合土铺底，夯实后，上层</w:t>
                  </w:r>
                </w:p>
                <w:p w14:paraId="51259A3E">
                  <w:pPr>
                    <w:widowControl w:val="0"/>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kern w:val="2"/>
                      <w:sz w:val="21"/>
                      <w:szCs w:val="21"/>
                      <w:lang w:eastAsia="zh-CN" w:bidi="ar-SA"/>
                    </w:rPr>
                    <w:t>铺10～15cm的抗渗水泥硬化</w:t>
                  </w:r>
                  <w:r>
                    <w:rPr>
                      <w:rFonts w:hint="eastAsia" w:cs="Times New Roman"/>
                      <w:color w:val="auto"/>
                      <w:kern w:val="2"/>
                      <w:sz w:val="21"/>
                      <w:szCs w:val="21"/>
                      <w:lang w:eastAsia="zh-CN" w:bidi="ar-SA"/>
                    </w:rPr>
                    <w:t>，</w:t>
                  </w:r>
                  <w:r>
                    <w:rPr>
                      <w:rFonts w:hint="eastAsia" w:ascii="Times New Roman" w:hAnsi="Times New Roman" w:cs="Times New Roman"/>
                      <w:color w:val="auto"/>
                      <w:kern w:val="2"/>
                      <w:sz w:val="21"/>
                      <w:szCs w:val="21"/>
                      <w:lang w:val="en-US" w:eastAsia="zh-CN" w:bidi="ar-SA"/>
                    </w:rPr>
                    <w:t>等效黏土防水层Mb≥6.0m，K≤1.0</w:t>
                  </w:r>
                  <w:r>
                    <w:rPr>
                      <w:rFonts w:ascii="Times New Roman" w:hAnsi="Times New Roman" w:cs="Times New Roman"/>
                      <w:color w:val="auto"/>
                      <w:kern w:val="2"/>
                      <w:sz w:val="21"/>
                      <w:szCs w:val="21"/>
                      <w:lang w:bidi="ar-SA"/>
                    </w:rPr>
                    <w:t>×</w:t>
                  </w:r>
                  <w:r>
                    <w:rPr>
                      <w:rFonts w:hint="eastAsia" w:ascii="Times New Roman" w:hAnsi="Times New Roman" w:cs="Times New Roman"/>
                      <w:color w:val="auto"/>
                      <w:kern w:val="2"/>
                      <w:sz w:val="21"/>
                      <w:szCs w:val="21"/>
                      <w:lang w:val="en-US" w:eastAsia="zh-CN" w:bidi="ar-SA"/>
                    </w:rPr>
                    <w:t>10</w:t>
                  </w:r>
                  <w:r>
                    <w:rPr>
                      <w:rFonts w:hint="eastAsia" w:ascii="Times New Roman" w:hAnsi="Times New Roman" w:cs="Times New Roman"/>
                      <w:color w:val="auto"/>
                      <w:kern w:val="2"/>
                      <w:sz w:val="21"/>
                      <w:szCs w:val="21"/>
                      <w:vertAlign w:val="superscript"/>
                      <w:lang w:val="en-US" w:eastAsia="zh-CN" w:bidi="ar-SA"/>
                    </w:rPr>
                    <w:t>-7</w:t>
                  </w:r>
                  <w:r>
                    <w:rPr>
                      <w:rFonts w:hint="eastAsia" w:ascii="Times New Roman" w:hAnsi="Times New Roman" w:cs="Times New Roman"/>
                      <w:color w:val="auto"/>
                      <w:kern w:val="2"/>
                      <w:sz w:val="21"/>
                      <w:szCs w:val="21"/>
                      <w:lang w:val="en-US" w:eastAsia="zh-CN" w:bidi="ar-SA"/>
                    </w:rPr>
                    <w:t>cm/s，其他不变。</w:t>
                  </w:r>
                </w:p>
              </w:tc>
              <w:tc>
                <w:tcPr>
                  <w:tcW w:w="606" w:type="pct"/>
                  <w:tcBorders>
                    <w:tl2br w:val="nil"/>
                    <w:tr2bl w:val="nil"/>
                  </w:tcBorders>
                  <w:vAlign w:val="center"/>
                </w:tcPr>
                <w:p w14:paraId="3833BFF7">
                  <w:pPr>
                    <w:widowControl w:val="0"/>
                    <w:adjustRightInd w:val="0"/>
                    <w:snapToGrid w:val="0"/>
                    <w:jc w:val="center"/>
                    <w:rPr>
                      <w:rFonts w:hint="default" w:ascii="Times New Roman" w:hAnsi="Times New Roman" w:cs="Times New Roman"/>
                      <w:color w:val="auto"/>
                      <w:sz w:val="21"/>
                      <w:szCs w:val="21"/>
                      <w:lang w:val="en-US"/>
                    </w:rPr>
                  </w:pPr>
                  <w:r>
                    <w:rPr>
                      <w:rFonts w:hint="eastAsia" w:ascii="Times New Roman" w:hAnsi="Times New Roman" w:cs="Times New Roman"/>
                      <w:color w:val="auto"/>
                      <w:sz w:val="21"/>
                      <w:szCs w:val="21"/>
                    </w:rPr>
                    <w:t>燃煤储棚</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rPr>
                    <w:t>灰渣储棚</w:t>
                  </w:r>
                  <w:r>
                    <w:rPr>
                      <w:rFonts w:hint="eastAsia" w:ascii="Times New Roman" w:hAnsi="Times New Roman" w:cs="Times New Roman"/>
                      <w:color w:val="auto"/>
                      <w:sz w:val="21"/>
                      <w:szCs w:val="21"/>
                      <w:lang w:val="en-US" w:eastAsia="zh-CN"/>
                    </w:rPr>
                    <w:t>新建防渗工程+其他依托现有防渗工程</w:t>
                  </w:r>
                </w:p>
              </w:tc>
            </w:tr>
          </w:tbl>
          <w:p w14:paraId="142866B6">
            <w:pPr>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cs="Times New Roman"/>
                <w:b w:val="0"/>
                <w:bCs/>
                <w:color w:val="auto"/>
                <w:sz w:val="24"/>
                <w:szCs w:val="24"/>
                <w:highlight w:val="none"/>
                <w:lang w:val="en-US" w:eastAsia="zh-CN"/>
              </w:rPr>
            </w:pPr>
            <w:r>
              <w:rPr>
                <w:rFonts w:hint="eastAsia" w:cs="Times New Roman"/>
                <w:b w:val="0"/>
                <w:bCs/>
                <w:color w:val="auto"/>
                <w:sz w:val="24"/>
                <w:szCs w:val="24"/>
                <w:highlight w:val="none"/>
                <w:lang w:val="en-US" w:eastAsia="zh-CN"/>
              </w:rPr>
              <w:t>（7）</w:t>
            </w:r>
            <w:r>
              <w:rPr>
                <w:rFonts w:hint="default" w:cs="Times New Roman"/>
                <w:b w:val="0"/>
                <w:bCs/>
                <w:color w:val="auto"/>
                <w:sz w:val="24"/>
                <w:szCs w:val="24"/>
                <w:highlight w:val="none"/>
                <w:lang w:val="en-US" w:eastAsia="zh-CN"/>
              </w:rPr>
              <w:t>主要设备</w:t>
            </w:r>
          </w:p>
          <w:p w14:paraId="4D2BE02B">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本项目主要设备见表2-</w:t>
            </w:r>
            <w:r>
              <w:rPr>
                <w:rFonts w:hint="eastAsia" w:cs="Times New Roman"/>
                <w:color w:val="auto"/>
                <w:kern w:val="2"/>
                <w:sz w:val="24"/>
                <w:szCs w:val="24"/>
                <w:lang w:val="en-US" w:eastAsia="zh-CN" w:bidi="ar-SA"/>
              </w:rPr>
              <w:t>4</w:t>
            </w:r>
            <w:r>
              <w:rPr>
                <w:rFonts w:hint="default" w:ascii="Times New Roman" w:hAnsi="Times New Roman" w:eastAsia="宋体" w:cs="Times New Roman"/>
                <w:color w:val="auto"/>
                <w:kern w:val="2"/>
                <w:sz w:val="24"/>
                <w:szCs w:val="24"/>
                <w:lang w:val="en-US" w:eastAsia="zh-CN" w:bidi="ar-SA"/>
              </w:rPr>
              <w:t>。</w:t>
            </w:r>
          </w:p>
          <w:p w14:paraId="67C88B0F">
            <w:pPr>
              <w:pStyle w:val="16"/>
              <w:keepNext w:val="0"/>
              <w:keepLines/>
              <w:pageBreakBefore w:val="0"/>
              <w:widowControl w:val="0"/>
              <w:kinsoku/>
              <w:wordWrap/>
              <w:overflowPunct/>
              <w:topLinePunct w:val="0"/>
              <w:autoSpaceDE/>
              <w:autoSpaceDN/>
              <w:bidi w:val="0"/>
              <w:adjustRightInd/>
              <w:snapToGrid/>
              <w:spacing w:line="480" w:lineRule="exact"/>
              <w:textAlignment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表2-</w:t>
            </w:r>
            <w:r>
              <w:rPr>
                <w:rFonts w:hint="eastAsia" w:eastAsia="宋体" w:cs="Times New Roman"/>
                <w:color w:val="auto"/>
                <w:sz w:val="24"/>
                <w:szCs w:val="24"/>
                <w:lang w:val="en-US" w:eastAsia="zh-CN"/>
              </w:rPr>
              <w:t>4</w:t>
            </w:r>
            <w:r>
              <w:rPr>
                <w:rFonts w:hint="eastAsia" w:ascii="Times New Roman" w:hAnsi="Times New Roman" w:eastAsia="宋体" w:cs="Times New Roman"/>
                <w:color w:val="auto"/>
                <w:sz w:val="24"/>
                <w:szCs w:val="24"/>
                <w:lang w:val="en-US" w:eastAsia="zh-CN"/>
              </w:rPr>
              <w:t xml:space="preserve">  本项目设备一览表</w:t>
            </w:r>
          </w:p>
          <w:tbl>
            <w:tblPr>
              <w:tblStyle w:val="10"/>
              <w:tblW w:w="7862"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42"/>
              <w:gridCol w:w="1701"/>
              <w:gridCol w:w="3661"/>
              <w:gridCol w:w="542"/>
              <w:gridCol w:w="542"/>
              <w:gridCol w:w="874"/>
            </w:tblGrid>
            <w:tr w14:paraId="6E0843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7E0AF0D3">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lang w:val="en-US" w:eastAsia="zh-CN"/>
                    </w:rPr>
                  </w:pPr>
                  <w:r>
                    <w:rPr>
                      <w:rFonts w:hint="eastAsia" w:cs="Times New Roman"/>
                      <w:b/>
                      <w:bCs w:val="0"/>
                      <w:color w:val="auto"/>
                      <w:sz w:val="21"/>
                      <w:szCs w:val="21"/>
                      <w:highlight w:val="none"/>
                      <w:lang w:val="en-US" w:eastAsia="zh-CN"/>
                    </w:rPr>
                    <w:t>序号</w:t>
                  </w:r>
                </w:p>
              </w:tc>
              <w:tc>
                <w:tcPr>
                  <w:tcW w:w="1082" w:type="pct"/>
                  <w:tcBorders>
                    <w:tl2br w:val="nil"/>
                    <w:tr2bl w:val="nil"/>
                  </w:tcBorders>
                  <w:noWrap/>
                  <w:vAlign w:val="center"/>
                </w:tcPr>
                <w:p w14:paraId="0F802159">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lang w:val="en-US" w:eastAsia="zh-CN"/>
                    </w:rPr>
                  </w:pPr>
                  <w:r>
                    <w:rPr>
                      <w:rFonts w:hint="eastAsia" w:ascii="Times New Roman" w:hAnsi="Times New Roman" w:eastAsia="宋体" w:cs="Times New Roman"/>
                      <w:b/>
                      <w:bCs w:val="0"/>
                      <w:color w:val="auto"/>
                      <w:sz w:val="21"/>
                      <w:szCs w:val="21"/>
                      <w:highlight w:val="none"/>
                      <w:lang w:val="en-US" w:eastAsia="zh-CN"/>
                    </w:rPr>
                    <w:t>名称</w:t>
                  </w:r>
                </w:p>
              </w:tc>
              <w:tc>
                <w:tcPr>
                  <w:tcW w:w="2328" w:type="pct"/>
                  <w:tcBorders>
                    <w:tl2br w:val="nil"/>
                    <w:tr2bl w:val="nil"/>
                  </w:tcBorders>
                  <w:noWrap/>
                  <w:vAlign w:val="center"/>
                </w:tcPr>
                <w:p w14:paraId="099B4DBF">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bCs w:val="0"/>
                      <w:color w:val="auto"/>
                      <w:sz w:val="21"/>
                      <w:szCs w:val="21"/>
                      <w:highlight w:val="none"/>
                      <w:lang w:val="en-US" w:eastAsia="zh-CN"/>
                    </w:rPr>
                  </w:pPr>
                  <w:r>
                    <w:rPr>
                      <w:rFonts w:hint="eastAsia" w:cs="Times New Roman"/>
                      <w:b/>
                      <w:bCs w:val="0"/>
                      <w:color w:val="auto"/>
                      <w:sz w:val="21"/>
                      <w:szCs w:val="21"/>
                      <w:highlight w:val="none"/>
                      <w:lang w:val="en-US" w:eastAsia="zh-CN"/>
                    </w:rPr>
                    <w:t>规格型号</w:t>
                  </w:r>
                </w:p>
              </w:tc>
              <w:tc>
                <w:tcPr>
                  <w:tcW w:w="345" w:type="pct"/>
                  <w:tcBorders>
                    <w:tl2br w:val="nil"/>
                    <w:tr2bl w:val="nil"/>
                  </w:tcBorders>
                  <w:noWrap/>
                  <w:vAlign w:val="center"/>
                </w:tcPr>
                <w:p w14:paraId="12844DC2">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bCs w:val="0"/>
                      <w:color w:val="auto"/>
                      <w:sz w:val="21"/>
                      <w:szCs w:val="21"/>
                      <w:highlight w:val="none"/>
                      <w:lang w:val="en-US" w:eastAsia="zh-CN"/>
                    </w:rPr>
                  </w:pPr>
                  <w:r>
                    <w:rPr>
                      <w:rFonts w:hint="eastAsia" w:ascii="Times New Roman" w:hAnsi="Times New Roman" w:eastAsia="宋体" w:cs="Times New Roman"/>
                      <w:b/>
                      <w:bCs w:val="0"/>
                      <w:color w:val="auto"/>
                      <w:sz w:val="21"/>
                      <w:szCs w:val="21"/>
                      <w:highlight w:val="none"/>
                      <w:lang w:val="en-US" w:eastAsia="zh-CN"/>
                    </w:rPr>
                    <w:t>数量</w:t>
                  </w:r>
                </w:p>
              </w:tc>
              <w:tc>
                <w:tcPr>
                  <w:tcW w:w="345" w:type="pct"/>
                  <w:tcBorders>
                    <w:tl2br w:val="nil"/>
                    <w:tr2bl w:val="nil"/>
                  </w:tcBorders>
                  <w:noWrap/>
                  <w:vAlign w:val="center"/>
                </w:tcPr>
                <w:p w14:paraId="594DF85F">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bCs w:val="0"/>
                      <w:color w:val="auto"/>
                      <w:sz w:val="21"/>
                      <w:szCs w:val="21"/>
                      <w:highlight w:val="none"/>
                      <w:lang w:val="en-US" w:eastAsia="zh-CN"/>
                    </w:rPr>
                  </w:pPr>
                  <w:r>
                    <w:rPr>
                      <w:rFonts w:hint="eastAsia" w:ascii="Times New Roman" w:hAnsi="Times New Roman" w:eastAsia="宋体" w:cs="Times New Roman"/>
                      <w:b/>
                      <w:bCs w:val="0"/>
                      <w:color w:val="auto"/>
                      <w:sz w:val="21"/>
                      <w:szCs w:val="21"/>
                      <w:highlight w:val="none"/>
                      <w:lang w:val="en-US" w:eastAsia="zh-CN"/>
                    </w:rPr>
                    <w:t>单位</w:t>
                  </w:r>
                </w:p>
              </w:tc>
              <w:tc>
                <w:tcPr>
                  <w:tcW w:w="552" w:type="pct"/>
                  <w:tcBorders>
                    <w:tl2br w:val="nil"/>
                    <w:tr2bl w:val="nil"/>
                  </w:tcBorders>
                  <w:noWrap/>
                  <w:vAlign w:val="center"/>
                </w:tcPr>
                <w:p w14:paraId="743C8CD5">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lang w:val="en-US" w:eastAsia="zh-CN"/>
                    </w:rPr>
                  </w:pPr>
                  <w:r>
                    <w:rPr>
                      <w:rFonts w:hint="eastAsia" w:cs="Times New Roman"/>
                      <w:b/>
                      <w:bCs w:val="0"/>
                      <w:color w:val="auto"/>
                      <w:sz w:val="21"/>
                      <w:szCs w:val="21"/>
                      <w:highlight w:val="none"/>
                      <w:lang w:val="en-US" w:eastAsia="zh-CN"/>
                    </w:rPr>
                    <w:t>备注</w:t>
                  </w:r>
                </w:p>
              </w:tc>
            </w:tr>
            <w:tr w14:paraId="173833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9" w:hRule="atLeast"/>
                <w:jc w:val="center"/>
              </w:trPr>
              <w:tc>
                <w:tcPr>
                  <w:tcW w:w="5000" w:type="pct"/>
                  <w:gridSpan w:val="6"/>
                  <w:tcBorders>
                    <w:tl2br w:val="nil"/>
                    <w:tr2bl w:val="nil"/>
                  </w:tcBorders>
                  <w:noWrap/>
                  <w:vAlign w:val="center"/>
                </w:tcPr>
                <w:p w14:paraId="54936ACF">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MBZ500万大卡高洁净直接式</w:t>
                  </w:r>
                </w:p>
              </w:tc>
            </w:tr>
            <w:tr w14:paraId="1812BD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47683B3E">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default" w:ascii="Times New Roman" w:hAnsi="Times New Roman" w:eastAsia="宋体" w:cs="Times New Roman"/>
                      <w:b w:val="0"/>
                      <w:bCs/>
                      <w:color w:val="auto"/>
                      <w:sz w:val="21"/>
                      <w:szCs w:val="21"/>
                      <w:highlight w:val="none"/>
                      <w:lang w:val="en-US" w:eastAsia="zh-CN"/>
                    </w:rPr>
                  </w:pPr>
                </w:p>
              </w:tc>
              <w:tc>
                <w:tcPr>
                  <w:tcW w:w="1082" w:type="pct"/>
                  <w:tcBorders>
                    <w:tl2br w:val="nil"/>
                    <w:tr2bl w:val="nil"/>
                  </w:tcBorders>
                  <w:noWrap/>
                  <w:vAlign w:val="center"/>
                </w:tcPr>
                <w:p w14:paraId="3F3BC870">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上煤机</w:t>
                  </w:r>
                </w:p>
              </w:tc>
              <w:tc>
                <w:tcPr>
                  <w:tcW w:w="2328" w:type="pct"/>
                  <w:tcBorders>
                    <w:tl2br w:val="nil"/>
                    <w:tr2bl w:val="nil"/>
                  </w:tcBorders>
                  <w:noWrap/>
                  <w:vAlign w:val="center"/>
                </w:tcPr>
                <w:p w14:paraId="097AA106">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MBT-250提升式，250Kg/批</w:t>
                  </w:r>
                </w:p>
              </w:tc>
              <w:tc>
                <w:tcPr>
                  <w:tcW w:w="345" w:type="pct"/>
                  <w:tcBorders>
                    <w:tl2br w:val="nil"/>
                    <w:tr2bl w:val="nil"/>
                  </w:tcBorders>
                  <w:noWrap/>
                  <w:vAlign w:val="center"/>
                </w:tcPr>
                <w:p w14:paraId="5E59D149">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w:t>
                  </w:r>
                </w:p>
              </w:tc>
              <w:tc>
                <w:tcPr>
                  <w:tcW w:w="345" w:type="pct"/>
                  <w:tcBorders>
                    <w:tl2br w:val="nil"/>
                    <w:tr2bl w:val="nil"/>
                  </w:tcBorders>
                  <w:noWrap/>
                  <w:vAlign w:val="center"/>
                </w:tcPr>
                <w:p w14:paraId="2DC8BFB4">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台</w:t>
                  </w:r>
                </w:p>
              </w:tc>
              <w:tc>
                <w:tcPr>
                  <w:tcW w:w="552" w:type="pct"/>
                  <w:vMerge w:val="restart"/>
                  <w:tcBorders>
                    <w:tl2br w:val="nil"/>
                    <w:tr2bl w:val="nil"/>
                  </w:tcBorders>
                  <w:noWrap/>
                  <w:vAlign w:val="center"/>
                </w:tcPr>
                <w:p w14:paraId="164C76DB">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新建</w:t>
                  </w:r>
                </w:p>
              </w:tc>
            </w:tr>
            <w:tr w14:paraId="794997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26578A9A">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default" w:cs="Times New Roman"/>
                      <w:b w:val="0"/>
                      <w:bCs/>
                      <w:color w:val="auto"/>
                      <w:sz w:val="21"/>
                      <w:szCs w:val="21"/>
                      <w:highlight w:val="none"/>
                      <w:lang w:val="en-US" w:eastAsia="zh-CN"/>
                    </w:rPr>
                  </w:pPr>
                </w:p>
              </w:tc>
              <w:tc>
                <w:tcPr>
                  <w:tcW w:w="1082" w:type="pct"/>
                  <w:tcBorders>
                    <w:tl2br w:val="nil"/>
                    <w:tr2bl w:val="nil"/>
                  </w:tcBorders>
                  <w:noWrap/>
                  <w:vAlign w:val="center"/>
                </w:tcPr>
                <w:p w14:paraId="4D2A3452">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燃烧鼓风机</w:t>
                  </w:r>
                </w:p>
              </w:tc>
              <w:tc>
                <w:tcPr>
                  <w:tcW w:w="2328" w:type="pct"/>
                  <w:tcBorders>
                    <w:tl2br w:val="nil"/>
                    <w:tr2bl w:val="nil"/>
                  </w:tcBorders>
                  <w:noWrap/>
                  <w:vAlign w:val="center"/>
                </w:tcPr>
                <w:p w14:paraId="7E2EFA84">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4-72-6C,主材质碳钢</w:t>
                  </w:r>
                </w:p>
              </w:tc>
              <w:tc>
                <w:tcPr>
                  <w:tcW w:w="345" w:type="pct"/>
                  <w:tcBorders>
                    <w:tl2br w:val="nil"/>
                    <w:tr2bl w:val="nil"/>
                  </w:tcBorders>
                  <w:noWrap/>
                  <w:vAlign w:val="center"/>
                </w:tcPr>
                <w:p w14:paraId="3969ADC4">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w:t>
                  </w:r>
                </w:p>
              </w:tc>
              <w:tc>
                <w:tcPr>
                  <w:tcW w:w="345" w:type="pct"/>
                  <w:tcBorders>
                    <w:tl2br w:val="nil"/>
                    <w:tr2bl w:val="nil"/>
                  </w:tcBorders>
                  <w:noWrap/>
                  <w:vAlign w:val="center"/>
                </w:tcPr>
                <w:p w14:paraId="21B385A1">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台</w:t>
                  </w:r>
                </w:p>
              </w:tc>
              <w:tc>
                <w:tcPr>
                  <w:tcW w:w="552" w:type="pct"/>
                  <w:vMerge w:val="continue"/>
                  <w:tcBorders>
                    <w:tl2br w:val="nil"/>
                    <w:tr2bl w:val="nil"/>
                  </w:tcBorders>
                  <w:noWrap/>
                  <w:vAlign w:val="center"/>
                </w:tcPr>
                <w:p w14:paraId="490D725D">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highlight w:val="none"/>
                      <w:lang w:val="en-US" w:eastAsia="zh-CN"/>
                    </w:rPr>
                  </w:pPr>
                </w:p>
              </w:tc>
            </w:tr>
            <w:tr w14:paraId="493187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9" w:hRule="atLeast"/>
                <w:jc w:val="center"/>
              </w:trPr>
              <w:tc>
                <w:tcPr>
                  <w:tcW w:w="345" w:type="pct"/>
                  <w:tcBorders>
                    <w:tl2br w:val="nil"/>
                    <w:tr2bl w:val="nil"/>
                  </w:tcBorders>
                  <w:noWrap/>
                  <w:vAlign w:val="center"/>
                </w:tcPr>
                <w:p w14:paraId="7E96ACBE">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24B96D28">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 xml:space="preserve"> 冷风调节阀</w:t>
                  </w:r>
                </w:p>
              </w:tc>
              <w:tc>
                <w:tcPr>
                  <w:tcW w:w="2328" w:type="pct"/>
                  <w:tcBorders>
                    <w:tl2br w:val="nil"/>
                    <w:tr2bl w:val="nil"/>
                  </w:tcBorders>
                  <w:noWrap/>
                  <w:vAlign w:val="center"/>
                </w:tcPr>
                <w:p w14:paraId="74A2ACB7">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材质碳钢ф700</w:t>
                  </w:r>
                </w:p>
              </w:tc>
              <w:tc>
                <w:tcPr>
                  <w:tcW w:w="345" w:type="pct"/>
                  <w:tcBorders>
                    <w:tl2br w:val="nil"/>
                    <w:tr2bl w:val="nil"/>
                  </w:tcBorders>
                  <w:noWrap/>
                  <w:vAlign w:val="center"/>
                </w:tcPr>
                <w:p w14:paraId="464911D9">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2</w:t>
                  </w:r>
                </w:p>
              </w:tc>
              <w:tc>
                <w:tcPr>
                  <w:tcW w:w="345" w:type="pct"/>
                  <w:tcBorders>
                    <w:tl2br w:val="nil"/>
                    <w:tr2bl w:val="nil"/>
                  </w:tcBorders>
                  <w:noWrap/>
                  <w:vAlign w:val="center"/>
                </w:tcPr>
                <w:p w14:paraId="60EDB8A1">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只</w:t>
                  </w:r>
                </w:p>
              </w:tc>
              <w:tc>
                <w:tcPr>
                  <w:tcW w:w="552" w:type="pct"/>
                  <w:vMerge w:val="continue"/>
                  <w:tcBorders>
                    <w:tl2br w:val="nil"/>
                    <w:tr2bl w:val="nil"/>
                  </w:tcBorders>
                  <w:noWrap/>
                  <w:vAlign w:val="center"/>
                </w:tcPr>
                <w:p w14:paraId="0B97A72D">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p>
              </w:tc>
            </w:tr>
            <w:tr w14:paraId="41BF3A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3AF6067D">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42198D9A">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炉排减速机</w:t>
                  </w:r>
                </w:p>
              </w:tc>
              <w:tc>
                <w:tcPr>
                  <w:tcW w:w="2328" w:type="pct"/>
                  <w:tcBorders>
                    <w:tl2br w:val="nil"/>
                    <w:tr2bl w:val="nil"/>
                  </w:tcBorders>
                  <w:noWrap/>
                  <w:vAlign w:val="center"/>
                </w:tcPr>
                <w:p w14:paraId="4FBCB0D4">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GL-10P</w:t>
                  </w:r>
                </w:p>
              </w:tc>
              <w:tc>
                <w:tcPr>
                  <w:tcW w:w="345" w:type="pct"/>
                  <w:tcBorders>
                    <w:tl2br w:val="nil"/>
                    <w:tr2bl w:val="nil"/>
                  </w:tcBorders>
                  <w:noWrap/>
                  <w:vAlign w:val="center"/>
                </w:tcPr>
                <w:p w14:paraId="1145BD3F">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w:t>
                  </w:r>
                </w:p>
              </w:tc>
              <w:tc>
                <w:tcPr>
                  <w:tcW w:w="345" w:type="pct"/>
                  <w:tcBorders>
                    <w:tl2br w:val="nil"/>
                    <w:tr2bl w:val="nil"/>
                  </w:tcBorders>
                  <w:noWrap/>
                  <w:vAlign w:val="center"/>
                </w:tcPr>
                <w:p w14:paraId="6895D93D">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台</w:t>
                  </w:r>
                </w:p>
              </w:tc>
              <w:tc>
                <w:tcPr>
                  <w:tcW w:w="552" w:type="pct"/>
                  <w:vMerge w:val="continue"/>
                  <w:tcBorders>
                    <w:tl2br w:val="nil"/>
                    <w:tr2bl w:val="nil"/>
                  </w:tcBorders>
                  <w:noWrap/>
                  <w:vAlign w:val="center"/>
                </w:tcPr>
                <w:p w14:paraId="695E8434">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highlight w:val="none"/>
                      <w:lang w:val="en-US" w:eastAsia="zh-CN"/>
                    </w:rPr>
                  </w:pPr>
                </w:p>
              </w:tc>
            </w:tr>
            <w:tr w14:paraId="01D47B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2ABBEAF8">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3A20E6E7">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燃煤机</w:t>
                  </w:r>
                </w:p>
              </w:tc>
              <w:tc>
                <w:tcPr>
                  <w:tcW w:w="2328" w:type="pct"/>
                  <w:tcBorders>
                    <w:tl2br w:val="nil"/>
                    <w:tr2bl w:val="nil"/>
                  </w:tcBorders>
                  <w:noWrap/>
                  <w:vAlign w:val="center"/>
                </w:tcPr>
                <w:p w14:paraId="4779FB44">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w:t>
                  </w:r>
                </w:p>
              </w:tc>
              <w:tc>
                <w:tcPr>
                  <w:tcW w:w="345" w:type="pct"/>
                  <w:tcBorders>
                    <w:tl2br w:val="nil"/>
                    <w:tr2bl w:val="nil"/>
                  </w:tcBorders>
                  <w:noWrap/>
                  <w:vAlign w:val="center"/>
                </w:tcPr>
                <w:p w14:paraId="6D88E06B">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w:t>
                  </w:r>
                </w:p>
              </w:tc>
              <w:tc>
                <w:tcPr>
                  <w:tcW w:w="345" w:type="pct"/>
                  <w:tcBorders>
                    <w:tl2br w:val="nil"/>
                    <w:tr2bl w:val="nil"/>
                  </w:tcBorders>
                  <w:noWrap/>
                  <w:vAlign w:val="center"/>
                </w:tcPr>
                <w:p w14:paraId="7F9DC253">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套</w:t>
                  </w:r>
                </w:p>
              </w:tc>
              <w:tc>
                <w:tcPr>
                  <w:tcW w:w="552" w:type="pct"/>
                  <w:vMerge w:val="continue"/>
                  <w:tcBorders>
                    <w:tl2br w:val="nil"/>
                    <w:tr2bl w:val="nil"/>
                  </w:tcBorders>
                  <w:noWrap/>
                  <w:vAlign w:val="center"/>
                </w:tcPr>
                <w:p w14:paraId="72D1DD99">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p>
              </w:tc>
            </w:tr>
            <w:tr w14:paraId="148BF7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9" w:hRule="atLeast"/>
                <w:jc w:val="center"/>
              </w:trPr>
              <w:tc>
                <w:tcPr>
                  <w:tcW w:w="345" w:type="pct"/>
                  <w:tcBorders>
                    <w:tl2br w:val="nil"/>
                    <w:tr2bl w:val="nil"/>
                  </w:tcBorders>
                  <w:noWrap/>
                  <w:vAlign w:val="center"/>
                </w:tcPr>
                <w:p w14:paraId="170E7A7B">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15CE1D9A">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 xml:space="preserve"> 出渣机</w:t>
                  </w:r>
                </w:p>
              </w:tc>
              <w:tc>
                <w:tcPr>
                  <w:tcW w:w="2328" w:type="pct"/>
                  <w:tcBorders>
                    <w:tl2br w:val="nil"/>
                    <w:tr2bl w:val="nil"/>
                  </w:tcBorders>
                  <w:noWrap/>
                  <w:vAlign w:val="center"/>
                </w:tcPr>
                <w:p w14:paraId="7F053BC0">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MBG－420型，水平刮板式</w:t>
                  </w:r>
                </w:p>
              </w:tc>
              <w:tc>
                <w:tcPr>
                  <w:tcW w:w="345" w:type="pct"/>
                  <w:tcBorders>
                    <w:tl2br w:val="nil"/>
                    <w:tr2bl w:val="nil"/>
                  </w:tcBorders>
                  <w:noWrap/>
                  <w:vAlign w:val="center"/>
                </w:tcPr>
                <w:p w14:paraId="5DA67F65">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w:t>
                  </w:r>
                </w:p>
              </w:tc>
              <w:tc>
                <w:tcPr>
                  <w:tcW w:w="345" w:type="pct"/>
                  <w:tcBorders>
                    <w:tl2br w:val="nil"/>
                    <w:tr2bl w:val="nil"/>
                  </w:tcBorders>
                  <w:noWrap/>
                  <w:vAlign w:val="center"/>
                </w:tcPr>
                <w:p w14:paraId="00D49D31">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套</w:t>
                  </w:r>
                </w:p>
              </w:tc>
              <w:tc>
                <w:tcPr>
                  <w:tcW w:w="552" w:type="pct"/>
                  <w:vMerge w:val="continue"/>
                  <w:tcBorders>
                    <w:tl2br w:val="nil"/>
                    <w:tr2bl w:val="nil"/>
                  </w:tcBorders>
                  <w:noWrap/>
                  <w:vAlign w:val="center"/>
                </w:tcPr>
                <w:p w14:paraId="744A821D">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p>
              </w:tc>
            </w:tr>
            <w:tr w14:paraId="74120A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2C5364ED">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0CED2161">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高温气体净化装置</w:t>
                  </w:r>
                </w:p>
              </w:tc>
              <w:tc>
                <w:tcPr>
                  <w:tcW w:w="2328" w:type="pct"/>
                  <w:tcBorders>
                    <w:tl2br w:val="nil"/>
                    <w:tr2bl w:val="nil"/>
                  </w:tcBorders>
                  <w:noWrap/>
                  <w:vAlign w:val="center"/>
                </w:tcPr>
                <w:p w14:paraId="32BF600C">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w:t>
                  </w:r>
                </w:p>
              </w:tc>
              <w:tc>
                <w:tcPr>
                  <w:tcW w:w="345" w:type="pct"/>
                  <w:tcBorders>
                    <w:tl2br w:val="nil"/>
                    <w:tr2bl w:val="nil"/>
                  </w:tcBorders>
                  <w:noWrap/>
                  <w:vAlign w:val="center"/>
                </w:tcPr>
                <w:p w14:paraId="69924A23">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w:t>
                  </w:r>
                </w:p>
              </w:tc>
              <w:tc>
                <w:tcPr>
                  <w:tcW w:w="345" w:type="pct"/>
                  <w:tcBorders>
                    <w:tl2br w:val="nil"/>
                    <w:tr2bl w:val="nil"/>
                  </w:tcBorders>
                  <w:noWrap/>
                  <w:vAlign w:val="center"/>
                </w:tcPr>
                <w:p w14:paraId="692FFDD1">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套</w:t>
                  </w:r>
                </w:p>
              </w:tc>
              <w:tc>
                <w:tcPr>
                  <w:tcW w:w="552" w:type="pct"/>
                  <w:vMerge w:val="continue"/>
                  <w:tcBorders>
                    <w:tl2br w:val="nil"/>
                    <w:tr2bl w:val="nil"/>
                  </w:tcBorders>
                  <w:noWrap/>
                  <w:vAlign w:val="center"/>
                </w:tcPr>
                <w:p w14:paraId="23C8C681">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p>
              </w:tc>
            </w:tr>
            <w:tr w14:paraId="3E5FD5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5E3CFA1C">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26122D06">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 xml:space="preserve"> 高温闸板</w:t>
                  </w:r>
                </w:p>
              </w:tc>
              <w:tc>
                <w:tcPr>
                  <w:tcW w:w="2328" w:type="pct"/>
                  <w:tcBorders>
                    <w:tl2br w:val="nil"/>
                    <w:tr2bl w:val="nil"/>
                  </w:tcBorders>
                  <w:noWrap/>
                  <w:vAlign w:val="center"/>
                </w:tcPr>
                <w:p w14:paraId="71626608">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耐温1200℃，主要材质耐热不锈钢及钢纤维浇注料</w:t>
                  </w:r>
                </w:p>
              </w:tc>
              <w:tc>
                <w:tcPr>
                  <w:tcW w:w="345" w:type="pct"/>
                  <w:tcBorders>
                    <w:tl2br w:val="nil"/>
                    <w:tr2bl w:val="nil"/>
                  </w:tcBorders>
                  <w:noWrap/>
                  <w:vAlign w:val="center"/>
                </w:tcPr>
                <w:p w14:paraId="44F61D52">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w:t>
                  </w:r>
                </w:p>
              </w:tc>
              <w:tc>
                <w:tcPr>
                  <w:tcW w:w="345" w:type="pct"/>
                  <w:tcBorders>
                    <w:tl2br w:val="nil"/>
                    <w:tr2bl w:val="nil"/>
                  </w:tcBorders>
                  <w:noWrap/>
                  <w:vAlign w:val="center"/>
                </w:tcPr>
                <w:p w14:paraId="7D407456">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只</w:t>
                  </w:r>
                </w:p>
              </w:tc>
              <w:tc>
                <w:tcPr>
                  <w:tcW w:w="552" w:type="pct"/>
                  <w:vMerge w:val="continue"/>
                  <w:tcBorders>
                    <w:tl2br w:val="nil"/>
                    <w:tr2bl w:val="nil"/>
                  </w:tcBorders>
                  <w:noWrap/>
                  <w:vAlign w:val="center"/>
                </w:tcPr>
                <w:p w14:paraId="7CB2D83F">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p>
              </w:tc>
            </w:tr>
            <w:tr w14:paraId="601A2A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01E71F58">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4651B60E">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bCs/>
                      <w:color w:val="auto"/>
                      <w:szCs w:val="21"/>
                    </w:rPr>
                    <w:t>烘炉时排放烟囱</w:t>
                  </w:r>
                </w:p>
              </w:tc>
              <w:tc>
                <w:tcPr>
                  <w:tcW w:w="2328" w:type="pct"/>
                  <w:tcBorders>
                    <w:tl2br w:val="nil"/>
                    <w:tr2bl w:val="nil"/>
                  </w:tcBorders>
                  <w:noWrap/>
                  <w:vAlign w:val="center"/>
                </w:tcPr>
                <w:p w14:paraId="01C25FF0">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热风管道、烟囱、保温、钢架</w:t>
                  </w:r>
                </w:p>
              </w:tc>
              <w:tc>
                <w:tcPr>
                  <w:tcW w:w="345" w:type="pct"/>
                  <w:tcBorders>
                    <w:tl2br w:val="nil"/>
                    <w:tr2bl w:val="nil"/>
                  </w:tcBorders>
                  <w:noWrap/>
                  <w:vAlign w:val="center"/>
                </w:tcPr>
                <w:p w14:paraId="3BD55759">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w:t>
                  </w:r>
                </w:p>
              </w:tc>
              <w:tc>
                <w:tcPr>
                  <w:tcW w:w="345" w:type="pct"/>
                  <w:tcBorders>
                    <w:tl2br w:val="nil"/>
                    <w:tr2bl w:val="nil"/>
                  </w:tcBorders>
                  <w:noWrap/>
                  <w:vAlign w:val="center"/>
                </w:tcPr>
                <w:p w14:paraId="09C5D408">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套</w:t>
                  </w:r>
                </w:p>
              </w:tc>
              <w:tc>
                <w:tcPr>
                  <w:tcW w:w="552" w:type="pct"/>
                  <w:vMerge w:val="continue"/>
                  <w:tcBorders>
                    <w:tl2br w:val="nil"/>
                    <w:tr2bl w:val="nil"/>
                  </w:tcBorders>
                  <w:noWrap/>
                  <w:vAlign w:val="center"/>
                </w:tcPr>
                <w:p w14:paraId="0060396E">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p>
              </w:tc>
            </w:tr>
            <w:tr w14:paraId="0CEB35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71944DA2">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7EDB97A4">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低氮燃烧+SNCR</w:t>
                  </w:r>
                </w:p>
              </w:tc>
              <w:tc>
                <w:tcPr>
                  <w:tcW w:w="2328" w:type="pct"/>
                  <w:tcBorders>
                    <w:tl2br w:val="nil"/>
                    <w:tr2bl w:val="nil"/>
                  </w:tcBorders>
                  <w:noWrap/>
                  <w:vAlign w:val="center"/>
                </w:tcPr>
                <w:p w14:paraId="7FD7047A">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SNCR</w:t>
                  </w:r>
                </w:p>
              </w:tc>
              <w:tc>
                <w:tcPr>
                  <w:tcW w:w="345" w:type="pct"/>
                  <w:tcBorders>
                    <w:tl2br w:val="nil"/>
                    <w:tr2bl w:val="nil"/>
                  </w:tcBorders>
                  <w:noWrap/>
                  <w:vAlign w:val="center"/>
                </w:tcPr>
                <w:p w14:paraId="4D14BE43">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w:t>
                  </w:r>
                </w:p>
              </w:tc>
              <w:tc>
                <w:tcPr>
                  <w:tcW w:w="345" w:type="pct"/>
                  <w:tcBorders>
                    <w:tl2br w:val="nil"/>
                    <w:tr2bl w:val="nil"/>
                  </w:tcBorders>
                  <w:noWrap/>
                  <w:vAlign w:val="center"/>
                </w:tcPr>
                <w:p w14:paraId="5D5DE0AE">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套</w:t>
                  </w:r>
                </w:p>
              </w:tc>
              <w:tc>
                <w:tcPr>
                  <w:tcW w:w="552" w:type="pct"/>
                  <w:vMerge w:val="continue"/>
                  <w:tcBorders>
                    <w:tl2br w:val="nil"/>
                    <w:tr2bl w:val="nil"/>
                  </w:tcBorders>
                  <w:noWrap/>
                  <w:vAlign w:val="center"/>
                </w:tcPr>
                <w:p w14:paraId="58AC539E">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p>
              </w:tc>
            </w:tr>
            <w:tr w14:paraId="0D0AA6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01293B9B">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2F08BEF3">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控制系统</w:t>
                  </w:r>
                </w:p>
              </w:tc>
              <w:tc>
                <w:tcPr>
                  <w:tcW w:w="2328" w:type="pct"/>
                  <w:tcBorders>
                    <w:tl2br w:val="nil"/>
                    <w:tr2bl w:val="nil"/>
                  </w:tcBorders>
                  <w:noWrap/>
                  <w:vAlign w:val="center"/>
                </w:tcPr>
                <w:p w14:paraId="48D96B0A">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w:t>
                  </w:r>
                </w:p>
              </w:tc>
              <w:tc>
                <w:tcPr>
                  <w:tcW w:w="345" w:type="pct"/>
                  <w:tcBorders>
                    <w:tl2br w:val="nil"/>
                    <w:tr2bl w:val="nil"/>
                  </w:tcBorders>
                  <w:noWrap/>
                  <w:vAlign w:val="center"/>
                </w:tcPr>
                <w:p w14:paraId="2A42C4DE">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w:t>
                  </w:r>
                </w:p>
              </w:tc>
              <w:tc>
                <w:tcPr>
                  <w:tcW w:w="345" w:type="pct"/>
                  <w:tcBorders>
                    <w:tl2br w:val="nil"/>
                    <w:tr2bl w:val="nil"/>
                  </w:tcBorders>
                  <w:noWrap/>
                  <w:vAlign w:val="center"/>
                </w:tcPr>
                <w:p w14:paraId="0B968726">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套</w:t>
                  </w:r>
                </w:p>
              </w:tc>
              <w:tc>
                <w:tcPr>
                  <w:tcW w:w="552" w:type="pct"/>
                  <w:vMerge w:val="continue"/>
                  <w:tcBorders>
                    <w:tl2br w:val="nil"/>
                    <w:tr2bl w:val="nil"/>
                  </w:tcBorders>
                  <w:noWrap/>
                  <w:vAlign w:val="center"/>
                </w:tcPr>
                <w:p w14:paraId="645800EE">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cs="Times New Roman"/>
                      <w:b w:val="0"/>
                      <w:bCs/>
                      <w:color w:val="auto"/>
                      <w:sz w:val="21"/>
                      <w:szCs w:val="21"/>
                      <w:highlight w:val="none"/>
                      <w:lang w:val="en-US" w:eastAsia="zh-CN"/>
                    </w:rPr>
                  </w:pPr>
                </w:p>
              </w:tc>
            </w:tr>
            <w:tr w14:paraId="18C8A5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5000" w:type="pct"/>
                  <w:gridSpan w:val="6"/>
                  <w:tcBorders>
                    <w:tl2br w:val="nil"/>
                    <w:tr2bl w:val="nil"/>
                  </w:tcBorders>
                  <w:noWrap/>
                  <w:vAlign w:val="center"/>
                </w:tcPr>
                <w:p w14:paraId="0470A482">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bCs w:val="0"/>
                      <w:color w:val="auto"/>
                      <w:sz w:val="21"/>
                      <w:szCs w:val="21"/>
                      <w:highlight w:val="none"/>
                      <w:lang w:val="en-US" w:eastAsia="zh-CN"/>
                    </w:rPr>
                  </w:pPr>
                  <w:r>
                    <w:rPr>
                      <w:rFonts w:hint="eastAsia" w:ascii="Times New Roman" w:hAnsi="Times New Roman" w:eastAsia="宋体" w:cs="Times New Roman"/>
                      <w:b/>
                      <w:bCs w:val="0"/>
                      <w:color w:val="auto"/>
                      <w:sz w:val="21"/>
                      <w:szCs w:val="21"/>
                      <w:highlight w:val="none"/>
                      <w:lang w:val="en-US" w:eastAsia="zh-CN"/>
                    </w:rPr>
                    <w:t>固体聚合氯化铝生产线主要设备</w:t>
                  </w:r>
                </w:p>
              </w:tc>
            </w:tr>
            <w:tr w14:paraId="1F7B12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43F9EE5D">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05439A52">
                  <w:pPr>
                    <w:widowControl w:val="0"/>
                    <w:tabs>
                      <w:tab w:val="left" w:pos="780"/>
                    </w:tabs>
                    <w:kinsoku w:val="0"/>
                    <w:overflowPunct w:val="0"/>
                    <w:autoSpaceDE w:val="0"/>
                    <w:autoSpaceDN w:val="0"/>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ascii="Times New Roman" w:hAnsi="Times New Roman" w:cs="Times New Roman"/>
                      <w:color w:val="auto"/>
                      <w:sz w:val="21"/>
                      <w:szCs w:val="21"/>
                    </w:rPr>
                    <w:t>给水泵</w:t>
                  </w:r>
                </w:p>
              </w:tc>
              <w:tc>
                <w:tcPr>
                  <w:tcW w:w="2328" w:type="pct"/>
                  <w:tcBorders>
                    <w:tl2br w:val="nil"/>
                    <w:tr2bl w:val="nil"/>
                  </w:tcBorders>
                  <w:noWrap/>
                  <w:vAlign w:val="center"/>
                </w:tcPr>
                <w:p w14:paraId="18F40DCF">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铸铁离心泵25GC-6×6</w:t>
                  </w:r>
                </w:p>
              </w:tc>
              <w:tc>
                <w:tcPr>
                  <w:tcW w:w="345" w:type="pct"/>
                  <w:tcBorders>
                    <w:tl2br w:val="nil"/>
                    <w:tr2bl w:val="nil"/>
                  </w:tcBorders>
                  <w:noWrap/>
                  <w:vAlign w:val="center"/>
                </w:tcPr>
                <w:p w14:paraId="50A3F0C7">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4</w:t>
                  </w:r>
                </w:p>
              </w:tc>
              <w:tc>
                <w:tcPr>
                  <w:tcW w:w="345" w:type="pct"/>
                  <w:tcBorders>
                    <w:tl2br w:val="nil"/>
                    <w:tr2bl w:val="nil"/>
                  </w:tcBorders>
                  <w:noWrap/>
                  <w:vAlign w:val="center"/>
                </w:tcPr>
                <w:p w14:paraId="0AB4E261">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台</w:t>
                  </w:r>
                </w:p>
              </w:tc>
              <w:tc>
                <w:tcPr>
                  <w:tcW w:w="552" w:type="pct"/>
                  <w:vMerge w:val="restart"/>
                  <w:tcBorders>
                    <w:tl2br w:val="nil"/>
                    <w:tr2bl w:val="nil"/>
                  </w:tcBorders>
                  <w:noWrap/>
                  <w:vAlign w:val="center"/>
                </w:tcPr>
                <w:p w14:paraId="200D3E10">
                  <w:pPr>
                    <w:widowControl w:val="0"/>
                    <w:tabs>
                      <w:tab w:val="left" w:pos="780"/>
                    </w:tabs>
                    <w:kinsoku w:val="0"/>
                    <w:overflowPunct w:val="0"/>
                    <w:autoSpaceDE w:val="0"/>
                    <w:autoSpaceDN w:val="0"/>
                    <w:adjustRightInd w:val="0"/>
                    <w:snapToGrid w:val="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依托现有</w:t>
                  </w:r>
                </w:p>
              </w:tc>
            </w:tr>
            <w:tr w14:paraId="39085A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167367EA">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3DE741D8">
                  <w:pPr>
                    <w:widowControl w:val="0"/>
                    <w:tabs>
                      <w:tab w:val="left" w:pos="780"/>
                    </w:tabs>
                    <w:kinsoku w:val="0"/>
                    <w:overflowPunct w:val="0"/>
                    <w:autoSpaceDE w:val="0"/>
                    <w:autoSpaceDN w:val="0"/>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ascii="Times New Roman" w:hAnsi="Times New Roman" w:cs="Times New Roman"/>
                      <w:color w:val="auto"/>
                      <w:sz w:val="21"/>
                      <w:szCs w:val="21"/>
                    </w:rPr>
                    <w:t>盐酸泵</w:t>
                  </w:r>
                </w:p>
              </w:tc>
              <w:tc>
                <w:tcPr>
                  <w:tcW w:w="2328" w:type="pct"/>
                  <w:tcBorders>
                    <w:tl2br w:val="nil"/>
                    <w:tr2bl w:val="nil"/>
                  </w:tcBorders>
                  <w:noWrap/>
                  <w:vAlign w:val="center"/>
                </w:tcPr>
                <w:p w14:paraId="73825639">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耐腐蚀衬塑离心泵80FBS-30L</w:t>
                  </w:r>
                </w:p>
              </w:tc>
              <w:tc>
                <w:tcPr>
                  <w:tcW w:w="345" w:type="pct"/>
                  <w:tcBorders>
                    <w:tl2br w:val="nil"/>
                    <w:tr2bl w:val="nil"/>
                  </w:tcBorders>
                  <w:noWrap/>
                  <w:vAlign w:val="center"/>
                </w:tcPr>
                <w:p w14:paraId="69EC1A58">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2</w:t>
                  </w:r>
                </w:p>
              </w:tc>
              <w:tc>
                <w:tcPr>
                  <w:tcW w:w="345" w:type="pct"/>
                  <w:tcBorders>
                    <w:tl2br w:val="nil"/>
                    <w:tr2bl w:val="nil"/>
                  </w:tcBorders>
                  <w:noWrap/>
                  <w:vAlign w:val="center"/>
                </w:tcPr>
                <w:p w14:paraId="61DE2F7C">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台</w:t>
                  </w:r>
                </w:p>
              </w:tc>
              <w:tc>
                <w:tcPr>
                  <w:tcW w:w="552" w:type="pct"/>
                  <w:vMerge w:val="continue"/>
                  <w:tcBorders>
                    <w:tl2br w:val="nil"/>
                    <w:tr2bl w:val="nil"/>
                  </w:tcBorders>
                  <w:noWrap/>
                  <w:vAlign w:val="center"/>
                </w:tcPr>
                <w:p w14:paraId="5C35DAF3">
                  <w:pPr>
                    <w:widowControl w:val="0"/>
                    <w:tabs>
                      <w:tab w:val="left" w:pos="780"/>
                    </w:tabs>
                    <w:kinsoku w:val="0"/>
                    <w:overflowPunct w:val="0"/>
                    <w:autoSpaceDE w:val="0"/>
                    <w:autoSpaceDN w:val="0"/>
                    <w:adjustRightInd w:val="0"/>
                    <w:snapToGrid w:val="0"/>
                    <w:jc w:val="center"/>
                    <w:rPr>
                      <w:rFonts w:ascii="Times New Roman" w:hAnsi="Times New Roman" w:cs="Times New Roman"/>
                      <w:color w:val="auto"/>
                      <w:sz w:val="21"/>
                      <w:szCs w:val="21"/>
                    </w:rPr>
                  </w:pPr>
                </w:p>
              </w:tc>
            </w:tr>
            <w:tr w14:paraId="31EA1A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0C7664CD">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0D1EC344">
                  <w:pPr>
                    <w:widowControl w:val="0"/>
                    <w:tabs>
                      <w:tab w:val="left" w:pos="780"/>
                    </w:tabs>
                    <w:kinsoku w:val="0"/>
                    <w:overflowPunct w:val="0"/>
                    <w:autoSpaceDE w:val="0"/>
                    <w:autoSpaceDN w:val="0"/>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ascii="Times New Roman" w:hAnsi="Times New Roman" w:cs="Times New Roman"/>
                      <w:color w:val="auto"/>
                      <w:sz w:val="21"/>
                      <w:szCs w:val="21"/>
                    </w:rPr>
                    <w:t>卧式搪瓷溶出釜</w:t>
                  </w:r>
                </w:p>
              </w:tc>
              <w:tc>
                <w:tcPr>
                  <w:tcW w:w="2328" w:type="pct"/>
                  <w:tcBorders>
                    <w:tl2br w:val="nil"/>
                    <w:tr2bl w:val="nil"/>
                  </w:tcBorders>
                  <w:noWrap/>
                  <w:vAlign w:val="center"/>
                </w:tcPr>
                <w:p w14:paraId="06FE7379">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T50搪瓷反应釜</w:t>
                  </w:r>
                </w:p>
              </w:tc>
              <w:tc>
                <w:tcPr>
                  <w:tcW w:w="345" w:type="pct"/>
                  <w:tcBorders>
                    <w:tl2br w:val="nil"/>
                    <w:tr2bl w:val="nil"/>
                  </w:tcBorders>
                  <w:noWrap/>
                  <w:vAlign w:val="center"/>
                </w:tcPr>
                <w:p w14:paraId="2DF1EE42">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4</w:t>
                  </w:r>
                </w:p>
              </w:tc>
              <w:tc>
                <w:tcPr>
                  <w:tcW w:w="345" w:type="pct"/>
                  <w:tcBorders>
                    <w:tl2br w:val="nil"/>
                    <w:tr2bl w:val="nil"/>
                  </w:tcBorders>
                  <w:noWrap/>
                  <w:vAlign w:val="center"/>
                </w:tcPr>
                <w:p w14:paraId="30BAB8B7">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台</w:t>
                  </w:r>
                </w:p>
              </w:tc>
              <w:tc>
                <w:tcPr>
                  <w:tcW w:w="552" w:type="pct"/>
                  <w:vMerge w:val="continue"/>
                  <w:tcBorders>
                    <w:tl2br w:val="nil"/>
                    <w:tr2bl w:val="nil"/>
                  </w:tcBorders>
                  <w:noWrap/>
                  <w:vAlign w:val="center"/>
                </w:tcPr>
                <w:p w14:paraId="5EB12DAA">
                  <w:pPr>
                    <w:widowControl w:val="0"/>
                    <w:tabs>
                      <w:tab w:val="left" w:pos="780"/>
                    </w:tabs>
                    <w:kinsoku w:val="0"/>
                    <w:overflowPunct w:val="0"/>
                    <w:autoSpaceDE w:val="0"/>
                    <w:autoSpaceDN w:val="0"/>
                    <w:adjustRightInd w:val="0"/>
                    <w:snapToGrid w:val="0"/>
                    <w:jc w:val="center"/>
                    <w:rPr>
                      <w:rFonts w:ascii="Times New Roman" w:hAnsi="Times New Roman" w:cs="Times New Roman"/>
                      <w:color w:val="auto"/>
                      <w:sz w:val="21"/>
                      <w:szCs w:val="21"/>
                    </w:rPr>
                  </w:pPr>
                </w:p>
              </w:tc>
            </w:tr>
            <w:tr w14:paraId="145712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1ADF4F4F">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61BC0F5C">
                  <w:pPr>
                    <w:widowControl w:val="0"/>
                    <w:tabs>
                      <w:tab w:val="left" w:pos="780"/>
                    </w:tabs>
                    <w:kinsoku w:val="0"/>
                    <w:overflowPunct w:val="0"/>
                    <w:autoSpaceDE w:val="0"/>
                    <w:autoSpaceDN w:val="0"/>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ascii="Times New Roman" w:hAnsi="Times New Roman" w:cs="Times New Roman"/>
                      <w:color w:val="auto"/>
                      <w:sz w:val="21"/>
                      <w:szCs w:val="21"/>
                    </w:rPr>
                    <w:t>浆液泵</w:t>
                  </w:r>
                </w:p>
              </w:tc>
              <w:tc>
                <w:tcPr>
                  <w:tcW w:w="2328" w:type="pct"/>
                  <w:tcBorders>
                    <w:tl2br w:val="nil"/>
                    <w:tr2bl w:val="nil"/>
                  </w:tcBorders>
                  <w:noWrap/>
                  <w:vAlign w:val="center"/>
                </w:tcPr>
                <w:p w14:paraId="5883F205">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耐腐蚀液下泵65HYU-40-20</w:t>
                  </w:r>
                </w:p>
              </w:tc>
              <w:tc>
                <w:tcPr>
                  <w:tcW w:w="345" w:type="pct"/>
                  <w:tcBorders>
                    <w:tl2br w:val="nil"/>
                    <w:tr2bl w:val="nil"/>
                  </w:tcBorders>
                  <w:noWrap/>
                  <w:vAlign w:val="center"/>
                </w:tcPr>
                <w:p w14:paraId="41E455BE">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8</w:t>
                  </w:r>
                </w:p>
              </w:tc>
              <w:tc>
                <w:tcPr>
                  <w:tcW w:w="345" w:type="pct"/>
                  <w:tcBorders>
                    <w:tl2br w:val="nil"/>
                    <w:tr2bl w:val="nil"/>
                  </w:tcBorders>
                  <w:noWrap/>
                  <w:vAlign w:val="center"/>
                </w:tcPr>
                <w:p w14:paraId="06EDE6AE">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台</w:t>
                  </w:r>
                </w:p>
              </w:tc>
              <w:tc>
                <w:tcPr>
                  <w:tcW w:w="552" w:type="pct"/>
                  <w:vMerge w:val="continue"/>
                  <w:tcBorders>
                    <w:tl2br w:val="nil"/>
                    <w:tr2bl w:val="nil"/>
                  </w:tcBorders>
                  <w:noWrap/>
                  <w:vAlign w:val="center"/>
                </w:tcPr>
                <w:p w14:paraId="5E11178B">
                  <w:pPr>
                    <w:widowControl w:val="0"/>
                    <w:tabs>
                      <w:tab w:val="left" w:pos="780"/>
                    </w:tabs>
                    <w:kinsoku w:val="0"/>
                    <w:overflowPunct w:val="0"/>
                    <w:autoSpaceDE w:val="0"/>
                    <w:autoSpaceDN w:val="0"/>
                    <w:adjustRightInd w:val="0"/>
                    <w:snapToGrid w:val="0"/>
                    <w:jc w:val="center"/>
                    <w:rPr>
                      <w:rFonts w:ascii="Times New Roman" w:hAnsi="Times New Roman" w:cs="Times New Roman"/>
                      <w:color w:val="auto"/>
                      <w:sz w:val="21"/>
                      <w:szCs w:val="21"/>
                    </w:rPr>
                  </w:pPr>
                </w:p>
              </w:tc>
            </w:tr>
            <w:tr w14:paraId="5914A2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3373B394">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3370B0B6">
                  <w:pPr>
                    <w:widowControl w:val="0"/>
                    <w:tabs>
                      <w:tab w:val="left" w:pos="780"/>
                    </w:tabs>
                    <w:kinsoku w:val="0"/>
                    <w:overflowPunct w:val="0"/>
                    <w:autoSpaceDE w:val="0"/>
                    <w:autoSpaceDN w:val="0"/>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ascii="Times New Roman" w:hAnsi="Times New Roman" w:cs="Times New Roman"/>
                      <w:color w:val="auto"/>
                      <w:sz w:val="21"/>
                      <w:szCs w:val="21"/>
                    </w:rPr>
                    <w:t>耐酸泵</w:t>
                  </w:r>
                </w:p>
              </w:tc>
              <w:tc>
                <w:tcPr>
                  <w:tcW w:w="2328" w:type="pct"/>
                  <w:tcBorders>
                    <w:tl2br w:val="nil"/>
                    <w:tr2bl w:val="nil"/>
                  </w:tcBorders>
                  <w:noWrap/>
                  <w:vAlign w:val="center"/>
                </w:tcPr>
                <w:p w14:paraId="6DB8B19A">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耐腐蚀衬塑离心泵80FBS-30L</w:t>
                  </w:r>
                </w:p>
              </w:tc>
              <w:tc>
                <w:tcPr>
                  <w:tcW w:w="345" w:type="pct"/>
                  <w:tcBorders>
                    <w:tl2br w:val="nil"/>
                    <w:tr2bl w:val="nil"/>
                  </w:tcBorders>
                  <w:noWrap/>
                  <w:vAlign w:val="center"/>
                </w:tcPr>
                <w:p w14:paraId="603FE3A8">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2</w:t>
                  </w:r>
                </w:p>
              </w:tc>
              <w:tc>
                <w:tcPr>
                  <w:tcW w:w="345" w:type="pct"/>
                  <w:tcBorders>
                    <w:tl2br w:val="nil"/>
                    <w:tr2bl w:val="nil"/>
                  </w:tcBorders>
                  <w:noWrap/>
                  <w:vAlign w:val="center"/>
                </w:tcPr>
                <w:p w14:paraId="16AF9ED6">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台</w:t>
                  </w:r>
                </w:p>
              </w:tc>
              <w:tc>
                <w:tcPr>
                  <w:tcW w:w="552" w:type="pct"/>
                  <w:vMerge w:val="continue"/>
                  <w:tcBorders>
                    <w:tl2br w:val="nil"/>
                    <w:tr2bl w:val="nil"/>
                  </w:tcBorders>
                  <w:noWrap/>
                  <w:vAlign w:val="center"/>
                </w:tcPr>
                <w:p w14:paraId="5658CC22">
                  <w:pPr>
                    <w:widowControl w:val="0"/>
                    <w:tabs>
                      <w:tab w:val="left" w:pos="780"/>
                    </w:tabs>
                    <w:kinsoku w:val="0"/>
                    <w:overflowPunct w:val="0"/>
                    <w:autoSpaceDE w:val="0"/>
                    <w:autoSpaceDN w:val="0"/>
                    <w:adjustRightInd w:val="0"/>
                    <w:snapToGrid w:val="0"/>
                    <w:jc w:val="center"/>
                    <w:rPr>
                      <w:rFonts w:ascii="Times New Roman" w:hAnsi="Times New Roman" w:cs="Times New Roman"/>
                      <w:color w:val="auto"/>
                      <w:sz w:val="21"/>
                      <w:szCs w:val="21"/>
                    </w:rPr>
                  </w:pPr>
                </w:p>
              </w:tc>
            </w:tr>
            <w:tr w14:paraId="3EAF07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345" w:type="pct"/>
                  <w:tcBorders>
                    <w:tl2br w:val="nil"/>
                    <w:tr2bl w:val="nil"/>
                  </w:tcBorders>
                  <w:noWrap/>
                  <w:vAlign w:val="center"/>
                </w:tcPr>
                <w:p w14:paraId="1084BF21">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49A22359">
                  <w:pPr>
                    <w:widowControl w:val="0"/>
                    <w:tabs>
                      <w:tab w:val="left" w:pos="780"/>
                    </w:tabs>
                    <w:kinsoku w:val="0"/>
                    <w:overflowPunct w:val="0"/>
                    <w:autoSpaceDE w:val="0"/>
                    <w:autoSpaceDN w:val="0"/>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ascii="Times New Roman" w:hAnsi="Times New Roman" w:cs="Times New Roman"/>
                      <w:color w:val="auto"/>
                      <w:sz w:val="21"/>
                      <w:szCs w:val="21"/>
                    </w:rPr>
                    <w:t>渣浆泵</w:t>
                  </w:r>
                </w:p>
              </w:tc>
              <w:tc>
                <w:tcPr>
                  <w:tcW w:w="2328" w:type="pct"/>
                  <w:tcBorders>
                    <w:tl2br w:val="nil"/>
                    <w:tr2bl w:val="nil"/>
                  </w:tcBorders>
                  <w:noWrap/>
                  <w:vAlign w:val="center"/>
                </w:tcPr>
                <w:p w14:paraId="7553BB45">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耐腐蚀液下泵65HYU-40-20</w:t>
                  </w:r>
                </w:p>
              </w:tc>
              <w:tc>
                <w:tcPr>
                  <w:tcW w:w="345" w:type="pct"/>
                  <w:tcBorders>
                    <w:tl2br w:val="nil"/>
                    <w:tr2bl w:val="nil"/>
                  </w:tcBorders>
                  <w:noWrap/>
                  <w:vAlign w:val="center"/>
                </w:tcPr>
                <w:p w14:paraId="31E95B94">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2</w:t>
                  </w:r>
                </w:p>
              </w:tc>
              <w:tc>
                <w:tcPr>
                  <w:tcW w:w="345" w:type="pct"/>
                  <w:tcBorders>
                    <w:tl2br w:val="nil"/>
                    <w:tr2bl w:val="nil"/>
                  </w:tcBorders>
                  <w:noWrap/>
                  <w:vAlign w:val="center"/>
                </w:tcPr>
                <w:p w14:paraId="6F4BC333">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台</w:t>
                  </w:r>
                </w:p>
              </w:tc>
              <w:tc>
                <w:tcPr>
                  <w:tcW w:w="552" w:type="pct"/>
                  <w:vMerge w:val="continue"/>
                  <w:tcBorders>
                    <w:tl2br w:val="nil"/>
                    <w:tr2bl w:val="nil"/>
                  </w:tcBorders>
                  <w:noWrap/>
                  <w:vAlign w:val="center"/>
                </w:tcPr>
                <w:p w14:paraId="513ABA16">
                  <w:pPr>
                    <w:widowControl w:val="0"/>
                    <w:tabs>
                      <w:tab w:val="left" w:pos="780"/>
                    </w:tabs>
                    <w:kinsoku w:val="0"/>
                    <w:overflowPunct w:val="0"/>
                    <w:autoSpaceDE w:val="0"/>
                    <w:autoSpaceDN w:val="0"/>
                    <w:adjustRightInd w:val="0"/>
                    <w:snapToGrid w:val="0"/>
                    <w:jc w:val="center"/>
                    <w:rPr>
                      <w:rFonts w:ascii="Times New Roman" w:hAnsi="Times New Roman" w:cs="Times New Roman"/>
                      <w:color w:val="auto"/>
                      <w:sz w:val="21"/>
                      <w:szCs w:val="21"/>
                    </w:rPr>
                  </w:pPr>
                </w:p>
              </w:tc>
            </w:tr>
            <w:tr w14:paraId="15A0A34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090E276E">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234A8CC7">
                  <w:pPr>
                    <w:widowControl w:val="0"/>
                    <w:tabs>
                      <w:tab w:val="left" w:pos="780"/>
                    </w:tabs>
                    <w:kinsoku w:val="0"/>
                    <w:overflowPunct w:val="0"/>
                    <w:autoSpaceDE w:val="0"/>
                    <w:autoSpaceDN w:val="0"/>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ascii="Times New Roman" w:hAnsi="Times New Roman" w:cs="Times New Roman"/>
                      <w:color w:val="auto"/>
                      <w:sz w:val="21"/>
                      <w:szCs w:val="21"/>
                    </w:rPr>
                    <w:t>聚合釜</w:t>
                  </w:r>
                </w:p>
              </w:tc>
              <w:tc>
                <w:tcPr>
                  <w:tcW w:w="2328" w:type="pct"/>
                  <w:tcBorders>
                    <w:tl2br w:val="nil"/>
                    <w:tr2bl w:val="nil"/>
                  </w:tcBorders>
                  <w:noWrap/>
                  <w:vAlign w:val="center"/>
                </w:tcPr>
                <w:p w14:paraId="28EE4812">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防腐蚀衬耐酸砖聚合池</w:t>
                  </w:r>
                </w:p>
              </w:tc>
              <w:tc>
                <w:tcPr>
                  <w:tcW w:w="345" w:type="pct"/>
                  <w:tcBorders>
                    <w:tl2br w:val="nil"/>
                    <w:tr2bl w:val="nil"/>
                  </w:tcBorders>
                  <w:noWrap/>
                  <w:vAlign w:val="center"/>
                </w:tcPr>
                <w:p w14:paraId="00568607">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1</w:t>
                  </w:r>
                </w:p>
              </w:tc>
              <w:tc>
                <w:tcPr>
                  <w:tcW w:w="345" w:type="pct"/>
                  <w:tcBorders>
                    <w:tl2br w:val="nil"/>
                    <w:tr2bl w:val="nil"/>
                  </w:tcBorders>
                  <w:noWrap/>
                  <w:vAlign w:val="center"/>
                </w:tcPr>
                <w:p w14:paraId="406952A1">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台</w:t>
                  </w:r>
                </w:p>
              </w:tc>
              <w:tc>
                <w:tcPr>
                  <w:tcW w:w="552" w:type="pct"/>
                  <w:vMerge w:val="continue"/>
                  <w:tcBorders>
                    <w:tl2br w:val="nil"/>
                    <w:tr2bl w:val="nil"/>
                  </w:tcBorders>
                  <w:noWrap/>
                  <w:vAlign w:val="center"/>
                </w:tcPr>
                <w:p w14:paraId="74B7BB40">
                  <w:pPr>
                    <w:widowControl w:val="0"/>
                    <w:tabs>
                      <w:tab w:val="left" w:pos="780"/>
                    </w:tabs>
                    <w:kinsoku w:val="0"/>
                    <w:overflowPunct w:val="0"/>
                    <w:autoSpaceDE w:val="0"/>
                    <w:autoSpaceDN w:val="0"/>
                    <w:adjustRightInd w:val="0"/>
                    <w:snapToGrid w:val="0"/>
                    <w:jc w:val="center"/>
                    <w:rPr>
                      <w:rFonts w:ascii="Times New Roman" w:hAnsi="Times New Roman" w:cs="Times New Roman"/>
                      <w:color w:val="auto"/>
                      <w:sz w:val="21"/>
                      <w:szCs w:val="21"/>
                    </w:rPr>
                  </w:pPr>
                </w:p>
              </w:tc>
            </w:tr>
            <w:tr w14:paraId="407F75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1A087DC2">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01135869">
                  <w:pPr>
                    <w:widowControl w:val="0"/>
                    <w:tabs>
                      <w:tab w:val="left" w:pos="780"/>
                    </w:tabs>
                    <w:kinsoku w:val="0"/>
                    <w:overflowPunct w:val="0"/>
                    <w:autoSpaceDE w:val="0"/>
                    <w:autoSpaceDN w:val="0"/>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ascii="Times New Roman" w:hAnsi="Times New Roman" w:cs="Times New Roman"/>
                      <w:color w:val="auto"/>
                      <w:sz w:val="21"/>
                      <w:szCs w:val="21"/>
                    </w:rPr>
                    <w:t>耐腐蚀泵</w:t>
                  </w:r>
                </w:p>
              </w:tc>
              <w:tc>
                <w:tcPr>
                  <w:tcW w:w="2328" w:type="pct"/>
                  <w:tcBorders>
                    <w:tl2br w:val="nil"/>
                    <w:tr2bl w:val="nil"/>
                  </w:tcBorders>
                  <w:noWrap/>
                  <w:vAlign w:val="center"/>
                </w:tcPr>
                <w:p w14:paraId="4057B926">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耐腐蚀衬塑离心泵80FBS-30L</w:t>
                  </w:r>
                </w:p>
              </w:tc>
              <w:tc>
                <w:tcPr>
                  <w:tcW w:w="345" w:type="pct"/>
                  <w:tcBorders>
                    <w:tl2br w:val="nil"/>
                    <w:tr2bl w:val="nil"/>
                  </w:tcBorders>
                  <w:noWrap/>
                  <w:vAlign w:val="center"/>
                </w:tcPr>
                <w:p w14:paraId="6F45064C">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8</w:t>
                  </w:r>
                </w:p>
              </w:tc>
              <w:tc>
                <w:tcPr>
                  <w:tcW w:w="345" w:type="pct"/>
                  <w:tcBorders>
                    <w:tl2br w:val="nil"/>
                    <w:tr2bl w:val="nil"/>
                  </w:tcBorders>
                  <w:noWrap/>
                  <w:vAlign w:val="center"/>
                </w:tcPr>
                <w:p w14:paraId="77578812">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台</w:t>
                  </w:r>
                </w:p>
              </w:tc>
              <w:tc>
                <w:tcPr>
                  <w:tcW w:w="552" w:type="pct"/>
                  <w:vMerge w:val="continue"/>
                  <w:tcBorders>
                    <w:tl2br w:val="nil"/>
                    <w:tr2bl w:val="nil"/>
                  </w:tcBorders>
                  <w:noWrap/>
                  <w:vAlign w:val="center"/>
                </w:tcPr>
                <w:p w14:paraId="5A476DBF">
                  <w:pPr>
                    <w:widowControl w:val="0"/>
                    <w:tabs>
                      <w:tab w:val="left" w:pos="780"/>
                    </w:tabs>
                    <w:kinsoku w:val="0"/>
                    <w:overflowPunct w:val="0"/>
                    <w:autoSpaceDE w:val="0"/>
                    <w:autoSpaceDN w:val="0"/>
                    <w:adjustRightInd w:val="0"/>
                    <w:snapToGrid w:val="0"/>
                    <w:jc w:val="center"/>
                    <w:rPr>
                      <w:rFonts w:ascii="Times New Roman" w:hAnsi="Times New Roman" w:cs="Times New Roman"/>
                      <w:color w:val="auto"/>
                      <w:sz w:val="21"/>
                      <w:szCs w:val="21"/>
                    </w:rPr>
                  </w:pPr>
                </w:p>
              </w:tc>
            </w:tr>
            <w:tr w14:paraId="06A1EA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1884882F">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71C0851C">
                  <w:pPr>
                    <w:widowControl w:val="0"/>
                    <w:tabs>
                      <w:tab w:val="left" w:pos="780"/>
                    </w:tabs>
                    <w:kinsoku w:val="0"/>
                    <w:overflowPunct w:val="0"/>
                    <w:autoSpaceDE w:val="0"/>
                    <w:autoSpaceDN w:val="0"/>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ascii="Times New Roman" w:hAnsi="Times New Roman" w:cs="Times New Roman"/>
                      <w:color w:val="auto"/>
                      <w:sz w:val="21"/>
                      <w:szCs w:val="21"/>
                    </w:rPr>
                    <w:t>渣浆泵</w:t>
                  </w:r>
                </w:p>
              </w:tc>
              <w:tc>
                <w:tcPr>
                  <w:tcW w:w="2328" w:type="pct"/>
                  <w:tcBorders>
                    <w:tl2br w:val="nil"/>
                    <w:tr2bl w:val="nil"/>
                  </w:tcBorders>
                  <w:noWrap/>
                  <w:vAlign w:val="center"/>
                </w:tcPr>
                <w:p w14:paraId="117ED984">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耐腐蚀液下泵65HYU-40-20</w:t>
                  </w:r>
                </w:p>
              </w:tc>
              <w:tc>
                <w:tcPr>
                  <w:tcW w:w="345" w:type="pct"/>
                  <w:tcBorders>
                    <w:tl2br w:val="nil"/>
                    <w:tr2bl w:val="nil"/>
                  </w:tcBorders>
                  <w:noWrap/>
                  <w:vAlign w:val="center"/>
                </w:tcPr>
                <w:p w14:paraId="12D73A97">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8</w:t>
                  </w:r>
                </w:p>
              </w:tc>
              <w:tc>
                <w:tcPr>
                  <w:tcW w:w="345" w:type="pct"/>
                  <w:tcBorders>
                    <w:tl2br w:val="nil"/>
                    <w:tr2bl w:val="nil"/>
                  </w:tcBorders>
                  <w:noWrap/>
                  <w:vAlign w:val="center"/>
                </w:tcPr>
                <w:p w14:paraId="7F419EBF">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台</w:t>
                  </w:r>
                </w:p>
              </w:tc>
              <w:tc>
                <w:tcPr>
                  <w:tcW w:w="552" w:type="pct"/>
                  <w:vMerge w:val="continue"/>
                  <w:tcBorders>
                    <w:tl2br w:val="nil"/>
                    <w:tr2bl w:val="nil"/>
                  </w:tcBorders>
                  <w:noWrap/>
                  <w:vAlign w:val="center"/>
                </w:tcPr>
                <w:p w14:paraId="0379F7AB">
                  <w:pPr>
                    <w:widowControl w:val="0"/>
                    <w:tabs>
                      <w:tab w:val="left" w:pos="780"/>
                    </w:tabs>
                    <w:kinsoku w:val="0"/>
                    <w:overflowPunct w:val="0"/>
                    <w:autoSpaceDE w:val="0"/>
                    <w:autoSpaceDN w:val="0"/>
                    <w:adjustRightInd w:val="0"/>
                    <w:snapToGrid w:val="0"/>
                    <w:jc w:val="center"/>
                    <w:rPr>
                      <w:rFonts w:ascii="Times New Roman" w:hAnsi="Times New Roman" w:cs="Times New Roman"/>
                      <w:color w:val="auto"/>
                      <w:sz w:val="21"/>
                      <w:szCs w:val="21"/>
                    </w:rPr>
                  </w:pPr>
                </w:p>
              </w:tc>
            </w:tr>
            <w:tr w14:paraId="04339D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118FF3BC">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006822E8">
                  <w:pPr>
                    <w:widowControl w:val="0"/>
                    <w:tabs>
                      <w:tab w:val="left" w:pos="780"/>
                    </w:tabs>
                    <w:kinsoku w:val="0"/>
                    <w:overflowPunct w:val="0"/>
                    <w:autoSpaceDE w:val="0"/>
                    <w:autoSpaceDN w:val="0"/>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ascii="Times New Roman" w:hAnsi="Times New Roman" w:cs="Times New Roman"/>
                      <w:color w:val="auto"/>
                      <w:sz w:val="21"/>
                      <w:szCs w:val="21"/>
                    </w:rPr>
                    <w:t>出料泵</w:t>
                  </w:r>
                </w:p>
              </w:tc>
              <w:tc>
                <w:tcPr>
                  <w:tcW w:w="2328" w:type="pct"/>
                  <w:tcBorders>
                    <w:tl2br w:val="nil"/>
                    <w:tr2bl w:val="nil"/>
                  </w:tcBorders>
                  <w:noWrap/>
                  <w:vAlign w:val="center"/>
                </w:tcPr>
                <w:p w14:paraId="7E8D24C7">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耐腐蚀液下泵65HYU-40-20</w:t>
                  </w:r>
                </w:p>
              </w:tc>
              <w:tc>
                <w:tcPr>
                  <w:tcW w:w="345" w:type="pct"/>
                  <w:tcBorders>
                    <w:tl2br w:val="nil"/>
                    <w:tr2bl w:val="nil"/>
                  </w:tcBorders>
                  <w:noWrap/>
                  <w:vAlign w:val="center"/>
                </w:tcPr>
                <w:p w14:paraId="1163CA93">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8</w:t>
                  </w:r>
                </w:p>
              </w:tc>
              <w:tc>
                <w:tcPr>
                  <w:tcW w:w="345" w:type="pct"/>
                  <w:tcBorders>
                    <w:tl2br w:val="nil"/>
                    <w:tr2bl w:val="nil"/>
                  </w:tcBorders>
                  <w:noWrap/>
                  <w:vAlign w:val="center"/>
                </w:tcPr>
                <w:p w14:paraId="4AEA16C8">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台</w:t>
                  </w:r>
                </w:p>
              </w:tc>
              <w:tc>
                <w:tcPr>
                  <w:tcW w:w="552" w:type="pct"/>
                  <w:vMerge w:val="continue"/>
                  <w:tcBorders>
                    <w:tl2br w:val="nil"/>
                    <w:tr2bl w:val="nil"/>
                  </w:tcBorders>
                  <w:noWrap/>
                  <w:vAlign w:val="center"/>
                </w:tcPr>
                <w:p w14:paraId="1403C742">
                  <w:pPr>
                    <w:widowControl w:val="0"/>
                    <w:tabs>
                      <w:tab w:val="left" w:pos="780"/>
                    </w:tabs>
                    <w:kinsoku w:val="0"/>
                    <w:overflowPunct w:val="0"/>
                    <w:autoSpaceDE w:val="0"/>
                    <w:autoSpaceDN w:val="0"/>
                    <w:adjustRightInd w:val="0"/>
                    <w:snapToGrid w:val="0"/>
                    <w:jc w:val="center"/>
                    <w:rPr>
                      <w:rFonts w:ascii="Times New Roman" w:hAnsi="Times New Roman" w:cs="Times New Roman"/>
                      <w:color w:val="auto"/>
                      <w:sz w:val="21"/>
                      <w:szCs w:val="21"/>
                    </w:rPr>
                  </w:pPr>
                </w:p>
              </w:tc>
            </w:tr>
            <w:tr w14:paraId="3B963D4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24077F33">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519EB036">
                  <w:pPr>
                    <w:widowControl w:val="0"/>
                    <w:tabs>
                      <w:tab w:val="left" w:pos="780"/>
                    </w:tabs>
                    <w:kinsoku w:val="0"/>
                    <w:overflowPunct w:val="0"/>
                    <w:autoSpaceDE w:val="0"/>
                    <w:autoSpaceDN w:val="0"/>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ascii="Times New Roman" w:hAnsi="Times New Roman" w:cs="Times New Roman"/>
                      <w:color w:val="auto"/>
                      <w:sz w:val="21"/>
                      <w:szCs w:val="21"/>
                    </w:rPr>
                    <w:t>循环水泵</w:t>
                  </w:r>
                </w:p>
              </w:tc>
              <w:tc>
                <w:tcPr>
                  <w:tcW w:w="2328" w:type="pct"/>
                  <w:tcBorders>
                    <w:tl2br w:val="nil"/>
                    <w:tr2bl w:val="nil"/>
                  </w:tcBorders>
                  <w:noWrap/>
                  <w:vAlign w:val="center"/>
                </w:tcPr>
                <w:p w14:paraId="68453D20">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铸铁离心泵25GC-6×6</w:t>
                  </w:r>
                </w:p>
              </w:tc>
              <w:tc>
                <w:tcPr>
                  <w:tcW w:w="345" w:type="pct"/>
                  <w:tcBorders>
                    <w:tl2br w:val="nil"/>
                    <w:tr2bl w:val="nil"/>
                  </w:tcBorders>
                  <w:noWrap/>
                  <w:vAlign w:val="center"/>
                </w:tcPr>
                <w:p w14:paraId="57C848DF">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8</w:t>
                  </w:r>
                </w:p>
              </w:tc>
              <w:tc>
                <w:tcPr>
                  <w:tcW w:w="345" w:type="pct"/>
                  <w:tcBorders>
                    <w:tl2br w:val="nil"/>
                    <w:tr2bl w:val="nil"/>
                  </w:tcBorders>
                  <w:noWrap/>
                  <w:vAlign w:val="center"/>
                </w:tcPr>
                <w:p w14:paraId="507BAC02">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台</w:t>
                  </w:r>
                </w:p>
              </w:tc>
              <w:tc>
                <w:tcPr>
                  <w:tcW w:w="552" w:type="pct"/>
                  <w:vMerge w:val="continue"/>
                  <w:tcBorders>
                    <w:tl2br w:val="nil"/>
                    <w:tr2bl w:val="nil"/>
                  </w:tcBorders>
                  <w:noWrap/>
                  <w:vAlign w:val="center"/>
                </w:tcPr>
                <w:p w14:paraId="36CD527C">
                  <w:pPr>
                    <w:widowControl w:val="0"/>
                    <w:tabs>
                      <w:tab w:val="left" w:pos="780"/>
                    </w:tabs>
                    <w:kinsoku w:val="0"/>
                    <w:overflowPunct w:val="0"/>
                    <w:autoSpaceDE w:val="0"/>
                    <w:autoSpaceDN w:val="0"/>
                    <w:adjustRightInd w:val="0"/>
                    <w:snapToGrid w:val="0"/>
                    <w:jc w:val="center"/>
                    <w:rPr>
                      <w:rFonts w:ascii="Times New Roman" w:hAnsi="Times New Roman" w:cs="Times New Roman"/>
                      <w:color w:val="auto"/>
                      <w:sz w:val="21"/>
                      <w:szCs w:val="21"/>
                    </w:rPr>
                  </w:pPr>
                </w:p>
              </w:tc>
            </w:tr>
            <w:tr w14:paraId="0381F0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5AD9C0D4">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1DC1514D">
                  <w:pPr>
                    <w:widowControl w:val="0"/>
                    <w:tabs>
                      <w:tab w:val="left" w:pos="780"/>
                    </w:tabs>
                    <w:kinsoku w:val="0"/>
                    <w:overflowPunct w:val="0"/>
                    <w:autoSpaceDE w:val="0"/>
                    <w:autoSpaceDN w:val="0"/>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ascii="Times New Roman" w:hAnsi="Times New Roman" w:cs="Times New Roman"/>
                      <w:color w:val="auto"/>
                      <w:sz w:val="21"/>
                      <w:szCs w:val="21"/>
                    </w:rPr>
                    <w:t>板框压滤机</w:t>
                  </w:r>
                </w:p>
              </w:tc>
              <w:tc>
                <w:tcPr>
                  <w:tcW w:w="2328" w:type="pct"/>
                  <w:tcBorders>
                    <w:tl2br w:val="nil"/>
                    <w:tr2bl w:val="nil"/>
                  </w:tcBorders>
                  <w:noWrap/>
                  <w:vAlign w:val="center"/>
                </w:tcPr>
                <w:p w14:paraId="19B917E7">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厢式压滤机XMY200/1250</w:t>
                  </w:r>
                </w:p>
              </w:tc>
              <w:tc>
                <w:tcPr>
                  <w:tcW w:w="345" w:type="pct"/>
                  <w:tcBorders>
                    <w:tl2br w:val="nil"/>
                    <w:tr2bl w:val="nil"/>
                  </w:tcBorders>
                  <w:noWrap/>
                  <w:vAlign w:val="center"/>
                </w:tcPr>
                <w:p w14:paraId="020A63A9">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4</w:t>
                  </w:r>
                </w:p>
              </w:tc>
              <w:tc>
                <w:tcPr>
                  <w:tcW w:w="345" w:type="pct"/>
                  <w:tcBorders>
                    <w:tl2br w:val="nil"/>
                    <w:tr2bl w:val="nil"/>
                  </w:tcBorders>
                  <w:noWrap/>
                  <w:vAlign w:val="center"/>
                </w:tcPr>
                <w:p w14:paraId="1A7A3C7B">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台</w:t>
                  </w:r>
                </w:p>
              </w:tc>
              <w:tc>
                <w:tcPr>
                  <w:tcW w:w="552" w:type="pct"/>
                  <w:vMerge w:val="continue"/>
                  <w:tcBorders>
                    <w:tl2br w:val="nil"/>
                    <w:tr2bl w:val="nil"/>
                  </w:tcBorders>
                  <w:noWrap/>
                  <w:vAlign w:val="center"/>
                </w:tcPr>
                <w:p w14:paraId="55ADAED9">
                  <w:pPr>
                    <w:widowControl w:val="0"/>
                    <w:tabs>
                      <w:tab w:val="left" w:pos="780"/>
                    </w:tabs>
                    <w:kinsoku w:val="0"/>
                    <w:overflowPunct w:val="0"/>
                    <w:autoSpaceDE w:val="0"/>
                    <w:autoSpaceDN w:val="0"/>
                    <w:adjustRightInd w:val="0"/>
                    <w:snapToGrid w:val="0"/>
                    <w:jc w:val="center"/>
                    <w:rPr>
                      <w:rFonts w:ascii="Times New Roman" w:hAnsi="Times New Roman" w:cs="Times New Roman"/>
                      <w:color w:val="auto"/>
                      <w:sz w:val="21"/>
                      <w:szCs w:val="21"/>
                    </w:rPr>
                  </w:pPr>
                </w:p>
              </w:tc>
            </w:tr>
            <w:tr w14:paraId="69A89D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noWrap/>
                  <w:vAlign w:val="center"/>
                </w:tcPr>
                <w:p w14:paraId="1EA57BA7">
                  <w:pPr>
                    <w:keepNext w:val="0"/>
                    <w:keepLines/>
                    <w:pageBreakBefore w:val="0"/>
                    <w:widowControl w:val="0"/>
                    <w:numPr>
                      <w:ilvl w:val="0"/>
                      <w:numId w:val="2"/>
                    </w:numPr>
                    <w:kinsoku/>
                    <w:wordWrap/>
                    <w:overflowPunct w:val="0"/>
                    <w:topLinePunct w:val="0"/>
                    <w:autoSpaceDE/>
                    <w:autoSpaceDN/>
                    <w:bidi w:val="0"/>
                    <w:adjustRightInd w:val="0"/>
                    <w:snapToGrid w:val="0"/>
                    <w:spacing w:line="240" w:lineRule="auto"/>
                    <w:ind w:left="425" w:leftChars="0" w:hanging="425" w:firstLineChars="0"/>
                    <w:jc w:val="center"/>
                    <w:textAlignment w:val="auto"/>
                    <w:rPr>
                      <w:rFonts w:hint="eastAsia" w:cs="Times New Roman"/>
                      <w:b w:val="0"/>
                      <w:bCs/>
                      <w:color w:val="auto"/>
                      <w:sz w:val="21"/>
                      <w:szCs w:val="21"/>
                      <w:highlight w:val="none"/>
                      <w:lang w:val="en-US" w:eastAsia="zh-CN"/>
                    </w:rPr>
                  </w:pPr>
                </w:p>
              </w:tc>
              <w:tc>
                <w:tcPr>
                  <w:tcW w:w="1082" w:type="pct"/>
                  <w:tcBorders>
                    <w:tl2br w:val="nil"/>
                    <w:tr2bl w:val="nil"/>
                  </w:tcBorders>
                  <w:noWrap/>
                  <w:vAlign w:val="center"/>
                </w:tcPr>
                <w:p w14:paraId="29B6F772">
                  <w:pPr>
                    <w:widowControl w:val="0"/>
                    <w:tabs>
                      <w:tab w:val="left" w:pos="780"/>
                    </w:tabs>
                    <w:kinsoku w:val="0"/>
                    <w:overflowPunct w:val="0"/>
                    <w:autoSpaceDE w:val="0"/>
                    <w:autoSpaceDN w:val="0"/>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ascii="Times New Roman" w:hAnsi="Times New Roman" w:cs="Times New Roman"/>
                      <w:color w:val="auto"/>
                      <w:sz w:val="21"/>
                      <w:szCs w:val="21"/>
                    </w:rPr>
                    <w:t>喷雾干燥设备</w:t>
                  </w:r>
                </w:p>
              </w:tc>
              <w:tc>
                <w:tcPr>
                  <w:tcW w:w="2328" w:type="pct"/>
                  <w:tcBorders>
                    <w:tl2br w:val="nil"/>
                    <w:tr2bl w:val="nil"/>
                  </w:tcBorders>
                  <w:noWrap/>
                  <w:vAlign w:val="center"/>
                </w:tcPr>
                <w:p w14:paraId="74B965AA">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20kt/a喷雾干燥塔，LGZ-A高速离心喷雾干燥机</w:t>
                  </w:r>
                </w:p>
              </w:tc>
              <w:tc>
                <w:tcPr>
                  <w:tcW w:w="345" w:type="pct"/>
                  <w:tcBorders>
                    <w:tl2br w:val="nil"/>
                    <w:tr2bl w:val="nil"/>
                  </w:tcBorders>
                  <w:noWrap/>
                  <w:vAlign w:val="center"/>
                </w:tcPr>
                <w:p w14:paraId="533A4E04">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1</w:t>
                  </w:r>
                </w:p>
              </w:tc>
              <w:tc>
                <w:tcPr>
                  <w:tcW w:w="345" w:type="pct"/>
                  <w:tcBorders>
                    <w:tl2br w:val="nil"/>
                    <w:tr2bl w:val="nil"/>
                  </w:tcBorders>
                  <w:noWrap/>
                  <w:vAlign w:val="center"/>
                </w:tcPr>
                <w:p w14:paraId="1BC327BE">
                  <w:pPr>
                    <w:widowControl w:val="0"/>
                    <w:tabs>
                      <w:tab w:val="left" w:pos="780"/>
                    </w:tabs>
                    <w:kinsoku w:val="0"/>
                    <w:overflowPunct w:val="0"/>
                    <w:autoSpaceDE w:val="0"/>
                    <w:autoSpaceDN w:val="0"/>
                    <w:adjustRightInd w:val="0"/>
                    <w:snapToGrid w:val="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台</w:t>
                  </w:r>
                </w:p>
              </w:tc>
              <w:tc>
                <w:tcPr>
                  <w:tcW w:w="552" w:type="pct"/>
                  <w:vMerge w:val="continue"/>
                  <w:tcBorders>
                    <w:tl2br w:val="nil"/>
                    <w:tr2bl w:val="nil"/>
                  </w:tcBorders>
                  <w:noWrap/>
                  <w:vAlign w:val="center"/>
                </w:tcPr>
                <w:p w14:paraId="6F53136F">
                  <w:pPr>
                    <w:widowControl w:val="0"/>
                    <w:tabs>
                      <w:tab w:val="left" w:pos="780"/>
                    </w:tabs>
                    <w:kinsoku w:val="0"/>
                    <w:overflowPunct w:val="0"/>
                    <w:autoSpaceDE w:val="0"/>
                    <w:autoSpaceDN w:val="0"/>
                    <w:adjustRightInd w:val="0"/>
                    <w:snapToGrid w:val="0"/>
                    <w:jc w:val="center"/>
                    <w:rPr>
                      <w:rFonts w:ascii="Times New Roman" w:hAnsi="Times New Roman" w:cs="Times New Roman"/>
                      <w:color w:val="auto"/>
                      <w:sz w:val="21"/>
                      <w:szCs w:val="21"/>
                    </w:rPr>
                  </w:pPr>
                </w:p>
              </w:tc>
            </w:tr>
          </w:tbl>
          <w:p w14:paraId="79B27C38">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（8）</w:t>
            </w:r>
            <w:r>
              <w:rPr>
                <w:rFonts w:hint="default" w:ascii="Times New Roman" w:hAnsi="Times New Roman" w:eastAsia="宋体" w:cs="Times New Roman"/>
                <w:color w:val="auto"/>
                <w:kern w:val="2"/>
                <w:sz w:val="24"/>
                <w:szCs w:val="24"/>
                <w:lang w:val="en-US" w:eastAsia="zh-CN" w:bidi="ar-SA"/>
              </w:rPr>
              <w:t>主要原辅料</w:t>
            </w:r>
          </w:p>
          <w:p w14:paraId="683E8609">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本项目原辅材料见表2-</w:t>
            </w:r>
            <w:r>
              <w:rPr>
                <w:rFonts w:hint="eastAsia" w:cs="Times New Roman"/>
                <w:color w:val="auto"/>
                <w:kern w:val="2"/>
                <w:sz w:val="24"/>
                <w:szCs w:val="24"/>
                <w:lang w:val="en-US" w:eastAsia="zh-CN" w:bidi="ar-SA"/>
              </w:rPr>
              <w:t>5</w:t>
            </w:r>
            <w:r>
              <w:rPr>
                <w:rFonts w:hint="default" w:ascii="Times New Roman" w:hAnsi="Times New Roman" w:eastAsia="宋体" w:cs="Times New Roman"/>
                <w:color w:val="auto"/>
                <w:kern w:val="2"/>
                <w:sz w:val="24"/>
                <w:szCs w:val="24"/>
                <w:lang w:val="en-US" w:eastAsia="zh-CN" w:bidi="ar-SA"/>
              </w:rPr>
              <w:t>。</w:t>
            </w:r>
          </w:p>
          <w:p w14:paraId="1BE286C7">
            <w:pPr>
              <w:pStyle w:val="16"/>
              <w:keepNext w:val="0"/>
              <w:keepLines/>
              <w:pageBreakBefore w:val="0"/>
              <w:widowControl w:val="0"/>
              <w:kinsoku/>
              <w:wordWrap/>
              <w:overflowPunct/>
              <w:topLinePunct w:val="0"/>
              <w:autoSpaceDE/>
              <w:autoSpaceDN/>
              <w:bidi w:val="0"/>
              <w:adjustRightInd/>
              <w:snapToGrid/>
              <w:spacing w:line="480" w:lineRule="exact"/>
              <w:textAlignment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表2-</w:t>
            </w:r>
            <w:r>
              <w:rPr>
                <w:rFonts w:hint="eastAsia" w:eastAsia="宋体"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 xml:space="preserve">  原辅材料一览表</w:t>
            </w:r>
          </w:p>
          <w:tbl>
            <w:tblPr>
              <w:tblStyle w:val="10"/>
              <w:tblW w:w="7945"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04"/>
              <w:gridCol w:w="1612"/>
              <w:gridCol w:w="701"/>
              <w:gridCol w:w="810"/>
              <w:gridCol w:w="3015"/>
              <w:gridCol w:w="1103"/>
            </w:tblGrid>
            <w:tr w14:paraId="193A43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04" w:type="dxa"/>
                  <w:tcBorders>
                    <w:tl2br w:val="nil"/>
                    <w:tr2bl w:val="nil"/>
                  </w:tcBorders>
                  <w:noWrap/>
                  <w:vAlign w:val="center"/>
                </w:tcPr>
                <w:p w14:paraId="3B934959">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序号</w:t>
                  </w:r>
                </w:p>
              </w:tc>
              <w:tc>
                <w:tcPr>
                  <w:tcW w:w="1612" w:type="dxa"/>
                  <w:tcBorders>
                    <w:tl2br w:val="nil"/>
                    <w:tr2bl w:val="nil"/>
                  </w:tcBorders>
                  <w:noWrap/>
                  <w:vAlign w:val="center"/>
                </w:tcPr>
                <w:p w14:paraId="4FAEC2A3">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名称</w:t>
                  </w:r>
                </w:p>
              </w:tc>
              <w:tc>
                <w:tcPr>
                  <w:tcW w:w="701" w:type="dxa"/>
                  <w:tcBorders>
                    <w:tl2br w:val="nil"/>
                    <w:tr2bl w:val="nil"/>
                  </w:tcBorders>
                  <w:noWrap/>
                  <w:vAlign w:val="center"/>
                </w:tcPr>
                <w:p w14:paraId="6BD00E62">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单位</w:t>
                  </w:r>
                </w:p>
              </w:tc>
              <w:tc>
                <w:tcPr>
                  <w:tcW w:w="810" w:type="dxa"/>
                  <w:tcBorders>
                    <w:tl2br w:val="nil"/>
                    <w:tr2bl w:val="nil"/>
                  </w:tcBorders>
                  <w:noWrap/>
                  <w:vAlign w:val="center"/>
                </w:tcPr>
                <w:p w14:paraId="3C8FF78F">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数量</w:t>
                  </w:r>
                </w:p>
              </w:tc>
              <w:tc>
                <w:tcPr>
                  <w:tcW w:w="3015" w:type="dxa"/>
                  <w:tcBorders>
                    <w:tl2br w:val="nil"/>
                    <w:tr2bl w:val="nil"/>
                  </w:tcBorders>
                  <w:noWrap/>
                  <w:vAlign w:val="center"/>
                </w:tcPr>
                <w:p w14:paraId="435F515E">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来源</w:t>
                  </w:r>
                </w:p>
              </w:tc>
              <w:tc>
                <w:tcPr>
                  <w:tcW w:w="1103" w:type="dxa"/>
                  <w:tcBorders>
                    <w:tl2br w:val="nil"/>
                    <w:tr2bl w:val="nil"/>
                  </w:tcBorders>
                  <w:noWrap/>
                  <w:vAlign w:val="center"/>
                </w:tcPr>
                <w:p w14:paraId="61AC679D">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备注</w:t>
                  </w:r>
                </w:p>
              </w:tc>
            </w:tr>
            <w:tr w14:paraId="4D211D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704" w:type="dxa"/>
                  <w:tcBorders>
                    <w:tl2br w:val="nil"/>
                    <w:tr2bl w:val="nil"/>
                  </w:tcBorders>
                  <w:noWrap/>
                  <w:vAlign w:val="center"/>
                </w:tcPr>
                <w:p w14:paraId="5A65A12D">
                  <w:pPr>
                    <w:keepNext w:val="0"/>
                    <w:keepLines/>
                    <w:pageBreakBefore w:val="0"/>
                    <w:widowControl w:val="0"/>
                    <w:numPr>
                      <w:ilvl w:val="0"/>
                      <w:numId w:val="0"/>
                    </w:numPr>
                    <w:kinsoku/>
                    <w:wordWrap/>
                    <w:overflowPunct w:val="0"/>
                    <w:topLinePunct w:val="0"/>
                    <w:autoSpaceDE/>
                    <w:autoSpaceDN/>
                    <w:bidi w:val="0"/>
                    <w:adjustRightInd w:val="0"/>
                    <w:snapToGrid w:val="0"/>
                    <w:spacing w:line="240" w:lineRule="auto"/>
                    <w:ind w:leftChars="0"/>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w:t>
                  </w:r>
                </w:p>
              </w:tc>
              <w:tc>
                <w:tcPr>
                  <w:tcW w:w="1612" w:type="dxa"/>
                  <w:tcBorders>
                    <w:tl2br w:val="nil"/>
                    <w:tr2bl w:val="nil"/>
                  </w:tcBorders>
                  <w:noWrap/>
                  <w:vAlign w:val="center"/>
                </w:tcPr>
                <w:p w14:paraId="044DD086">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精煤</w:t>
                  </w:r>
                </w:p>
              </w:tc>
              <w:tc>
                <w:tcPr>
                  <w:tcW w:w="701" w:type="dxa"/>
                  <w:tcBorders>
                    <w:tl2br w:val="nil"/>
                    <w:tr2bl w:val="nil"/>
                  </w:tcBorders>
                  <w:noWrap/>
                  <w:vAlign w:val="center"/>
                </w:tcPr>
                <w:p w14:paraId="0E8BC7F0">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t</w:t>
                  </w:r>
                  <w:r>
                    <w:rPr>
                      <w:rFonts w:hint="eastAsia" w:ascii="Times New Roman" w:hAnsi="Times New Roman" w:eastAsia="宋体" w:cs="Times New Roman"/>
                      <w:b w:val="0"/>
                      <w:bCs/>
                      <w:color w:val="auto"/>
                      <w:sz w:val="21"/>
                      <w:szCs w:val="21"/>
                      <w:highlight w:val="none"/>
                      <w:lang w:val="en-US" w:eastAsia="zh-CN"/>
                    </w:rPr>
                    <w:t>/a</w:t>
                  </w:r>
                </w:p>
              </w:tc>
              <w:tc>
                <w:tcPr>
                  <w:tcW w:w="810" w:type="dxa"/>
                  <w:tcBorders>
                    <w:tl2br w:val="nil"/>
                    <w:tr2bl w:val="nil"/>
                  </w:tcBorders>
                  <w:noWrap/>
                  <w:vAlign w:val="center"/>
                </w:tcPr>
                <w:p w14:paraId="78C39B08">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3000</w:t>
                  </w:r>
                </w:p>
              </w:tc>
              <w:tc>
                <w:tcPr>
                  <w:tcW w:w="3015" w:type="dxa"/>
                  <w:tcBorders>
                    <w:tl2br w:val="nil"/>
                    <w:tr2bl w:val="nil"/>
                  </w:tcBorders>
                  <w:noWrap/>
                  <w:vAlign w:val="center"/>
                </w:tcPr>
                <w:p w14:paraId="049BB951">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外购</w:t>
                  </w:r>
                  <w:r>
                    <w:rPr>
                      <w:rFonts w:hint="eastAsia" w:cs="Times New Roman"/>
                      <w:b w:val="0"/>
                      <w:bCs/>
                      <w:color w:val="auto"/>
                      <w:sz w:val="21"/>
                      <w:szCs w:val="21"/>
                      <w:highlight w:val="none"/>
                      <w:lang w:val="en-US" w:eastAsia="zh-CN"/>
                    </w:rPr>
                    <w:t>周边洗煤厂</w:t>
                  </w:r>
                </w:p>
              </w:tc>
              <w:tc>
                <w:tcPr>
                  <w:tcW w:w="1103" w:type="dxa"/>
                  <w:vMerge w:val="restart"/>
                  <w:tcBorders>
                    <w:tl2br w:val="nil"/>
                    <w:tr2bl w:val="nil"/>
                  </w:tcBorders>
                  <w:noWrap/>
                  <w:vAlign w:val="center"/>
                </w:tcPr>
                <w:p w14:paraId="1DA4D00C">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新增</w:t>
                  </w:r>
                </w:p>
              </w:tc>
            </w:tr>
            <w:tr w14:paraId="47D67E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704" w:type="dxa"/>
                  <w:tcBorders>
                    <w:tl2br w:val="nil"/>
                    <w:tr2bl w:val="nil"/>
                  </w:tcBorders>
                  <w:noWrap/>
                  <w:vAlign w:val="center"/>
                </w:tcPr>
                <w:p w14:paraId="64A766A1">
                  <w:pPr>
                    <w:keepNext w:val="0"/>
                    <w:keepLines/>
                    <w:pageBreakBefore w:val="0"/>
                    <w:widowControl w:val="0"/>
                    <w:numPr>
                      <w:ilvl w:val="0"/>
                      <w:numId w:val="0"/>
                    </w:numPr>
                    <w:kinsoku/>
                    <w:wordWrap/>
                    <w:overflowPunct w:val="0"/>
                    <w:topLinePunct w:val="0"/>
                    <w:autoSpaceDE/>
                    <w:autoSpaceDN/>
                    <w:bidi w:val="0"/>
                    <w:adjustRightInd w:val="0"/>
                    <w:snapToGrid w:val="0"/>
                    <w:spacing w:line="240" w:lineRule="auto"/>
                    <w:ind w:leftChars="0"/>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2</w:t>
                  </w:r>
                </w:p>
              </w:tc>
              <w:tc>
                <w:tcPr>
                  <w:tcW w:w="1612" w:type="dxa"/>
                  <w:tcBorders>
                    <w:tl2br w:val="nil"/>
                    <w:tr2bl w:val="nil"/>
                  </w:tcBorders>
                  <w:noWrap/>
                  <w:vAlign w:val="center"/>
                </w:tcPr>
                <w:p w14:paraId="593FB83E">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脱硝剂（尿素）</w:t>
                  </w:r>
                </w:p>
              </w:tc>
              <w:tc>
                <w:tcPr>
                  <w:tcW w:w="701" w:type="dxa"/>
                  <w:tcBorders>
                    <w:tl2br w:val="nil"/>
                    <w:tr2bl w:val="nil"/>
                  </w:tcBorders>
                  <w:noWrap/>
                  <w:vAlign w:val="center"/>
                </w:tcPr>
                <w:p w14:paraId="5C4BCAE9">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t</w:t>
                  </w:r>
                  <w:r>
                    <w:rPr>
                      <w:rFonts w:hint="eastAsia" w:ascii="Times New Roman" w:hAnsi="Times New Roman" w:eastAsia="宋体" w:cs="Times New Roman"/>
                      <w:b w:val="0"/>
                      <w:bCs/>
                      <w:color w:val="auto"/>
                      <w:sz w:val="21"/>
                      <w:szCs w:val="21"/>
                      <w:highlight w:val="none"/>
                      <w:lang w:val="en-US" w:eastAsia="zh-CN"/>
                    </w:rPr>
                    <w:t>/a</w:t>
                  </w:r>
                </w:p>
              </w:tc>
              <w:tc>
                <w:tcPr>
                  <w:tcW w:w="810" w:type="dxa"/>
                  <w:tcBorders>
                    <w:tl2br w:val="nil"/>
                    <w:tr2bl w:val="nil"/>
                  </w:tcBorders>
                  <w:noWrap/>
                  <w:vAlign w:val="center"/>
                </w:tcPr>
                <w:p w14:paraId="4E0BB881">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12</w:t>
                  </w:r>
                </w:p>
              </w:tc>
              <w:tc>
                <w:tcPr>
                  <w:tcW w:w="3015" w:type="dxa"/>
                  <w:tcBorders>
                    <w:tl2br w:val="nil"/>
                    <w:tr2bl w:val="nil"/>
                  </w:tcBorders>
                  <w:noWrap/>
                  <w:vAlign w:val="center"/>
                </w:tcPr>
                <w:p w14:paraId="61FE1611">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外购袋装成品</w:t>
                  </w:r>
                </w:p>
              </w:tc>
              <w:tc>
                <w:tcPr>
                  <w:tcW w:w="1103" w:type="dxa"/>
                  <w:vMerge w:val="continue"/>
                  <w:tcBorders>
                    <w:tl2br w:val="nil"/>
                    <w:tr2bl w:val="nil"/>
                  </w:tcBorders>
                  <w:noWrap/>
                  <w:vAlign w:val="center"/>
                </w:tcPr>
                <w:p w14:paraId="0FD92336">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p>
              </w:tc>
            </w:tr>
            <w:tr w14:paraId="46C829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704" w:type="dxa"/>
                  <w:tcBorders>
                    <w:tl2br w:val="nil"/>
                    <w:tr2bl w:val="nil"/>
                  </w:tcBorders>
                  <w:noWrap/>
                  <w:vAlign w:val="center"/>
                </w:tcPr>
                <w:p w14:paraId="5B83CBB8">
                  <w:pPr>
                    <w:keepNext w:val="0"/>
                    <w:keepLines/>
                    <w:pageBreakBefore w:val="0"/>
                    <w:widowControl w:val="0"/>
                    <w:numPr>
                      <w:ilvl w:val="0"/>
                      <w:numId w:val="0"/>
                    </w:numPr>
                    <w:kinsoku/>
                    <w:wordWrap/>
                    <w:overflowPunct w:val="0"/>
                    <w:topLinePunct w:val="0"/>
                    <w:autoSpaceDE/>
                    <w:autoSpaceDN/>
                    <w:bidi w:val="0"/>
                    <w:adjustRightInd w:val="0"/>
                    <w:snapToGrid w:val="0"/>
                    <w:spacing w:line="240" w:lineRule="auto"/>
                    <w:ind w:leftChars="0"/>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3</w:t>
                  </w:r>
                </w:p>
              </w:tc>
              <w:tc>
                <w:tcPr>
                  <w:tcW w:w="1612" w:type="dxa"/>
                  <w:tcBorders>
                    <w:tl2br w:val="nil"/>
                    <w:tr2bl w:val="nil"/>
                  </w:tcBorders>
                  <w:noWrap/>
                  <w:vAlign w:val="center"/>
                </w:tcPr>
                <w:p w14:paraId="7037B341">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氢氧化钠</w:t>
                  </w:r>
                </w:p>
              </w:tc>
              <w:tc>
                <w:tcPr>
                  <w:tcW w:w="701" w:type="dxa"/>
                  <w:tcBorders>
                    <w:tl2br w:val="nil"/>
                    <w:tr2bl w:val="nil"/>
                  </w:tcBorders>
                  <w:noWrap/>
                  <w:vAlign w:val="center"/>
                </w:tcPr>
                <w:p w14:paraId="2D1BA69C">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t</w:t>
                  </w:r>
                  <w:r>
                    <w:rPr>
                      <w:rFonts w:hint="eastAsia" w:ascii="Times New Roman" w:hAnsi="Times New Roman" w:eastAsia="宋体" w:cs="Times New Roman"/>
                      <w:b w:val="0"/>
                      <w:bCs/>
                      <w:color w:val="auto"/>
                      <w:sz w:val="21"/>
                      <w:szCs w:val="21"/>
                      <w:highlight w:val="none"/>
                      <w:lang w:val="en-US" w:eastAsia="zh-CN"/>
                    </w:rPr>
                    <w:t>/a</w:t>
                  </w:r>
                </w:p>
              </w:tc>
              <w:tc>
                <w:tcPr>
                  <w:tcW w:w="810" w:type="dxa"/>
                  <w:tcBorders>
                    <w:tl2br w:val="nil"/>
                    <w:tr2bl w:val="nil"/>
                  </w:tcBorders>
                  <w:noWrap/>
                  <w:vAlign w:val="center"/>
                </w:tcPr>
                <w:p w14:paraId="22530BD0">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eastAsia" w:cs="Times New Roman"/>
                      <w:b w:val="0"/>
                      <w:bCs/>
                      <w:color w:val="auto"/>
                      <w:sz w:val="21"/>
                      <w:szCs w:val="21"/>
                      <w:highlight w:val="none"/>
                      <w:lang w:val="en-US" w:eastAsia="zh-CN"/>
                    </w:rPr>
                  </w:pPr>
                  <w:r>
                    <w:rPr>
                      <w:rFonts w:ascii="Times New Roman" w:hAnsi="Times New Roman" w:cs="Times New Roman"/>
                      <w:color w:val="auto"/>
                      <w:sz w:val="21"/>
                      <w:szCs w:val="21"/>
                    </w:rPr>
                    <w:t>30</w:t>
                  </w:r>
                </w:p>
              </w:tc>
              <w:tc>
                <w:tcPr>
                  <w:tcW w:w="3015" w:type="dxa"/>
                  <w:tcBorders>
                    <w:tl2br w:val="nil"/>
                    <w:tr2bl w:val="nil"/>
                  </w:tcBorders>
                  <w:noWrap/>
                  <w:vAlign w:val="center"/>
                </w:tcPr>
                <w:p w14:paraId="566B6CBD">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外购袋装成品</w:t>
                  </w:r>
                </w:p>
              </w:tc>
              <w:tc>
                <w:tcPr>
                  <w:tcW w:w="1103" w:type="dxa"/>
                  <w:tcBorders>
                    <w:tl2br w:val="nil"/>
                    <w:tr2bl w:val="nil"/>
                  </w:tcBorders>
                  <w:noWrap/>
                  <w:vAlign w:val="center"/>
                </w:tcPr>
                <w:p w14:paraId="51BB8935">
                  <w:pPr>
                    <w:keepNext w:val="0"/>
                    <w:keepLines/>
                    <w:pageBreakBefore w:val="0"/>
                    <w:widowControl w:val="0"/>
                    <w:kinsoku/>
                    <w:wordWrap/>
                    <w:overflowPunct w:val="0"/>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color w:val="auto"/>
                      <w:sz w:val="21"/>
                      <w:szCs w:val="21"/>
                      <w:lang w:val="en-US" w:eastAsia="zh-CN"/>
                    </w:rPr>
                    <w:t>依托现有</w:t>
                  </w:r>
                </w:p>
              </w:tc>
            </w:tr>
          </w:tbl>
          <w:p w14:paraId="16840E56">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燃料煤煤质成份见表2-6。</w:t>
            </w:r>
          </w:p>
          <w:p w14:paraId="0E675EAF">
            <w:pPr>
              <w:pStyle w:val="16"/>
              <w:keepNext w:val="0"/>
              <w:keepLines/>
              <w:pageBreakBefore w:val="0"/>
              <w:widowControl w:val="0"/>
              <w:kinsoku/>
              <w:wordWrap/>
              <w:overflowPunct/>
              <w:topLinePunct w:val="0"/>
              <w:autoSpaceDE/>
              <w:autoSpaceDN/>
              <w:bidi w:val="0"/>
              <w:adjustRightInd/>
              <w:snapToGrid/>
              <w:spacing w:line="480" w:lineRule="exact"/>
              <w:textAlignment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表2-</w:t>
            </w:r>
            <w:r>
              <w:rPr>
                <w:rFonts w:hint="eastAsia"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lang w:val="en-US" w:eastAsia="zh-CN"/>
              </w:rPr>
              <w:t xml:space="preserve">  燃料煤煤质成份表</w:t>
            </w:r>
          </w:p>
          <w:tbl>
            <w:tblPr>
              <w:tblStyle w:val="11"/>
              <w:tblW w:w="79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92"/>
              <w:gridCol w:w="1684"/>
              <w:gridCol w:w="1684"/>
              <w:gridCol w:w="1685"/>
            </w:tblGrid>
            <w:tr w14:paraId="42903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Align w:val="center"/>
                </w:tcPr>
                <w:p w14:paraId="4C9FE7BD">
                  <w:pPr>
                    <w:jc w:val="center"/>
                    <w:rPr>
                      <w:rFonts w:hint="default"/>
                      <w:color w:val="auto"/>
                      <w:vertAlign w:val="baseline"/>
                      <w:lang w:val="en-US" w:eastAsia="zh-CN"/>
                    </w:rPr>
                  </w:pPr>
                  <w:r>
                    <w:rPr>
                      <w:rFonts w:hint="eastAsia"/>
                      <w:color w:val="auto"/>
                      <w:vertAlign w:val="baseline"/>
                      <w:lang w:val="en-US" w:eastAsia="zh-CN"/>
                    </w:rPr>
                    <w:t>项目</w:t>
                  </w:r>
                </w:p>
              </w:tc>
              <w:tc>
                <w:tcPr>
                  <w:tcW w:w="1684" w:type="dxa"/>
                  <w:vAlign w:val="center"/>
                </w:tcPr>
                <w:p w14:paraId="4B099449">
                  <w:pPr>
                    <w:jc w:val="center"/>
                    <w:rPr>
                      <w:rFonts w:hint="default"/>
                      <w:color w:val="auto"/>
                      <w:vertAlign w:val="baseline"/>
                      <w:lang w:val="en-US" w:eastAsia="zh-CN"/>
                    </w:rPr>
                  </w:pPr>
                  <w:r>
                    <w:rPr>
                      <w:rFonts w:hint="eastAsia"/>
                      <w:color w:val="auto"/>
                      <w:vertAlign w:val="baseline"/>
                      <w:lang w:val="en-US" w:eastAsia="zh-CN"/>
                    </w:rPr>
                    <w:t>符合</w:t>
                  </w:r>
                </w:p>
              </w:tc>
              <w:tc>
                <w:tcPr>
                  <w:tcW w:w="1684" w:type="dxa"/>
                  <w:vAlign w:val="center"/>
                </w:tcPr>
                <w:p w14:paraId="5D29899E">
                  <w:pPr>
                    <w:jc w:val="center"/>
                    <w:rPr>
                      <w:rFonts w:hint="default"/>
                      <w:color w:val="auto"/>
                      <w:vertAlign w:val="baseline"/>
                      <w:lang w:val="en-US" w:eastAsia="zh-CN"/>
                    </w:rPr>
                  </w:pPr>
                  <w:r>
                    <w:rPr>
                      <w:rFonts w:hint="eastAsia"/>
                      <w:color w:val="auto"/>
                      <w:vertAlign w:val="baseline"/>
                      <w:lang w:val="en-US" w:eastAsia="zh-CN"/>
                    </w:rPr>
                    <w:t>单位</w:t>
                  </w:r>
                </w:p>
              </w:tc>
              <w:tc>
                <w:tcPr>
                  <w:tcW w:w="1685" w:type="dxa"/>
                  <w:vAlign w:val="center"/>
                </w:tcPr>
                <w:p w14:paraId="1DA72EF2">
                  <w:pPr>
                    <w:jc w:val="center"/>
                    <w:rPr>
                      <w:rFonts w:hint="default"/>
                      <w:color w:val="auto"/>
                      <w:vertAlign w:val="baseline"/>
                      <w:lang w:val="en-US" w:eastAsia="zh-CN"/>
                    </w:rPr>
                  </w:pPr>
                  <w:r>
                    <w:rPr>
                      <w:rFonts w:hint="eastAsia"/>
                      <w:color w:val="auto"/>
                      <w:vertAlign w:val="baseline"/>
                      <w:lang w:val="en-US" w:eastAsia="zh-CN"/>
                    </w:rPr>
                    <w:t>指数</w:t>
                  </w:r>
                </w:p>
              </w:tc>
            </w:tr>
            <w:tr w14:paraId="627DD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Align w:val="center"/>
                </w:tcPr>
                <w:p w14:paraId="1C1919CD">
                  <w:pPr>
                    <w:jc w:val="center"/>
                    <w:rPr>
                      <w:rFonts w:hint="default"/>
                      <w:color w:val="auto"/>
                      <w:vertAlign w:val="baseline"/>
                      <w:lang w:val="en-US" w:eastAsia="zh-CN"/>
                    </w:rPr>
                  </w:pPr>
                  <w:r>
                    <w:rPr>
                      <w:rFonts w:hint="eastAsia"/>
                      <w:color w:val="auto"/>
                      <w:vertAlign w:val="baseline"/>
                      <w:lang w:val="en-US" w:eastAsia="zh-CN"/>
                    </w:rPr>
                    <w:t>全水</w:t>
                  </w:r>
                </w:p>
              </w:tc>
              <w:tc>
                <w:tcPr>
                  <w:tcW w:w="1684" w:type="dxa"/>
                  <w:vAlign w:val="center"/>
                </w:tcPr>
                <w:p w14:paraId="2911892F">
                  <w:pPr>
                    <w:jc w:val="center"/>
                    <w:rPr>
                      <w:rFonts w:hint="default"/>
                      <w:color w:val="auto"/>
                      <w:lang w:val="en-US" w:eastAsia="zh-CN"/>
                    </w:rPr>
                  </w:pPr>
                  <w:r>
                    <w:rPr>
                      <w:rFonts w:hint="eastAsia"/>
                      <w:color w:val="auto"/>
                      <w:lang w:val="en-US" w:eastAsia="zh-CN"/>
                    </w:rPr>
                    <w:t>Mt</w:t>
                  </w:r>
                </w:p>
              </w:tc>
              <w:tc>
                <w:tcPr>
                  <w:tcW w:w="1684" w:type="dxa"/>
                  <w:vAlign w:val="center"/>
                </w:tcPr>
                <w:p w14:paraId="1B4C3B10">
                  <w:pPr>
                    <w:jc w:val="center"/>
                    <w:rPr>
                      <w:rFonts w:hint="default"/>
                      <w:color w:val="auto"/>
                      <w:vertAlign w:val="baseline"/>
                      <w:lang w:val="en-US" w:eastAsia="zh-CN"/>
                    </w:rPr>
                  </w:pPr>
                  <w:r>
                    <w:rPr>
                      <w:rFonts w:hint="eastAsia"/>
                      <w:color w:val="auto"/>
                      <w:vertAlign w:val="baseline"/>
                      <w:lang w:val="en-US" w:eastAsia="zh-CN"/>
                    </w:rPr>
                    <w:t>%</w:t>
                  </w:r>
                </w:p>
              </w:tc>
              <w:tc>
                <w:tcPr>
                  <w:tcW w:w="1685" w:type="dxa"/>
                  <w:vAlign w:val="center"/>
                </w:tcPr>
                <w:p w14:paraId="1B1F5E5C">
                  <w:pPr>
                    <w:jc w:val="center"/>
                    <w:rPr>
                      <w:rFonts w:hint="default"/>
                      <w:color w:val="auto"/>
                      <w:vertAlign w:val="baseline"/>
                      <w:lang w:val="en-US" w:eastAsia="zh-CN"/>
                    </w:rPr>
                  </w:pPr>
                  <w:r>
                    <w:rPr>
                      <w:rFonts w:hint="eastAsia"/>
                      <w:color w:val="auto"/>
                      <w:vertAlign w:val="baseline"/>
                      <w:lang w:val="en-US" w:eastAsia="zh-CN"/>
                    </w:rPr>
                    <w:t>16.11</w:t>
                  </w:r>
                </w:p>
              </w:tc>
            </w:tr>
            <w:tr w14:paraId="15039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Align w:val="center"/>
                </w:tcPr>
                <w:p w14:paraId="2931B468">
                  <w:pPr>
                    <w:jc w:val="center"/>
                    <w:rPr>
                      <w:rFonts w:hint="default"/>
                      <w:color w:val="auto"/>
                      <w:vertAlign w:val="baseline"/>
                      <w:lang w:val="en-US" w:eastAsia="zh-CN"/>
                    </w:rPr>
                  </w:pPr>
                  <w:r>
                    <w:rPr>
                      <w:rFonts w:hint="eastAsia"/>
                      <w:color w:val="auto"/>
                      <w:vertAlign w:val="baseline"/>
                      <w:lang w:val="en-US" w:eastAsia="zh-CN"/>
                    </w:rPr>
                    <w:t>空气干燥基水分</w:t>
                  </w:r>
                </w:p>
              </w:tc>
              <w:tc>
                <w:tcPr>
                  <w:tcW w:w="1684" w:type="dxa"/>
                  <w:vAlign w:val="center"/>
                </w:tcPr>
                <w:p w14:paraId="0A146D5A">
                  <w:pPr>
                    <w:jc w:val="center"/>
                    <w:rPr>
                      <w:rFonts w:hint="default"/>
                      <w:color w:val="auto"/>
                      <w:vertAlign w:val="baseline"/>
                      <w:lang w:val="en-US" w:eastAsia="zh-CN"/>
                    </w:rPr>
                  </w:pPr>
                  <w:r>
                    <w:rPr>
                      <w:rFonts w:hint="eastAsia"/>
                      <w:color w:val="auto"/>
                      <w:vertAlign w:val="baseline"/>
                      <w:lang w:val="en-US" w:eastAsia="zh-CN"/>
                    </w:rPr>
                    <w:t>Mad</w:t>
                  </w:r>
                </w:p>
              </w:tc>
              <w:tc>
                <w:tcPr>
                  <w:tcW w:w="1684" w:type="dxa"/>
                  <w:vAlign w:val="center"/>
                </w:tcPr>
                <w:p w14:paraId="59741EB4">
                  <w:pPr>
                    <w:jc w:val="center"/>
                    <w:rPr>
                      <w:rFonts w:hint="default"/>
                      <w:color w:val="auto"/>
                      <w:vertAlign w:val="baseline"/>
                      <w:lang w:val="en-US" w:eastAsia="zh-CN"/>
                    </w:rPr>
                  </w:pPr>
                  <w:r>
                    <w:rPr>
                      <w:rFonts w:hint="eastAsia"/>
                      <w:color w:val="auto"/>
                      <w:vertAlign w:val="baseline"/>
                      <w:lang w:val="en-US" w:eastAsia="zh-CN"/>
                    </w:rPr>
                    <w:t>%</w:t>
                  </w:r>
                </w:p>
              </w:tc>
              <w:tc>
                <w:tcPr>
                  <w:tcW w:w="1685" w:type="dxa"/>
                  <w:vAlign w:val="center"/>
                </w:tcPr>
                <w:p w14:paraId="28A8DD73">
                  <w:pPr>
                    <w:jc w:val="center"/>
                    <w:rPr>
                      <w:rFonts w:hint="default"/>
                      <w:color w:val="auto"/>
                      <w:vertAlign w:val="baseline"/>
                      <w:lang w:val="en-US" w:eastAsia="zh-CN"/>
                    </w:rPr>
                  </w:pPr>
                  <w:r>
                    <w:rPr>
                      <w:rFonts w:hint="eastAsia"/>
                      <w:color w:val="auto"/>
                      <w:vertAlign w:val="baseline"/>
                      <w:lang w:val="en-US" w:eastAsia="zh-CN"/>
                    </w:rPr>
                    <w:t>4.17</w:t>
                  </w:r>
                </w:p>
              </w:tc>
            </w:tr>
            <w:tr w14:paraId="49091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Align w:val="center"/>
                </w:tcPr>
                <w:p w14:paraId="1B979593">
                  <w:pPr>
                    <w:jc w:val="center"/>
                    <w:rPr>
                      <w:rFonts w:hint="default"/>
                      <w:color w:val="auto"/>
                      <w:vertAlign w:val="baseline"/>
                      <w:lang w:val="en-US" w:eastAsia="zh-CN"/>
                    </w:rPr>
                  </w:pPr>
                  <w:r>
                    <w:rPr>
                      <w:rFonts w:hint="eastAsia"/>
                      <w:color w:val="auto"/>
                      <w:vertAlign w:val="baseline"/>
                      <w:lang w:val="en-US" w:eastAsia="zh-CN"/>
                    </w:rPr>
                    <w:t>收到基全硫</w:t>
                  </w:r>
                </w:p>
              </w:tc>
              <w:tc>
                <w:tcPr>
                  <w:tcW w:w="1684" w:type="dxa"/>
                  <w:vAlign w:val="center"/>
                </w:tcPr>
                <w:p w14:paraId="70518475">
                  <w:pPr>
                    <w:jc w:val="center"/>
                    <w:rPr>
                      <w:rFonts w:hint="default"/>
                      <w:color w:val="auto"/>
                      <w:vertAlign w:val="baseline"/>
                      <w:lang w:val="en-US" w:eastAsia="zh-CN"/>
                    </w:rPr>
                  </w:pPr>
                  <w:r>
                    <w:rPr>
                      <w:rFonts w:hint="eastAsia"/>
                      <w:color w:val="auto"/>
                      <w:vertAlign w:val="baseline"/>
                      <w:lang w:val="en-US" w:eastAsia="zh-CN"/>
                    </w:rPr>
                    <w:t>St，ar</w:t>
                  </w:r>
                </w:p>
              </w:tc>
              <w:tc>
                <w:tcPr>
                  <w:tcW w:w="1684" w:type="dxa"/>
                  <w:vAlign w:val="center"/>
                </w:tcPr>
                <w:p w14:paraId="120D0A18">
                  <w:pPr>
                    <w:jc w:val="center"/>
                    <w:rPr>
                      <w:rFonts w:hint="default"/>
                      <w:color w:val="auto"/>
                      <w:vertAlign w:val="baseline"/>
                      <w:lang w:val="en-US" w:eastAsia="zh-CN"/>
                    </w:rPr>
                  </w:pPr>
                  <w:r>
                    <w:rPr>
                      <w:rFonts w:hint="eastAsia"/>
                      <w:color w:val="auto"/>
                      <w:vertAlign w:val="baseline"/>
                      <w:lang w:val="en-US" w:eastAsia="zh-CN"/>
                    </w:rPr>
                    <w:t>%</w:t>
                  </w:r>
                </w:p>
              </w:tc>
              <w:tc>
                <w:tcPr>
                  <w:tcW w:w="1685" w:type="dxa"/>
                  <w:vAlign w:val="center"/>
                </w:tcPr>
                <w:p w14:paraId="41875FF8">
                  <w:pPr>
                    <w:jc w:val="center"/>
                    <w:rPr>
                      <w:rFonts w:hint="default"/>
                      <w:color w:val="auto"/>
                      <w:vertAlign w:val="baseline"/>
                      <w:lang w:val="en-US" w:eastAsia="zh-CN"/>
                    </w:rPr>
                  </w:pPr>
                  <w:r>
                    <w:rPr>
                      <w:rFonts w:hint="eastAsia"/>
                      <w:color w:val="auto"/>
                      <w:vertAlign w:val="baseline"/>
                      <w:lang w:val="en-US" w:eastAsia="zh-CN"/>
                    </w:rPr>
                    <w:t>0.25</w:t>
                  </w:r>
                </w:p>
              </w:tc>
            </w:tr>
            <w:tr w14:paraId="39AF7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Align w:val="center"/>
                </w:tcPr>
                <w:p w14:paraId="1666143A">
                  <w:pPr>
                    <w:jc w:val="center"/>
                    <w:rPr>
                      <w:rFonts w:hint="default"/>
                      <w:color w:val="auto"/>
                      <w:vertAlign w:val="baseline"/>
                      <w:lang w:val="en-US" w:eastAsia="zh-CN"/>
                    </w:rPr>
                  </w:pPr>
                  <w:r>
                    <w:rPr>
                      <w:rFonts w:hint="eastAsia"/>
                      <w:color w:val="auto"/>
                      <w:vertAlign w:val="baseline"/>
                      <w:lang w:val="en-US" w:eastAsia="zh-CN"/>
                    </w:rPr>
                    <w:t>空气干燥基全硫</w:t>
                  </w:r>
                </w:p>
              </w:tc>
              <w:tc>
                <w:tcPr>
                  <w:tcW w:w="1684" w:type="dxa"/>
                  <w:vAlign w:val="center"/>
                </w:tcPr>
                <w:p w14:paraId="558A3024">
                  <w:pPr>
                    <w:jc w:val="center"/>
                    <w:rPr>
                      <w:rFonts w:hint="default"/>
                      <w:color w:val="auto"/>
                      <w:lang w:val="en-US" w:eastAsia="zh-CN"/>
                    </w:rPr>
                  </w:pPr>
                  <w:r>
                    <w:rPr>
                      <w:rFonts w:hint="eastAsia"/>
                      <w:color w:val="auto"/>
                      <w:lang w:val="en-US" w:eastAsia="zh-CN"/>
                    </w:rPr>
                    <w:t>St，ad</w:t>
                  </w:r>
                </w:p>
              </w:tc>
              <w:tc>
                <w:tcPr>
                  <w:tcW w:w="1684" w:type="dxa"/>
                  <w:vAlign w:val="center"/>
                </w:tcPr>
                <w:p w14:paraId="04E50237">
                  <w:pPr>
                    <w:jc w:val="center"/>
                    <w:rPr>
                      <w:rFonts w:hint="default"/>
                      <w:color w:val="auto"/>
                      <w:vertAlign w:val="baseline"/>
                      <w:lang w:val="en-US" w:eastAsia="zh-CN"/>
                    </w:rPr>
                  </w:pPr>
                  <w:r>
                    <w:rPr>
                      <w:rFonts w:hint="eastAsia"/>
                      <w:color w:val="auto"/>
                      <w:vertAlign w:val="baseline"/>
                      <w:lang w:val="en-US" w:eastAsia="zh-CN"/>
                    </w:rPr>
                    <w:t>%</w:t>
                  </w:r>
                </w:p>
              </w:tc>
              <w:tc>
                <w:tcPr>
                  <w:tcW w:w="1685" w:type="dxa"/>
                  <w:vAlign w:val="center"/>
                </w:tcPr>
                <w:p w14:paraId="3B6B0A5B">
                  <w:pPr>
                    <w:jc w:val="center"/>
                    <w:rPr>
                      <w:rFonts w:hint="default"/>
                      <w:color w:val="auto"/>
                      <w:vertAlign w:val="baseline"/>
                      <w:lang w:val="en-US" w:eastAsia="zh-CN"/>
                    </w:rPr>
                  </w:pPr>
                  <w:r>
                    <w:rPr>
                      <w:rFonts w:hint="eastAsia"/>
                      <w:color w:val="auto"/>
                      <w:vertAlign w:val="baseline"/>
                      <w:lang w:val="en-US" w:eastAsia="zh-CN"/>
                    </w:rPr>
                    <w:t>0.29</w:t>
                  </w:r>
                </w:p>
              </w:tc>
            </w:tr>
            <w:tr w14:paraId="41F7B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Align w:val="center"/>
                </w:tcPr>
                <w:p w14:paraId="3C4112B4">
                  <w:pPr>
                    <w:jc w:val="center"/>
                    <w:rPr>
                      <w:rFonts w:hint="default"/>
                      <w:color w:val="auto"/>
                      <w:vertAlign w:val="baseline"/>
                      <w:lang w:val="en-US" w:eastAsia="zh-CN"/>
                    </w:rPr>
                  </w:pPr>
                  <w:r>
                    <w:rPr>
                      <w:rFonts w:hint="eastAsia"/>
                      <w:color w:val="auto"/>
                      <w:vertAlign w:val="baseline"/>
                      <w:lang w:val="en-US" w:eastAsia="zh-CN"/>
                    </w:rPr>
                    <w:t>干基全硫</w:t>
                  </w:r>
                </w:p>
              </w:tc>
              <w:tc>
                <w:tcPr>
                  <w:tcW w:w="1684" w:type="dxa"/>
                  <w:vAlign w:val="center"/>
                </w:tcPr>
                <w:p w14:paraId="6FE2FA85">
                  <w:pPr>
                    <w:jc w:val="center"/>
                    <w:rPr>
                      <w:rFonts w:hint="default"/>
                      <w:color w:val="auto"/>
                      <w:vertAlign w:val="baseline"/>
                      <w:lang w:val="en-US" w:eastAsia="zh-CN"/>
                    </w:rPr>
                  </w:pPr>
                  <w:r>
                    <w:rPr>
                      <w:rFonts w:hint="eastAsia"/>
                      <w:color w:val="auto"/>
                      <w:vertAlign w:val="baseline"/>
                      <w:lang w:val="en-US" w:eastAsia="zh-CN"/>
                    </w:rPr>
                    <w:t>St，d</w:t>
                  </w:r>
                </w:p>
              </w:tc>
              <w:tc>
                <w:tcPr>
                  <w:tcW w:w="1684" w:type="dxa"/>
                  <w:vAlign w:val="center"/>
                </w:tcPr>
                <w:p w14:paraId="0E972B2D">
                  <w:pPr>
                    <w:jc w:val="center"/>
                    <w:rPr>
                      <w:rFonts w:hint="default"/>
                      <w:color w:val="auto"/>
                      <w:vertAlign w:val="baseline"/>
                      <w:lang w:val="en-US" w:eastAsia="zh-CN"/>
                    </w:rPr>
                  </w:pPr>
                  <w:r>
                    <w:rPr>
                      <w:rFonts w:hint="eastAsia"/>
                      <w:color w:val="auto"/>
                      <w:vertAlign w:val="baseline"/>
                      <w:lang w:val="en-US" w:eastAsia="zh-CN"/>
                    </w:rPr>
                    <w:t>%</w:t>
                  </w:r>
                </w:p>
              </w:tc>
              <w:tc>
                <w:tcPr>
                  <w:tcW w:w="1685" w:type="dxa"/>
                  <w:vAlign w:val="center"/>
                </w:tcPr>
                <w:p w14:paraId="2A775A1E">
                  <w:pPr>
                    <w:jc w:val="center"/>
                    <w:rPr>
                      <w:rFonts w:hint="default"/>
                      <w:color w:val="auto"/>
                      <w:vertAlign w:val="baseline"/>
                      <w:lang w:val="en-US" w:eastAsia="zh-CN"/>
                    </w:rPr>
                  </w:pPr>
                  <w:r>
                    <w:rPr>
                      <w:rFonts w:hint="eastAsia"/>
                      <w:color w:val="auto"/>
                      <w:vertAlign w:val="baseline"/>
                      <w:lang w:val="en-US" w:eastAsia="zh-CN"/>
                    </w:rPr>
                    <w:t>0.30</w:t>
                  </w:r>
                </w:p>
              </w:tc>
            </w:tr>
            <w:tr w14:paraId="2000D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Align w:val="center"/>
                </w:tcPr>
                <w:p w14:paraId="706D3842">
                  <w:pPr>
                    <w:jc w:val="center"/>
                    <w:rPr>
                      <w:rFonts w:hint="default"/>
                      <w:color w:val="auto"/>
                      <w:vertAlign w:val="baseline"/>
                      <w:lang w:val="en-US" w:eastAsia="zh-CN"/>
                    </w:rPr>
                  </w:pPr>
                  <w:r>
                    <w:rPr>
                      <w:rFonts w:hint="eastAsia"/>
                      <w:color w:val="auto"/>
                      <w:vertAlign w:val="baseline"/>
                      <w:lang w:val="en-US" w:eastAsia="zh-CN"/>
                    </w:rPr>
                    <w:t>收到基灰分</w:t>
                  </w:r>
                </w:p>
              </w:tc>
              <w:tc>
                <w:tcPr>
                  <w:tcW w:w="1684" w:type="dxa"/>
                  <w:vAlign w:val="center"/>
                </w:tcPr>
                <w:p w14:paraId="7793218D">
                  <w:pPr>
                    <w:jc w:val="center"/>
                    <w:rPr>
                      <w:rFonts w:hint="default"/>
                      <w:color w:val="auto"/>
                      <w:vertAlign w:val="baseline"/>
                      <w:lang w:val="en-US" w:eastAsia="zh-CN"/>
                    </w:rPr>
                  </w:pPr>
                  <w:r>
                    <w:rPr>
                      <w:rFonts w:hint="eastAsia"/>
                      <w:color w:val="auto"/>
                      <w:vertAlign w:val="baseline"/>
                      <w:lang w:val="en-US" w:eastAsia="zh-CN"/>
                    </w:rPr>
                    <w:t>Aar</w:t>
                  </w:r>
                </w:p>
              </w:tc>
              <w:tc>
                <w:tcPr>
                  <w:tcW w:w="1684" w:type="dxa"/>
                  <w:vAlign w:val="center"/>
                </w:tcPr>
                <w:p w14:paraId="160EA109">
                  <w:pPr>
                    <w:jc w:val="center"/>
                    <w:rPr>
                      <w:rFonts w:hint="default"/>
                      <w:color w:val="auto"/>
                      <w:vertAlign w:val="baseline"/>
                      <w:lang w:val="en-US" w:eastAsia="zh-CN"/>
                    </w:rPr>
                  </w:pPr>
                  <w:r>
                    <w:rPr>
                      <w:rFonts w:hint="eastAsia"/>
                      <w:color w:val="auto"/>
                      <w:vertAlign w:val="baseline"/>
                      <w:lang w:val="en-US" w:eastAsia="zh-CN"/>
                    </w:rPr>
                    <w:t>%</w:t>
                  </w:r>
                </w:p>
              </w:tc>
              <w:tc>
                <w:tcPr>
                  <w:tcW w:w="1685" w:type="dxa"/>
                  <w:vAlign w:val="center"/>
                </w:tcPr>
                <w:p w14:paraId="5115E8D3">
                  <w:pPr>
                    <w:jc w:val="center"/>
                    <w:rPr>
                      <w:rFonts w:hint="default"/>
                      <w:color w:val="auto"/>
                      <w:vertAlign w:val="baseline"/>
                      <w:lang w:val="en-US" w:eastAsia="zh-CN"/>
                    </w:rPr>
                  </w:pPr>
                  <w:r>
                    <w:rPr>
                      <w:rFonts w:hint="eastAsia"/>
                      <w:color w:val="auto"/>
                      <w:vertAlign w:val="baseline"/>
                      <w:lang w:val="en-US" w:eastAsia="zh-CN"/>
                    </w:rPr>
                    <w:t>6.50</w:t>
                  </w:r>
                </w:p>
              </w:tc>
            </w:tr>
            <w:tr w14:paraId="18925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Align w:val="center"/>
                </w:tcPr>
                <w:p w14:paraId="0B7A91CE">
                  <w:pPr>
                    <w:jc w:val="center"/>
                    <w:rPr>
                      <w:rFonts w:hint="default"/>
                      <w:color w:val="auto"/>
                      <w:vertAlign w:val="baseline"/>
                      <w:lang w:val="en-US" w:eastAsia="zh-CN"/>
                    </w:rPr>
                  </w:pPr>
                  <w:r>
                    <w:rPr>
                      <w:rFonts w:hint="eastAsia"/>
                      <w:color w:val="auto"/>
                      <w:vertAlign w:val="baseline"/>
                      <w:lang w:val="en-US" w:eastAsia="zh-CN"/>
                    </w:rPr>
                    <w:t>空气干燥基灰分</w:t>
                  </w:r>
                </w:p>
              </w:tc>
              <w:tc>
                <w:tcPr>
                  <w:tcW w:w="1684" w:type="dxa"/>
                  <w:vAlign w:val="center"/>
                </w:tcPr>
                <w:p w14:paraId="63B5E6AD">
                  <w:pPr>
                    <w:jc w:val="center"/>
                    <w:rPr>
                      <w:rFonts w:hint="default"/>
                      <w:color w:val="auto"/>
                      <w:vertAlign w:val="baseline"/>
                      <w:lang w:val="en-US" w:eastAsia="zh-CN"/>
                    </w:rPr>
                  </w:pPr>
                  <w:r>
                    <w:rPr>
                      <w:rFonts w:hint="eastAsia"/>
                      <w:color w:val="auto"/>
                      <w:vertAlign w:val="baseline"/>
                      <w:lang w:val="en-US" w:eastAsia="zh-CN"/>
                    </w:rPr>
                    <w:t>Aad</w:t>
                  </w:r>
                </w:p>
              </w:tc>
              <w:tc>
                <w:tcPr>
                  <w:tcW w:w="1684" w:type="dxa"/>
                  <w:vAlign w:val="center"/>
                </w:tcPr>
                <w:p w14:paraId="2540558D">
                  <w:pPr>
                    <w:jc w:val="center"/>
                    <w:rPr>
                      <w:rFonts w:hint="default"/>
                      <w:color w:val="auto"/>
                      <w:vertAlign w:val="baseline"/>
                      <w:lang w:val="en-US" w:eastAsia="zh-CN"/>
                    </w:rPr>
                  </w:pPr>
                  <w:r>
                    <w:rPr>
                      <w:rFonts w:hint="eastAsia"/>
                      <w:color w:val="auto"/>
                      <w:vertAlign w:val="baseline"/>
                      <w:lang w:val="en-US" w:eastAsia="zh-CN"/>
                    </w:rPr>
                    <w:t>%</w:t>
                  </w:r>
                </w:p>
              </w:tc>
              <w:tc>
                <w:tcPr>
                  <w:tcW w:w="1685" w:type="dxa"/>
                  <w:vAlign w:val="center"/>
                </w:tcPr>
                <w:p w14:paraId="7C1B32DE">
                  <w:pPr>
                    <w:jc w:val="center"/>
                    <w:rPr>
                      <w:rFonts w:hint="default"/>
                      <w:color w:val="auto"/>
                      <w:vertAlign w:val="baseline"/>
                      <w:lang w:val="en-US" w:eastAsia="zh-CN"/>
                    </w:rPr>
                  </w:pPr>
                  <w:r>
                    <w:rPr>
                      <w:rFonts w:hint="eastAsia"/>
                      <w:color w:val="auto"/>
                      <w:vertAlign w:val="baseline"/>
                      <w:lang w:val="en-US" w:eastAsia="zh-CN"/>
                    </w:rPr>
                    <w:t>7.43</w:t>
                  </w:r>
                </w:p>
              </w:tc>
            </w:tr>
            <w:tr w14:paraId="562B3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Align w:val="center"/>
                </w:tcPr>
                <w:p w14:paraId="571AD161">
                  <w:pPr>
                    <w:jc w:val="center"/>
                    <w:rPr>
                      <w:rFonts w:hint="eastAsia"/>
                      <w:color w:val="auto"/>
                      <w:vertAlign w:val="baseline"/>
                      <w:lang w:val="en-US" w:eastAsia="zh-CN"/>
                    </w:rPr>
                  </w:pPr>
                  <w:r>
                    <w:rPr>
                      <w:rFonts w:hint="eastAsia"/>
                      <w:color w:val="auto"/>
                      <w:vertAlign w:val="baseline"/>
                      <w:lang w:val="en-US" w:eastAsia="zh-CN"/>
                    </w:rPr>
                    <w:t>干基灰分</w:t>
                  </w:r>
                </w:p>
              </w:tc>
              <w:tc>
                <w:tcPr>
                  <w:tcW w:w="1684" w:type="dxa"/>
                  <w:vAlign w:val="center"/>
                </w:tcPr>
                <w:p w14:paraId="7711A542">
                  <w:pPr>
                    <w:jc w:val="center"/>
                    <w:rPr>
                      <w:rFonts w:hint="default"/>
                      <w:color w:val="auto"/>
                      <w:vertAlign w:val="baseline"/>
                      <w:lang w:val="en-US" w:eastAsia="zh-CN"/>
                    </w:rPr>
                  </w:pPr>
                  <w:r>
                    <w:rPr>
                      <w:rFonts w:hint="eastAsia"/>
                      <w:color w:val="auto"/>
                      <w:vertAlign w:val="baseline"/>
                      <w:lang w:val="en-US" w:eastAsia="zh-CN"/>
                    </w:rPr>
                    <w:t>Ad</w:t>
                  </w:r>
                </w:p>
              </w:tc>
              <w:tc>
                <w:tcPr>
                  <w:tcW w:w="1684" w:type="dxa"/>
                  <w:vAlign w:val="center"/>
                </w:tcPr>
                <w:p w14:paraId="0A2B5EC7">
                  <w:pPr>
                    <w:jc w:val="center"/>
                    <w:rPr>
                      <w:rFonts w:hint="default"/>
                      <w:color w:val="auto"/>
                      <w:vertAlign w:val="baseline"/>
                      <w:lang w:val="en-US" w:eastAsia="zh-CN"/>
                    </w:rPr>
                  </w:pPr>
                  <w:r>
                    <w:rPr>
                      <w:rFonts w:hint="eastAsia"/>
                      <w:color w:val="auto"/>
                      <w:vertAlign w:val="baseline"/>
                      <w:lang w:val="en-US" w:eastAsia="zh-CN"/>
                    </w:rPr>
                    <w:t>%</w:t>
                  </w:r>
                </w:p>
              </w:tc>
              <w:tc>
                <w:tcPr>
                  <w:tcW w:w="1685" w:type="dxa"/>
                  <w:vAlign w:val="center"/>
                </w:tcPr>
                <w:p w14:paraId="057FF3C9">
                  <w:pPr>
                    <w:jc w:val="center"/>
                    <w:rPr>
                      <w:rFonts w:hint="default"/>
                      <w:color w:val="auto"/>
                      <w:vertAlign w:val="baseline"/>
                      <w:lang w:val="en-US" w:eastAsia="zh-CN"/>
                    </w:rPr>
                  </w:pPr>
                  <w:r>
                    <w:rPr>
                      <w:rFonts w:hint="eastAsia"/>
                      <w:color w:val="auto"/>
                      <w:vertAlign w:val="baseline"/>
                      <w:lang w:val="en-US" w:eastAsia="zh-CN"/>
                    </w:rPr>
                    <w:t>7.75</w:t>
                  </w:r>
                </w:p>
              </w:tc>
            </w:tr>
            <w:tr w14:paraId="605B7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Align w:val="center"/>
                </w:tcPr>
                <w:p w14:paraId="3A26A7BD">
                  <w:pPr>
                    <w:jc w:val="center"/>
                    <w:rPr>
                      <w:rFonts w:hint="eastAsia"/>
                      <w:color w:val="auto"/>
                      <w:vertAlign w:val="baseline"/>
                      <w:lang w:val="en-US" w:eastAsia="zh-CN"/>
                    </w:rPr>
                  </w:pPr>
                  <w:r>
                    <w:rPr>
                      <w:rFonts w:hint="eastAsia"/>
                      <w:color w:val="auto"/>
                      <w:vertAlign w:val="baseline"/>
                      <w:lang w:val="en-US" w:eastAsia="zh-CN"/>
                    </w:rPr>
                    <w:t>收到基挥发分</w:t>
                  </w:r>
                </w:p>
              </w:tc>
              <w:tc>
                <w:tcPr>
                  <w:tcW w:w="1684" w:type="dxa"/>
                  <w:vAlign w:val="center"/>
                </w:tcPr>
                <w:p w14:paraId="2BD193DA">
                  <w:pPr>
                    <w:jc w:val="center"/>
                    <w:rPr>
                      <w:rFonts w:hint="default"/>
                      <w:color w:val="auto"/>
                      <w:vertAlign w:val="baseline"/>
                      <w:lang w:val="en-US" w:eastAsia="zh-CN"/>
                    </w:rPr>
                  </w:pPr>
                  <w:r>
                    <w:rPr>
                      <w:rFonts w:hint="eastAsia"/>
                      <w:color w:val="auto"/>
                      <w:vertAlign w:val="baseline"/>
                      <w:lang w:val="en-US" w:eastAsia="zh-CN"/>
                    </w:rPr>
                    <w:t>Var</w:t>
                  </w:r>
                </w:p>
              </w:tc>
              <w:tc>
                <w:tcPr>
                  <w:tcW w:w="1684" w:type="dxa"/>
                  <w:vAlign w:val="center"/>
                </w:tcPr>
                <w:p w14:paraId="1089F78C">
                  <w:pPr>
                    <w:jc w:val="center"/>
                    <w:rPr>
                      <w:rFonts w:hint="default"/>
                      <w:color w:val="auto"/>
                      <w:vertAlign w:val="baseline"/>
                      <w:lang w:val="en-US" w:eastAsia="zh-CN"/>
                    </w:rPr>
                  </w:pPr>
                  <w:r>
                    <w:rPr>
                      <w:rFonts w:hint="eastAsia"/>
                      <w:color w:val="auto"/>
                      <w:vertAlign w:val="baseline"/>
                      <w:lang w:val="en-US" w:eastAsia="zh-CN"/>
                    </w:rPr>
                    <w:t>%</w:t>
                  </w:r>
                </w:p>
              </w:tc>
              <w:tc>
                <w:tcPr>
                  <w:tcW w:w="1685" w:type="dxa"/>
                  <w:vAlign w:val="center"/>
                </w:tcPr>
                <w:p w14:paraId="5214B4FB">
                  <w:pPr>
                    <w:jc w:val="center"/>
                    <w:rPr>
                      <w:rFonts w:hint="default"/>
                      <w:color w:val="auto"/>
                      <w:vertAlign w:val="baseline"/>
                      <w:lang w:val="en-US" w:eastAsia="zh-CN"/>
                    </w:rPr>
                  </w:pPr>
                  <w:r>
                    <w:rPr>
                      <w:rFonts w:hint="eastAsia"/>
                      <w:color w:val="auto"/>
                      <w:vertAlign w:val="baseline"/>
                      <w:lang w:val="en-US" w:eastAsia="zh-CN"/>
                    </w:rPr>
                    <w:t>24.81</w:t>
                  </w:r>
                </w:p>
              </w:tc>
            </w:tr>
            <w:tr w14:paraId="50436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Align w:val="center"/>
                </w:tcPr>
                <w:p w14:paraId="14BDE91B">
                  <w:pPr>
                    <w:jc w:val="center"/>
                    <w:rPr>
                      <w:rFonts w:hint="eastAsia"/>
                      <w:color w:val="auto"/>
                      <w:vertAlign w:val="baseline"/>
                      <w:lang w:val="en-US" w:eastAsia="zh-CN"/>
                    </w:rPr>
                  </w:pPr>
                  <w:r>
                    <w:rPr>
                      <w:rFonts w:hint="eastAsia"/>
                      <w:color w:val="auto"/>
                      <w:vertAlign w:val="baseline"/>
                      <w:lang w:val="en-US" w:eastAsia="zh-CN"/>
                    </w:rPr>
                    <w:t>空气干燥基挥发分</w:t>
                  </w:r>
                </w:p>
              </w:tc>
              <w:tc>
                <w:tcPr>
                  <w:tcW w:w="1684" w:type="dxa"/>
                  <w:vAlign w:val="center"/>
                </w:tcPr>
                <w:p w14:paraId="35207609">
                  <w:pPr>
                    <w:jc w:val="center"/>
                    <w:rPr>
                      <w:rFonts w:hint="default"/>
                      <w:color w:val="auto"/>
                      <w:vertAlign w:val="baseline"/>
                      <w:lang w:val="en-US" w:eastAsia="zh-CN"/>
                    </w:rPr>
                  </w:pPr>
                  <w:r>
                    <w:rPr>
                      <w:rFonts w:hint="eastAsia"/>
                      <w:color w:val="auto"/>
                      <w:vertAlign w:val="baseline"/>
                      <w:lang w:val="en-US" w:eastAsia="zh-CN"/>
                    </w:rPr>
                    <w:t>Vad</w:t>
                  </w:r>
                </w:p>
              </w:tc>
              <w:tc>
                <w:tcPr>
                  <w:tcW w:w="1684" w:type="dxa"/>
                  <w:vAlign w:val="center"/>
                </w:tcPr>
                <w:p w14:paraId="68B0CE76">
                  <w:pPr>
                    <w:jc w:val="center"/>
                    <w:rPr>
                      <w:rFonts w:hint="default"/>
                      <w:color w:val="auto"/>
                      <w:vertAlign w:val="baseline"/>
                      <w:lang w:val="en-US" w:eastAsia="zh-CN"/>
                    </w:rPr>
                  </w:pPr>
                  <w:r>
                    <w:rPr>
                      <w:rFonts w:hint="eastAsia"/>
                      <w:color w:val="auto"/>
                      <w:vertAlign w:val="baseline"/>
                      <w:lang w:val="en-US" w:eastAsia="zh-CN"/>
                    </w:rPr>
                    <w:t>%</w:t>
                  </w:r>
                </w:p>
              </w:tc>
              <w:tc>
                <w:tcPr>
                  <w:tcW w:w="1685" w:type="dxa"/>
                  <w:vAlign w:val="center"/>
                </w:tcPr>
                <w:p w14:paraId="5DFD652D">
                  <w:pPr>
                    <w:jc w:val="center"/>
                    <w:rPr>
                      <w:rFonts w:hint="default"/>
                      <w:color w:val="auto"/>
                      <w:vertAlign w:val="baseline"/>
                      <w:lang w:val="en-US" w:eastAsia="zh-CN"/>
                    </w:rPr>
                  </w:pPr>
                  <w:r>
                    <w:rPr>
                      <w:rFonts w:hint="eastAsia"/>
                      <w:color w:val="auto"/>
                      <w:vertAlign w:val="baseline"/>
                      <w:lang w:val="en-US" w:eastAsia="zh-CN"/>
                    </w:rPr>
                    <w:t>28.34</w:t>
                  </w:r>
                </w:p>
              </w:tc>
            </w:tr>
            <w:tr w14:paraId="43F64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Align w:val="center"/>
                </w:tcPr>
                <w:p w14:paraId="62BABA08">
                  <w:pPr>
                    <w:jc w:val="center"/>
                    <w:rPr>
                      <w:rFonts w:hint="eastAsia"/>
                      <w:color w:val="auto"/>
                      <w:vertAlign w:val="baseline"/>
                      <w:lang w:val="en-US" w:eastAsia="zh-CN"/>
                    </w:rPr>
                  </w:pPr>
                  <w:r>
                    <w:rPr>
                      <w:rFonts w:hint="eastAsia"/>
                      <w:color w:val="auto"/>
                      <w:vertAlign w:val="baseline"/>
                      <w:lang w:val="en-US" w:eastAsia="zh-CN"/>
                    </w:rPr>
                    <w:t>干基挥发分</w:t>
                  </w:r>
                </w:p>
              </w:tc>
              <w:tc>
                <w:tcPr>
                  <w:tcW w:w="1684" w:type="dxa"/>
                  <w:vAlign w:val="center"/>
                </w:tcPr>
                <w:p w14:paraId="47E01EE5">
                  <w:pPr>
                    <w:jc w:val="center"/>
                    <w:rPr>
                      <w:rFonts w:hint="default"/>
                      <w:color w:val="auto"/>
                      <w:vertAlign w:val="baseline"/>
                      <w:lang w:val="en-US" w:eastAsia="zh-CN"/>
                    </w:rPr>
                  </w:pPr>
                  <w:r>
                    <w:rPr>
                      <w:rFonts w:hint="eastAsia"/>
                      <w:color w:val="auto"/>
                      <w:vertAlign w:val="baseline"/>
                      <w:lang w:val="en-US" w:eastAsia="zh-CN"/>
                    </w:rPr>
                    <w:t>Vd</w:t>
                  </w:r>
                </w:p>
              </w:tc>
              <w:tc>
                <w:tcPr>
                  <w:tcW w:w="1684" w:type="dxa"/>
                  <w:vAlign w:val="center"/>
                </w:tcPr>
                <w:p w14:paraId="09A0349E">
                  <w:pPr>
                    <w:jc w:val="center"/>
                    <w:rPr>
                      <w:rFonts w:hint="default"/>
                      <w:color w:val="auto"/>
                      <w:vertAlign w:val="baseline"/>
                      <w:lang w:val="en-US" w:eastAsia="zh-CN"/>
                    </w:rPr>
                  </w:pPr>
                  <w:r>
                    <w:rPr>
                      <w:rFonts w:hint="eastAsia"/>
                      <w:color w:val="auto"/>
                      <w:vertAlign w:val="baseline"/>
                      <w:lang w:val="en-US" w:eastAsia="zh-CN"/>
                    </w:rPr>
                    <w:t>%</w:t>
                  </w:r>
                </w:p>
              </w:tc>
              <w:tc>
                <w:tcPr>
                  <w:tcW w:w="1685" w:type="dxa"/>
                  <w:vAlign w:val="center"/>
                </w:tcPr>
                <w:p w14:paraId="7CCA46C4">
                  <w:pPr>
                    <w:jc w:val="center"/>
                    <w:rPr>
                      <w:rFonts w:hint="default"/>
                      <w:color w:val="auto"/>
                      <w:vertAlign w:val="baseline"/>
                      <w:lang w:val="en-US" w:eastAsia="zh-CN"/>
                    </w:rPr>
                  </w:pPr>
                  <w:r>
                    <w:rPr>
                      <w:rFonts w:hint="eastAsia"/>
                      <w:color w:val="auto"/>
                      <w:vertAlign w:val="baseline"/>
                      <w:lang w:val="en-US" w:eastAsia="zh-CN"/>
                    </w:rPr>
                    <w:t>29.57</w:t>
                  </w:r>
                </w:p>
              </w:tc>
            </w:tr>
            <w:tr w14:paraId="7B0E9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Align w:val="center"/>
                </w:tcPr>
                <w:p w14:paraId="06FC70F3">
                  <w:pPr>
                    <w:jc w:val="center"/>
                    <w:rPr>
                      <w:rFonts w:hint="default"/>
                      <w:color w:val="auto"/>
                      <w:vertAlign w:val="baseline"/>
                      <w:lang w:val="en-US" w:eastAsia="zh-CN"/>
                    </w:rPr>
                  </w:pPr>
                  <w:r>
                    <w:rPr>
                      <w:rFonts w:hint="eastAsia"/>
                      <w:color w:val="auto"/>
                      <w:vertAlign w:val="baseline"/>
                      <w:lang w:val="en-US" w:eastAsia="zh-CN"/>
                    </w:rPr>
                    <w:t>干燥无灰基挥发分</w:t>
                  </w:r>
                </w:p>
              </w:tc>
              <w:tc>
                <w:tcPr>
                  <w:tcW w:w="1684" w:type="dxa"/>
                  <w:vAlign w:val="center"/>
                </w:tcPr>
                <w:p w14:paraId="6B0E724F">
                  <w:pPr>
                    <w:jc w:val="center"/>
                    <w:rPr>
                      <w:rFonts w:hint="default"/>
                      <w:color w:val="auto"/>
                      <w:vertAlign w:val="baseline"/>
                      <w:lang w:val="en-US" w:eastAsia="zh-CN"/>
                    </w:rPr>
                  </w:pPr>
                  <w:r>
                    <w:rPr>
                      <w:rFonts w:hint="eastAsia"/>
                      <w:color w:val="auto"/>
                      <w:vertAlign w:val="baseline"/>
                      <w:lang w:val="en-US" w:eastAsia="zh-CN"/>
                    </w:rPr>
                    <w:t>Vadf</w:t>
                  </w:r>
                </w:p>
              </w:tc>
              <w:tc>
                <w:tcPr>
                  <w:tcW w:w="1684" w:type="dxa"/>
                  <w:vAlign w:val="center"/>
                </w:tcPr>
                <w:p w14:paraId="291C572C">
                  <w:pPr>
                    <w:jc w:val="center"/>
                    <w:rPr>
                      <w:rFonts w:hint="default"/>
                      <w:color w:val="auto"/>
                      <w:vertAlign w:val="baseline"/>
                      <w:lang w:val="en-US" w:eastAsia="zh-CN"/>
                    </w:rPr>
                  </w:pPr>
                  <w:r>
                    <w:rPr>
                      <w:rFonts w:hint="eastAsia"/>
                      <w:color w:val="auto"/>
                      <w:vertAlign w:val="baseline"/>
                      <w:lang w:val="en-US" w:eastAsia="zh-CN"/>
                    </w:rPr>
                    <w:t>%</w:t>
                  </w:r>
                </w:p>
              </w:tc>
              <w:tc>
                <w:tcPr>
                  <w:tcW w:w="1685" w:type="dxa"/>
                  <w:vAlign w:val="center"/>
                </w:tcPr>
                <w:p w14:paraId="08B154D7">
                  <w:pPr>
                    <w:jc w:val="center"/>
                    <w:rPr>
                      <w:rFonts w:hint="default"/>
                      <w:color w:val="auto"/>
                      <w:vertAlign w:val="baseline"/>
                      <w:lang w:val="en-US" w:eastAsia="zh-CN"/>
                    </w:rPr>
                  </w:pPr>
                  <w:r>
                    <w:rPr>
                      <w:rFonts w:hint="eastAsia"/>
                      <w:color w:val="auto"/>
                      <w:vertAlign w:val="baseline"/>
                      <w:lang w:val="en-US" w:eastAsia="zh-CN"/>
                    </w:rPr>
                    <w:t>32.06</w:t>
                  </w:r>
                </w:p>
              </w:tc>
            </w:tr>
            <w:tr w14:paraId="167DE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Align w:val="center"/>
                </w:tcPr>
                <w:p w14:paraId="650CC217">
                  <w:pPr>
                    <w:jc w:val="center"/>
                    <w:rPr>
                      <w:rFonts w:hint="default"/>
                      <w:color w:val="auto"/>
                      <w:vertAlign w:val="baseline"/>
                      <w:lang w:val="en-US" w:eastAsia="zh-CN"/>
                    </w:rPr>
                  </w:pPr>
                  <w:r>
                    <w:rPr>
                      <w:rFonts w:hint="eastAsia"/>
                      <w:color w:val="auto"/>
                      <w:vertAlign w:val="baseline"/>
                      <w:lang w:val="en-US" w:eastAsia="zh-CN"/>
                    </w:rPr>
                    <w:t>焦渣特征</w:t>
                  </w:r>
                </w:p>
              </w:tc>
              <w:tc>
                <w:tcPr>
                  <w:tcW w:w="1684" w:type="dxa"/>
                  <w:vAlign w:val="center"/>
                </w:tcPr>
                <w:p w14:paraId="5BCB0D68">
                  <w:pPr>
                    <w:jc w:val="center"/>
                    <w:rPr>
                      <w:rFonts w:hint="default"/>
                      <w:color w:val="auto"/>
                      <w:vertAlign w:val="baseline"/>
                      <w:lang w:val="en-US" w:eastAsia="zh-CN"/>
                    </w:rPr>
                  </w:pPr>
                  <w:r>
                    <w:rPr>
                      <w:rFonts w:hint="eastAsia"/>
                      <w:color w:val="auto"/>
                      <w:vertAlign w:val="baseline"/>
                      <w:lang w:val="en-US" w:eastAsia="zh-CN"/>
                    </w:rPr>
                    <w:t>CRC</w:t>
                  </w:r>
                </w:p>
              </w:tc>
              <w:tc>
                <w:tcPr>
                  <w:tcW w:w="1684" w:type="dxa"/>
                  <w:vAlign w:val="center"/>
                </w:tcPr>
                <w:p w14:paraId="2D53AAEA">
                  <w:pPr>
                    <w:jc w:val="center"/>
                    <w:rPr>
                      <w:rFonts w:hint="default"/>
                      <w:color w:val="auto"/>
                      <w:vertAlign w:val="baseline"/>
                      <w:lang w:val="en-US" w:eastAsia="zh-CN"/>
                    </w:rPr>
                  </w:pPr>
                  <w:r>
                    <w:rPr>
                      <w:rFonts w:hint="eastAsia"/>
                      <w:color w:val="auto"/>
                      <w:vertAlign w:val="baseline"/>
                      <w:lang w:val="en-US" w:eastAsia="zh-CN"/>
                    </w:rPr>
                    <w:t>1-8</w:t>
                  </w:r>
                </w:p>
              </w:tc>
              <w:tc>
                <w:tcPr>
                  <w:tcW w:w="1685" w:type="dxa"/>
                  <w:vAlign w:val="center"/>
                </w:tcPr>
                <w:p w14:paraId="5D6A03A2">
                  <w:pPr>
                    <w:jc w:val="center"/>
                    <w:rPr>
                      <w:rFonts w:hint="default"/>
                      <w:color w:val="auto"/>
                      <w:vertAlign w:val="baseline"/>
                      <w:lang w:val="en-US" w:eastAsia="zh-CN"/>
                    </w:rPr>
                  </w:pPr>
                  <w:r>
                    <w:rPr>
                      <w:rFonts w:hint="eastAsia"/>
                      <w:color w:val="auto"/>
                      <w:vertAlign w:val="baseline"/>
                      <w:lang w:val="en-US" w:eastAsia="zh-CN"/>
                    </w:rPr>
                    <w:t>2</w:t>
                  </w:r>
                </w:p>
              </w:tc>
            </w:tr>
            <w:tr w14:paraId="76E74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Align w:val="center"/>
                </w:tcPr>
                <w:p w14:paraId="69071F32">
                  <w:pPr>
                    <w:jc w:val="center"/>
                    <w:rPr>
                      <w:rFonts w:hint="default"/>
                      <w:color w:val="auto"/>
                      <w:vertAlign w:val="baseline"/>
                      <w:lang w:val="en-US" w:eastAsia="zh-CN"/>
                    </w:rPr>
                  </w:pPr>
                  <w:r>
                    <w:rPr>
                      <w:rFonts w:hint="eastAsia"/>
                      <w:color w:val="auto"/>
                      <w:vertAlign w:val="baseline"/>
                      <w:lang w:val="en-US" w:eastAsia="zh-CN"/>
                    </w:rPr>
                    <w:t>空气干燥基固定碳</w:t>
                  </w:r>
                </w:p>
              </w:tc>
              <w:tc>
                <w:tcPr>
                  <w:tcW w:w="1684" w:type="dxa"/>
                  <w:vAlign w:val="center"/>
                </w:tcPr>
                <w:p w14:paraId="660D6F9C">
                  <w:pPr>
                    <w:jc w:val="center"/>
                    <w:rPr>
                      <w:rFonts w:hint="default"/>
                      <w:color w:val="auto"/>
                      <w:vertAlign w:val="baseline"/>
                      <w:lang w:val="en-US" w:eastAsia="zh-CN"/>
                    </w:rPr>
                  </w:pPr>
                  <w:r>
                    <w:rPr>
                      <w:rFonts w:hint="eastAsia"/>
                      <w:color w:val="auto"/>
                      <w:vertAlign w:val="baseline"/>
                      <w:lang w:val="en-US" w:eastAsia="zh-CN"/>
                    </w:rPr>
                    <w:t>Fc，ad</w:t>
                  </w:r>
                </w:p>
              </w:tc>
              <w:tc>
                <w:tcPr>
                  <w:tcW w:w="1684" w:type="dxa"/>
                  <w:vAlign w:val="center"/>
                </w:tcPr>
                <w:p w14:paraId="395D493C">
                  <w:pPr>
                    <w:jc w:val="center"/>
                    <w:rPr>
                      <w:rFonts w:hint="default"/>
                      <w:color w:val="auto"/>
                      <w:vertAlign w:val="baseline"/>
                      <w:lang w:val="en-US" w:eastAsia="zh-CN"/>
                    </w:rPr>
                  </w:pPr>
                  <w:r>
                    <w:rPr>
                      <w:rFonts w:hint="eastAsia"/>
                      <w:color w:val="auto"/>
                      <w:vertAlign w:val="baseline"/>
                      <w:lang w:val="en-US" w:eastAsia="zh-CN"/>
                    </w:rPr>
                    <w:t>%</w:t>
                  </w:r>
                </w:p>
              </w:tc>
              <w:tc>
                <w:tcPr>
                  <w:tcW w:w="1685" w:type="dxa"/>
                  <w:vAlign w:val="center"/>
                </w:tcPr>
                <w:p w14:paraId="361CCAED">
                  <w:pPr>
                    <w:jc w:val="center"/>
                    <w:rPr>
                      <w:rFonts w:hint="default"/>
                      <w:color w:val="auto"/>
                      <w:vertAlign w:val="baseline"/>
                      <w:lang w:val="en-US" w:eastAsia="zh-CN"/>
                    </w:rPr>
                  </w:pPr>
                  <w:r>
                    <w:rPr>
                      <w:rFonts w:hint="eastAsia"/>
                      <w:color w:val="auto"/>
                      <w:vertAlign w:val="baseline"/>
                      <w:lang w:val="en-US" w:eastAsia="zh-CN"/>
                    </w:rPr>
                    <w:t>60.06</w:t>
                  </w:r>
                </w:p>
              </w:tc>
            </w:tr>
            <w:tr w14:paraId="6D290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Merge w:val="restart"/>
                  <w:vAlign w:val="center"/>
                </w:tcPr>
                <w:p w14:paraId="528115DA">
                  <w:pPr>
                    <w:jc w:val="center"/>
                    <w:rPr>
                      <w:rFonts w:hint="default"/>
                      <w:color w:val="auto"/>
                      <w:vertAlign w:val="baseline"/>
                      <w:lang w:val="en-US" w:eastAsia="zh-CN"/>
                    </w:rPr>
                  </w:pPr>
                  <w:r>
                    <w:rPr>
                      <w:rFonts w:hint="eastAsia"/>
                      <w:color w:val="auto"/>
                      <w:vertAlign w:val="baseline"/>
                      <w:lang w:val="en-US" w:eastAsia="zh-CN"/>
                    </w:rPr>
                    <w:t>弹筒发热量</w:t>
                  </w:r>
                </w:p>
              </w:tc>
              <w:tc>
                <w:tcPr>
                  <w:tcW w:w="1684" w:type="dxa"/>
                  <w:vMerge w:val="restart"/>
                  <w:vAlign w:val="center"/>
                </w:tcPr>
                <w:p w14:paraId="0CB1B983">
                  <w:pPr>
                    <w:jc w:val="center"/>
                    <w:rPr>
                      <w:rFonts w:hint="default"/>
                      <w:color w:val="auto"/>
                      <w:vertAlign w:val="baseline"/>
                      <w:lang w:val="en-US" w:eastAsia="zh-CN"/>
                    </w:rPr>
                  </w:pPr>
                  <w:r>
                    <w:rPr>
                      <w:rFonts w:hint="eastAsia"/>
                      <w:color w:val="auto"/>
                      <w:vertAlign w:val="baseline"/>
                      <w:lang w:val="en-US" w:eastAsia="zh-CN"/>
                    </w:rPr>
                    <w:t>Qb</w:t>
                  </w:r>
                </w:p>
              </w:tc>
              <w:tc>
                <w:tcPr>
                  <w:tcW w:w="1684" w:type="dxa"/>
                  <w:vAlign w:val="center"/>
                </w:tcPr>
                <w:p w14:paraId="12992A4B">
                  <w:pPr>
                    <w:jc w:val="center"/>
                    <w:rPr>
                      <w:rFonts w:hint="default"/>
                      <w:color w:val="auto"/>
                      <w:vertAlign w:val="baseline"/>
                      <w:lang w:val="en-US" w:eastAsia="zh-CN"/>
                    </w:rPr>
                  </w:pPr>
                  <w:r>
                    <w:rPr>
                      <w:rFonts w:hint="eastAsia"/>
                      <w:color w:val="auto"/>
                      <w:vertAlign w:val="baseline"/>
                      <w:lang w:val="en-US" w:eastAsia="zh-CN"/>
                    </w:rPr>
                    <w:t>Kcal/Kg</w:t>
                  </w:r>
                </w:p>
              </w:tc>
              <w:tc>
                <w:tcPr>
                  <w:tcW w:w="1685" w:type="dxa"/>
                  <w:vAlign w:val="center"/>
                </w:tcPr>
                <w:p w14:paraId="5584EC7D">
                  <w:pPr>
                    <w:jc w:val="center"/>
                    <w:rPr>
                      <w:rFonts w:hint="default"/>
                      <w:color w:val="auto"/>
                      <w:vertAlign w:val="baseline"/>
                      <w:lang w:val="en-US" w:eastAsia="zh-CN"/>
                    </w:rPr>
                  </w:pPr>
                  <w:r>
                    <w:rPr>
                      <w:rFonts w:hint="eastAsia"/>
                      <w:color w:val="auto"/>
                      <w:vertAlign w:val="baseline"/>
                      <w:lang w:val="en-US" w:eastAsia="zh-CN"/>
                    </w:rPr>
                    <w:t>6952</w:t>
                  </w:r>
                </w:p>
              </w:tc>
            </w:tr>
            <w:tr w14:paraId="3E349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Merge w:val="continue"/>
                  <w:vAlign w:val="center"/>
                </w:tcPr>
                <w:p w14:paraId="14D1086B">
                  <w:pPr>
                    <w:jc w:val="center"/>
                    <w:rPr>
                      <w:rFonts w:hint="eastAsia"/>
                      <w:color w:val="auto"/>
                      <w:vertAlign w:val="baseline"/>
                      <w:lang w:val="en-US" w:eastAsia="zh-CN"/>
                    </w:rPr>
                  </w:pPr>
                </w:p>
              </w:tc>
              <w:tc>
                <w:tcPr>
                  <w:tcW w:w="1684" w:type="dxa"/>
                  <w:vMerge w:val="continue"/>
                  <w:vAlign w:val="center"/>
                </w:tcPr>
                <w:p w14:paraId="21E7E056">
                  <w:pPr>
                    <w:jc w:val="center"/>
                    <w:rPr>
                      <w:rFonts w:hint="default"/>
                      <w:color w:val="auto"/>
                      <w:vertAlign w:val="baseline"/>
                      <w:lang w:val="en-US" w:eastAsia="zh-CN"/>
                    </w:rPr>
                  </w:pPr>
                </w:p>
              </w:tc>
              <w:tc>
                <w:tcPr>
                  <w:tcW w:w="1684" w:type="dxa"/>
                  <w:vAlign w:val="center"/>
                </w:tcPr>
                <w:p w14:paraId="28D53C77">
                  <w:pPr>
                    <w:jc w:val="center"/>
                    <w:rPr>
                      <w:rFonts w:hint="default"/>
                      <w:color w:val="auto"/>
                      <w:vertAlign w:val="baseline"/>
                      <w:lang w:val="en-US" w:eastAsia="zh-CN"/>
                    </w:rPr>
                  </w:pPr>
                  <w:r>
                    <w:rPr>
                      <w:rFonts w:hint="eastAsia"/>
                      <w:color w:val="auto"/>
                      <w:vertAlign w:val="baseline"/>
                      <w:lang w:val="en-US" w:eastAsia="zh-CN"/>
                    </w:rPr>
                    <w:t>MJ/Kg</w:t>
                  </w:r>
                </w:p>
              </w:tc>
              <w:tc>
                <w:tcPr>
                  <w:tcW w:w="1685" w:type="dxa"/>
                  <w:vAlign w:val="center"/>
                </w:tcPr>
                <w:p w14:paraId="6849074D">
                  <w:pPr>
                    <w:jc w:val="center"/>
                    <w:rPr>
                      <w:rFonts w:hint="default"/>
                      <w:color w:val="auto"/>
                      <w:vertAlign w:val="baseline"/>
                      <w:lang w:val="en-US" w:eastAsia="zh-CN"/>
                    </w:rPr>
                  </w:pPr>
                  <w:r>
                    <w:rPr>
                      <w:rFonts w:hint="eastAsia"/>
                      <w:color w:val="auto"/>
                      <w:vertAlign w:val="baseline"/>
                      <w:lang w:val="en-US" w:eastAsia="zh-CN"/>
                    </w:rPr>
                    <w:t>29.07</w:t>
                  </w:r>
                </w:p>
              </w:tc>
            </w:tr>
            <w:tr w14:paraId="023C3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Merge w:val="restart"/>
                  <w:vAlign w:val="center"/>
                </w:tcPr>
                <w:p w14:paraId="29FCF444">
                  <w:pPr>
                    <w:jc w:val="center"/>
                    <w:rPr>
                      <w:rFonts w:hint="default"/>
                      <w:color w:val="auto"/>
                      <w:vertAlign w:val="baseline"/>
                      <w:lang w:val="en-US" w:eastAsia="zh-CN"/>
                    </w:rPr>
                  </w:pPr>
                  <w:r>
                    <w:rPr>
                      <w:rFonts w:hint="eastAsia"/>
                      <w:color w:val="auto"/>
                      <w:vertAlign w:val="baseline"/>
                      <w:lang w:val="en-US" w:eastAsia="zh-CN"/>
                    </w:rPr>
                    <w:t>空气干燥基高位发热量</w:t>
                  </w:r>
                </w:p>
              </w:tc>
              <w:tc>
                <w:tcPr>
                  <w:tcW w:w="1684" w:type="dxa"/>
                  <w:vMerge w:val="restart"/>
                  <w:vAlign w:val="center"/>
                </w:tcPr>
                <w:p w14:paraId="0047DFA1">
                  <w:pPr>
                    <w:jc w:val="center"/>
                    <w:rPr>
                      <w:rFonts w:hint="default"/>
                      <w:color w:val="auto"/>
                      <w:vertAlign w:val="baseline"/>
                      <w:lang w:val="en-US" w:eastAsia="zh-CN"/>
                    </w:rPr>
                  </w:pPr>
                  <w:r>
                    <w:rPr>
                      <w:rFonts w:hint="eastAsia"/>
                      <w:color w:val="auto"/>
                      <w:vertAlign w:val="baseline"/>
                      <w:lang w:val="en-US" w:eastAsia="zh-CN"/>
                    </w:rPr>
                    <w:t>Qgr，ad</w:t>
                  </w:r>
                </w:p>
              </w:tc>
              <w:tc>
                <w:tcPr>
                  <w:tcW w:w="1684" w:type="dxa"/>
                  <w:vAlign w:val="center"/>
                </w:tcPr>
                <w:p w14:paraId="05C412D9">
                  <w:pPr>
                    <w:jc w:val="center"/>
                    <w:rPr>
                      <w:rFonts w:hint="default"/>
                      <w:color w:val="auto"/>
                      <w:vertAlign w:val="baseline"/>
                      <w:lang w:val="en-US" w:eastAsia="zh-CN"/>
                    </w:rPr>
                  </w:pPr>
                  <w:r>
                    <w:rPr>
                      <w:rFonts w:hint="eastAsia"/>
                      <w:color w:val="auto"/>
                      <w:vertAlign w:val="baseline"/>
                      <w:lang w:val="en-US" w:eastAsia="zh-CN"/>
                    </w:rPr>
                    <w:t>Kcal/Kg</w:t>
                  </w:r>
                </w:p>
              </w:tc>
              <w:tc>
                <w:tcPr>
                  <w:tcW w:w="1685" w:type="dxa"/>
                  <w:vAlign w:val="center"/>
                </w:tcPr>
                <w:p w14:paraId="6F4B2BA9">
                  <w:pPr>
                    <w:jc w:val="center"/>
                    <w:rPr>
                      <w:rFonts w:hint="default"/>
                      <w:color w:val="auto"/>
                      <w:vertAlign w:val="baseline"/>
                      <w:lang w:val="en-US" w:eastAsia="zh-CN"/>
                    </w:rPr>
                  </w:pPr>
                  <w:r>
                    <w:rPr>
                      <w:rFonts w:hint="eastAsia"/>
                      <w:color w:val="auto"/>
                      <w:vertAlign w:val="baseline"/>
                      <w:lang w:val="en-US" w:eastAsia="zh-CN"/>
                    </w:rPr>
                    <w:t>6934</w:t>
                  </w:r>
                </w:p>
              </w:tc>
            </w:tr>
            <w:tr w14:paraId="7DCE1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Merge w:val="continue"/>
                  <w:vAlign w:val="center"/>
                </w:tcPr>
                <w:p w14:paraId="3C05A671">
                  <w:pPr>
                    <w:jc w:val="center"/>
                    <w:rPr>
                      <w:rFonts w:hint="eastAsia"/>
                      <w:color w:val="auto"/>
                      <w:vertAlign w:val="baseline"/>
                      <w:lang w:val="en-US" w:eastAsia="zh-CN"/>
                    </w:rPr>
                  </w:pPr>
                </w:p>
              </w:tc>
              <w:tc>
                <w:tcPr>
                  <w:tcW w:w="1684" w:type="dxa"/>
                  <w:vMerge w:val="continue"/>
                  <w:vAlign w:val="center"/>
                </w:tcPr>
                <w:p w14:paraId="044575A5">
                  <w:pPr>
                    <w:jc w:val="center"/>
                    <w:rPr>
                      <w:rFonts w:hint="default"/>
                      <w:color w:val="auto"/>
                      <w:vertAlign w:val="baseline"/>
                      <w:lang w:val="en-US" w:eastAsia="zh-CN"/>
                    </w:rPr>
                  </w:pPr>
                </w:p>
              </w:tc>
              <w:tc>
                <w:tcPr>
                  <w:tcW w:w="1684" w:type="dxa"/>
                  <w:vAlign w:val="center"/>
                </w:tcPr>
                <w:p w14:paraId="1678CB1F">
                  <w:pPr>
                    <w:jc w:val="center"/>
                    <w:rPr>
                      <w:rFonts w:hint="default"/>
                      <w:color w:val="auto"/>
                      <w:vertAlign w:val="baseline"/>
                      <w:lang w:val="en-US" w:eastAsia="zh-CN"/>
                    </w:rPr>
                  </w:pPr>
                  <w:r>
                    <w:rPr>
                      <w:rFonts w:hint="eastAsia"/>
                      <w:color w:val="auto"/>
                      <w:vertAlign w:val="baseline"/>
                      <w:lang w:val="en-US" w:eastAsia="zh-CN"/>
                    </w:rPr>
                    <w:t>MJ/Kg</w:t>
                  </w:r>
                </w:p>
              </w:tc>
              <w:tc>
                <w:tcPr>
                  <w:tcW w:w="1685" w:type="dxa"/>
                  <w:vAlign w:val="center"/>
                </w:tcPr>
                <w:p w14:paraId="6F7259BC">
                  <w:pPr>
                    <w:jc w:val="center"/>
                    <w:rPr>
                      <w:rFonts w:hint="default"/>
                      <w:color w:val="auto"/>
                      <w:vertAlign w:val="baseline"/>
                      <w:lang w:val="en-US" w:eastAsia="zh-CN"/>
                    </w:rPr>
                  </w:pPr>
                  <w:r>
                    <w:rPr>
                      <w:rFonts w:hint="eastAsia"/>
                      <w:color w:val="auto"/>
                      <w:vertAlign w:val="baseline"/>
                      <w:lang w:val="en-US" w:eastAsia="zh-CN"/>
                    </w:rPr>
                    <w:t>29.00</w:t>
                  </w:r>
                </w:p>
              </w:tc>
            </w:tr>
            <w:tr w14:paraId="78E8E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Merge w:val="restart"/>
                  <w:vAlign w:val="center"/>
                </w:tcPr>
                <w:p w14:paraId="180A58EB">
                  <w:pPr>
                    <w:jc w:val="center"/>
                    <w:rPr>
                      <w:rFonts w:hint="default"/>
                      <w:color w:val="auto"/>
                      <w:vertAlign w:val="baseline"/>
                      <w:lang w:val="en-US" w:eastAsia="zh-CN"/>
                    </w:rPr>
                  </w:pPr>
                  <w:r>
                    <w:rPr>
                      <w:rFonts w:hint="eastAsia"/>
                      <w:color w:val="auto"/>
                      <w:vertAlign w:val="baseline"/>
                      <w:lang w:val="en-US" w:eastAsia="zh-CN"/>
                    </w:rPr>
                    <w:t>收到基低位发热量</w:t>
                  </w:r>
                </w:p>
              </w:tc>
              <w:tc>
                <w:tcPr>
                  <w:tcW w:w="1684" w:type="dxa"/>
                  <w:vMerge w:val="restart"/>
                  <w:vAlign w:val="center"/>
                </w:tcPr>
                <w:p w14:paraId="1E10376B">
                  <w:pPr>
                    <w:jc w:val="center"/>
                    <w:rPr>
                      <w:rFonts w:hint="default"/>
                      <w:color w:val="auto"/>
                      <w:vertAlign w:val="baseline"/>
                      <w:lang w:val="en-US" w:eastAsia="zh-CN"/>
                    </w:rPr>
                  </w:pPr>
                  <w:r>
                    <w:rPr>
                      <w:rFonts w:hint="eastAsia"/>
                      <w:color w:val="auto"/>
                      <w:vertAlign w:val="baseline"/>
                      <w:lang w:val="en-US" w:eastAsia="zh-CN"/>
                    </w:rPr>
                    <w:t>Qnet，ar</w:t>
                  </w:r>
                </w:p>
              </w:tc>
              <w:tc>
                <w:tcPr>
                  <w:tcW w:w="1684" w:type="dxa"/>
                  <w:vAlign w:val="center"/>
                </w:tcPr>
                <w:p w14:paraId="2DAEA468">
                  <w:pPr>
                    <w:jc w:val="center"/>
                    <w:rPr>
                      <w:rFonts w:hint="default"/>
                      <w:color w:val="auto"/>
                      <w:vertAlign w:val="baseline"/>
                      <w:lang w:val="en-US" w:eastAsia="zh-CN"/>
                    </w:rPr>
                  </w:pPr>
                  <w:r>
                    <w:rPr>
                      <w:rFonts w:hint="eastAsia"/>
                      <w:color w:val="auto"/>
                      <w:vertAlign w:val="baseline"/>
                      <w:lang w:val="en-US" w:eastAsia="zh-CN"/>
                    </w:rPr>
                    <w:t>Kcal/Kg</w:t>
                  </w:r>
                </w:p>
              </w:tc>
              <w:tc>
                <w:tcPr>
                  <w:tcW w:w="1685" w:type="dxa"/>
                  <w:vAlign w:val="center"/>
                </w:tcPr>
                <w:p w14:paraId="10FD48A0">
                  <w:pPr>
                    <w:jc w:val="center"/>
                    <w:rPr>
                      <w:rFonts w:hint="default"/>
                      <w:color w:val="auto"/>
                      <w:vertAlign w:val="baseline"/>
                      <w:lang w:val="en-US" w:eastAsia="zh-CN"/>
                    </w:rPr>
                  </w:pPr>
                  <w:r>
                    <w:rPr>
                      <w:rFonts w:hint="eastAsia"/>
                      <w:color w:val="auto"/>
                      <w:vertAlign w:val="baseline"/>
                      <w:lang w:val="en-US" w:eastAsia="zh-CN"/>
                    </w:rPr>
                    <w:t>5651</w:t>
                  </w:r>
                </w:p>
              </w:tc>
            </w:tr>
            <w:tr w14:paraId="02D81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2" w:type="dxa"/>
                  <w:vMerge w:val="continue"/>
                  <w:vAlign w:val="center"/>
                </w:tcPr>
                <w:p w14:paraId="35C58204">
                  <w:pPr>
                    <w:jc w:val="center"/>
                    <w:rPr>
                      <w:rFonts w:hint="eastAsia"/>
                      <w:color w:val="auto"/>
                      <w:vertAlign w:val="baseline"/>
                      <w:lang w:val="en-US" w:eastAsia="zh-CN"/>
                    </w:rPr>
                  </w:pPr>
                </w:p>
              </w:tc>
              <w:tc>
                <w:tcPr>
                  <w:tcW w:w="1684" w:type="dxa"/>
                  <w:vMerge w:val="continue"/>
                  <w:vAlign w:val="center"/>
                </w:tcPr>
                <w:p w14:paraId="45E4E9DE">
                  <w:pPr>
                    <w:jc w:val="center"/>
                    <w:rPr>
                      <w:rFonts w:hint="default"/>
                      <w:color w:val="auto"/>
                      <w:vertAlign w:val="baseline"/>
                      <w:lang w:val="en-US" w:eastAsia="zh-CN"/>
                    </w:rPr>
                  </w:pPr>
                </w:p>
              </w:tc>
              <w:tc>
                <w:tcPr>
                  <w:tcW w:w="1684" w:type="dxa"/>
                  <w:vAlign w:val="center"/>
                </w:tcPr>
                <w:p w14:paraId="504C9112">
                  <w:pPr>
                    <w:jc w:val="center"/>
                    <w:rPr>
                      <w:rFonts w:hint="default"/>
                      <w:color w:val="auto"/>
                      <w:vertAlign w:val="baseline"/>
                      <w:lang w:val="en-US" w:eastAsia="zh-CN"/>
                    </w:rPr>
                  </w:pPr>
                  <w:r>
                    <w:rPr>
                      <w:rFonts w:hint="eastAsia"/>
                      <w:color w:val="auto"/>
                      <w:vertAlign w:val="baseline"/>
                      <w:lang w:val="en-US" w:eastAsia="zh-CN"/>
                    </w:rPr>
                    <w:t>MJ/Kg</w:t>
                  </w:r>
                </w:p>
              </w:tc>
              <w:tc>
                <w:tcPr>
                  <w:tcW w:w="1685" w:type="dxa"/>
                  <w:vAlign w:val="center"/>
                </w:tcPr>
                <w:p w14:paraId="35BFCF0C">
                  <w:pPr>
                    <w:jc w:val="center"/>
                    <w:rPr>
                      <w:rFonts w:hint="default"/>
                      <w:color w:val="auto"/>
                      <w:vertAlign w:val="baseline"/>
                      <w:lang w:val="en-US" w:eastAsia="zh-CN"/>
                    </w:rPr>
                  </w:pPr>
                  <w:r>
                    <w:rPr>
                      <w:rFonts w:hint="eastAsia"/>
                      <w:color w:val="auto"/>
                      <w:vertAlign w:val="baseline"/>
                      <w:lang w:val="en-US" w:eastAsia="zh-CN"/>
                    </w:rPr>
                    <w:t>23.63</w:t>
                  </w:r>
                </w:p>
              </w:tc>
            </w:tr>
          </w:tbl>
          <w:p w14:paraId="5238D04C">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（9）</w:t>
            </w:r>
            <w:r>
              <w:rPr>
                <w:rFonts w:hint="default" w:ascii="Times New Roman" w:hAnsi="Times New Roman" w:eastAsia="宋体" w:cs="Times New Roman"/>
                <w:color w:val="auto"/>
                <w:kern w:val="2"/>
                <w:sz w:val="24"/>
                <w:szCs w:val="24"/>
                <w:lang w:val="en-US" w:eastAsia="zh-CN" w:bidi="ar-SA"/>
              </w:rPr>
              <w:t>公用工程</w:t>
            </w:r>
          </w:p>
          <w:p w14:paraId="0440A9E4">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eastAsia" w:cs="Times New Roman"/>
                <w:color w:val="auto"/>
                <w:kern w:val="2"/>
                <w:sz w:val="24"/>
                <w:szCs w:val="24"/>
                <w:lang w:val="en-US" w:eastAsia="zh-CN" w:bidi="ar-SA"/>
              </w:rPr>
              <w:t>①</w:t>
            </w:r>
            <w:r>
              <w:rPr>
                <w:rFonts w:hint="default" w:ascii="Times New Roman" w:hAnsi="Times New Roman" w:eastAsia="宋体" w:cs="Times New Roman"/>
                <w:color w:val="auto"/>
                <w:kern w:val="2"/>
                <w:sz w:val="24"/>
                <w:szCs w:val="24"/>
                <w:lang w:val="en-US" w:eastAsia="zh-CN" w:bidi="ar-SA"/>
              </w:rPr>
              <w:t>供电</w:t>
            </w:r>
          </w:p>
          <w:p w14:paraId="13161C5D">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本项目电源引自蒙西工业园区变电站，</w:t>
            </w:r>
            <w:r>
              <w:rPr>
                <w:rFonts w:hint="eastAsia" w:cs="Times New Roman"/>
                <w:color w:val="auto"/>
                <w:kern w:val="2"/>
                <w:sz w:val="24"/>
                <w:szCs w:val="24"/>
                <w:lang w:val="en-US" w:eastAsia="zh-CN" w:bidi="ar-SA"/>
              </w:rPr>
              <w:t>项目用地依托</w:t>
            </w:r>
            <w:r>
              <w:rPr>
                <w:rFonts w:hint="default" w:ascii="Times New Roman" w:hAnsi="Times New Roman" w:eastAsia="宋体" w:cs="Times New Roman"/>
                <w:color w:val="auto"/>
                <w:kern w:val="2"/>
                <w:sz w:val="24"/>
                <w:szCs w:val="24"/>
                <w:lang w:val="en-US" w:eastAsia="zh-CN" w:bidi="ar-SA"/>
              </w:rPr>
              <w:t>厂区东侧400KW变压器。</w:t>
            </w:r>
          </w:p>
          <w:p w14:paraId="6E70C609">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eastAsia" w:cs="Times New Roman"/>
                <w:color w:val="auto"/>
                <w:kern w:val="2"/>
                <w:sz w:val="24"/>
                <w:szCs w:val="24"/>
                <w:lang w:val="en-US" w:eastAsia="zh-CN" w:bidi="ar-SA"/>
              </w:rPr>
              <w:t>②</w:t>
            </w:r>
            <w:r>
              <w:rPr>
                <w:rFonts w:hint="default" w:ascii="Times New Roman" w:hAnsi="Times New Roman" w:eastAsia="宋体" w:cs="Times New Roman"/>
                <w:color w:val="auto"/>
                <w:kern w:val="2"/>
                <w:sz w:val="24"/>
                <w:szCs w:val="24"/>
                <w:lang w:val="en-US" w:eastAsia="zh-CN" w:bidi="ar-SA"/>
              </w:rPr>
              <w:t>采暖</w:t>
            </w:r>
          </w:p>
          <w:p w14:paraId="59D10178">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eastAsia" w:cs="Times New Roman"/>
                <w:color w:val="auto"/>
                <w:kern w:val="2"/>
                <w:sz w:val="24"/>
                <w:szCs w:val="24"/>
                <w:lang w:val="en-US" w:eastAsia="zh-CN" w:bidi="ar-SA"/>
              </w:rPr>
            </w:pPr>
            <w:r>
              <w:rPr>
                <w:rFonts w:hint="eastAsia" w:cs="Times New Roman"/>
                <w:color w:val="auto"/>
                <w:kern w:val="2"/>
                <w:sz w:val="24"/>
                <w:szCs w:val="24"/>
                <w:lang w:val="en-US" w:eastAsia="zh-CN" w:bidi="ar-SA"/>
              </w:rPr>
              <w:t>项目无需供暖。</w:t>
            </w:r>
          </w:p>
          <w:p w14:paraId="7C965758">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eastAsia" w:cs="Times New Roman"/>
                <w:color w:val="auto"/>
                <w:kern w:val="2"/>
                <w:sz w:val="24"/>
                <w:szCs w:val="24"/>
                <w:lang w:val="en-US" w:eastAsia="zh-CN" w:bidi="ar-SA"/>
              </w:rPr>
              <w:t>③</w:t>
            </w:r>
            <w:r>
              <w:rPr>
                <w:rFonts w:hint="default" w:ascii="Times New Roman" w:hAnsi="Times New Roman" w:eastAsia="宋体" w:cs="Times New Roman"/>
                <w:color w:val="auto"/>
                <w:kern w:val="2"/>
                <w:sz w:val="24"/>
                <w:szCs w:val="24"/>
                <w:lang w:val="en-US" w:eastAsia="zh-CN" w:bidi="ar-SA"/>
              </w:rPr>
              <w:t>给排水</w:t>
            </w:r>
          </w:p>
          <w:p w14:paraId="0D05AF15">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eastAsia" w:cs="Times New Roman"/>
                <w:color w:val="auto"/>
                <w:kern w:val="2"/>
                <w:sz w:val="24"/>
                <w:szCs w:val="24"/>
                <w:lang w:val="en-US" w:eastAsia="zh-CN" w:bidi="ar-SA"/>
              </w:rPr>
              <w:t>a.</w:t>
            </w:r>
            <w:r>
              <w:rPr>
                <w:rFonts w:hint="default" w:ascii="Times New Roman" w:hAnsi="Times New Roman" w:eastAsia="宋体" w:cs="Times New Roman"/>
                <w:color w:val="auto"/>
                <w:kern w:val="2"/>
                <w:sz w:val="24"/>
                <w:szCs w:val="24"/>
                <w:lang w:val="en-US" w:eastAsia="zh-CN" w:bidi="ar-SA"/>
              </w:rPr>
              <w:t>给水</w:t>
            </w:r>
          </w:p>
          <w:p w14:paraId="4D86301B">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供水来自蒙西工业园区给水管网供</w:t>
            </w:r>
            <w:r>
              <w:rPr>
                <w:rFonts w:hint="eastAsia" w:cs="Times New Roman"/>
                <w:color w:val="auto"/>
                <w:kern w:val="2"/>
                <w:sz w:val="24"/>
                <w:szCs w:val="24"/>
                <w:lang w:val="en-US" w:eastAsia="zh-CN" w:bidi="ar-SA"/>
              </w:rPr>
              <w:t>给</w:t>
            </w:r>
            <w:r>
              <w:rPr>
                <w:rFonts w:hint="eastAsia" w:ascii="Times New Roman" w:hAnsi="Times New Roman" w:eastAsia="宋体" w:cs="Times New Roman"/>
                <w:color w:val="auto"/>
                <w:kern w:val="2"/>
                <w:sz w:val="24"/>
                <w:szCs w:val="24"/>
                <w:lang w:val="en-US" w:eastAsia="zh-CN" w:bidi="ar-SA"/>
              </w:rPr>
              <w:t>，该给水管网供工业用水水源为黄河水，供生活用水水源为地下水。</w:t>
            </w:r>
          </w:p>
          <w:p w14:paraId="210DC7F9">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eastAsia" w:ascii="Times New Roman" w:hAnsi="Times New Roman" w:cs="Times New Roman"/>
                <w:color w:val="auto"/>
                <w:lang w:val="en-US" w:eastAsia="zh-CN"/>
              </w:rPr>
            </w:pPr>
            <w:r>
              <w:rPr>
                <w:rFonts w:hint="eastAsia" w:cs="Times New Roman"/>
                <w:color w:val="auto"/>
                <w:kern w:val="2"/>
                <w:sz w:val="24"/>
                <w:szCs w:val="24"/>
                <w:lang w:val="en-US" w:eastAsia="zh-CN" w:bidi="ar-SA"/>
              </w:rPr>
              <w:t>本次热源技改项目不新增劳动人员，不新增生活用水。</w:t>
            </w:r>
            <w:r>
              <w:rPr>
                <w:rFonts w:hint="eastAsia" w:ascii="Times New Roman" w:hAnsi="Times New Roman" w:cs="Times New Roman"/>
                <w:color w:val="auto"/>
                <w:lang w:val="en-US" w:eastAsia="zh-CN"/>
              </w:rPr>
              <w:t>根据《利用粉煤灰生产聚合氯化铝技改扩建项目环境影响报告书》数据资料得知，</w:t>
            </w:r>
            <w:r>
              <w:rPr>
                <w:rFonts w:ascii="Times New Roman" w:hAnsi="Times New Roman" w:cs="Times New Roman"/>
                <w:color w:val="auto"/>
              </w:rPr>
              <w:t>固体聚合氯化铝生产线</w:t>
            </w:r>
            <w:r>
              <w:rPr>
                <w:rFonts w:hint="eastAsia" w:ascii="Times New Roman" w:hAnsi="Times New Roman" w:cs="Times New Roman"/>
                <w:color w:val="auto"/>
              </w:rPr>
              <w:t>一期总用水量</w:t>
            </w:r>
            <w:r>
              <w:rPr>
                <w:rFonts w:hint="eastAsia" w:ascii="Times New Roman" w:hAnsi="Times New Roman" w:cs="Times New Roman"/>
                <w:color w:val="auto"/>
                <w:lang w:val="en-US" w:eastAsia="zh-CN"/>
              </w:rPr>
              <w:t>为22287.56</w:t>
            </w:r>
            <w:r>
              <w:rPr>
                <w:rFonts w:hint="default" w:ascii="Times New Roman" w:hAnsi="Times New Roman" w:eastAsia="宋体" w:cs="Times New Roman"/>
                <w:color w:val="auto"/>
                <w:kern w:val="2"/>
                <w:sz w:val="24"/>
                <w:szCs w:val="24"/>
                <w:lang w:val="en-US" w:eastAsia="zh-CN" w:bidi="ar-SA"/>
              </w:rPr>
              <w:t>m³</w:t>
            </w:r>
            <w:r>
              <w:rPr>
                <w:rFonts w:hint="eastAsia" w:ascii="Times New Roman" w:hAnsi="Times New Roman" w:cs="Times New Roman"/>
                <w:color w:val="auto"/>
                <w:lang w:val="en-US" w:eastAsia="zh-CN"/>
              </w:rPr>
              <w:t xml:space="preserve">/a，其中6020.52 </w:t>
            </w:r>
            <w:r>
              <w:rPr>
                <w:rFonts w:hint="default" w:ascii="Times New Roman" w:hAnsi="Times New Roman" w:eastAsia="宋体" w:cs="Times New Roman"/>
                <w:color w:val="auto"/>
                <w:kern w:val="2"/>
                <w:sz w:val="24"/>
                <w:szCs w:val="24"/>
                <w:lang w:val="en-US" w:eastAsia="zh-CN" w:bidi="ar-SA"/>
              </w:rPr>
              <w:t>m³</w:t>
            </w:r>
            <w:r>
              <w:rPr>
                <w:rFonts w:hint="eastAsia" w:ascii="Times New Roman" w:hAnsi="Times New Roman" w:cs="Times New Roman"/>
                <w:color w:val="auto"/>
                <w:lang w:val="en-US" w:eastAsia="zh-CN"/>
              </w:rPr>
              <w:t>/a用于废渣洗涤工序，8322.53</w:t>
            </w:r>
            <w:r>
              <w:rPr>
                <w:rFonts w:hint="default" w:ascii="Times New Roman" w:hAnsi="Times New Roman" w:eastAsia="宋体" w:cs="Times New Roman"/>
                <w:color w:val="auto"/>
                <w:kern w:val="2"/>
                <w:sz w:val="24"/>
                <w:szCs w:val="24"/>
                <w:lang w:val="en-US" w:eastAsia="zh-CN" w:bidi="ar-SA"/>
              </w:rPr>
              <w:t>m³</w:t>
            </w:r>
            <w:r>
              <w:rPr>
                <w:rFonts w:hint="eastAsia" w:ascii="Times New Roman" w:hAnsi="Times New Roman" w:cs="Times New Roman"/>
                <w:color w:val="auto"/>
                <w:lang w:val="en-US" w:eastAsia="zh-CN"/>
              </w:rPr>
              <w:t>/a用于溶出、聚合反应直通蒸汽工序</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7944.51 m³</w:t>
            </w:r>
            <w:r>
              <w:rPr>
                <w:rFonts w:hint="eastAsia" w:ascii="Times New Roman" w:hAnsi="Times New Roman" w:eastAsia="宋体" w:cs="Times New Roman"/>
                <w:color w:val="auto"/>
                <w:kern w:val="2"/>
                <w:sz w:val="24"/>
                <w:szCs w:val="24"/>
                <w:lang w:val="en-US" w:eastAsia="zh-CN" w:bidi="ar-SA"/>
              </w:rPr>
              <w:t>/a</w:t>
            </w:r>
            <w:r>
              <w:rPr>
                <w:rFonts w:hint="default" w:ascii="Times New Roman" w:hAnsi="Times New Roman" w:eastAsia="宋体" w:cs="Times New Roman"/>
                <w:color w:val="auto"/>
                <w:kern w:val="2"/>
                <w:sz w:val="24"/>
                <w:szCs w:val="24"/>
                <w:lang w:val="en-US" w:eastAsia="zh-CN" w:bidi="ar-SA"/>
              </w:rPr>
              <w:t>用于溶出反应</w:t>
            </w:r>
            <w:r>
              <w:rPr>
                <w:rFonts w:hint="eastAsia" w:ascii="Times New Roman" w:hAnsi="Times New Roman" w:eastAsia="宋体" w:cs="Times New Roman"/>
                <w:color w:val="auto"/>
                <w:kern w:val="2"/>
                <w:sz w:val="24"/>
                <w:szCs w:val="24"/>
                <w:lang w:val="en-US" w:eastAsia="zh-CN" w:bidi="ar-SA"/>
              </w:rPr>
              <w:t>。</w:t>
            </w:r>
            <w:r>
              <w:rPr>
                <w:rFonts w:ascii="Times New Roman" w:hAnsi="Times New Roman" w:cs="Times New Roman"/>
                <w:color w:val="auto"/>
              </w:rPr>
              <w:t>固体聚合氯化铝生产线</w:t>
            </w:r>
            <w:r>
              <w:rPr>
                <w:rFonts w:ascii="Times New Roman" w:hAnsi="Times New Roman" w:cs="Times New Roman"/>
                <w:color w:val="auto"/>
                <w:lang w:val="zh-CN"/>
              </w:rPr>
              <w:t>一期工程废水产生量为</w:t>
            </w:r>
            <w:r>
              <w:rPr>
                <w:rFonts w:hint="eastAsia" w:ascii="Times New Roman" w:hAnsi="Times New Roman" w:cs="Times New Roman"/>
                <w:color w:val="auto"/>
              </w:rPr>
              <w:t>27774.48</w:t>
            </w:r>
            <w:r>
              <w:rPr>
                <w:rFonts w:hint="default" w:ascii="Times New Roman" w:hAnsi="Times New Roman" w:eastAsia="宋体" w:cs="Times New Roman"/>
                <w:color w:val="auto"/>
                <w:kern w:val="2"/>
                <w:sz w:val="24"/>
                <w:szCs w:val="24"/>
                <w:lang w:val="en-US" w:eastAsia="zh-CN" w:bidi="ar-SA"/>
              </w:rPr>
              <w:t>m³</w:t>
            </w:r>
            <w:r>
              <w:rPr>
                <w:rFonts w:hint="eastAsia" w:ascii="Times New Roman" w:hAnsi="Times New Roman" w:cs="Times New Roman"/>
                <w:color w:val="auto"/>
              </w:rPr>
              <w:t>/a，其中酸雾吸收塔废水产生量为1209.5</w:t>
            </w:r>
            <w:r>
              <w:rPr>
                <w:rFonts w:hint="default" w:ascii="Times New Roman" w:hAnsi="Times New Roman" w:eastAsia="宋体" w:cs="Times New Roman"/>
                <w:color w:val="auto"/>
                <w:kern w:val="2"/>
                <w:sz w:val="24"/>
                <w:szCs w:val="24"/>
                <w:lang w:val="en-US" w:eastAsia="zh-CN" w:bidi="ar-SA"/>
              </w:rPr>
              <w:t>m³</w:t>
            </w:r>
            <w:r>
              <w:rPr>
                <w:rFonts w:hint="eastAsia" w:ascii="Times New Roman" w:hAnsi="Times New Roman" w:cs="Times New Roman"/>
                <w:color w:val="auto"/>
              </w:rPr>
              <w:t>/a、三级吸收塔废水产生量为20544.46</w:t>
            </w:r>
            <w:r>
              <w:rPr>
                <w:rFonts w:hint="default" w:ascii="Times New Roman" w:hAnsi="Times New Roman" w:eastAsia="宋体" w:cs="Times New Roman"/>
                <w:color w:val="auto"/>
                <w:kern w:val="2"/>
                <w:sz w:val="24"/>
                <w:szCs w:val="24"/>
                <w:lang w:val="en-US" w:eastAsia="zh-CN" w:bidi="ar-SA"/>
              </w:rPr>
              <w:t>m</w:t>
            </w:r>
            <w:r>
              <w:rPr>
                <w:rFonts w:hint="eastAsia" w:cs="Times New Roman"/>
                <w:color w:val="auto"/>
                <w:kern w:val="2"/>
                <w:sz w:val="24"/>
                <w:szCs w:val="24"/>
                <w:vertAlign w:val="superscript"/>
                <w:lang w:val="en-US" w:eastAsia="zh-CN" w:bidi="ar-SA"/>
              </w:rPr>
              <w:t>3</w:t>
            </w:r>
            <w:r>
              <w:rPr>
                <w:rFonts w:hint="eastAsia" w:ascii="Times New Roman" w:hAnsi="Times New Roman" w:cs="Times New Roman"/>
                <w:color w:val="auto"/>
              </w:rPr>
              <w:t>/a、废渣洗涤水产生量为6020.52</w:t>
            </w:r>
            <w:r>
              <w:rPr>
                <w:rFonts w:hint="default" w:ascii="Times New Roman" w:hAnsi="Times New Roman" w:eastAsia="宋体" w:cs="Times New Roman"/>
                <w:color w:val="auto"/>
                <w:kern w:val="2"/>
                <w:sz w:val="24"/>
                <w:szCs w:val="24"/>
                <w:lang w:val="en-US" w:eastAsia="zh-CN" w:bidi="ar-SA"/>
              </w:rPr>
              <w:t>m³</w:t>
            </w:r>
            <w:r>
              <w:rPr>
                <w:rFonts w:hint="eastAsia" w:ascii="Times New Roman" w:hAnsi="Times New Roman" w:cs="Times New Roman"/>
                <w:color w:val="auto"/>
              </w:rPr>
              <w:t>/a，收集至回用水池全部回用，不外排。</w:t>
            </w:r>
            <w:r>
              <w:rPr>
                <w:rFonts w:hint="eastAsia" w:ascii="Times New Roman" w:hAnsi="Times New Roman" w:cs="Times New Roman"/>
                <w:color w:val="auto"/>
                <w:lang w:val="en-US" w:eastAsia="zh-CN"/>
              </w:rPr>
              <w:t>本次</w:t>
            </w:r>
            <w:r>
              <w:rPr>
                <w:rFonts w:hint="eastAsia" w:cs="Times New Roman"/>
                <w:color w:val="auto"/>
                <w:kern w:val="2"/>
                <w:sz w:val="24"/>
                <w:szCs w:val="24"/>
                <w:lang w:val="en-US" w:eastAsia="zh-CN" w:bidi="ar-SA"/>
              </w:rPr>
              <w:t>热源</w:t>
            </w:r>
            <w:r>
              <w:rPr>
                <w:rFonts w:hint="eastAsia" w:ascii="Times New Roman" w:hAnsi="Times New Roman" w:cs="Times New Roman"/>
                <w:color w:val="auto"/>
                <w:lang w:val="en-US" w:eastAsia="zh-CN"/>
              </w:rPr>
              <w:t>技改项目不新增</w:t>
            </w:r>
            <w:r>
              <w:rPr>
                <w:rFonts w:hint="eastAsia" w:cs="Times New Roman"/>
                <w:color w:val="auto"/>
                <w:lang w:val="en-US" w:eastAsia="zh-CN"/>
              </w:rPr>
              <w:t>现有</w:t>
            </w:r>
            <w:r>
              <w:rPr>
                <w:rFonts w:ascii="Times New Roman" w:hAnsi="Times New Roman" w:cs="Times New Roman"/>
                <w:color w:val="auto"/>
              </w:rPr>
              <w:t>固体聚合氯化铝生产线用水</w:t>
            </w:r>
            <w:r>
              <w:rPr>
                <w:rFonts w:hint="eastAsia" w:ascii="Times New Roman" w:hAnsi="Times New Roman" w:cs="Times New Roman"/>
                <w:color w:val="auto"/>
                <w:lang w:val="en-US" w:eastAsia="zh-CN"/>
              </w:rPr>
              <w:t>量和排水量。</w:t>
            </w:r>
          </w:p>
          <w:p w14:paraId="60882191">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eastAsia" w:cs="Times New Roman"/>
                <w:color w:val="auto"/>
                <w:kern w:val="2"/>
                <w:sz w:val="24"/>
                <w:szCs w:val="24"/>
                <w:lang w:val="en-US" w:eastAsia="zh-CN" w:bidi="ar-SA"/>
              </w:rPr>
            </w:pPr>
            <w:r>
              <w:rPr>
                <w:rFonts w:hint="eastAsia" w:cs="Times New Roman"/>
                <w:color w:val="auto"/>
                <w:kern w:val="2"/>
                <w:sz w:val="24"/>
                <w:szCs w:val="24"/>
                <w:lang w:val="en-US" w:eastAsia="zh-CN" w:bidi="ar-SA"/>
              </w:rPr>
              <w:t>本次热源技改项目生产用水主要包括脱硝剂药剂配置用水。</w:t>
            </w:r>
          </w:p>
          <w:p w14:paraId="23B07DCF">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根据建设单位提供资料，脱硝剂配制用水约为0.05m³/d，即</w:t>
            </w:r>
            <w:r>
              <w:rPr>
                <w:rFonts w:hint="eastAsia" w:cs="Times New Roman"/>
                <w:color w:val="auto"/>
                <w:kern w:val="2"/>
                <w:sz w:val="24"/>
                <w:szCs w:val="24"/>
                <w:lang w:val="en-US" w:eastAsia="zh-CN" w:bidi="ar-SA"/>
              </w:rPr>
              <w:t>15</w:t>
            </w:r>
            <w:r>
              <w:rPr>
                <w:rFonts w:hint="default" w:ascii="Times New Roman" w:hAnsi="Times New Roman" w:eastAsia="宋体" w:cs="Times New Roman"/>
                <w:color w:val="auto"/>
                <w:kern w:val="2"/>
                <w:sz w:val="24"/>
                <w:szCs w:val="24"/>
                <w:lang w:val="en-US" w:eastAsia="zh-CN" w:bidi="ar-SA"/>
              </w:rPr>
              <w:t>m³/a。</w:t>
            </w:r>
          </w:p>
          <w:p w14:paraId="38D7B6FD">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eastAsia" w:cs="Times New Roman"/>
                <w:color w:val="auto"/>
                <w:kern w:val="2"/>
                <w:sz w:val="24"/>
                <w:szCs w:val="24"/>
                <w:lang w:val="en-US" w:eastAsia="zh-CN" w:bidi="ar-SA"/>
              </w:rPr>
              <w:t>b.</w:t>
            </w:r>
            <w:r>
              <w:rPr>
                <w:rFonts w:hint="default" w:ascii="Times New Roman" w:hAnsi="Times New Roman" w:eastAsia="宋体" w:cs="Times New Roman"/>
                <w:color w:val="auto"/>
                <w:kern w:val="2"/>
                <w:sz w:val="24"/>
                <w:szCs w:val="24"/>
                <w:lang w:val="en-US" w:eastAsia="zh-CN" w:bidi="ar-SA"/>
              </w:rPr>
              <w:t>排水</w:t>
            </w:r>
          </w:p>
          <w:p w14:paraId="506691FA">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eastAsia" w:cs="Times New Roman"/>
                <w:color w:val="auto"/>
                <w:kern w:val="2"/>
                <w:sz w:val="24"/>
                <w:szCs w:val="24"/>
                <w:lang w:val="en-US" w:eastAsia="zh-CN" w:bidi="ar-SA"/>
              </w:rPr>
            </w:pPr>
            <w:r>
              <w:rPr>
                <w:rFonts w:hint="eastAsia" w:cs="Times New Roman"/>
                <w:color w:val="auto"/>
                <w:kern w:val="2"/>
                <w:sz w:val="24"/>
                <w:szCs w:val="24"/>
                <w:lang w:val="en-US" w:eastAsia="zh-CN" w:bidi="ar-SA"/>
              </w:rPr>
              <w:t>本次热源技改项目新增脱硝剂药剂配置用水全部蒸发。</w:t>
            </w:r>
          </w:p>
          <w:p w14:paraId="135834F8">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本项目给排水平衡一览表见表2-</w:t>
            </w:r>
            <w:r>
              <w:rPr>
                <w:rFonts w:hint="eastAsia" w:cs="Times New Roman"/>
                <w:color w:val="auto"/>
                <w:kern w:val="2"/>
                <w:sz w:val="24"/>
                <w:szCs w:val="24"/>
                <w:lang w:val="en-US" w:eastAsia="zh-CN" w:bidi="ar-SA"/>
              </w:rPr>
              <w:t>7</w:t>
            </w:r>
            <w:r>
              <w:rPr>
                <w:rFonts w:hint="default" w:ascii="Times New Roman" w:hAnsi="Times New Roman" w:eastAsia="宋体" w:cs="Times New Roman"/>
                <w:color w:val="auto"/>
                <w:kern w:val="2"/>
                <w:sz w:val="24"/>
                <w:szCs w:val="24"/>
                <w:lang w:val="en-US" w:eastAsia="zh-CN" w:bidi="ar-SA"/>
              </w:rPr>
              <w:t>。</w:t>
            </w:r>
          </w:p>
          <w:p w14:paraId="597197F5">
            <w:pPr>
              <w:pStyle w:val="16"/>
              <w:keepNext w:val="0"/>
              <w:keepLines/>
              <w:pageBreakBefore w:val="0"/>
              <w:widowControl w:val="0"/>
              <w:kinsoku/>
              <w:wordWrap/>
              <w:overflowPunct/>
              <w:topLinePunct w:val="0"/>
              <w:autoSpaceDE/>
              <w:autoSpaceDN/>
              <w:bidi w:val="0"/>
              <w:adjustRightInd/>
              <w:snapToGrid/>
              <w:spacing w:line="480" w:lineRule="exact"/>
              <w:textAlignment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表2-</w:t>
            </w:r>
            <w:r>
              <w:rPr>
                <w:rFonts w:hint="eastAsia" w:eastAsia="宋体" w:cs="Times New Roman"/>
                <w:color w:val="auto"/>
                <w:sz w:val="24"/>
                <w:szCs w:val="24"/>
                <w:lang w:val="en-US" w:eastAsia="zh-CN"/>
              </w:rPr>
              <w:t>7</w:t>
            </w:r>
            <w:r>
              <w:rPr>
                <w:rFonts w:hint="eastAsia" w:ascii="Times New Roman" w:hAnsi="Times New Roman" w:eastAsia="宋体" w:cs="Times New Roman"/>
                <w:color w:val="auto"/>
                <w:sz w:val="24"/>
                <w:szCs w:val="24"/>
                <w:lang w:val="en-US" w:eastAsia="zh-CN"/>
              </w:rPr>
              <w:t xml:space="preserve">  本项目给排水一览表</w:t>
            </w:r>
          </w:p>
          <w:tbl>
            <w:tblPr>
              <w:tblStyle w:val="11"/>
              <w:tblW w:w="795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2"/>
              <w:gridCol w:w="1704"/>
              <w:gridCol w:w="1756"/>
              <w:gridCol w:w="1739"/>
              <w:gridCol w:w="1416"/>
            </w:tblGrid>
            <w:tr w14:paraId="418D2E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5" w:hRule="atLeast"/>
                <w:jc w:val="center"/>
              </w:trPr>
              <w:tc>
                <w:tcPr>
                  <w:tcW w:w="1342" w:type="dxa"/>
                  <w:tcBorders>
                    <w:tl2br w:val="nil"/>
                    <w:tr2bl w:val="nil"/>
                  </w:tcBorders>
                  <w:noWrap w:val="0"/>
                  <w:vAlign w:val="center"/>
                </w:tcPr>
                <w:p w14:paraId="67964A40">
                  <w:pPr>
                    <w:keepNext w:val="0"/>
                    <w:keepLines/>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项目</w:t>
                  </w:r>
                </w:p>
              </w:tc>
              <w:tc>
                <w:tcPr>
                  <w:tcW w:w="1704" w:type="dxa"/>
                  <w:tcBorders>
                    <w:tl2br w:val="nil"/>
                    <w:tr2bl w:val="nil"/>
                  </w:tcBorders>
                  <w:noWrap w:val="0"/>
                  <w:vAlign w:val="center"/>
                </w:tcPr>
                <w:p w14:paraId="747C4E48">
                  <w:pPr>
                    <w:keepNext w:val="0"/>
                    <w:keepLines/>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新鲜水量</w:t>
                  </w:r>
                </w:p>
              </w:tc>
              <w:tc>
                <w:tcPr>
                  <w:tcW w:w="1756" w:type="dxa"/>
                  <w:tcBorders>
                    <w:tl2br w:val="nil"/>
                    <w:tr2bl w:val="nil"/>
                  </w:tcBorders>
                  <w:noWrap w:val="0"/>
                  <w:vAlign w:val="center"/>
                </w:tcPr>
                <w:p w14:paraId="66113179">
                  <w:pPr>
                    <w:keepNext w:val="0"/>
                    <w:keepLines/>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损耗量</w:t>
                  </w:r>
                </w:p>
              </w:tc>
              <w:tc>
                <w:tcPr>
                  <w:tcW w:w="1739" w:type="dxa"/>
                  <w:tcBorders>
                    <w:tl2br w:val="nil"/>
                    <w:tr2bl w:val="nil"/>
                  </w:tcBorders>
                  <w:noWrap w:val="0"/>
                  <w:vAlign w:val="center"/>
                </w:tcPr>
                <w:p w14:paraId="0E971B41">
                  <w:pPr>
                    <w:keepNext w:val="0"/>
                    <w:keepLines/>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废水产生量</w:t>
                  </w:r>
                </w:p>
              </w:tc>
              <w:tc>
                <w:tcPr>
                  <w:tcW w:w="1416" w:type="dxa"/>
                  <w:tcBorders>
                    <w:tl2br w:val="nil"/>
                    <w:tr2bl w:val="nil"/>
                  </w:tcBorders>
                  <w:noWrap w:val="0"/>
                  <w:vAlign w:val="center"/>
                </w:tcPr>
                <w:p w14:paraId="6C81AE75">
                  <w:pPr>
                    <w:keepNext w:val="0"/>
                    <w:keepLines/>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b w:val="0"/>
                      <w:bCs/>
                      <w:color w:val="auto"/>
                      <w:sz w:val="21"/>
                      <w:szCs w:val="21"/>
                      <w:highlight w:val="none"/>
                      <w:vertAlign w:val="baseline"/>
                      <w:lang w:val="en-US" w:eastAsia="zh-CN"/>
                    </w:rPr>
                    <w:t>废水去向</w:t>
                  </w:r>
                </w:p>
              </w:tc>
            </w:tr>
            <w:tr w14:paraId="2E8F00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342" w:type="dxa"/>
                  <w:tcBorders>
                    <w:tl2br w:val="nil"/>
                    <w:tr2bl w:val="nil"/>
                  </w:tcBorders>
                  <w:noWrap w:val="0"/>
                  <w:vAlign w:val="center"/>
                </w:tcPr>
                <w:p w14:paraId="07695EB4">
                  <w:pPr>
                    <w:keepNext w:val="0"/>
                    <w:keepLines/>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脱硝剂药剂配置用水</w:t>
                  </w:r>
                </w:p>
              </w:tc>
              <w:tc>
                <w:tcPr>
                  <w:tcW w:w="1704" w:type="dxa"/>
                  <w:tcBorders>
                    <w:tl2br w:val="nil"/>
                    <w:tr2bl w:val="nil"/>
                  </w:tcBorders>
                  <w:noWrap w:val="0"/>
                  <w:vAlign w:val="center"/>
                </w:tcPr>
                <w:p w14:paraId="40D9CEDC">
                  <w:pPr>
                    <w:pStyle w:val="2"/>
                    <w:keepNext w:val="0"/>
                    <w:keepLines/>
                    <w:pageBreakBefore w:val="0"/>
                    <w:widowControl w:val="0"/>
                    <w:kinsoku/>
                    <w:wordWrap/>
                    <w:overflowPunct/>
                    <w:topLinePunct w:val="0"/>
                    <w:autoSpaceDE/>
                    <w:autoSpaceDN/>
                    <w:bidi w:val="0"/>
                    <w:spacing w:after="0"/>
                    <w:ind w:left="0" w:leftChars="0" w:firstLine="0" w:firstLineChars="0"/>
                    <w:jc w:val="center"/>
                    <w:textAlignment w:val="auto"/>
                    <w:rPr>
                      <w:rFonts w:hint="default"/>
                      <w:color w:val="auto"/>
                      <w:sz w:val="21"/>
                      <w:szCs w:val="21"/>
                      <w:highlight w:val="none"/>
                      <w:lang w:val="en-US" w:eastAsia="zh-CN"/>
                    </w:rPr>
                  </w:pPr>
                  <w:r>
                    <w:rPr>
                      <w:rFonts w:hint="default"/>
                      <w:color w:val="auto"/>
                      <w:sz w:val="21"/>
                      <w:szCs w:val="21"/>
                      <w:highlight w:val="none"/>
                      <w:lang w:val="en-US" w:eastAsia="zh-CN"/>
                    </w:rPr>
                    <w:t>15m</w:t>
                  </w:r>
                  <w:r>
                    <w:rPr>
                      <w:rFonts w:hint="default"/>
                      <w:color w:val="auto"/>
                      <w:sz w:val="21"/>
                      <w:szCs w:val="21"/>
                      <w:highlight w:val="none"/>
                      <w:vertAlign w:val="superscript"/>
                      <w:lang w:val="en-US" w:eastAsia="zh-CN"/>
                    </w:rPr>
                    <w:t>3</w:t>
                  </w:r>
                  <w:r>
                    <w:rPr>
                      <w:rFonts w:hint="default"/>
                      <w:color w:val="auto"/>
                      <w:sz w:val="21"/>
                      <w:szCs w:val="21"/>
                      <w:highlight w:val="none"/>
                      <w:lang w:val="en-US" w:eastAsia="zh-CN"/>
                    </w:rPr>
                    <w:t>/a</w:t>
                  </w:r>
                </w:p>
              </w:tc>
              <w:tc>
                <w:tcPr>
                  <w:tcW w:w="1756" w:type="dxa"/>
                  <w:tcBorders>
                    <w:tl2br w:val="nil"/>
                    <w:tr2bl w:val="nil"/>
                  </w:tcBorders>
                  <w:noWrap w:val="0"/>
                  <w:vAlign w:val="center"/>
                </w:tcPr>
                <w:p w14:paraId="3319DAFB">
                  <w:pPr>
                    <w:pStyle w:val="2"/>
                    <w:keepNext w:val="0"/>
                    <w:keepLines/>
                    <w:pageBreakBefore w:val="0"/>
                    <w:widowControl w:val="0"/>
                    <w:kinsoku/>
                    <w:wordWrap/>
                    <w:overflowPunct/>
                    <w:topLinePunct w:val="0"/>
                    <w:autoSpaceDE/>
                    <w:autoSpaceDN/>
                    <w:bidi w:val="0"/>
                    <w:spacing w:after="0"/>
                    <w:ind w:left="0" w:leftChars="0" w:firstLine="0" w:firstLineChars="0"/>
                    <w:jc w:val="center"/>
                    <w:textAlignment w:val="auto"/>
                    <w:rPr>
                      <w:rFonts w:hint="default"/>
                      <w:color w:val="auto"/>
                      <w:sz w:val="21"/>
                      <w:szCs w:val="21"/>
                      <w:highlight w:val="none"/>
                      <w:lang w:val="en-US" w:eastAsia="zh-CN"/>
                    </w:rPr>
                  </w:pPr>
                  <w:r>
                    <w:rPr>
                      <w:rFonts w:hint="default"/>
                      <w:color w:val="auto"/>
                      <w:sz w:val="21"/>
                      <w:szCs w:val="21"/>
                      <w:highlight w:val="none"/>
                      <w:lang w:val="en-US" w:eastAsia="zh-CN"/>
                    </w:rPr>
                    <w:t>15m³/a</w:t>
                  </w:r>
                </w:p>
              </w:tc>
              <w:tc>
                <w:tcPr>
                  <w:tcW w:w="1739" w:type="dxa"/>
                  <w:tcBorders>
                    <w:tl2br w:val="nil"/>
                    <w:tr2bl w:val="nil"/>
                  </w:tcBorders>
                  <w:noWrap w:val="0"/>
                  <w:vAlign w:val="center"/>
                </w:tcPr>
                <w:p w14:paraId="311CC3F4">
                  <w:pPr>
                    <w:pStyle w:val="2"/>
                    <w:keepNext w:val="0"/>
                    <w:keepLines/>
                    <w:pageBreakBefore w:val="0"/>
                    <w:widowControl w:val="0"/>
                    <w:kinsoku/>
                    <w:wordWrap/>
                    <w:overflowPunct/>
                    <w:topLinePunct w:val="0"/>
                    <w:autoSpaceDE/>
                    <w:autoSpaceDN/>
                    <w:bidi w:val="0"/>
                    <w:spacing w:after="0"/>
                    <w:ind w:left="0" w:leftChars="0" w:firstLine="0" w:firstLineChars="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0</w:t>
                  </w:r>
                  <w:r>
                    <w:rPr>
                      <w:rFonts w:hint="default"/>
                      <w:color w:val="auto"/>
                      <w:sz w:val="21"/>
                      <w:szCs w:val="21"/>
                      <w:highlight w:val="none"/>
                      <w:lang w:val="en-US" w:eastAsia="zh-CN"/>
                    </w:rPr>
                    <w:t>m³/a</w:t>
                  </w:r>
                </w:p>
              </w:tc>
              <w:tc>
                <w:tcPr>
                  <w:tcW w:w="1416" w:type="dxa"/>
                  <w:tcBorders>
                    <w:tl2br w:val="nil"/>
                    <w:tr2bl w:val="nil"/>
                  </w:tcBorders>
                  <w:noWrap w:val="0"/>
                  <w:vAlign w:val="center"/>
                </w:tcPr>
                <w:p w14:paraId="4C030067">
                  <w:pPr>
                    <w:keepNext w:val="0"/>
                    <w:keepLines/>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全部蒸发</w:t>
                  </w:r>
                </w:p>
              </w:tc>
            </w:tr>
          </w:tbl>
          <w:p w14:paraId="6915651F">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eastAsia" w:ascii="Times New Roman" w:hAnsi="Times New Roman" w:eastAsia="宋体" w:cs="Times New Roman"/>
                <w:color w:val="auto"/>
                <w:kern w:val="2"/>
                <w:sz w:val="24"/>
                <w:szCs w:val="24"/>
                <w:lang w:val="en-GB" w:eastAsia="zh-CN" w:bidi="ar-SA"/>
              </w:rPr>
            </w:pPr>
            <w:r>
              <w:rPr>
                <w:rFonts w:hint="eastAsia" w:ascii="Times New Roman" w:hAnsi="Times New Roman" w:eastAsia="宋体" w:cs="Times New Roman"/>
                <w:color w:val="auto"/>
                <w:kern w:val="2"/>
                <w:sz w:val="24"/>
                <w:szCs w:val="24"/>
                <w:lang w:val="en-US" w:eastAsia="zh-CN" w:bidi="ar-SA"/>
              </w:rPr>
              <w:t>（10）</w:t>
            </w:r>
            <w:r>
              <w:rPr>
                <w:rFonts w:hint="eastAsia" w:ascii="Times New Roman" w:hAnsi="Times New Roman" w:eastAsia="宋体" w:cs="Times New Roman"/>
                <w:color w:val="auto"/>
                <w:kern w:val="2"/>
                <w:sz w:val="24"/>
                <w:szCs w:val="24"/>
                <w:lang w:val="en-GB" w:eastAsia="zh-CN" w:bidi="ar-SA"/>
              </w:rPr>
              <w:t>劳动定员及工作制度</w:t>
            </w:r>
          </w:p>
          <w:p w14:paraId="67C63AB4">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eastAsia" w:ascii="Times New Roman" w:hAnsi="Times New Roman" w:eastAsia="宋体" w:cs="Times New Roman"/>
                <w:color w:val="auto"/>
                <w:kern w:val="2"/>
                <w:sz w:val="24"/>
                <w:szCs w:val="24"/>
                <w:lang w:val="en-US" w:eastAsia="zh-CN" w:bidi="ar-SA"/>
              </w:rPr>
            </w:pPr>
            <w:r>
              <w:rPr>
                <w:rFonts w:hint="eastAsia" w:cs="Times New Roman"/>
                <w:color w:val="auto"/>
                <w:kern w:val="2"/>
                <w:sz w:val="24"/>
                <w:szCs w:val="24"/>
                <w:lang w:val="en-US" w:eastAsia="zh-CN" w:bidi="ar-SA"/>
              </w:rPr>
              <w:t>本次热源技改项目不新增劳动定员，劳动人员由厂区调配</w:t>
            </w:r>
            <w:r>
              <w:rPr>
                <w:rFonts w:hint="eastAsia" w:ascii="Times New Roman" w:hAnsi="Times New Roman" w:eastAsia="宋体" w:cs="Times New Roman"/>
                <w:color w:val="auto"/>
                <w:kern w:val="2"/>
                <w:sz w:val="24"/>
                <w:szCs w:val="24"/>
                <w:lang w:val="en-US" w:eastAsia="zh-CN" w:bidi="ar-SA"/>
              </w:rPr>
              <w:t>。年工作日</w:t>
            </w:r>
            <w:r>
              <w:rPr>
                <w:rFonts w:hint="eastAsia" w:cs="Times New Roman"/>
                <w:color w:val="auto"/>
                <w:kern w:val="2"/>
                <w:sz w:val="24"/>
                <w:szCs w:val="24"/>
                <w:lang w:val="en-US" w:eastAsia="zh-CN" w:bidi="ar-SA"/>
              </w:rPr>
              <w:t>300</w:t>
            </w:r>
            <w:r>
              <w:rPr>
                <w:rFonts w:hint="eastAsia" w:ascii="Times New Roman" w:hAnsi="Times New Roman" w:eastAsia="宋体" w:cs="Times New Roman"/>
                <w:color w:val="auto"/>
                <w:kern w:val="2"/>
                <w:sz w:val="24"/>
                <w:szCs w:val="24"/>
                <w:lang w:val="en-US" w:eastAsia="zh-CN" w:bidi="ar-SA"/>
              </w:rPr>
              <w:t>天，采取</w:t>
            </w:r>
            <w:r>
              <w:rPr>
                <w:rFonts w:hint="eastAsia" w:ascii="Times New Roman" w:hAnsi="Times New Roman" w:cs="Times New Roman"/>
                <w:color w:val="auto"/>
                <w:kern w:val="2"/>
                <w:sz w:val="24"/>
                <w:szCs w:val="24"/>
                <w:lang w:val="en-US" w:eastAsia="zh-CN" w:bidi="ar-SA"/>
              </w:rPr>
              <w:t>三</w:t>
            </w:r>
            <w:r>
              <w:rPr>
                <w:rFonts w:hint="eastAsia" w:ascii="Times New Roman" w:hAnsi="Times New Roman" w:eastAsia="宋体" w:cs="Times New Roman"/>
                <w:color w:val="auto"/>
                <w:kern w:val="2"/>
                <w:sz w:val="24"/>
                <w:szCs w:val="24"/>
                <w:lang w:val="en-US" w:eastAsia="zh-CN" w:bidi="ar-SA"/>
              </w:rPr>
              <w:t>班制</w:t>
            </w:r>
            <w:r>
              <w:rPr>
                <w:rFonts w:hint="eastAsia" w:cs="Times New Roman"/>
                <w:color w:val="auto"/>
                <w:kern w:val="2"/>
                <w:sz w:val="24"/>
                <w:szCs w:val="24"/>
                <w:lang w:val="en-US" w:eastAsia="zh-CN" w:bidi="ar-SA"/>
              </w:rPr>
              <w:t>，每班工作8小时</w:t>
            </w:r>
            <w:r>
              <w:rPr>
                <w:rFonts w:hint="eastAsia" w:ascii="Times New Roman" w:hAnsi="Times New Roman" w:eastAsia="宋体" w:cs="Times New Roman"/>
                <w:color w:val="auto"/>
                <w:kern w:val="2"/>
                <w:sz w:val="24"/>
                <w:szCs w:val="24"/>
                <w:lang w:val="en-US" w:eastAsia="zh-CN" w:bidi="ar-SA"/>
              </w:rPr>
              <w:t>。</w:t>
            </w:r>
          </w:p>
          <w:p w14:paraId="4D62F50C">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（11）建设周期</w:t>
            </w:r>
          </w:p>
          <w:p w14:paraId="32370DA0">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本项目自取得批复之日后开工建设，建设周期为6个月。</w:t>
            </w:r>
          </w:p>
          <w:p w14:paraId="798627E5">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（12）平面布置</w:t>
            </w:r>
          </w:p>
          <w:p w14:paraId="1092B1DE">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jc w:val="both"/>
              <w:textAlignment w:val="center"/>
              <w:rPr>
                <w:rFonts w:hint="default"/>
                <w:color w:val="auto"/>
                <w:lang w:val="en-US" w:eastAsia="zh-CN"/>
              </w:rPr>
            </w:pPr>
            <w:r>
              <w:rPr>
                <w:rFonts w:hint="eastAsia"/>
                <w:color w:val="auto"/>
                <w:lang w:val="en-US" w:eastAsia="zh-CN"/>
              </w:rPr>
              <w:t>本项目位于</w:t>
            </w:r>
            <w:r>
              <w:rPr>
                <w:rFonts w:hint="eastAsia" w:cs="Times New Roman"/>
                <w:color w:val="auto"/>
                <w:sz w:val="24"/>
                <w:szCs w:val="24"/>
                <w:lang w:val="en-US" w:eastAsia="zh-CN"/>
              </w:rPr>
              <w:t>鄂托克旗蒙西高新技术工业园区现有厂区内</w:t>
            </w:r>
            <w:r>
              <w:rPr>
                <w:rFonts w:hint="eastAsia" w:ascii="Times New Roman" w:cs="Times New Roman"/>
                <w:color w:val="auto"/>
                <w:lang w:val="en-US" w:eastAsia="zh-CN" w:bidi="mn-Mong-CN"/>
              </w:rPr>
              <w:t>，项目新建一台</w:t>
            </w:r>
            <w:r>
              <w:rPr>
                <w:rFonts w:hint="eastAsia" w:cs="Times New Roman"/>
                <w:color w:val="auto"/>
                <w:sz w:val="24"/>
                <w:szCs w:val="24"/>
                <w:lang w:val="en-US" w:eastAsia="zh-CN"/>
              </w:rPr>
              <w:t>MBZ直接式燃煤热风炉及260m</w:t>
            </w:r>
            <w:r>
              <w:rPr>
                <w:rFonts w:hint="eastAsia" w:cs="Times New Roman"/>
                <w:color w:val="auto"/>
                <w:sz w:val="24"/>
                <w:szCs w:val="24"/>
                <w:vertAlign w:val="superscript"/>
                <w:lang w:val="en-US" w:eastAsia="zh-CN"/>
              </w:rPr>
              <w:t>2</w:t>
            </w:r>
            <w:r>
              <w:rPr>
                <w:rFonts w:hint="eastAsia" w:ascii="Times New Roman" w:cs="Times New Roman"/>
                <w:color w:val="auto"/>
                <w:lang w:val="en-US" w:eastAsia="zh-CN" w:bidi="mn-Mong-CN"/>
              </w:rPr>
              <w:t>热风炉房、一座100m</w:t>
            </w:r>
            <w:r>
              <w:rPr>
                <w:rFonts w:hint="eastAsia" w:ascii="Times New Roman" w:cs="Times New Roman"/>
                <w:color w:val="auto"/>
                <w:vertAlign w:val="superscript"/>
                <w:lang w:val="en-US" w:eastAsia="zh-CN" w:bidi="mn-Mong-CN"/>
              </w:rPr>
              <w:t>2</w:t>
            </w:r>
            <w:r>
              <w:rPr>
                <w:rFonts w:hint="eastAsia" w:ascii="Times New Roman" w:cs="Times New Roman"/>
                <w:color w:val="auto"/>
                <w:vertAlign w:val="baseline"/>
                <w:lang w:val="en-US" w:eastAsia="zh-CN" w:bidi="mn-Mong-CN"/>
              </w:rPr>
              <w:t>全封闭</w:t>
            </w:r>
            <w:r>
              <w:rPr>
                <w:rFonts w:hint="eastAsia" w:ascii="Times New Roman" w:cs="Times New Roman"/>
                <w:color w:val="auto"/>
                <w:lang w:val="en-US" w:eastAsia="zh-CN" w:bidi="mn-Mong-CN"/>
              </w:rPr>
              <w:t>燃煤储棚、1座40m</w:t>
            </w:r>
            <w:r>
              <w:rPr>
                <w:rFonts w:hint="eastAsia" w:ascii="Times New Roman" w:cs="Times New Roman"/>
                <w:color w:val="auto"/>
                <w:vertAlign w:val="superscript"/>
                <w:lang w:val="en-US" w:eastAsia="zh-CN" w:bidi="mn-Mong-CN"/>
              </w:rPr>
              <w:t>2</w:t>
            </w:r>
            <w:r>
              <w:rPr>
                <w:rFonts w:hint="eastAsia" w:ascii="Times New Roman" w:cs="Times New Roman"/>
                <w:color w:val="auto"/>
                <w:vertAlign w:val="baseline"/>
                <w:lang w:val="en-US" w:eastAsia="zh-CN" w:bidi="mn-Mong-CN"/>
              </w:rPr>
              <w:t>全封闭</w:t>
            </w:r>
            <w:r>
              <w:rPr>
                <w:rFonts w:hint="eastAsia" w:ascii="Times New Roman" w:cs="Times New Roman"/>
                <w:color w:val="auto"/>
                <w:lang w:val="en-US" w:eastAsia="zh-CN" w:bidi="mn-Mong-CN"/>
              </w:rPr>
              <w:t>灰渣储棚。新建热风炉房位于现有干燥车间北侧，燃煤储棚位于新建锅炉北侧，灰渣储棚与燃煤储棚紧邻，位于燃煤储棚东侧，热风炉房北侧。原有焦炉煤气热风炉位于喷雾干燥车间内。</w:t>
            </w:r>
          </w:p>
        </w:tc>
      </w:tr>
      <w:tr w14:paraId="1166E1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noWrap w:val="0"/>
            <w:vAlign w:val="center"/>
          </w:tcPr>
          <w:p w14:paraId="062ECE58">
            <w:pPr>
              <w:pStyle w:val="15"/>
              <w:keepNext w:val="0"/>
              <w:keepLines/>
              <w:pageBreakBefore w:val="0"/>
              <w:widowControl w:val="0"/>
              <w:kinsoku/>
              <w:wordWrap/>
              <w:topLinePunct w:val="0"/>
              <w:autoSpaceDE/>
              <w:autoSpaceDN/>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工艺流程和产排污环节</w:t>
            </w:r>
          </w:p>
        </w:tc>
        <w:tc>
          <w:tcPr>
            <w:tcW w:w="8161" w:type="dxa"/>
            <w:noWrap w:val="0"/>
            <w:vAlign w:val="top"/>
          </w:tcPr>
          <w:p w14:paraId="65B0256A">
            <w:pPr>
              <w:keepNext w:val="0"/>
              <w:keepLines/>
              <w:pageBreakBefore w:val="0"/>
              <w:widowControl w:val="0"/>
              <w:kinsoku/>
              <w:wordWrap/>
              <w:overflowPunct/>
              <w:topLinePunct w:val="0"/>
              <w:autoSpaceDE/>
              <w:autoSpaceDN/>
              <w:bidi w:val="0"/>
              <w:adjustRightInd/>
              <w:snapToGrid/>
              <w:spacing w:line="480" w:lineRule="exact"/>
              <w:ind w:left="0" w:leftChars="0" w:firstLine="482" w:firstLineChars="200"/>
              <w:textAlignment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1、施工期工艺流程及排污节点</w:t>
            </w:r>
          </w:p>
          <w:p w14:paraId="06287C89">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eastAsia"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施工期施工流程及主要污染物产生情况见下图2-</w:t>
            </w:r>
            <w:r>
              <w:rPr>
                <w:rFonts w:hint="eastAsia" w:cs="Times New Roman"/>
                <w:color w:val="auto"/>
                <w:kern w:val="2"/>
                <w:sz w:val="24"/>
                <w:szCs w:val="24"/>
                <w:lang w:val="en-US" w:eastAsia="zh-CN" w:bidi="ar-SA"/>
              </w:rPr>
              <w:t>2</w:t>
            </w:r>
            <w:r>
              <w:rPr>
                <w:rFonts w:hint="eastAsia" w:ascii="Times New Roman" w:hAnsi="Times New Roman" w:eastAsia="宋体" w:cs="Times New Roman"/>
                <w:color w:val="auto"/>
                <w:kern w:val="2"/>
                <w:sz w:val="24"/>
                <w:szCs w:val="24"/>
                <w:lang w:val="en-US" w:eastAsia="zh-CN" w:bidi="ar-SA"/>
              </w:rPr>
              <w:t xml:space="preserve">。 </w:t>
            </w:r>
          </w:p>
          <w:p w14:paraId="689B9015">
            <w:pPr>
              <w:pStyle w:val="17"/>
              <w:keepNext w:val="0"/>
              <w:keepLines/>
              <w:pageBreakBefore w:val="0"/>
              <w:widowControl w:val="0"/>
              <w:kinsoku/>
              <w:wordWrap/>
              <w:topLinePunct w:val="0"/>
              <w:autoSpaceDE/>
              <w:autoSpaceDN/>
              <w:bidi w:val="0"/>
              <w:ind w:left="0" w:leftChars="0" w:firstLine="0" w:firstLineChars="0"/>
              <w:jc w:val="center"/>
              <w:rPr>
                <w:rFonts w:hint="default" w:ascii="Times New Roman" w:hAnsi="Times New Roman" w:eastAsia="宋体" w:cs="Times New Roman"/>
                <w:color w:val="auto"/>
                <w:sz w:val="24"/>
                <w:szCs w:val="24"/>
                <w:lang w:val="en-US" w:eastAsia="zh-CN"/>
              </w:rPr>
            </w:pPr>
            <w:r>
              <w:rPr>
                <w:color w:val="auto"/>
              </w:rPr>
              <w:drawing>
                <wp:inline distT="0" distB="0" distL="114300" distR="114300">
                  <wp:extent cx="5033010" cy="1343025"/>
                  <wp:effectExtent l="0" t="0" r="1524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tretch>
                            <a:fillRect/>
                          </a:stretch>
                        </pic:blipFill>
                        <pic:spPr>
                          <a:xfrm>
                            <a:off x="0" y="0"/>
                            <a:ext cx="5033010" cy="1343025"/>
                          </a:xfrm>
                          <a:prstGeom prst="rect">
                            <a:avLst/>
                          </a:prstGeom>
                          <a:noFill/>
                          <a:ln>
                            <a:noFill/>
                          </a:ln>
                        </pic:spPr>
                      </pic:pic>
                    </a:graphicData>
                  </a:graphic>
                </wp:inline>
              </w:drawing>
            </w:r>
          </w:p>
          <w:p w14:paraId="165CD6BC">
            <w:pPr>
              <w:keepNext w:val="0"/>
              <w:keepLines/>
              <w:pageBreakBefore w:val="0"/>
              <w:widowControl w:val="0"/>
              <w:kinsoku/>
              <w:wordWrap/>
              <w:overflowPunct/>
              <w:topLinePunct w:val="0"/>
              <w:autoSpaceDE/>
              <w:autoSpaceDN/>
              <w:bidi w:val="0"/>
              <w:adjustRightInd/>
              <w:snapToGrid/>
              <w:spacing w:line="480" w:lineRule="exact"/>
              <w:ind w:firstLine="0" w:firstLineChars="0"/>
              <w:jc w:val="center"/>
              <w:textAlignment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图</w:t>
            </w:r>
            <w:r>
              <w:rPr>
                <w:rFonts w:hint="eastAsia" w:cs="Times New Roman"/>
                <w:b/>
                <w:bCs/>
                <w:color w:val="auto"/>
                <w:sz w:val="24"/>
                <w:szCs w:val="24"/>
                <w:lang w:val="en-US" w:eastAsia="zh-CN"/>
              </w:rPr>
              <w:t xml:space="preserve">2-2 </w:t>
            </w:r>
            <w:r>
              <w:rPr>
                <w:rFonts w:hint="default" w:ascii="Times New Roman" w:hAnsi="Times New Roman" w:eastAsia="宋体" w:cs="Times New Roman"/>
                <w:b/>
                <w:bCs/>
                <w:color w:val="auto"/>
                <w:sz w:val="24"/>
                <w:szCs w:val="24"/>
                <w:lang w:val="en-US" w:eastAsia="zh-CN"/>
              </w:rPr>
              <w:t>施工期工艺流程及排污节点图</w:t>
            </w:r>
          </w:p>
          <w:p w14:paraId="26AF4811">
            <w:pPr>
              <w:keepNext w:val="0"/>
              <w:keepLines/>
              <w:pageBreakBefore w:val="0"/>
              <w:widowControl w:val="0"/>
              <w:numPr>
                <w:ilvl w:val="0"/>
                <w:numId w:val="0"/>
              </w:numPr>
              <w:kinsoku/>
              <w:wordWrap/>
              <w:overflowPunct/>
              <w:topLinePunct w:val="0"/>
              <w:autoSpaceDE/>
              <w:autoSpaceDN/>
              <w:bidi w:val="0"/>
              <w:adjustRightInd w:val="0"/>
              <w:snapToGrid w:val="0"/>
              <w:spacing w:line="360" w:lineRule="auto"/>
              <w:jc w:val="both"/>
              <w:textAlignment w:val="auto"/>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施工期主要污染工序：</w:t>
            </w:r>
            <w:r>
              <w:rPr>
                <w:rFonts w:hint="eastAsia" w:ascii="Times New Roman" w:hAnsi="Times New Roman" w:eastAsia="宋体" w:cs="Times New Roman"/>
                <w:b w:val="0"/>
                <w:bCs/>
                <w:color w:val="auto"/>
                <w:sz w:val="24"/>
                <w:szCs w:val="24"/>
                <w:highlight w:val="none"/>
                <w:lang w:val="en-US" w:eastAsia="zh-CN"/>
              </w:rPr>
              <w:t xml:space="preserve"> </w:t>
            </w:r>
          </w:p>
          <w:p w14:paraId="007A4016">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施工期间的污染主要发生在建设施工期，主要污染因子包括建筑扬尘、生活污水、施工机械噪声、施工过程产生的建筑垃圾等。</w:t>
            </w:r>
          </w:p>
          <w:p w14:paraId="0EF87B89">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（1）废气：地基开挖、建筑物料、弃土堆存等在风力作用下产生的地面扬尘；</w:t>
            </w:r>
          </w:p>
          <w:p w14:paraId="02504321">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（2）废水：施工泥浆废水、施工人员生活污水；</w:t>
            </w:r>
          </w:p>
          <w:p w14:paraId="71D30029">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（3）噪声：建筑施工机械噪声及运输车辆噪声；</w:t>
            </w:r>
          </w:p>
          <w:p w14:paraId="5981244D">
            <w:pPr>
              <w:pStyle w:val="5"/>
              <w:keepNext w:val="0"/>
              <w:keepLines/>
              <w:pageBreakBefore w:val="0"/>
              <w:widowControl w:val="0"/>
              <w:kinsoku/>
              <w:wordWrap/>
              <w:overflowPunct/>
              <w:topLinePunct w:val="0"/>
              <w:autoSpaceDE/>
              <w:autoSpaceDN/>
              <w:bidi w:val="0"/>
              <w:adjustRightInd/>
              <w:snapToGrid/>
              <w:spacing w:line="480" w:lineRule="exact"/>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（4）固体废物：主要为建筑垃圾及施工人员产生的生活垃圾</w:t>
            </w:r>
            <w:r>
              <w:rPr>
                <w:rFonts w:hint="eastAsia" w:ascii="Times New Roman" w:hAnsi="Times New Roman" w:eastAsia="宋体" w:cs="Times New Roman"/>
                <w:color w:val="auto"/>
                <w:kern w:val="2"/>
                <w:sz w:val="24"/>
                <w:szCs w:val="24"/>
                <w:lang w:val="en-US" w:eastAsia="zh-CN" w:bidi="ar-SA"/>
              </w:rPr>
              <w:t>。</w:t>
            </w:r>
          </w:p>
          <w:p w14:paraId="4EEFC550">
            <w:pPr>
              <w:pStyle w:val="5"/>
              <w:keepNext w:val="0"/>
              <w:keepLines/>
              <w:pageBreakBefore w:val="0"/>
              <w:widowControl w:val="0"/>
              <w:kinsoku/>
              <w:wordWrap/>
              <w:overflowPunct/>
              <w:topLinePunct w:val="0"/>
              <w:autoSpaceDE/>
              <w:autoSpaceDN/>
              <w:bidi w:val="0"/>
              <w:adjustRightInd/>
              <w:snapToGrid/>
              <w:spacing w:line="480" w:lineRule="exact"/>
              <w:ind w:firstLine="482" w:firstLineChars="200"/>
              <w:textAlignment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2、运营期工艺流程及排污节点</w:t>
            </w:r>
          </w:p>
          <w:p w14:paraId="0D5772F0">
            <w:pPr>
              <w:keepNext w:val="0"/>
              <w:keepLines/>
              <w:pageBreakBefore w:val="0"/>
              <w:widowControl w:val="0"/>
              <w:tabs>
                <w:tab w:val="left" w:pos="922"/>
              </w:tabs>
              <w:kinsoku/>
              <w:wordWrap/>
              <w:overflowPunct/>
              <w:topLinePunct w:val="0"/>
              <w:autoSpaceDE/>
              <w:autoSpaceDN/>
              <w:bidi w:val="0"/>
              <w:adjustRightInd/>
              <w:snapToGrid/>
              <w:spacing w:line="480" w:lineRule="exact"/>
              <w:ind w:firstLine="480" w:firstLineChars="200"/>
              <w:jc w:val="left"/>
              <w:textAlignment w:val="center"/>
              <w:rPr>
                <w:rFonts w:hint="default" w:ascii="Times New Roman" w:hAnsi="Times New Roman" w:eastAsia="宋体" w:cs="Times New Roman"/>
                <w:b w:val="0"/>
                <w:bCs w:val="0"/>
                <w:color w:val="auto"/>
                <w:sz w:val="24"/>
                <w:szCs w:val="24"/>
                <w:lang w:val="en-US" w:eastAsia="zh-CN"/>
              </w:rPr>
            </w:pPr>
            <w:r>
              <w:rPr>
                <w:rFonts w:hint="eastAsia" w:cs="Times New Roman"/>
                <w:b w:val="0"/>
                <w:bCs w:val="0"/>
                <w:color w:val="auto"/>
                <w:sz w:val="24"/>
                <w:szCs w:val="24"/>
                <w:lang w:val="en-US" w:eastAsia="zh-CN"/>
              </w:rPr>
              <w:t>本次热源技改项目新建一台高洁净直接式燃煤热风炉，为喷雾干燥工段提供</w:t>
            </w:r>
            <w:r>
              <w:rPr>
                <w:rFonts w:hint="default" w:ascii="Times New Roman" w:hAnsi="Times New Roman" w:eastAsia="宋体" w:cs="Times New Roman"/>
                <w:b w:val="0"/>
                <w:bCs w:val="0"/>
                <w:color w:val="auto"/>
                <w:sz w:val="24"/>
                <w:szCs w:val="24"/>
                <w:lang w:val="en-US" w:eastAsia="zh-CN"/>
              </w:rPr>
              <w:t>热</w:t>
            </w:r>
            <w:r>
              <w:rPr>
                <w:rFonts w:hint="eastAsia" w:cs="Times New Roman"/>
                <w:b w:val="0"/>
                <w:bCs w:val="0"/>
                <w:color w:val="auto"/>
                <w:sz w:val="24"/>
                <w:szCs w:val="24"/>
                <w:lang w:val="en-US" w:eastAsia="zh-CN"/>
              </w:rPr>
              <w:t>源，保留原有喷雾干燥塔自动热风炉（焦炉煤气），作为备用热源。</w:t>
            </w:r>
          </w:p>
          <w:p w14:paraId="0B6BC5DE">
            <w:pPr>
              <w:keepNext w:val="0"/>
              <w:keepLines/>
              <w:pageBreakBefore w:val="0"/>
              <w:widowControl w:val="0"/>
              <w:tabs>
                <w:tab w:val="left" w:pos="922"/>
              </w:tabs>
              <w:kinsoku/>
              <w:wordWrap/>
              <w:overflowPunct/>
              <w:topLinePunct w:val="0"/>
              <w:autoSpaceDE/>
              <w:autoSpaceDN/>
              <w:bidi w:val="0"/>
              <w:adjustRightInd/>
              <w:snapToGrid/>
              <w:spacing w:line="480" w:lineRule="exact"/>
              <w:ind w:firstLine="482" w:firstLineChars="200"/>
              <w:jc w:val="left"/>
              <w:textAlignment w:val="center"/>
              <w:rPr>
                <w:rFonts w:hint="eastAsia" w:cs="Times New Roman"/>
                <w:b/>
                <w:bCs/>
                <w:color w:val="auto"/>
                <w:sz w:val="24"/>
                <w:szCs w:val="24"/>
                <w:lang w:val="en-US" w:eastAsia="zh-CN"/>
              </w:rPr>
            </w:pPr>
            <w:r>
              <w:rPr>
                <w:rFonts w:hint="eastAsia" w:cs="Times New Roman"/>
                <w:b/>
                <w:bCs/>
                <w:color w:val="auto"/>
                <w:sz w:val="24"/>
                <w:szCs w:val="24"/>
                <w:lang w:val="en-US" w:eastAsia="zh-CN"/>
              </w:rPr>
              <w:t>热风炉工艺：</w:t>
            </w:r>
          </w:p>
          <w:p w14:paraId="12018733">
            <w:pPr>
              <w:pStyle w:val="4"/>
              <w:rPr>
                <w:rFonts w:hint="default"/>
                <w:color w:val="auto"/>
                <w:lang w:val="en-US" w:eastAsia="zh-CN"/>
              </w:rPr>
            </w:pPr>
            <w:r>
              <w:rPr>
                <w:rFonts w:hint="default"/>
                <w:color w:val="auto"/>
                <w:lang w:val="en-US" w:eastAsia="zh-CN"/>
              </w:rPr>
              <w:t>MBZ直接式燃煤热风炉由MBL燃煤机和高温气体净化室组成。MBZ直接式燃煤热风炉以MBL燃煤机为技术核心，配套高温气体净化室。煤通过上料机加入到位于燃煤机一端的料斗中，一定高度的料层由链条炉排匀速送入燃煤机的燃烧室，燃烧所产生的高温</w:t>
            </w:r>
            <w:r>
              <w:rPr>
                <w:color w:val="auto"/>
              </w:rPr>
              <w:t>半煤气</w:t>
            </w:r>
            <w:r>
              <w:rPr>
                <w:rFonts w:hint="default"/>
                <w:color w:val="auto"/>
                <w:lang w:val="en-US" w:eastAsia="zh-CN"/>
              </w:rPr>
              <w:t>从燃煤机侧面出火口喷出进入高温气体净化室。高温气体净化室由耐火材料砌筑而成，高温半煤气在净化室内进行二次燃烧，在燃煤过程中所夹带的少量粉尘在净化室内</w:t>
            </w:r>
            <w:r>
              <w:rPr>
                <w:color w:val="auto"/>
              </w:rPr>
              <w:t>经高温聚合沉降</w:t>
            </w:r>
            <w:r>
              <w:rPr>
                <w:rFonts w:hint="default"/>
                <w:color w:val="auto"/>
                <w:lang w:val="en-US" w:eastAsia="zh-CN"/>
              </w:rPr>
              <w:t>。净化室内出来的约900℃的洁净热风掺入一定量的冷风，混合成350℃的热风进入干燥塔。热风的温度可根据工艺需要调整，连续供热风温度稳定性±5℃。燃尽煤渣从燃煤机的另一端排出到出渣机，经出渣机送入推车运走。</w:t>
            </w:r>
          </w:p>
          <w:p w14:paraId="1DAFE67B">
            <w:pPr>
              <w:keepNext w:val="0"/>
              <w:keepLines/>
              <w:pageBreakBefore w:val="0"/>
              <w:widowControl w:val="0"/>
              <w:tabs>
                <w:tab w:val="left" w:pos="922"/>
              </w:tabs>
              <w:kinsoku/>
              <w:wordWrap/>
              <w:overflowPunct/>
              <w:topLinePunct w:val="0"/>
              <w:autoSpaceDE/>
              <w:autoSpaceDN/>
              <w:bidi w:val="0"/>
              <w:adjustRightInd/>
              <w:snapToGrid/>
              <w:spacing w:line="480" w:lineRule="exact"/>
              <w:ind w:firstLine="480" w:firstLineChars="200"/>
              <w:jc w:val="left"/>
              <w:textAlignment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（2）主要产排污环节</w:t>
            </w:r>
          </w:p>
          <w:p w14:paraId="52E45360">
            <w:pPr>
              <w:keepNext w:val="0"/>
              <w:keepLines/>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b w:val="0"/>
                <w:bCs w:val="0"/>
                <w:color w:val="auto"/>
                <w:kern w:val="2"/>
                <w:sz w:val="24"/>
                <w:szCs w:val="24"/>
                <w:lang w:val="en-US" w:eastAsia="zh-CN"/>
              </w:rPr>
            </w:pPr>
            <w:r>
              <w:rPr>
                <w:rFonts w:hint="default" w:ascii="Times New Roman" w:hAnsi="Times New Roman" w:eastAsia="宋体" w:cs="Times New Roman"/>
                <w:b w:val="0"/>
                <w:bCs w:val="0"/>
                <w:color w:val="auto"/>
                <w:kern w:val="2"/>
                <w:sz w:val="24"/>
                <w:szCs w:val="24"/>
                <w:lang w:val="en-US" w:eastAsia="zh-CN"/>
              </w:rPr>
              <w:t>①</w:t>
            </w:r>
            <w:r>
              <w:rPr>
                <w:rFonts w:hint="eastAsia" w:cs="Times New Roman"/>
                <w:b w:val="0"/>
                <w:bCs w:val="0"/>
                <w:color w:val="auto"/>
                <w:kern w:val="2"/>
                <w:sz w:val="24"/>
                <w:szCs w:val="24"/>
                <w:lang w:val="en-US" w:eastAsia="zh-CN"/>
              </w:rPr>
              <w:t>废气</w:t>
            </w:r>
            <w:r>
              <w:rPr>
                <w:rFonts w:hint="default" w:ascii="Times New Roman" w:hAnsi="Times New Roman" w:eastAsia="宋体" w:cs="Times New Roman"/>
                <w:b w:val="0"/>
                <w:bCs w:val="0"/>
                <w:color w:val="auto"/>
                <w:kern w:val="2"/>
                <w:sz w:val="24"/>
                <w:szCs w:val="24"/>
                <w:lang w:val="en-US" w:eastAsia="zh-CN"/>
              </w:rPr>
              <w:t xml:space="preserve"> </w:t>
            </w:r>
          </w:p>
          <w:p w14:paraId="18F6FAED">
            <w:pPr>
              <w:pStyle w:val="18"/>
              <w:keepNext w:val="0"/>
              <w:keepLines/>
              <w:pageBreakBefore w:val="0"/>
              <w:widowControl w:val="0"/>
              <w:kinsoku/>
              <w:wordWrap/>
              <w:topLinePunct w:val="0"/>
              <w:autoSpaceDE/>
              <w:autoSpaceDN/>
              <w:bidi w:val="0"/>
              <w:spacing w:beforeLines="0" w:after="0" w:afterAutospacing="0"/>
              <w:ind w:firstLine="480"/>
              <w:rPr>
                <w:rFonts w:hint="eastAsia" w:cs="Times New Roman"/>
                <w:b w:val="0"/>
                <w:bCs w:val="0"/>
                <w:color w:val="auto"/>
                <w:sz w:val="24"/>
                <w:szCs w:val="24"/>
                <w:lang w:val="en-US" w:eastAsia="zh-CN"/>
              </w:rPr>
            </w:pPr>
            <w:r>
              <w:rPr>
                <w:rFonts w:hint="eastAsia" w:cs="Times New Roman"/>
                <w:color w:val="auto"/>
                <w:sz w:val="24"/>
                <w:szCs w:val="24"/>
                <w:lang w:val="en-US" w:eastAsia="zh-CN"/>
              </w:rPr>
              <w:t>MBZ直接式燃煤热风炉</w:t>
            </w:r>
            <w:r>
              <w:rPr>
                <w:rFonts w:hint="eastAsia" w:cs="Times New Roman"/>
                <w:b w:val="0"/>
                <w:bCs w:val="0"/>
                <w:color w:val="auto"/>
                <w:sz w:val="24"/>
                <w:szCs w:val="24"/>
                <w:lang w:val="en-US" w:eastAsia="zh-CN"/>
              </w:rPr>
              <w:t>产生的烟气直接进入干燥塔与物料接触进行干燥，因此热风炉烟气经低氮燃烧+SNCR处理后进入喷雾干燥塔工序三级吸收塔处理，最终由32m高，内径为1.6m排气筒排放；</w:t>
            </w:r>
          </w:p>
          <w:p w14:paraId="0DB7E3B3">
            <w:pPr>
              <w:pStyle w:val="18"/>
              <w:keepNext w:val="0"/>
              <w:keepLines/>
              <w:pageBreakBefore w:val="0"/>
              <w:widowControl w:val="0"/>
              <w:kinsoku/>
              <w:wordWrap/>
              <w:topLinePunct w:val="0"/>
              <w:autoSpaceDE/>
              <w:autoSpaceDN/>
              <w:bidi w:val="0"/>
              <w:spacing w:beforeLines="0" w:after="0" w:afterAutospacing="0"/>
              <w:ind w:firstLine="480"/>
              <w:rPr>
                <w:rFonts w:hint="default" w:cs="Times New Roman"/>
                <w:b w:val="0"/>
                <w:bCs w:val="0"/>
                <w:color w:val="auto"/>
                <w:sz w:val="24"/>
                <w:szCs w:val="24"/>
                <w:lang w:val="en-US" w:eastAsia="zh-CN"/>
              </w:rPr>
            </w:pPr>
            <w:r>
              <w:rPr>
                <w:rFonts w:hint="eastAsia" w:cs="Times New Roman"/>
                <w:b w:val="0"/>
                <w:bCs w:val="0"/>
                <w:color w:val="auto"/>
                <w:sz w:val="24"/>
                <w:szCs w:val="24"/>
                <w:lang w:val="en-US" w:eastAsia="zh-CN"/>
              </w:rPr>
              <w:t>燃煤、灰渣装卸、堆放产生的扬尘。</w:t>
            </w:r>
          </w:p>
          <w:p w14:paraId="34730CB7">
            <w:pPr>
              <w:pStyle w:val="18"/>
              <w:keepNext w:val="0"/>
              <w:keepLines/>
              <w:pageBreakBefore w:val="0"/>
              <w:widowControl w:val="0"/>
              <w:kinsoku/>
              <w:wordWrap/>
              <w:topLinePunct w:val="0"/>
              <w:autoSpaceDE/>
              <w:autoSpaceDN/>
              <w:bidi w:val="0"/>
              <w:spacing w:beforeLines="0" w:after="0" w:afterAutospacing="0"/>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 2 \* GB3 \* MERGEFORMAT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②</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废水</w:t>
            </w:r>
            <w:r>
              <w:rPr>
                <w:rFonts w:hint="default" w:ascii="Times New Roman" w:hAnsi="Times New Roman" w:cs="Times New Roman"/>
                <w:color w:val="auto"/>
                <w:highlight w:val="none"/>
                <w:lang w:val="en-US" w:eastAsia="zh-CN"/>
              </w:rPr>
              <w:t xml:space="preserve"> </w:t>
            </w:r>
          </w:p>
          <w:p w14:paraId="049A24C8">
            <w:pPr>
              <w:pStyle w:val="18"/>
              <w:keepNext w:val="0"/>
              <w:keepLines/>
              <w:pageBreakBefore w:val="0"/>
              <w:widowControl w:val="0"/>
              <w:kinsoku/>
              <w:wordWrap/>
              <w:topLinePunct w:val="0"/>
              <w:autoSpaceDE/>
              <w:autoSpaceDN/>
              <w:bidi w:val="0"/>
              <w:spacing w:beforeLines="0" w:after="0" w:afterAutospacing="0"/>
              <w:ind w:firstLine="48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三级吸收塔产生废水收集至回用水池全部回用，不外排</w:t>
            </w:r>
            <w:r>
              <w:rPr>
                <w:rFonts w:hint="eastAsia" w:ascii="Times New Roman" w:hAnsi="Times New Roman" w:cs="Times New Roman"/>
                <w:b w:val="0"/>
                <w:bCs w:val="0"/>
                <w:color w:val="auto"/>
                <w:kern w:val="2"/>
                <w:sz w:val="24"/>
                <w:szCs w:val="24"/>
                <w:lang w:val="en-US" w:eastAsia="zh-CN"/>
              </w:rPr>
              <w:t>。</w:t>
            </w:r>
          </w:p>
          <w:p w14:paraId="2C1AC459">
            <w:pPr>
              <w:pStyle w:val="18"/>
              <w:keepNext w:val="0"/>
              <w:keepLines/>
              <w:pageBreakBefore w:val="0"/>
              <w:widowControl w:val="0"/>
              <w:kinsoku/>
              <w:wordWrap/>
              <w:topLinePunct w:val="0"/>
              <w:autoSpaceDE/>
              <w:autoSpaceDN/>
              <w:bidi w:val="0"/>
              <w:spacing w:beforeLines="0" w:after="0" w:afterAutospacing="0"/>
              <w:ind w:firstLine="48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③固废</w:t>
            </w:r>
          </w:p>
          <w:p w14:paraId="78B884DB">
            <w:pPr>
              <w:pStyle w:val="18"/>
              <w:keepNext w:val="0"/>
              <w:keepLines/>
              <w:pageBreakBefore w:val="0"/>
              <w:widowControl w:val="0"/>
              <w:kinsoku/>
              <w:wordWrap/>
              <w:topLinePunct w:val="0"/>
              <w:autoSpaceDE/>
              <w:autoSpaceDN/>
              <w:bidi w:val="0"/>
              <w:spacing w:beforeLines="0" w:after="0" w:afterAutospacing="0"/>
              <w:ind w:firstLine="480"/>
              <w:jc w:val="both"/>
              <w:rPr>
                <w:rFonts w:hint="default" w:ascii="Times New Roman" w:hAnsi="Times New Roman" w:eastAsia="宋体" w:cs="Times New Roman"/>
                <w:color w:val="auto"/>
                <w:highlight w:val="none"/>
                <w:lang w:val="en-US" w:eastAsia="zh-CN"/>
              </w:rPr>
            </w:pPr>
            <w:r>
              <w:rPr>
                <w:rFonts w:hint="eastAsia" w:cs="Times New Roman"/>
                <w:color w:val="auto"/>
                <w:sz w:val="24"/>
                <w:szCs w:val="24"/>
                <w:lang w:val="en-US" w:eastAsia="zh-CN"/>
              </w:rPr>
              <w:t>燃煤热风炉</w:t>
            </w:r>
            <w:r>
              <w:rPr>
                <w:rFonts w:hint="eastAsia"/>
                <w:color w:val="auto"/>
                <w:lang w:val="en-US" w:eastAsia="zh-CN"/>
              </w:rPr>
              <w:t>燃烧产生灰渣，暂存至灰渣储棚</w:t>
            </w:r>
            <w:r>
              <w:rPr>
                <w:rFonts w:hint="eastAsia" w:ascii="Times New Roman" w:hAnsi="Times New Roman" w:cs="Times New Roman"/>
                <w:color w:val="auto"/>
                <w:lang w:val="en-US" w:eastAsia="zh-CN"/>
              </w:rPr>
              <w:t>。</w:t>
            </w:r>
          </w:p>
          <w:p w14:paraId="7B384ABF">
            <w:pPr>
              <w:pStyle w:val="18"/>
              <w:keepNext w:val="0"/>
              <w:keepLines/>
              <w:pageBreakBefore w:val="0"/>
              <w:widowControl w:val="0"/>
              <w:kinsoku/>
              <w:wordWrap/>
              <w:topLinePunct w:val="0"/>
              <w:autoSpaceDE/>
              <w:autoSpaceDN/>
              <w:bidi w:val="0"/>
              <w:spacing w:beforeLines="0" w:after="0" w:afterAutospacing="0"/>
              <w:ind w:firstLine="480"/>
              <w:jc w:val="both"/>
              <w:rPr>
                <w:rFonts w:hint="eastAsia" w:cs="Times New Roman"/>
                <w:color w:val="auto"/>
                <w:highlight w:val="none"/>
                <w:lang w:val="en-US" w:eastAsia="zh-CN"/>
              </w:rPr>
            </w:pPr>
            <w:r>
              <w:rPr>
                <w:rFonts w:hint="eastAsia" w:cs="Times New Roman"/>
                <w:color w:val="auto"/>
                <w:highlight w:val="none"/>
                <w:lang w:val="en-US" w:eastAsia="zh-CN"/>
              </w:rPr>
              <w:t>④噪声</w:t>
            </w:r>
          </w:p>
          <w:p w14:paraId="13339B80">
            <w:pPr>
              <w:pStyle w:val="18"/>
              <w:keepNext w:val="0"/>
              <w:keepLines/>
              <w:pageBreakBefore w:val="0"/>
              <w:widowControl w:val="0"/>
              <w:kinsoku/>
              <w:wordWrap/>
              <w:topLinePunct w:val="0"/>
              <w:autoSpaceDE/>
              <w:autoSpaceDN/>
              <w:bidi w:val="0"/>
              <w:spacing w:beforeLines="0" w:after="0" w:afterAutospacing="0"/>
              <w:ind w:firstLine="480"/>
              <w:jc w:val="both"/>
              <w:rPr>
                <w:rFonts w:hint="default" w:cs="Times New Roman"/>
                <w:color w:val="auto"/>
                <w:highlight w:val="none"/>
                <w:lang w:val="en-US" w:eastAsia="zh-CN"/>
              </w:rPr>
            </w:pPr>
            <w:r>
              <w:rPr>
                <w:rFonts w:hint="default" w:cs="Times New Roman"/>
                <w:color w:val="auto"/>
                <w:highlight w:val="none"/>
                <w:lang w:val="en-US" w:eastAsia="zh-CN"/>
              </w:rPr>
              <w:t>项目运营期间，噪声源主要为热风炉</w:t>
            </w:r>
            <w:r>
              <w:rPr>
                <w:rFonts w:hint="eastAsia" w:cs="Times New Roman"/>
                <w:color w:val="auto"/>
                <w:sz w:val="24"/>
                <w:szCs w:val="24"/>
                <w:highlight w:val="none"/>
                <w:lang w:val="en-US" w:eastAsia="zh-CN"/>
              </w:rPr>
              <w:t>风机、上煤机、三级吸收塔等噪声</w:t>
            </w:r>
            <w:r>
              <w:rPr>
                <w:rFonts w:hint="eastAsia" w:cs="Times New Roman"/>
                <w:color w:val="auto"/>
                <w:highlight w:val="none"/>
                <w:lang w:val="en-US" w:eastAsia="zh-CN"/>
              </w:rPr>
              <w:t>和物料运输产生的</w:t>
            </w:r>
            <w:r>
              <w:rPr>
                <w:rFonts w:hint="default" w:cs="Times New Roman"/>
                <w:color w:val="auto"/>
                <w:highlight w:val="none"/>
                <w:lang w:val="en-US" w:eastAsia="zh-CN"/>
              </w:rPr>
              <w:t>噪声</w:t>
            </w:r>
            <w:r>
              <w:rPr>
                <w:rFonts w:hint="eastAsia" w:cs="Times New Roman"/>
                <w:color w:val="auto"/>
                <w:highlight w:val="none"/>
                <w:lang w:val="en-US" w:eastAsia="zh-CN"/>
              </w:rPr>
              <w:t>。</w:t>
            </w:r>
          </w:p>
          <w:p w14:paraId="2C6E3341">
            <w:pPr>
              <w:pStyle w:val="18"/>
              <w:keepNext w:val="0"/>
              <w:keepLines/>
              <w:pageBreakBefore w:val="0"/>
              <w:widowControl w:val="0"/>
              <w:kinsoku/>
              <w:wordWrap/>
              <w:topLinePunct w:val="0"/>
              <w:autoSpaceDE/>
              <w:autoSpaceDN/>
              <w:bidi w:val="0"/>
              <w:spacing w:beforeLines="0" w:after="0" w:afterAutospacing="0"/>
              <w:ind w:firstLine="480"/>
              <w:jc w:val="both"/>
              <w:rPr>
                <w:rFonts w:hint="default" w:ascii="Calibri" w:hAnsi="Calibri"/>
                <w:color w:val="auto"/>
                <w:sz w:val="22"/>
                <w:lang w:val="en-US" w:eastAsia="zh-CN"/>
              </w:rPr>
            </w:pPr>
            <w:r>
              <w:rPr>
                <w:rFonts w:hint="default" w:ascii="Times New Roman" w:hAnsi="Times New Roman" w:eastAsia="宋体" w:cs="Times New Roman"/>
                <w:color w:val="auto"/>
                <w:highlight w:val="none"/>
                <w:lang w:val="en-US" w:eastAsia="zh-CN"/>
              </w:rPr>
              <w:t>项目生产工艺及产污节点详见图2</w:t>
            </w:r>
            <w:r>
              <w:rPr>
                <w:rFonts w:hint="eastAsia" w:cs="Times New Roman"/>
                <w:color w:val="auto"/>
                <w:highlight w:val="none"/>
                <w:lang w:val="en-US" w:eastAsia="zh-CN"/>
              </w:rPr>
              <w:t>-3、2-4</w:t>
            </w:r>
            <w:r>
              <w:rPr>
                <w:rFonts w:hint="default" w:ascii="Times New Roman" w:hAnsi="Times New Roman" w:eastAsia="宋体" w:cs="Times New Roman"/>
                <w:color w:val="auto"/>
                <w:highlight w:val="none"/>
                <w:lang w:val="en-US" w:eastAsia="zh-CN"/>
              </w:rPr>
              <w:t>。</w:t>
            </w:r>
          </w:p>
        </w:tc>
      </w:tr>
      <w:tr w14:paraId="05FDE7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2" w:hRule="atLeast"/>
          <w:jc w:val="center"/>
        </w:trPr>
        <w:tc>
          <w:tcPr>
            <w:tcW w:w="823" w:type="dxa"/>
            <w:noWrap w:val="0"/>
            <w:vAlign w:val="center"/>
          </w:tcPr>
          <w:p w14:paraId="6F9A7631">
            <w:pPr>
              <w:pStyle w:val="15"/>
              <w:keepNext w:val="0"/>
              <w:keepLines/>
              <w:pageBreakBefore w:val="0"/>
              <w:widowControl w:val="0"/>
              <w:kinsoku/>
              <w:wordWrap/>
              <w:topLinePunct w:val="0"/>
              <w:autoSpaceDE/>
              <w:autoSpaceDN/>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与项目有关的原有环境污染问题</w:t>
            </w:r>
          </w:p>
        </w:tc>
        <w:tc>
          <w:tcPr>
            <w:tcW w:w="8161" w:type="dxa"/>
            <w:noWrap w:val="0"/>
            <w:vAlign w:val="top"/>
          </w:tcPr>
          <w:p w14:paraId="5A2200E0">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cs="Times New Roman"/>
                <w:color w:val="auto"/>
                <w:sz w:val="24"/>
                <w:szCs w:val="24"/>
                <w:lang w:val="en-US" w:eastAsia="zh-CN"/>
              </w:rPr>
            </w:pPr>
            <w:r>
              <w:rPr>
                <w:rFonts w:hint="eastAsia" w:cs="Times New Roman"/>
                <w:b w:val="0"/>
                <w:bCs w:val="0"/>
                <w:color w:val="auto"/>
                <w:sz w:val="24"/>
                <w:szCs w:val="24"/>
                <w:lang w:val="en-US" w:eastAsia="zh-CN"/>
              </w:rPr>
              <w:t>本次技改工程是针对利用粉煤灰生产聚合氯化铝技改扩建项目固体聚合氯化铝生产线喷雾干燥塔热源进行技改，</w:t>
            </w:r>
            <w:r>
              <w:rPr>
                <w:rFonts w:hint="eastAsia" w:cs="Times New Roman"/>
                <w:color w:val="auto"/>
                <w:sz w:val="24"/>
                <w:szCs w:val="24"/>
                <w:lang w:val="en-US" w:eastAsia="zh-CN"/>
              </w:rPr>
              <w:t>利用粉煤灰生产聚合氯化铝技改扩建项目于2021年3月由内蒙古信中环保科技发展有限责任公司编制完成《利用粉煤灰生产聚合氯化铝技改扩建项目环境影响报告书》，于2021年3月23日由鄂尔多斯市生态环境局以鄂环审字</w:t>
            </w:r>
            <w:r>
              <w:rPr>
                <w:rFonts w:hint="eastAsia" w:ascii="宋体" w:hAnsi="宋体" w:eastAsia="宋体" w:cs="宋体"/>
                <w:color w:val="auto"/>
                <w:sz w:val="24"/>
                <w:szCs w:val="24"/>
                <w:lang w:val="en-US" w:eastAsia="zh-CN"/>
              </w:rPr>
              <w:t>〔</w:t>
            </w:r>
            <w:r>
              <w:rPr>
                <w:rFonts w:hint="default" w:ascii="Times New Roman" w:hAnsi="Times New Roman" w:eastAsia="宋体" w:cs="Times New Roman"/>
                <w:color w:val="auto"/>
                <w:sz w:val="24"/>
                <w:szCs w:val="24"/>
                <w:lang w:val="en-US" w:eastAsia="zh-CN"/>
              </w:rPr>
              <w:t>20</w:t>
            </w:r>
            <w:r>
              <w:rPr>
                <w:rFonts w:hint="eastAsia" w:cs="Times New Roman"/>
                <w:color w:val="auto"/>
                <w:sz w:val="24"/>
                <w:szCs w:val="24"/>
                <w:lang w:val="en-US" w:eastAsia="zh-CN"/>
              </w:rPr>
              <w:t>21</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187号文件</w:t>
            </w:r>
            <w:r>
              <w:rPr>
                <w:rFonts w:hint="default" w:ascii="Times New Roman" w:hAnsi="Times New Roman" w:eastAsia="宋体" w:cs="Times New Roman"/>
                <w:color w:val="auto"/>
                <w:sz w:val="24"/>
                <w:szCs w:val="24"/>
                <w:lang w:val="en-US" w:eastAsia="zh-CN"/>
              </w:rPr>
              <w:t>给予该建设项目环境影响报告书批复</w:t>
            </w:r>
            <w:r>
              <w:rPr>
                <w:rFonts w:hint="eastAsia" w:cs="Times New Roman"/>
                <w:color w:val="auto"/>
                <w:sz w:val="24"/>
                <w:szCs w:val="24"/>
                <w:highlight w:val="none"/>
                <w:lang w:val="en-US" w:eastAsia="zh-CN"/>
              </w:rPr>
              <w:t>。建设单位于2020年9月11日取得了由鄂尔多斯市生态环境局颁发的排污许可证。</w:t>
            </w:r>
          </w:p>
          <w:p w14:paraId="10A17A6E">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auto"/>
                <w:sz w:val="24"/>
                <w:szCs w:val="24"/>
                <w:lang w:val="en-US" w:eastAsia="zh-CN"/>
              </w:rPr>
            </w:pPr>
            <w:r>
              <w:rPr>
                <w:color w:val="auto"/>
                <w:sz w:val="24"/>
              </w:rPr>
              <w:t>利用</w:t>
            </w:r>
            <w:r>
              <w:rPr>
                <w:rFonts w:hint="default" w:ascii="Times New Roman" w:hAnsi="Times New Roman" w:eastAsia="宋体" w:cs="Times New Roman"/>
                <w:color w:val="auto"/>
                <w:sz w:val="24"/>
                <w:szCs w:val="24"/>
                <w:lang w:val="en-US" w:eastAsia="zh-CN"/>
              </w:rPr>
              <w:t>粉煤灰生产聚合氯化铝技改扩建项目</w:t>
            </w:r>
            <w:r>
              <w:rPr>
                <w:rFonts w:hint="eastAsia" w:cs="Times New Roman"/>
                <w:color w:val="auto"/>
                <w:sz w:val="24"/>
                <w:szCs w:val="24"/>
                <w:lang w:val="en-US" w:eastAsia="zh-CN"/>
              </w:rPr>
              <w:t>于2022年4月开工建设，至今一期工程还处于建设中，未开展建设项目竣工环境保护验收。</w:t>
            </w:r>
          </w:p>
          <w:p w14:paraId="0BA4C586">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auto"/>
                <w:sz w:val="24"/>
                <w:szCs w:val="24"/>
                <w:lang w:val="en-US" w:eastAsia="zh-CN"/>
              </w:rPr>
            </w:pPr>
            <w:r>
              <w:rPr>
                <w:rFonts w:hint="eastAsia" w:cs="Times New Roman"/>
                <w:color w:val="auto"/>
                <w:sz w:val="24"/>
                <w:szCs w:val="24"/>
                <w:lang w:val="en-US" w:eastAsia="zh-CN"/>
              </w:rPr>
              <w:t>根据《</w:t>
            </w:r>
            <w:r>
              <w:rPr>
                <w:rFonts w:hint="default" w:ascii="Times New Roman" w:hAnsi="Times New Roman" w:eastAsia="宋体" w:cs="Times New Roman"/>
                <w:color w:val="auto"/>
                <w:sz w:val="24"/>
                <w:szCs w:val="24"/>
                <w:lang w:val="en-US" w:eastAsia="zh-CN"/>
              </w:rPr>
              <w:t>利用粉煤灰生产聚合氯化铝技改扩建项目</w:t>
            </w:r>
            <w:r>
              <w:rPr>
                <w:rFonts w:hint="eastAsia" w:cs="Times New Roman"/>
                <w:color w:val="auto"/>
                <w:sz w:val="24"/>
                <w:szCs w:val="24"/>
                <w:lang w:val="en-US" w:eastAsia="zh-CN"/>
              </w:rPr>
              <w:t>环境影响评价报告书》固体聚合氯化铝生产线提出的环保措施及污染物排放情况如下：</w:t>
            </w:r>
          </w:p>
          <w:p w14:paraId="3D36278F">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cs="Times New Roman"/>
                <w:color w:val="auto"/>
                <w:sz w:val="24"/>
                <w:szCs w:val="24"/>
                <w:lang w:val="en-US" w:eastAsia="zh-CN"/>
              </w:rPr>
            </w:pPr>
            <w:r>
              <w:rPr>
                <w:rFonts w:hint="eastAsia" w:cs="Times New Roman"/>
                <w:color w:val="auto"/>
                <w:sz w:val="24"/>
                <w:szCs w:val="24"/>
                <w:lang w:val="en-US" w:eastAsia="zh-CN"/>
              </w:rPr>
              <w:t>1、固体聚合氯化铝生产工艺废气（一期工程）</w:t>
            </w:r>
          </w:p>
          <w:p w14:paraId="5DF3BAB8">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auto"/>
                <w:sz w:val="24"/>
                <w:szCs w:val="24"/>
                <w:lang w:val="en-US" w:eastAsia="zh-CN"/>
              </w:rPr>
            </w:pPr>
            <w:r>
              <w:rPr>
                <w:rFonts w:hint="eastAsia" w:cs="Times New Roman"/>
                <w:color w:val="auto"/>
                <w:sz w:val="24"/>
                <w:szCs w:val="24"/>
                <w:lang w:val="en-US" w:eastAsia="zh-CN"/>
              </w:rPr>
              <w:t>固体聚合氯化铝产生的工艺废气主要为溶出、聚合反应工序排放的废气、喷雾干燥工序排放的废气及热风炉燃烧烟气。溶出、聚合反应工序排放的废气主要成分为水蒸气，含微量HCl气体，经酸雾吸收塔吸收处理后排放。喷雾干燥工序采用喷雾干燥塔干燥，喷雾干燥塔配备1座三级吸收塔（2级水+1级碱），废气主要成分为水蒸气，含微量HCl气体及粉尘。项目热风炉燃烧焦炉煤气为喷雾干燥筒提供热空气，热风炉燃烧烟气主要成分为颗粒物、SO</w:t>
            </w:r>
            <w:r>
              <w:rPr>
                <w:rFonts w:hint="eastAsia" w:cs="Times New Roman"/>
                <w:color w:val="auto"/>
                <w:sz w:val="24"/>
                <w:szCs w:val="24"/>
                <w:vertAlign w:val="subscript"/>
                <w:lang w:val="en-US" w:eastAsia="zh-CN"/>
              </w:rPr>
              <w:t>2</w:t>
            </w:r>
            <w:r>
              <w:rPr>
                <w:rFonts w:hint="eastAsia" w:cs="Times New Roman"/>
                <w:color w:val="auto"/>
                <w:sz w:val="24"/>
                <w:szCs w:val="24"/>
                <w:lang w:val="en-US" w:eastAsia="zh-CN"/>
              </w:rPr>
              <w:t>、NO</w:t>
            </w:r>
            <w:r>
              <w:rPr>
                <w:rFonts w:hint="eastAsia" w:cs="Times New Roman"/>
                <w:color w:val="auto"/>
                <w:sz w:val="24"/>
                <w:szCs w:val="24"/>
                <w:vertAlign w:val="subscript"/>
                <w:lang w:val="en-US" w:eastAsia="zh-CN"/>
              </w:rPr>
              <w:t>X</w:t>
            </w:r>
            <w:r>
              <w:rPr>
                <w:rFonts w:hint="eastAsia" w:cs="Times New Roman"/>
                <w:color w:val="auto"/>
                <w:sz w:val="24"/>
                <w:szCs w:val="24"/>
                <w:lang w:val="en-US" w:eastAsia="zh-CN"/>
              </w:rPr>
              <w:t>。</w:t>
            </w:r>
          </w:p>
          <w:p w14:paraId="43647635">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（1）溶出反应废气</w:t>
            </w:r>
          </w:p>
          <w:p w14:paraId="3FE248DE">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盐酸溶出反应工序料浆加热方式为直通蒸汽，反应釜内料浆HCl浓度较高，反应釜排出的气体由1台引风机（7000m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/h）引入3#酸雾吸收塔吸收处理后经高15m、出口内径0.4m的排气筒排放，酸雾吸收塔处理效率达99%以上。</w:t>
            </w:r>
          </w:p>
          <w:p w14:paraId="768A73F1">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固体聚合氯化铝溶出生产工艺与</w:t>
            </w:r>
            <w:r>
              <w:rPr>
                <w:rFonts w:hint="default" w:ascii="Times New Roman" w:hAnsi="Times New Roman" w:eastAsia="宋体" w:cs="Times New Roman"/>
                <w:b w:val="0"/>
                <w:bCs w:val="0"/>
                <w:color w:val="auto"/>
                <w:sz w:val="24"/>
                <w:szCs w:val="24"/>
                <w:lang w:val="en-US" w:eastAsia="zh-CN"/>
              </w:rPr>
              <w:t>鄂尔多斯市蓝天白云环保材料有限责任公司利用粉煤灰生产聚合氯化铝项目</w:t>
            </w:r>
            <w:r>
              <w:rPr>
                <w:rFonts w:hint="eastAsia" w:ascii="Times New Roman" w:hAnsi="Times New Roman" w:eastAsia="宋体" w:cs="Times New Roman"/>
                <w:color w:val="auto"/>
                <w:sz w:val="24"/>
                <w:szCs w:val="24"/>
                <w:lang w:val="en-US" w:eastAsia="zh-CN"/>
              </w:rPr>
              <w:t>生产工艺完全相同。类比</w:t>
            </w:r>
            <w:r>
              <w:rPr>
                <w:rFonts w:hint="default" w:ascii="Times New Roman" w:hAnsi="Times New Roman" w:eastAsia="宋体" w:cs="Times New Roman"/>
                <w:b w:val="0"/>
                <w:bCs w:val="0"/>
                <w:color w:val="auto"/>
                <w:sz w:val="24"/>
                <w:szCs w:val="24"/>
                <w:lang w:val="en-US" w:eastAsia="zh-CN"/>
              </w:rPr>
              <w:t>鄂尔多斯市蓝天白云环保材料有限责任公司利用粉煤灰生产聚合氯化铝项目</w:t>
            </w:r>
            <w:r>
              <w:rPr>
                <w:rFonts w:hint="eastAsia" w:ascii="Times New Roman" w:hAnsi="Times New Roman" w:eastAsia="宋体" w:cs="Times New Roman"/>
                <w:color w:val="auto"/>
                <w:sz w:val="24"/>
                <w:szCs w:val="24"/>
                <w:lang w:val="en-US" w:eastAsia="zh-CN"/>
              </w:rPr>
              <w:t>工程验收监测报告及验收检测工况，溶出反应HCl产污系数为74mg/t产品，则溶出反应废气经过酸雾喷淋塔处理后HCl排放量为0.0015t/a，排放浓度0.16mg/m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，排放速率0.001kg/h，废气经过酸雾吸收塔吸收处理，满足《无机化学工业污染物排放标准》及修改单（GB31573-2015）表4大气污染物特别排放标准限值（HCl：20mg/m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w:t>
            </w:r>
          </w:p>
          <w:p w14:paraId="208613C8">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（2）聚合反应废气</w:t>
            </w:r>
          </w:p>
          <w:p w14:paraId="3D6239C6">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盐酸聚合反应工序料浆加热方式为直通蒸汽，反应釜内料浆HCl浓度较高，反应釜排出的气体依托现有2#酸雾吸收塔吸收处理后经高15m、出口内径0.4m的排气筒排放，酸雾吸收塔处理效率达99%以上。</w:t>
            </w:r>
          </w:p>
          <w:p w14:paraId="710DE6F6">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固体聚合氯化铝聚合生产工艺与</w:t>
            </w:r>
            <w:r>
              <w:rPr>
                <w:rFonts w:hint="default" w:ascii="Times New Roman" w:hAnsi="Times New Roman" w:eastAsia="宋体" w:cs="Times New Roman"/>
                <w:b w:val="0"/>
                <w:bCs w:val="0"/>
                <w:color w:val="auto"/>
                <w:sz w:val="24"/>
                <w:szCs w:val="24"/>
                <w:lang w:val="en-US" w:eastAsia="zh-CN"/>
              </w:rPr>
              <w:t>鄂尔多斯市蓝天白云环保材料有限责任公司利用粉煤灰生产聚合氯化铝项目</w:t>
            </w:r>
            <w:r>
              <w:rPr>
                <w:rFonts w:hint="eastAsia" w:ascii="Times New Roman" w:hAnsi="Times New Roman" w:eastAsia="宋体" w:cs="Times New Roman"/>
                <w:color w:val="auto"/>
                <w:sz w:val="24"/>
                <w:szCs w:val="24"/>
                <w:lang w:val="en-US" w:eastAsia="zh-CN"/>
              </w:rPr>
              <w:t>生产工艺完全相同。类比</w:t>
            </w:r>
            <w:r>
              <w:rPr>
                <w:rFonts w:hint="default" w:ascii="Times New Roman" w:hAnsi="Times New Roman" w:eastAsia="宋体" w:cs="Times New Roman"/>
                <w:b w:val="0"/>
                <w:bCs w:val="0"/>
                <w:color w:val="auto"/>
                <w:sz w:val="24"/>
                <w:szCs w:val="24"/>
                <w:lang w:val="en-US" w:eastAsia="zh-CN"/>
              </w:rPr>
              <w:t>鄂尔多斯市蓝天白云环保材料有限责任公司利用粉煤灰生产聚合氯化铝项目</w:t>
            </w:r>
            <w:r>
              <w:rPr>
                <w:rFonts w:hint="eastAsia" w:ascii="Times New Roman" w:hAnsi="Times New Roman" w:eastAsia="宋体" w:cs="Times New Roman"/>
                <w:color w:val="auto"/>
                <w:sz w:val="24"/>
                <w:szCs w:val="24"/>
                <w:lang w:val="en-US" w:eastAsia="zh-CN"/>
              </w:rPr>
              <w:t>工程验收监测报告及验收检测工况，聚合反应HCl产污系数为111.24mg/t产品，则溶出反应废气经过酸雾喷淋塔处理后HCl排放量为0.0022t/a，排放浓度0.24mg/m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，排放速率0.002kg/h，废气经过酸雾吸收塔吸收处理，满足《无机化学工业污染物排放标准》及修改单（GB31573-2015）表4大气污染物特别排放标准限值（HCl：20mg/m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w:t>
            </w:r>
          </w:p>
          <w:p w14:paraId="23781207">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（3）喷雾干燥工序废气</w:t>
            </w:r>
          </w:p>
          <w:p w14:paraId="76722F51">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喷雾干燥工序废气包括喷雾干燥废气和热风炉烟气。</w:t>
            </w:r>
          </w:p>
          <w:p w14:paraId="2240E07A">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①喷雾干燥废气产生量</w:t>
            </w:r>
          </w:p>
          <w:p w14:paraId="3828474D">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液体产品经喷雾干燥工序干燥后98%以上的固体成品物料在分离器下部进入集料仓，剩余不到2%的粉尘及少量盐酸雾首先经过粉尘收集装置进行吸收（效率99%），再经过三级吸收塔（2级水+1级碱）吸收处理由32m高，内径为1.6m排气筒排放。</w:t>
            </w:r>
          </w:p>
          <w:p w14:paraId="5444D4FA">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根据工程分析及物料平衡，粉尘产生量为4.08 t/a，盐酸雾0.8 t/a，</w:t>
            </w:r>
          </w:p>
          <w:p w14:paraId="493A0EB3">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auto"/>
                <w:sz w:val="24"/>
                <w:szCs w:val="24"/>
                <w:lang w:val="en-US" w:eastAsia="zh-CN"/>
              </w:rPr>
            </w:pPr>
            <w:r>
              <w:rPr>
                <w:rFonts w:hint="eastAsia" w:cs="Times New Roman"/>
                <w:color w:val="auto"/>
                <w:sz w:val="24"/>
                <w:szCs w:val="24"/>
                <w:lang w:val="en-US" w:eastAsia="zh-CN"/>
              </w:rPr>
              <w:t>②热风炉烟气</w:t>
            </w:r>
            <w:r>
              <w:rPr>
                <w:rFonts w:hint="eastAsia" w:ascii="Times New Roman" w:hAnsi="Times New Roman" w:eastAsia="宋体" w:cs="Times New Roman"/>
                <w:color w:val="auto"/>
                <w:sz w:val="24"/>
                <w:szCs w:val="24"/>
                <w:lang w:val="en-US" w:eastAsia="zh-CN"/>
              </w:rPr>
              <w:t>产生量</w:t>
            </w:r>
          </w:p>
          <w:p w14:paraId="09D0A0E5">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焦炉煤气燃烧SO</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产生量采用物料平衡法，根据《工业污染源产排污系数手册（2010修订）》确定工业废气量为136259.17Nm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/万m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原料，根据《环境保护实用数据手册》（胡名操主编）及《工业污染源产排污系数手册（2010修订）》确定焦炉煤气燃烧氮氧化物产生量18.71kg/万m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原料、颗粒物产污系数为2.4kg/万m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原料。本项目热风炉产生的烟气直接接触物料，烟气与喷雾干燥产生的废气</w:t>
            </w:r>
            <w:r>
              <w:rPr>
                <w:rFonts w:hint="eastAsia" w:cs="Times New Roman"/>
                <w:color w:val="auto"/>
                <w:sz w:val="24"/>
                <w:szCs w:val="24"/>
                <w:highlight w:val="none"/>
                <w:lang w:val="en-US" w:eastAsia="zh-CN"/>
              </w:rPr>
              <w:t>首先经过粉尘收集装置进行吸收（效率99%），</w:t>
            </w:r>
            <w:r>
              <w:rPr>
                <w:rFonts w:hint="eastAsia" w:ascii="Times New Roman" w:hAnsi="Times New Roman" w:eastAsia="宋体" w:cs="Times New Roman"/>
                <w:color w:val="auto"/>
                <w:sz w:val="24"/>
                <w:szCs w:val="24"/>
                <w:lang w:val="en-US" w:eastAsia="zh-CN"/>
              </w:rPr>
              <w:t>一并进入三级吸收塔处理后排放。</w:t>
            </w:r>
          </w:p>
          <w:p w14:paraId="61EA81DF">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根据计算，热风炉颗粒物产量为0.</w:t>
            </w:r>
            <w:r>
              <w:rPr>
                <w:rFonts w:hint="eastAsia" w:cs="Times New Roman"/>
                <w:color w:val="auto"/>
                <w:sz w:val="24"/>
                <w:szCs w:val="24"/>
                <w:lang w:val="en-US" w:eastAsia="zh-CN"/>
              </w:rPr>
              <w:t>00</w:t>
            </w:r>
            <w:r>
              <w:rPr>
                <w:rFonts w:hint="eastAsia" w:ascii="Times New Roman" w:hAnsi="Times New Roman" w:eastAsia="宋体" w:cs="Times New Roman"/>
                <w:color w:val="auto"/>
                <w:sz w:val="24"/>
                <w:szCs w:val="24"/>
                <w:lang w:val="en-US" w:eastAsia="zh-CN"/>
              </w:rPr>
              <w:t>38t/a，SO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产生量为0.09t/a，NOx产生量为2.09t/a。</w:t>
            </w:r>
          </w:p>
          <w:p w14:paraId="43DC6596">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③喷雾干燥工序废气排放量</w:t>
            </w:r>
          </w:p>
          <w:p w14:paraId="59CFABA4">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本项目热风炉产生的烟气直接接触物料，烟气与喷雾干燥产生的废气</w:t>
            </w:r>
            <w:r>
              <w:rPr>
                <w:rFonts w:hint="eastAsia" w:cs="Times New Roman"/>
                <w:color w:val="auto"/>
                <w:sz w:val="24"/>
                <w:szCs w:val="24"/>
                <w:highlight w:val="none"/>
                <w:lang w:val="en-US" w:eastAsia="zh-CN"/>
              </w:rPr>
              <w:t>首先经过粉尘收集装置进行吸收（效率99%），</w:t>
            </w:r>
            <w:r>
              <w:rPr>
                <w:rFonts w:hint="eastAsia" w:ascii="Times New Roman" w:hAnsi="Times New Roman" w:eastAsia="宋体" w:cs="Times New Roman"/>
                <w:color w:val="auto"/>
                <w:sz w:val="24"/>
                <w:szCs w:val="24"/>
                <w:lang w:val="en-US" w:eastAsia="zh-CN"/>
              </w:rPr>
              <w:t>一并进入三级吸收塔</w:t>
            </w:r>
            <w:r>
              <w:rPr>
                <w:rFonts w:hint="default" w:ascii="Times New Roman" w:hAnsi="Times New Roman" w:eastAsia="宋体" w:cs="Times New Roman"/>
                <w:color w:val="auto"/>
                <w:sz w:val="24"/>
                <w:szCs w:val="24"/>
                <w:lang w:val="en-US" w:eastAsia="zh-CN"/>
              </w:rPr>
              <w:t>处理后</w:t>
            </w:r>
            <w:r>
              <w:rPr>
                <w:rFonts w:hint="eastAsia" w:ascii="Times New Roman" w:hAnsi="Times New Roman" w:eastAsia="宋体" w:cs="Times New Roman"/>
                <w:color w:val="auto"/>
                <w:sz w:val="24"/>
                <w:szCs w:val="24"/>
                <w:lang w:val="en-US" w:eastAsia="zh-CN"/>
              </w:rPr>
              <w:t>通过一个排气筒</w:t>
            </w:r>
            <w:r>
              <w:rPr>
                <w:rFonts w:hint="default" w:ascii="Times New Roman" w:hAnsi="Times New Roman" w:eastAsia="宋体" w:cs="Times New Roman"/>
                <w:color w:val="auto"/>
                <w:sz w:val="24"/>
                <w:szCs w:val="24"/>
                <w:lang w:val="en-US" w:eastAsia="zh-CN"/>
              </w:rPr>
              <w:t>排放</w:t>
            </w:r>
            <w:r>
              <w:rPr>
                <w:rFonts w:hint="eastAsia" w:ascii="Times New Roman" w:hAnsi="Times New Roman" w:eastAsia="宋体" w:cs="Times New Roman"/>
                <w:color w:val="auto"/>
                <w:sz w:val="24"/>
                <w:szCs w:val="24"/>
                <w:lang w:val="en-US" w:eastAsia="zh-CN"/>
              </w:rPr>
              <w:t>，三级吸收塔（二级水+一级碱）对酸雾及粉尘的处理效率达99%以上，对SO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处理效率为47.7%，则喷雾干燥工序颗粒物排放量为0.04</w:t>
            </w:r>
            <w:r>
              <w:rPr>
                <w:rFonts w:hint="eastAsia"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t/a，排放浓度0.2</w:t>
            </w:r>
            <w:r>
              <w:rPr>
                <w:rFonts w:hint="eastAsia" w:cs="Times New Roman"/>
                <w:color w:val="auto"/>
                <w:sz w:val="24"/>
                <w:szCs w:val="24"/>
                <w:lang w:val="en-US" w:eastAsia="zh-CN"/>
              </w:rPr>
              <w:t>4</w:t>
            </w:r>
            <w:r>
              <w:rPr>
                <w:rFonts w:hint="eastAsia" w:ascii="Times New Roman" w:hAnsi="Times New Roman" w:eastAsia="宋体" w:cs="Times New Roman"/>
                <w:color w:val="auto"/>
                <w:sz w:val="24"/>
                <w:szCs w:val="24"/>
                <w:lang w:val="en-US" w:eastAsia="zh-CN"/>
              </w:rPr>
              <w:t>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，排放速率0.00</w:t>
            </w:r>
            <w:r>
              <w:rPr>
                <w:rFonts w:hint="eastAsia" w:cs="Times New Roman"/>
                <w:color w:val="auto"/>
                <w:sz w:val="24"/>
                <w:szCs w:val="24"/>
                <w:lang w:val="en-US" w:eastAsia="zh-CN"/>
              </w:rPr>
              <w:t>63</w:t>
            </w:r>
            <w:r>
              <w:rPr>
                <w:rFonts w:hint="eastAsia" w:ascii="Times New Roman" w:hAnsi="Times New Roman" w:eastAsia="宋体" w:cs="Times New Roman"/>
                <w:color w:val="auto"/>
                <w:sz w:val="24"/>
                <w:szCs w:val="24"/>
                <w:lang w:val="en-US" w:eastAsia="zh-CN"/>
              </w:rPr>
              <w:t>kg/h；盐酸雾排放量为0.008t/a，排放浓度0.046mg/m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，排放速率0.00</w:t>
            </w:r>
            <w:r>
              <w:rPr>
                <w:rFonts w:hint="eastAsia"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kg/h；SO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排放量为0.0471t/a，排放浓度0.27mg/m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，排放速率0.0</w:t>
            </w:r>
            <w:r>
              <w:rPr>
                <w:rFonts w:hint="eastAsia" w:cs="Times New Roman"/>
                <w:color w:val="auto"/>
                <w:sz w:val="24"/>
                <w:szCs w:val="24"/>
                <w:lang w:val="en-US" w:eastAsia="zh-CN"/>
              </w:rPr>
              <w:t>07</w:t>
            </w:r>
            <w:r>
              <w:rPr>
                <w:rFonts w:hint="eastAsia" w:ascii="Times New Roman" w:hAnsi="Times New Roman" w:eastAsia="宋体" w:cs="Times New Roman"/>
                <w:color w:val="auto"/>
                <w:sz w:val="24"/>
                <w:szCs w:val="24"/>
                <w:lang w:val="en-US" w:eastAsia="zh-CN"/>
              </w:rPr>
              <w:t>kg/h；NOx排放量为2.09t/a，排放浓度12.06mg/m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，排放速率0.32kg/h。喷雾干燥工序废气经过三级吸收塔处理后，满足《无机化学工业污染物排放标准》及修改单（GB31573-2015）表4大气污染物特别排放标准限值（SO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排放浓度100 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、NOx排放浓度100 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、颗粒物排放浓度10mg/m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w:t>
            </w:r>
            <w:r>
              <w:rPr>
                <w:rFonts w:hint="eastAsia" w:ascii="Times New Roman" w:hAnsi="Times New Roman" w:eastAsia="宋体" w:cs="Times New Roman"/>
                <w:color w:val="auto"/>
                <w:sz w:val="24"/>
                <w:szCs w:val="24"/>
                <w:lang w:val="en-US" w:eastAsia="zh-CN"/>
              </w:rPr>
              <w:t>HCl：20mg/m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w:t>
            </w:r>
          </w:p>
          <w:p w14:paraId="29EC7F2C">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cs="Times New Roman"/>
                <w:color w:val="auto"/>
                <w:sz w:val="24"/>
                <w:szCs w:val="24"/>
                <w:lang w:val="en-US" w:eastAsia="zh-CN"/>
              </w:rPr>
            </w:pPr>
            <w:r>
              <w:rPr>
                <w:rFonts w:hint="eastAsia" w:cs="Times New Roman"/>
                <w:color w:val="auto"/>
                <w:sz w:val="24"/>
                <w:szCs w:val="24"/>
                <w:lang w:val="en-US" w:eastAsia="zh-CN"/>
              </w:rPr>
              <w:t>2、固体聚合氯化铝生产工艺废水（一期工程）</w:t>
            </w:r>
          </w:p>
          <w:p w14:paraId="2B8D15FA">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一期工程废水产生量为27774.48 t/a，其中酸雾吸收塔废水产生量为1209.5t/a、三级吸收塔废水产生量为20544.46t/a、废渣洗涤水产生量为6020.52t/d，收集至回用水池全部回用于固体聚合氯化铝生产线溶出反应工序，不外排；锅炉排污水按锅炉负荷的2%计，排污水量为1296t/a，经管网排入园区污水处理厂处理；车间清洁废水约1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/d，车间清洗废水总排放量为270t/a，经管网排入园区污水处理厂处理；一期工程生活污水产生量为259.2m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/a，经化粪池收集后，全部进入园区污水处理厂处理。</w:t>
            </w:r>
          </w:p>
          <w:p w14:paraId="2EA26043">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cs="Times New Roman"/>
                <w:color w:val="auto"/>
                <w:sz w:val="24"/>
                <w:szCs w:val="24"/>
                <w:lang w:val="en-US" w:eastAsia="zh-CN"/>
              </w:rPr>
            </w:pPr>
            <w:r>
              <w:rPr>
                <w:rFonts w:hint="eastAsia" w:cs="Times New Roman"/>
                <w:color w:val="auto"/>
                <w:sz w:val="24"/>
                <w:szCs w:val="24"/>
                <w:lang w:val="en-US" w:eastAsia="zh-CN"/>
              </w:rPr>
              <w:t>3、固体聚合氯化铝生产工艺噪声（一期工程）</w:t>
            </w:r>
          </w:p>
          <w:p w14:paraId="75EB8182">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auto"/>
                <w:sz w:val="24"/>
                <w:szCs w:val="24"/>
                <w:lang w:val="en-US" w:eastAsia="zh-CN"/>
              </w:rPr>
            </w:pPr>
            <w:r>
              <w:rPr>
                <w:rFonts w:hint="eastAsia" w:cs="Times New Roman"/>
                <w:color w:val="auto"/>
                <w:sz w:val="24"/>
                <w:szCs w:val="24"/>
                <w:lang w:val="en-US" w:eastAsia="zh-CN"/>
              </w:rPr>
              <w:t>采取了设备减振、消声和建筑隔声的方法，减缓噪声影响。</w:t>
            </w:r>
          </w:p>
          <w:p w14:paraId="2A2B6988">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auto"/>
                <w:sz w:val="24"/>
                <w:szCs w:val="24"/>
                <w:lang w:val="en-US" w:eastAsia="zh-CN"/>
              </w:rPr>
            </w:pPr>
            <w:r>
              <w:rPr>
                <w:rFonts w:hint="eastAsia" w:cs="Times New Roman"/>
                <w:color w:val="auto"/>
                <w:sz w:val="24"/>
                <w:szCs w:val="24"/>
                <w:lang w:val="en-US" w:eastAsia="zh-CN"/>
              </w:rPr>
              <w:t>4、固体聚合氯化铝生产工艺固废（一期工程）</w:t>
            </w:r>
          </w:p>
          <w:p w14:paraId="366E3077">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auto"/>
                <w:sz w:val="24"/>
                <w:szCs w:val="24"/>
                <w:lang w:val="en-US" w:eastAsia="zh-CN"/>
              </w:rPr>
            </w:pPr>
            <w:r>
              <w:rPr>
                <w:rFonts w:hint="eastAsia" w:cs="Times New Roman"/>
                <w:color w:val="auto"/>
                <w:sz w:val="24"/>
                <w:szCs w:val="24"/>
                <w:lang w:val="en-US" w:eastAsia="zh-CN"/>
              </w:rPr>
              <w:t>洗涤废渣产生量为15795.54t/a一期工程废渣依托园区渣场处理；生活垃圾产生量为2.03t/a，生活垃圾集中收集后，由园区环卫部门统一处理；项目软化水装置产生废弃离子交换树脂，该树脂每3年更换一次，每次更换量为2t，属于危险废物，废物代码900-015-13，暂存于危废暂存间，定期委托有资质单位处理。</w:t>
            </w:r>
          </w:p>
          <w:p w14:paraId="4EA6C278">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auto"/>
                <w:sz w:val="24"/>
                <w:szCs w:val="24"/>
                <w:lang w:val="en-US" w:eastAsia="zh-CN"/>
              </w:rPr>
            </w:pP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利用粉煤灰生产聚合氯化铝技改扩建项目</w:t>
            </w:r>
            <w:r>
              <w:rPr>
                <w:rFonts w:hint="eastAsia" w:cs="Times New Roman"/>
                <w:color w:val="auto"/>
                <w:sz w:val="24"/>
                <w:szCs w:val="24"/>
                <w:lang w:val="en-US" w:eastAsia="zh-CN"/>
              </w:rPr>
              <w:t>环境影响评价报告书》固体聚合氯化铝生产线设备建成未投运，未产生实际生产行为，无运营期污染物排放，未产生环境污染。</w:t>
            </w:r>
          </w:p>
          <w:p w14:paraId="02E7E4AF">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cs="Times New Roman"/>
                <w:color w:val="auto"/>
                <w:sz w:val="24"/>
                <w:szCs w:val="24"/>
                <w:lang w:val="en-US" w:eastAsia="zh-CN"/>
              </w:rPr>
            </w:pPr>
            <w:r>
              <w:rPr>
                <w:rFonts w:hint="eastAsia" w:cs="Times New Roman"/>
                <w:color w:val="auto"/>
                <w:sz w:val="24"/>
                <w:szCs w:val="24"/>
                <w:lang w:val="en-US" w:eastAsia="zh-CN"/>
              </w:rPr>
              <w:t>扩建项目污染物排放量见下表2-8。</w:t>
            </w:r>
          </w:p>
          <w:p w14:paraId="2DF7B3E4">
            <w:pPr>
              <w:pStyle w:val="19"/>
              <w:spacing w:line="240" w:lineRule="auto"/>
              <w:ind w:firstLine="482"/>
              <w:jc w:val="center"/>
              <w:rPr>
                <w:rFonts w:ascii="Times New Roman" w:hAnsi="Times New Roman" w:cs="Times New Roman"/>
                <w:b/>
                <w:color w:val="auto"/>
                <w:szCs w:val="24"/>
              </w:rPr>
            </w:pPr>
            <w:r>
              <w:rPr>
                <w:rFonts w:ascii="Times New Roman" w:hAnsi="Times New Roman" w:cs="Times New Roman"/>
                <w:b/>
                <w:color w:val="auto"/>
                <w:szCs w:val="24"/>
              </w:rPr>
              <w:t>表</w:t>
            </w:r>
            <w:r>
              <w:rPr>
                <w:rFonts w:hint="eastAsia" w:ascii="Times New Roman" w:hAnsi="Times New Roman" w:cs="Times New Roman"/>
                <w:b/>
                <w:color w:val="auto"/>
                <w:szCs w:val="24"/>
                <w:lang w:val="en-US" w:eastAsia="zh-CN"/>
              </w:rPr>
              <w:t>2-</w:t>
            </w:r>
            <w:r>
              <w:rPr>
                <w:rFonts w:hint="eastAsia" w:cs="Times New Roman"/>
                <w:b/>
                <w:color w:val="auto"/>
                <w:szCs w:val="24"/>
                <w:lang w:val="en-US" w:eastAsia="zh-CN"/>
              </w:rPr>
              <w:t>8</w:t>
            </w:r>
            <w:r>
              <w:rPr>
                <w:rFonts w:ascii="Times New Roman" w:hAnsi="Times New Roman" w:cs="Times New Roman"/>
                <w:b/>
                <w:color w:val="auto"/>
                <w:szCs w:val="24"/>
              </w:rPr>
              <w:t xml:space="preserve">  </w:t>
            </w:r>
            <w:r>
              <w:rPr>
                <w:rFonts w:hint="eastAsia" w:ascii="Times New Roman" w:hAnsi="Times New Roman" w:cs="Times New Roman"/>
                <w:b/>
                <w:color w:val="auto"/>
                <w:szCs w:val="24"/>
                <w:lang w:val="en-US" w:eastAsia="zh-CN"/>
              </w:rPr>
              <w:t>扩建</w:t>
            </w:r>
            <w:r>
              <w:rPr>
                <w:rFonts w:ascii="Times New Roman" w:hAnsi="Times New Roman" w:cs="Times New Roman"/>
                <w:b/>
                <w:color w:val="auto"/>
                <w:szCs w:val="24"/>
              </w:rPr>
              <w:t>项目</w:t>
            </w:r>
            <w:r>
              <w:rPr>
                <w:rFonts w:hint="eastAsia" w:ascii="Times New Roman" w:hAnsi="Times New Roman" w:cs="Times New Roman"/>
                <w:b/>
                <w:color w:val="auto"/>
                <w:szCs w:val="24"/>
                <w:lang w:val="en-US" w:eastAsia="zh-CN"/>
              </w:rPr>
              <w:t>一期工程固体聚合氯化铝生产线</w:t>
            </w:r>
            <w:r>
              <w:rPr>
                <w:rFonts w:ascii="Times New Roman" w:hAnsi="Times New Roman" w:cs="Times New Roman"/>
                <w:b/>
                <w:color w:val="auto"/>
                <w:szCs w:val="24"/>
              </w:rPr>
              <w:t>污染物排放量统计表</w:t>
            </w:r>
          </w:p>
          <w:tbl>
            <w:tblPr>
              <w:tblStyle w:val="10"/>
              <w:tblW w:w="7859" w:type="dxa"/>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0"/>
              <w:gridCol w:w="727"/>
              <w:gridCol w:w="766"/>
              <w:gridCol w:w="1034"/>
              <w:gridCol w:w="1100"/>
              <w:gridCol w:w="1666"/>
              <w:gridCol w:w="1334"/>
              <w:gridCol w:w="792"/>
            </w:tblGrid>
            <w:tr w14:paraId="0CBCCB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9" w:type="pct"/>
                  <w:vMerge w:val="restart"/>
                  <w:tcBorders>
                    <w:tl2br w:val="nil"/>
                    <w:tr2bl w:val="nil"/>
                  </w:tcBorders>
                  <w:shd w:val="clear" w:color="auto" w:fill="auto"/>
                  <w:vAlign w:val="center"/>
                </w:tcPr>
                <w:p w14:paraId="7C28F185">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类别</w:t>
                  </w:r>
                </w:p>
              </w:tc>
              <w:tc>
                <w:tcPr>
                  <w:tcW w:w="949" w:type="pct"/>
                  <w:gridSpan w:val="2"/>
                  <w:vMerge w:val="restart"/>
                  <w:tcBorders>
                    <w:tl2br w:val="nil"/>
                    <w:tr2bl w:val="nil"/>
                  </w:tcBorders>
                  <w:shd w:val="clear" w:color="auto" w:fill="auto"/>
                  <w:vAlign w:val="center"/>
                </w:tcPr>
                <w:p w14:paraId="7F1F8112">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 w:val="21"/>
                      <w:szCs w:val="21"/>
                      <w:lang w:val="en-US" w:eastAsia="zh-CN" w:bidi="ar-SA"/>
                    </w:rPr>
                    <w:t>废气源</w:t>
                  </w:r>
                </w:p>
              </w:tc>
              <w:tc>
                <w:tcPr>
                  <w:tcW w:w="1357" w:type="pct"/>
                  <w:gridSpan w:val="2"/>
                  <w:tcBorders>
                    <w:tl2br w:val="nil"/>
                    <w:tr2bl w:val="nil"/>
                  </w:tcBorders>
                  <w:shd w:val="clear" w:color="auto" w:fill="auto"/>
                  <w:vAlign w:val="center"/>
                </w:tcPr>
                <w:p w14:paraId="49B4ABB7">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污染物</w:t>
                  </w:r>
                </w:p>
              </w:tc>
              <w:tc>
                <w:tcPr>
                  <w:tcW w:w="1059" w:type="pct"/>
                  <w:vMerge w:val="restart"/>
                  <w:tcBorders>
                    <w:tl2br w:val="nil"/>
                    <w:tr2bl w:val="nil"/>
                  </w:tcBorders>
                  <w:shd w:val="clear" w:color="auto" w:fill="auto"/>
                  <w:vAlign w:val="center"/>
                </w:tcPr>
                <w:p w14:paraId="69EF2E18">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治理措施</w:t>
                  </w:r>
                </w:p>
              </w:tc>
              <w:tc>
                <w:tcPr>
                  <w:tcW w:w="1352" w:type="pct"/>
                  <w:gridSpan w:val="2"/>
                  <w:vMerge w:val="restart"/>
                  <w:tcBorders>
                    <w:tl2br w:val="nil"/>
                    <w:tr2bl w:val="nil"/>
                  </w:tcBorders>
                  <w:shd w:val="clear" w:color="auto" w:fill="auto"/>
                  <w:vAlign w:val="center"/>
                </w:tcPr>
                <w:p w14:paraId="45C7FEBC">
                  <w:pPr>
                    <w:jc w:val="center"/>
                    <w:rPr>
                      <w:rFonts w:ascii="Times New Roman" w:hAnsi="Times New Roman" w:cs="Times New Roman"/>
                      <w:color w:val="auto"/>
                      <w:sz w:val="21"/>
                      <w:szCs w:val="21"/>
                      <w:lang w:bidi="ar-SA"/>
                    </w:rPr>
                  </w:pPr>
                  <w:r>
                    <w:rPr>
                      <w:rFonts w:hint="eastAsia" w:ascii="Times New Roman" w:hAnsi="Times New Roman" w:cs="Times New Roman"/>
                      <w:color w:val="auto"/>
                      <w:sz w:val="21"/>
                      <w:szCs w:val="21"/>
                      <w:lang w:val="en-US" w:eastAsia="zh-CN" w:bidi="ar-SA"/>
                    </w:rPr>
                    <w:t>一期</w:t>
                  </w:r>
                  <w:r>
                    <w:rPr>
                      <w:rFonts w:ascii="Times New Roman" w:hAnsi="Times New Roman" w:cs="Times New Roman"/>
                      <w:color w:val="auto"/>
                      <w:sz w:val="21"/>
                      <w:szCs w:val="21"/>
                      <w:lang w:bidi="ar-SA"/>
                    </w:rPr>
                    <w:t>工程排放量（t/a）</w:t>
                  </w:r>
                </w:p>
              </w:tc>
            </w:tr>
            <w:tr w14:paraId="4129C9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9" w:type="pct"/>
                  <w:vMerge w:val="continue"/>
                  <w:tcBorders>
                    <w:tl2br w:val="nil"/>
                    <w:tr2bl w:val="nil"/>
                  </w:tcBorders>
                  <w:vAlign w:val="center"/>
                </w:tcPr>
                <w:p w14:paraId="0DFF32E1">
                  <w:pPr>
                    <w:rPr>
                      <w:rFonts w:ascii="Times New Roman" w:hAnsi="Times New Roman" w:cs="Times New Roman"/>
                      <w:color w:val="auto"/>
                      <w:sz w:val="21"/>
                      <w:szCs w:val="21"/>
                      <w:lang w:bidi="ar-SA"/>
                    </w:rPr>
                  </w:pPr>
                </w:p>
              </w:tc>
              <w:tc>
                <w:tcPr>
                  <w:tcW w:w="949" w:type="pct"/>
                  <w:gridSpan w:val="2"/>
                  <w:vMerge w:val="continue"/>
                  <w:tcBorders>
                    <w:tl2br w:val="nil"/>
                    <w:tr2bl w:val="nil"/>
                  </w:tcBorders>
                  <w:shd w:val="clear" w:color="auto" w:fill="auto"/>
                  <w:vAlign w:val="center"/>
                </w:tcPr>
                <w:p w14:paraId="125A3E80">
                  <w:pPr>
                    <w:jc w:val="center"/>
                    <w:rPr>
                      <w:rFonts w:ascii="Times New Roman" w:hAnsi="Times New Roman" w:cs="Times New Roman"/>
                      <w:color w:val="auto"/>
                      <w:sz w:val="21"/>
                      <w:szCs w:val="21"/>
                      <w:lang w:bidi="ar-SA"/>
                    </w:rPr>
                  </w:pPr>
                </w:p>
              </w:tc>
              <w:tc>
                <w:tcPr>
                  <w:tcW w:w="1357" w:type="pct"/>
                  <w:gridSpan w:val="2"/>
                  <w:tcBorders>
                    <w:tl2br w:val="nil"/>
                    <w:tr2bl w:val="nil"/>
                  </w:tcBorders>
                  <w:shd w:val="clear" w:color="auto" w:fill="auto"/>
                  <w:vAlign w:val="center"/>
                </w:tcPr>
                <w:p w14:paraId="66D3BAF0">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名称</w:t>
                  </w:r>
                </w:p>
              </w:tc>
              <w:tc>
                <w:tcPr>
                  <w:tcW w:w="1059" w:type="pct"/>
                  <w:vMerge w:val="continue"/>
                  <w:tcBorders>
                    <w:tl2br w:val="nil"/>
                    <w:tr2bl w:val="nil"/>
                  </w:tcBorders>
                  <w:shd w:val="clear" w:color="auto" w:fill="auto"/>
                  <w:vAlign w:val="center"/>
                </w:tcPr>
                <w:p w14:paraId="66861C34">
                  <w:pPr>
                    <w:jc w:val="center"/>
                    <w:rPr>
                      <w:rFonts w:ascii="Times New Roman" w:hAnsi="Times New Roman" w:cs="Times New Roman"/>
                      <w:color w:val="auto"/>
                      <w:sz w:val="21"/>
                      <w:szCs w:val="21"/>
                      <w:lang w:bidi="ar-SA"/>
                    </w:rPr>
                  </w:pPr>
                </w:p>
              </w:tc>
              <w:tc>
                <w:tcPr>
                  <w:tcW w:w="1352" w:type="pct"/>
                  <w:gridSpan w:val="2"/>
                  <w:vMerge w:val="continue"/>
                  <w:tcBorders>
                    <w:tl2br w:val="nil"/>
                    <w:tr2bl w:val="nil"/>
                  </w:tcBorders>
                  <w:vAlign w:val="center"/>
                </w:tcPr>
                <w:p w14:paraId="010C0BC8">
                  <w:pPr>
                    <w:rPr>
                      <w:rFonts w:ascii="Times New Roman" w:hAnsi="Times New Roman" w:cs="Times New Roman"/>
                      <w:color w:val="auto"/>
                      <w:sz w:val="21"/>
                      <w:szCs w:val="21"/>
                      <w:lang w:bidi="ar-SA"/>
                    </w:rPr>
                  </w:pPr>
                </w:p>
              </w:tc>
            </w:tr>
            <w:tr w14:paraId="345322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279" w:type="pct"/>
                  <w:vMerge w:val="restart"/>
                  <w:tcBorders>
                    <w:tl2br w:val="nil"/>
                    <w:tr2bl w:val="nil"/>
                  </w:tcBorders>
                  <w:shd w:val="clear" w:color="auto" w:fill="auto"/>
                  <w:vAlign w:val="center"/>
                </w:tcPr>
                <w:p w14:paraId="085F4B92">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废气</w:t>
                  </w:r>
                </w:p>
              </w:tc>
              <w:tc>
                <w:tcPr>
                  <w:tcW w:w="949" w:type="pct"/>
                  <w:gridSpan w:val="2"/>
                  <w:tcBorders>
                    <w:tl2br w:val="nil"/>
                    <w:tr2bl w:val="nil"/>
                  </w:tcBorders>
                  <w:shd w:val="clear" w:color="auto" w:fill="auto"/>
                  <w:vAlign w:val="center"/>
                </w:tcPr>
                <w:p w14:paraId="78CF4213">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 w:val="21"/>
                      <w:szCs w:val="21"/>
                      <w:lang w:val="en-US" w:eastAsia="zh-CN"/>
                    </w:rPr>
                    <w:t>溶出反应釜</w:t>
                  </w:r>
                </w:p>
              </w:tc>
              <w:tc>
                <w:tcPr>
                  <w:tcW w:w="1357" w:type="pct"/>
                  <w:gridSpan w:val="2"/>
                  <w:vMerge w:val="restart"/>
                  <w:tcBorders>
                    <w:tl2br w:val="nil"/>
                    <w:tr2bl w:val="nil"/>
                  </w:tcBorders>
                  <w:shd w:val="clear" w:color="auto" w:fill="auto"/>
                  <w:vAlign w:val="center"/>
                </w:tcPr>
                <w:p w14:paraId="634A68D6">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HCl</w:t>
                  </w:r>
                </w:p>
              </w:tc>
              <w:tc>
                <w:tcPr>
                  <w:tcW w:w="1059" w:type="pct"/>
                  <w:tcBorders>
                    <w:tl2br w:val="nil"/>
                    <w:tr2bl w:val="nil"/>
                  </w:tcBorders>
                  <w:shd w:val="clear" w:color="auto" w:fill="auto"/>
                  <w:vAlign w:val="center"/>
                </w:tcPr>
                <w:p w14:paraId="310B68FE">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rPr>
                    <w:t>3#酸雾吸收塔</w:t>
                  </w:r>
                </w:p>
              </w:tc>
              <w:tc>
                <w:tcPr>
                  <w:tcW w:w="848" w:type="pct"/>
                  <w:tcBorders>
                    <w:tl2br w:val="nil"/>
                    <w:tr2bl w:val="nil"/>
                  </w:tcBorders>
                  <w:shd w:val="clear" w:color="auto" w:fill="auto"/>
                  <w:vAlign w:val="center"/>
                </w:tcPr>
                <w:p w14:paraId="49013C37">
                  <w:pPr>
                    <w:jc w:val="center"/>
                    <w:rPr>
                      <w:rFonts w:hint="default" w:ascii="Times New Roman" w:hAnsi="Times New Roman" w:eastAsia="宋体" w:cs="Times New Roman"/>
                      <w:color w:val="auto"/>
                      <w:sz w:val="21"/>
                      <w:szCs w:val="21"/>
                      <w:lang w:val="en-US" w:eastAsia="zh-CN" w:bidi="ar-SA"/>
                    </w:rPr>
                  </w:pPr>
                  <w:r>
                    <w:rPr>
                      <w:rFonts w:ascii="Times New Roman" w:hAnsi="Times New Roman" w:cs="Times New Roman"/>
                      <w:color w:val="auto"/>
                      <w:sz w:val="21"/>
                      <w:szCs w:val="21"/>
                    </w:rPr>
                    <w:t>0.0015</w:t>
                  </w:r>
                </w:p>
              </w:tc>
              <w:tc>
                <w:tcPr>
                  <w:tcW w:w="503" w:type="pct"/>
                  <w:vMerge w:val="restart"/>
                  <w:tcBorders>
                    <w:tl2br w:val="nil"/>
                    <w:tr2bl w:val="nil"/>
                  </w:tcBorders>
                  <w:shd w:val="clear" w:color="auto" w:fill="auto"/>
                  <w:vAlign w:val="center"/>
                </w:tcPr>
                <w:p w14:paraId="03226D08">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0.0</w:t>
                  </w:r>
                  <w:r>
                    <w:rPr>
                      <w:rFonts w:hint="eastAsia" w:cs="Times New Roman"/>
                      <w:color w:val="auto"/>
                      <w:sz w:val="21"/>
                      <w:szCs w:val="21"/>
                      <w:lang w:val="en-US" w:eastAsia="zh-CN" w:bidi="ar-SA"/>
                    </w:rPr>
                    <w:t>117</w:t>
                  </w:r>
                </w:p>
              </w:tc>
            </w:tr>
            <w:tr w14:paraId="0A901A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279" w:type="pct"/>
                  <w:vMerge w:val="continue"/>
                  <w:tcBorders>
                    <w:tl2br w:val="nil"/>
                    <w:tr2bl w:val="nil"/>
                  </w:tcBorders>
                  <w:shd w:val="clear" w:color="auto" w:fill="auto"/>
                  <w:vAlign w:val="center"/>
                </w:tcPr>
                <w:p w14:paraId="747BAB28">
                  <w:pPr>
                    <w:jc w:val="center"/>
                    <w:rPr>
                      <w:color w:val="auto"/>
                    </w:rPr>
                  </w:pPr>
                </w:p>
              </w:tc>
              <w:tc>
                <w:tcPr>
                  <w:tcW w:w="949" w:type="pct"/>
                  <w:gridSpan w:val="2"/>
                  <w:tcBorders>
                    <w:tl2br w:val="nil"/>
                    <w:tr2bl w:val="nil"/>
                  </w:tcBorders>
                  <w:shd w:val="clear" w:color="auto" w:fill="auto"/>
                  <w:vAlign w:val="center"/>
                </w:tcPr>
                <w:p w14:paraId="7BD00274">
                  <w:pPr>
                    <w:jc w:val="center"/>
                    <w:rPr>
                      <w:rFonts w:hint="eastAsia" w:ascii="Times New Roman" w:hAnsi="Times New Roman" w:cs="Times New Roman"/>
                      <w:color w:val="auto"/>
                      <w:sz w:val="21"/>
                      <w:szCs w:val="21"/>
                      <w:lang w:val="en-US" w:eastAsia="zh-CN"/>
                    </w:rPr>
                  </w:pPr>
                  <w:r>
                    <w:rPr>
                      <w:rFonts w:hint="eastAsia" w:cs="Times New Roman"/>
                      <w:color w:val="auto"/>
                      <w:sz w:val="21"/>
                      <w:szCs w:val="21"/>
                      <w:lang w:val="en-US" w:eastAsia="zh-CN"/>
                    </w:rPr>
                    <w:t>聚合</w:t>
                  </w:r>
                  <w:r>
                    <w:rPr>
                      <w:rFonts w:hint="eastAsia" w:ascii="Times New Roman" w:hAnsi="Times New Roman" w:cs="Times New Roman"/>
                      <w:color w:val="auto"/>
                      <w:sz w:val="21"/>
                      <w:szCs w:val="21"/>
                      <w:lang w:val="en-US" w:eastAsia="zh-CN"/>
                    </w:rPr>
                    <w:t>反应釜</w:t>
                  </w:r>
                </w:p>
              </w:tc>
              <w:tc>
                <w:tcPr>
                  <w:tcW w:w="1357" w:type="pct"/>
                  <w:gridSpan w:val="2"/>
                  <w:vMerge w:val="continue"/>
                  <w:tcBorders>
                    <w:tl2br w:val="nil"/>
                    <w:tr2bl w:val="nil"/>
                  </w:tcBorders>
                  <w:shd w:val="clear" w:color="auto" w:fill="auto"/>
                  <w:vAlign w:val="center"/>
                </w:tcPr>
                <w:p w14:paraId="7F0BF16B">
                  <w:pPr>
                    <w:jc w:val="center"/>
                    <w:rPr>
                      <w:rFonts w:hint="eastAsia" w:ascii="Times New Roman" w:hAnsi="Times New Roman" w:cs="Times New Roman"/>
                      <w:color w:val="auto"/>
                      <w:sz w:val="21"/>
                      <w:szCs w:val="21"/>
                      <w:lang w:val="en-US" w:eastAsia="zh-CN"/>
                    </w:rPr>
                  </w:pPr>
                </w:p>
              </w:tc>
              <w:tc>
                <w:tcPr>
                  <w:tcW w:w="1059" w:type="pct"/>
                  <w:tcBorders>
                    <w:tl2br w:val="nil"/>
                    <w:tr2bl w:val="nil"/>
                  </w:tcBorders>
                  <w:shd w:val="clear" w:color="auto" w:fill="auto"/>
                  <w:vAlign w:val="center"/>
                </w:tcPr>
                <w:p w14:paraId="4AF5B4C3">
                  <w:pPr>
                    <w:jc w:val="center"/>
                    <w:rPr>
                      <w:rFonts w:hint="eastAsia" w:ascii="Times New Roman" w:hAnsi="Times New Roman" w:cs="Times New Roman"/>
                      <w:color w:val="auto"/>
                      <w:sz w:val="21"/>
                      <w:szCs w:val="21"/>
                      <w:lang w:val="en-US" w:eastAsia="zh-CN"/>
                    </w:rPr>
                  </w:pPr>
                  <w:r>
                    <w:rPr>
                      <w:rFonts w:ascii="Times New Roman" w:hAnsi="Times New Roman" w:cs="Times New Roman"/>
                      <w:color w:val="auto"/>
                      <w:sz w:val="21"/>
                      <w:szCs w:val="21"/>
                    </w:rPr>
                    <w:t>2#酸雾吸收塔</w:t>
                  </w:r>
                </w:p>
              </w:tc>
              <w:tc>
                <w:tcPr>
                  <w:tcW w:w="848" w:type="pct"/>
                  <w:tcBorders>
                    <w:tl2br w:val="nil"/>
                    <w:tr2bl w:val="nil"/>
                  </w:tcBorders>
                  <w:shd w:val="clear" w:color="auto" w:fill="auto"/>
                  <w:vAlign w:val="center"/>
                </w:tcPr>
                <w:p w14:paraId="50C02F3E">
                  <w:pPr>
                    <w:jc w:val="center"/>
                    <w:rPr>
                      <w:rFonts w:hint="eastAsia" w:ascii="Times New Roman" w:hAnsi="Times New Roman" w:cs="Times New Roman"/>
                      <w:color w:val="auto"/>
                      <w:sz w:val="21"/>
                      <w:szCs w:val="21"/>
                      <w:lang w:val="en-US" w:eastAsia="zh-CN"/>
                    </w:rPr>
                  </w:pPr>
                  <w:r>
                    <w:rPr>
                      <w:rFonts w:ascii="Times New Roman" w:hAnsi="Times New Roman" w:cs="Times New Roman"/>
                      <w:color w:val="auto"/>
                      <w:sz w:val="21"/>
                      <w:szCs w:val="21"/>
                    </w:rPr>
                    <w:t>0.0022</w:t>
                  </w:r>
                </w:p>
              </w:tc>
              <w:tc>
                <w:tcPr>
                  <w:tcW w:w="503" w:type="pct"/>
                  <w:vMerge w:val="continue"/>
                  <w:tcBorders>
                    <w:tl2br w:val="nil"/>
                    <w:tr2bl w:val="nil"/>
                  </w:tcBorders>
                  <w:shd w:val="clear" w:color="auto" w:fill="auto"/>
                  <w:vAlign w:val="center"/>
                </w:tcPr>
                <w:p w14:paraId="0F5D4F2D">
                  <w:pPr>
                    <w:jc w:val="center"/>
                    <w:rPr>
                      <w:rFonts w:hint="eastAsia" w:ascii="Times New Roman" w:hAnsi="Times New Roman" w:cs="Times New Roman"/>
                      <w:color w:val="auto"/>
                      <w:sz w:val="21"/>
                      <w:szCs w:val="21"/>
                      <w:lang w:val="en-US" w:eastAsia="zh-CN"/>
                    </w:rPr>
                  </w:pPr>
                </w:p>
              </w:tc>
            </w:tr>
            <w:tr w14:paraId="460044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79" w:type="pct"/>
                  <w:vMerge w:val="continue"/>
                  <w:tcBorders>
                    <w:tl2br w:val="nil"/>
                    <w:tr2bl w:val="nil"/>
                  </w:tcBorders>
                  <w:shd w:val="clear" w:color="auto" w:fill="auto"/>
                  <w:vAlign w:val="center"/>
                </w:tcPr>
                <w:p w14:paraId="5CE3F94B">
                  <w:pPr>
                    <w:jc w:val="center"/>
                    <w:rPr>
                      <w:rFonts w:hint="eastAsia" w:ascii="Times New Roman" w:hAnsi="Times New Roman" w:cs="Times New Roman"/>
                      <w:color w:val="auto"/>
                      <w:sz w:val="21"/>
                      <w:szCs w:val="21"/>
                      <w:lang w:val="en-US" w:eastAsia="zh-CN"/>
                    </w:rPr>
                  </w:pPr>
                </w:p>
              </w:tc>
              <w:tc>
                <w:tcPr>
                  <w:tcW w:w="949" w:type="pct"/>
                  <w:gridSpan w:val="2"/>
                  <w:vMerge w:val="restart"/>
                  <w:tcBorders>
                    <w:tl2br w:val="nil"/>
                    <w:tr2bl w:val="nil"/>
                  </w:tcBorders>
                  <w:shd w:val="clear" w:color="auto" w:fill="auto"/>
                  <w:vAlign w:val="center"/>
                </w:tcPr>
                <w:p w14:paraId="253A4F5B">
                  <w:pPr>
                    <w:jc w:val="center"/>
                    <w:rPr>
                      <w:rFonts w:hint="eastAsia" w:ascii="Times New Roman" w:hAnsi="Times New Roman" w:cs="Times New Roman"/>
                      <w:color w:val="auto"/>
                      <w:sz w:val="21"/>
                      <w:szCs w:val="21"/>
                      <w:lang w:val="en-US" w:eastAsia="zh-CN"/>
                    </w:rPr>
                  </w:pPr>
                  <w:r>
                    <w:rPr>
                      <w:rFonts w:ascii="Times New Roman" w:hAnsi="Times New Roman" w:cs="Times New Roman"/>
                      <w:color w:val="auto"/>
                      <w:sz w:val="21"/>
                      <w:szCs w:val="21"/>
                    </w:rPr>
                    <w:t>喷雾干燥塔</w:t>
                  </w:r>
                </w:p>
              </w:tc>
              <w:tc>
                <w:tcPr>
                  <w:tcW w:w="1357" w:type="pct"/>
                  <w:gridSpan w:val="2"/>
                  <w:vMerge w:val="continue"/>
                  <w:tcBorders>
                    <w:tl2br w:val="nil"/>
                    <w:tr2bl w:val="nil"/>
                  </w:tcBorders>
                  <w:shd w:val="clear" w:color="auto" w:fill="auto"/>
                  <w:vAlign w:val="center"/>
                </w:tcPr>
                <w:p w14:paraId="1A8A6090">
                  <w:pPr>
                    <w:jc w:val="center"/>
                    <w:rPr>
                      <w:rFonts w:hint="eastAsia" w:ascii="Times New Roman" w:hAnsi="Times New Roman" w:cs="Times New Roman"/>
                      <w:color w:val="auto"/>
                      <w:sz w:val="21"/>
                      <w:szCs w:val="21"/>
                      <w:lang w:val="en-US" w:eastAsia="zh-CN"/>
                    </w:rPr>
                  </w:pPr>
                </w:p>
              </w:tc>
              <w:tc>
                <w:tcPr>
                  <w:tcW w:w="1059" w:type="pct"/>
                  <w:vMerge w:val="restart"/>
                  <w:tcBorders>
                    <w:tl2br w:val="nil"/>
                    <w:tr2bl w:val="nil"/>
                  </w:tcBorders>
                  <w:shd w:val="clear" w:color="auto" w:fill="auto"/>
                  <w:vAlign w:val="center"/>
                </w:tcPr>
                <w:p w14:paraId="0F5163E2">
                  <w:pPr>
                    <w:jc w:val="center"/>
                    <w:rPr>
                      <w:rFonts w:hint="eastAsia" w:ascii="Times New Roman" w:hAnsi="Times New Roman" w:cs="Times New Roman"/>
                      <w:color w:val="auto"/>
                      <w:sz w:val="21"/>
                      <w:szCs w:val="21"/>
                      <w:lang w:val="en-US" w:eastAsia="zh-CN"/>
                    </w:rPr>
                  </w:pPr>
                  <w:r>
                    <w:rPr>
                      <w:rFonts w:ascii="Times New Roman" w:hAnsi="Times New Roman" w:cs="Times New Roman"/>
                      <w:color w:val="auto"/>
                      <w:sz w:val="21"/>
                      <w:szCs w:val="21"/>
                    </w:rPr>
                    <w:t>三级吸收塔</w:t>
                  </w:r>
                </w:p>
              </w:tc>
              <w:tc>
                <w:tcPr>
                  <w:tcW w:w="848" w:type="pct"/>
                  <w:tcBorders>
                    <w:tl2br w:val="nil"/>
                    <w:tr2bl w:val="nil"/>
                  </w:tcBorders>
                  <w:shd w:val="clear" w:color="auto" w:fill="auto"/>
                  <w:vAlign w:val="center"/>
                </w:tcPr>
                <w:p w14:paraId="1285DE4F">
                  <w:pPr>
                    <w:jc w:val="center"/>
                    <w:rPr>
                      <w:rFonts w:hint="eastAsia" w:ascii="Times New Roman" w:hAnsi="Times New Roman" w:cs="Times New Roman"/>
                      <w:color w:val="auto"/>
                      <w:sz w:val="21"/>
                      <w:szCs w:val="21"/>
                      <w:lang w:val="en-US" w:eastAsia="zh-CN"/>
                    </w:rPr>
                  </w:pPr>
                  <w:r>
                    <w:rPr>
                      <w:rFonts w:ascii="Times New Roman" w:hAnsi="Times New Roman" w:cs="Times New Roman"/>
                      <w:color w:val="auto"/>
                      <w:sz w:val="21"/>
                      <w:szCs w:val="21"/>
                    </w:rPr>
                    <w:t>0.008</w:t>
                  </w:r>
                </w:p>
              </w:tc>
              <w:tc>
                <w:tcPr>
                  <w:tcW w:w="503" w:type="pct"/>
                  <w:vMerge w:val="continue"/>
                  <w:tcBorders>
                    <w:tl2br w:val="nil"/>
                    <w:tr2bl w:val="nil"/>
                  </w:tcBorders>
                  <w:shd w:val="clear" w:color="auto" w:fill="auto"/>
                  <w:vAlign w:val="center"/>
                </w:tcPr>
                <w:p w14:paraId="42FBBB85">
                  <w:pPr>
                    <w:jc w:val="center"/>
                    <w:rPr>
                      <w:rFonts w:hint="eastAsia" w:ascii="Times New Roman" w:hAnsi="Times New Roman" w:cs="Times New Roman"/>
                      <w:color w:val="auto"/>
                      <w:sz w:val="21"/>
                      <w:szCs w:val="21"/>
                      <w:lang w:val="en-US" w:eastAsia="zh-CN"/>
                    </w:rPr>
                  </w:pPr>
                </w:p>
              </w:tc>
            </w:tr>
            <w:tr w14:paraId="101532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79" w:type="pct"/>
                  <w:vMerge w:val="continue"/>
                  <w:tcBorders>
                    <w:tl2br w:val="nil"/>
                    <w:tr2bl w:val="nil"/>
                  </w:tcBorders>
                  <w:vAlign w:val="center"/>
                </w:tcPr>
                <w:p w14:paraId="628C96DA">
                  <w:pPr>
                    <w:rPr>
                      <w:rFonts w:ascii="Times New Roman" w:hAnsi="Times New Roman" w:cs="Times New Roman"/>
                      <w:color w:val="auto"/>
                      <w:sz w:val="21"/>
                      <w:szCs w:val="21"/>
                      <w:lang w:bidi="ar-SA"/>
                    </w:rPr>
                  </w:pPr>
                </w:p>
              </w:tc>
              <w:tc>
                <w:tcPr>
                  <w:tcW w:w="949" w:type="pct"/>
                  <w:gridSpan w:val="2"/>
                  <w:vMerge w:val="continue"/>
                  <w:tcBorders>
                    <w:tl2br w:val="nil"/>
                    <w:tr2bl w:val="nil"/>
                  </w:tcBorders>
                  <w:shd w:val="clear" w:color="auto" w:fill="auto"/>
                  <w:vAlign w:val="center"/>
                </w:tcPr>
                <w:p w14:paraId="213A2491">
                  <w:pPr>
                    <w:jc w:val="center"/>
                    <w:rPr>
                      <w:rFonts w:ascii="Times New Roman" w:hAnsi="Times New Roman" w:cs="Times New Roman"/>
                      <w:color w:val="auto"/>
                      <w:sz w:val="21"/>
                      <w:szCs w:val="21"/>
                      <w:lang w:bidi="ar-SA"/>
                    </w:rPr>
                  </w:pPr>
                </w:p>
              </w:tc>
              <w:tc>
                <w:tcPr>
                  <w:tcW w:w="1357" w:type="pct"/>
                  <w:gridSpan w:val="2"/>
                  <w:tcBorders>
                    <w:tl2br w:val="nil"/>
                    <w:tr2bl w:val="nil"/>
                  </w:tcBorders>
                  <w:shd w:val="clear" w:color="auto" w:fill="auto"/>
                  <w:vAlign w:val="center"/>
                </w:tcPr>
                <w:p w14:paraId="109D611B">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颗粒物</w:t>
                  </w:r>
                </w:p>
              </w:tc>
              <w:tc>
                <w:tcPr>
                  <w:tcW w:w="1059" w:type="pct"/>
                  <w:vMerge w:val="continue"/>
                  <w:tcBorders>
                    <w:tl2br w:val="nil"/>
                    <w:tr2bl w:val="nil"/>
                  </w:tcBorders>
                  <w:shd w:val="clear" w:color="auto" w:fill="auto"/>
                  <w:vAlign w:val="center"/>
                </w:tcPr>
                <w:p w14:paraId="08C7F3D6">
                  <w:pPr>
                    <w:jc w:val="center"/>
                    <w:rPr>
                      <w:rFonts w:ascii="Times New Roman" w:hAnsi="Times New Roman" w:cs="Times New Roman"/>
                      <w:color w:val="auto"/>
                      <w:sz w:val="21"/>
                      <w:szCs w:val="21"/>
                      <w:lang w:bidi="ar-SA"/>
                    </w:rPr>
                  </w:pPr>
                </w:p>
              </w:tc>
              <w:tc>
                <w:tcPr>
                  <w:tcW w:w="1352" w:type="pct"/>
                  <w:gridSpan w:val="2"/>
                  <w:vMerge w:val="restart"/>
                  <w:tcBorders>
                    <w:tl2br w:val="nil"/>
                    <w:tr2bl w:val="nil"/>
                  </w:tcBorders>
                  <w:shd w:val="clear" w:color="auto" w:fill="auto"/>
                  <w:vAlign w:val="center"/>
                </w:tcPr>
                <w:p w14:paraId="48A48C8A">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0.041</w:t>
                  </w:r>
                </w:p>
              </w:tc>
            </w:tr>
            <w:tr w14:paraId="0C51DD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79" w:type="pct"/>
                  <w:vMerge w:val="continue"/>
                  <w:tcBorders>
                    <w:tl2br w:val="nil"/>
                    <w:tr2bl w:val="nil"/>
                  </w:tcBorders>
                  <w:vAlign w:val="center"/>
                </w:tcPr>
                <w:p w14:paraId="7AEC95B6">
                  <w:pPr>
                    <w:rPr>
                      <w:rFonts w:ascii="Times New Roman" w:hAnsi="Times New Roman" w:cs="Times New Roman"/>
                      <w:color w:val="auto"/>
                      <w:sz w:val="21"/>
                      <w:szCs w:val="21"/>
                      <w:lang w:bidi="ar-SA"/>
                    </w:rPr>
                  </w:pPr>
                </w:p>
              </w:tc>
              <w:tc>
                <w:tcPr>
                  <w:tcW w:w="949" w:type="pct"/>
                  <w:gridSpan w:val="2"/>
                  <w:vMerge w:val="restart"/>
                  <w:tcBorders>
                    <w:tl2br w:val="nil"/>
                    <w:tr2bl w:val="nil"/>
                  </w:tcBorders>
                  <w:shd w:val="clear" w:color="auto" w:fill="auto"/>
                  <w:vAlign w:val="center"/>
                </w:tcPr>
                <w:p w14:paraId="660CF45F">
                  <w:pPr>
                    <w:jc w:val="center"/>
                    <w:rPr>
                      <w:rFonts w:ascii="Times New Roman" w:hAnsi="Times New Roman" w:cs="Times New Roman"/>
                      <w:color w:val="auto"/>
                      <w:sz w:val="21"/>
                      <w:szCs w:val="21"/>
                      <w:lang w:bidi="ar-SA"/>
                    </w:rPr>
                  </w:pPr>
                  <w:r>
                    <w:rPr>
                      <w:rFonts w:hint="eastAsia" w:ascii="Times New Roman" w:hAnsi="Times New Roman" w:cs="Times New Roman"/>
                      <w:color w:val="auto"/>
                      <w:sz w:val="21"/>
                      <w:szCs w:val="21"/>
                      <w:lang w:bidi="ar-SA"/>
                    </w:rPr>
                    <w:t>焦炉煤气热风炉</w:t>
                  </w:r>
                </w:p>
              </w:tc>
              <w:tc>
                <w:tcPr>
                  <w:tcW w:w="1357" w:type="pct"/>
                  <w:gridSpan w:val="2"/>
                  <w:tcBorders>
                    <w:tl2br w:val="nil"/>
                    <w:tr2bl w:val="nil"/>
                  </w:tcBorders>
                  <w:shd w:val="clear" w:color="auto" w:fill="auto"/>
                  <w:vAlign w:val="center"/>
                </w:tcPr>
                <w:p w14:paraId="0A2E0053">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颗粒物</w:t>
                  </w:r>
                </w:p>
              </w:tc>
              <w:tc>
                <w:tcPr>
                  <w:tcW w:w="1059" w:type="pct"/>
                  <w:vMerge w:val="continue"/>
                  <w:tcBorders>
                    <w:tl2br w:val="nil"/>
                    <w:tr2bl w:val="nil"/>
                  </w:tcBorders>
                  <w:shd w:val="clear" w:color="auto" w:fill="auto"/>
                  <w:vAlign w:val="center"/>
                </w:tcPr>
                <w:p w14:paraId="327C22B6">
                  <w:pPr>
                    <w:jc w:val="center"/>
                    <w:rPr>
                      <w:rFonts w:ascii="Times New Roman" w:hAnsi="Times New Roman" w:cs="Times New Roman"/>
                      <w:color w:val="auto"/>
                      <w:sz w:val="21"/>
                      <w:szCs w:val="21"/>
                      <w:lang w:bidi="ar-SA"/>
                    </w:rPr>
                  </w:pPr>
                </w:p>
              </w:tc>
              <w:tc>
                <w:tcPr>
                  <w:tcW w:w="1352" w:type="pct"/>
                  <w:gridSpan w:val="2"/>
                  <w:vMerge w:val="continue"/>
                  <w:tcBorders>
                    <w:tl2br w:val="nil"/>
                    <w:tr2bl w:val="nil"/>
                  </w:tcBorders>
                  <w:shd w:val="clear" w:color="auto" w:fill="auto"/>
                  <w:vAlign w:val="center"/>
                </w:tcPr>
                <w:p w14:paraId="16E46B42">
                  <w:pPr>
                    <w:jc w:val="center"/>
                    <w:rPr>
                      <w:rFonts w:hint="eastAsia" w:cs="Times New Roman"/>
                      <w:color w:val="auto"/>
                      <w:sz w:val="21"/>
                      <w:szCs w:val="21"/>
                      <w:lang w:val="en-US" w:eastAsia="zh-CN" w:bidi="ar-SA"/>
                    </w:rPr>
                  </w:pPr>
                </w:p>
              </w:tc>
            </w:tr>
            <w:tr w14:paraId="7B68A7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79" w:type="pct"/>
                  <w:vMerge w:val="continue"/>
                  <w:tcBorders>
                    <w:tl2br w:val="nil"/>
                    <w:tr2bl w:val="nil"/>
                  </w:tcBorders>
                  <w:vAlign w:val="center"/>
                </w:tcPr>
                <w:p w14:paraId="1DF64D9C">
                  <w:pPr>
                    <w:rPr>
                      <w:rFonts w:ascii="Times New Roman" w:hAnsi="Times New Roman" w:cs="Times New Roman"/>
                      <w:color w:val="auto"/>
                      <w:sz w:val="21"/>
                      <w:szCs w:val="21"/>
                      <w:lang w:bidi="ar-SA"/>
                    </w:rPr>
                  </w:pPr>
                </w:p>
              </w:tc>
              <w:tc>
                <w:tcPr>
                  <w:tcW w:w="949" w:type="pct"/>
                  <w:gridSpan w:val="2"/>
                  <w:vMerge w:val="continue"/>
                  <w:tcBorders>
                    <w:tl2br w:val="nil"/>
                    <w:tr2bl w:val="nil"/>
                  </w:tcBorders>
                  <w:shd w:val="clear" w:color="auto" w:fill="auto"/>
                  <w:vAlign w:val="center"/>
                </w:tcPr>
                <w:p w14:paraId="0D711311">
                  <w:pPr>
                    <w:jc w:val="center"/>
                    <w:rPr>
                      <w:rFonts w:ascii="Times New Roman" w:hAnsi="Times New Roman" w:cs="Times New Roman"/>
                      <w:color w:val="auto"/>
                      <w:sz w:val="21"/>
                      <w:szCs w:val="21"/>
                      <w:lang w:bidi="ar-SA"/>
                    </w:rPr>
                  </w:pPr>
                </w:p>
              </w:tc>
              <w:tc>
                <w:tcPr>
                  <w:tcW w:w="1357" w:type="pct"/>
                  <w:gridSpan w:val="2"/>
                  <w:tcBorders>
                    <w:tl2br w:val="nil"/>
                    <w:tr2bl w:val="nil"/>
                  </w:tcBorders>
                  <w:shd w:val="clear" w:color="auto" w:fill="auto"/>
                  <w:vAlign w:val="center"/>
                </w:tcPr>
                <w:p w14:paraId="2839274D">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氮氧化物</w:t>
                  </w:r>
                </w:p>
              </w:tc>
              <w:tc>
                <w:tcPr>
                  <w:tcW w:w="1059" w:type="pct"/>
                  <w:vMerge w:val="continue"/>
                  <w:tcBorders>
                    <w:tl2br w:val="nil"/>
                    <w:tr2bl w:val="nil"/>
                  </w:tcBorders>
                  <w:shd w:val="clear" w:color="auto" w:fill="auto"/>
                  <w:vAlign w:val="center"/>
                </w:tcPr>
                <w:p w14:paraId="09B0C7BD">
                  <w:pPr>
                    <w:jc w:val="center"/>
                    <w:rPr>
                      <w:rFonts w:ascii="Times New Roman" w:hAnsi="Times New Roman" w:cs="Times New Roman"/>
                      <w:color w:val="auto"/>
                      <w:sz w:val="21"/>
                      <w:szCs w:val="21"/>
                      <w:lang w:bidi="ar-SA"/>
                    </w:rPr>
                  </w:pPr>
                </w:p>
              </w:tc>
              <w:tc>
                <w:tcPr>
                  <w:tcW w:w="1352" w:type="pct"/>
                  <w:gridSpan w:val="2"/>
                  <w:tcBorders>
                    <w:tl2br w:val="nil"/>
                    <w:tr2bl w:val="nil"/>
                  </w:tcBorders>
                  <w:shd w:val="clear" w:color="auto" w:fill="auto"/>
                  <w:vAlign w:val="center"/>
                </w:tcPr>
                <w:p w14:paraId="24C500AD">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 xml:space="preserve">2.09 </w:t>
                  </w:r>
                </w:p>
              </w:tc>
            </w:tr>
            <w:tr w14:paraId="5129B5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279" w:type="pct"/>
                  <w:vMerge w:val="continue"/>
                  <w:tcBorders>
                    <w:tl2br w:val="nil"/>
                    <w:tr2bl w:val="nil"/>
                  </w:tcBorders>
                  <w:vAlign w:val="center"/>
                </w:tcPr>
                <w:p w14:paraId="4543D3E1">
                  <w:pPr>
                    <w:rPr>
                      <w:rFonts w:ascii="Times New Roman" w:hAnsi="Times New Roman" w:cs="Times New Roman"/>
                      <w:color w:val="auto"/>
                      <w:sz w:val="21"/>
                      <w:szCs w:val="21"/>
                      <w:lang w:bidi="ar-SA"/>
                    </w:rPr>
                  </w:pPr>
                </w:p>
              </w:tc>
              <w:tc>
                <w:tcPr>
                  <w:tcW w:w="949" w:type="pct"/>
                  <w:gridSpan w:val="2"/>
                  <w:vMerge w:val="continue"/>
                  <w:tcBorders>
                    <w:tl2br w:val="nil"/>
                    <w:tr2bl w:val="nil"/>
                  </w:tcBorders>
                  <w:shd w:val="clear" w:color="auto" w:fill="auto"/>
                  <w:vAlign w:val="center"/>
                </w:tcPr>
                <w:p w14:paraId="7769440F">
                  <w:pPr>
                    <w:jc w:val="center"/>
                    <w:rPr>
                      <w:rFonts w:ascii="Times New Roman" w:hAnsi="Times New Roman" w:cs="Times New Roman"/>
                      <w:color w:val="auto"/>
                      <w:sz w:val="21"/>
                      <w:szCs w:val="21"/>
                      <w:lang w:bidi="ar-SA"/>
                    </w:rPr>
                  </w:pPr>
                </w:p>
              </w:tc>
              <w:tc>
                <w:tcPr>
                  <w:tcW w:w="1357" w:type="pct"/>
                  <w:gridSpan w:val="2"/>
                  <w:tcBorders>
                    <w:tl2br w:val="nil"/>
                    <w:tr2bl w:val="nil"/>
                  </w:tcBorders>
                  <w:shd w:val="clear" w:color="auto" w:fill="auto"/>
                  <w:vAlign w:val="center"/>
                </w:tcPr>
                <w:p w14:paraId="4715C3C7">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二氧化硫</w:t>
                  </w:r>
                </w:p>
              </w:tc>
              <w:tc>
                <w:tcPr>
                  <w:tcW w:w="1059" w:type="pct"/>
                  <w:vMerge w:val="continue"/>
                  <w:tcBorders>
                    <w:tl2br w:val="nil"/>
                    <w:tr2bl w:val="nil"/>
                  </w:tcBorders>
                  <w:shd w:val="clear" w:color="auto" w:fill="auto"/>
                  <w:vAlign w:val="center"/>
                </w:tcPr>
                <w:p w14:paraId="4D4484F2">
                  <w:pPr>
                    <w:jc w:val="center"/>
                    <w:rPr>
                      <w:rFonts w:ascii="Times New Roman" w:hAnsi="Times New Roman" w:cs="Times New Roman"/>
                      <w:color w:val="auto"/>
                      <w:sz w:val="21"/>
                      <w:szCs w:val="21"/>
                      <w:lang w:bidi="ar-SA"/>
                    </w:rPr>
                  </w:pPr>
                </w:p>
              </w:tc>
              <w:tc>
                <w:tcPr>
                  <w:tcW w:w="1352" w:type="pct"/>
                  <w:gridSpan w:val="2"/>
                  <w:tcBorders>
                    <w:tl2br w:val="nil"/>
                    <w:tr2bl w:val="nil"/>
                  </w:tcBorders>
                  <w:shd w:val="clear" w:color="auto" w:fill="auto"/>
                  <w:vAlign w:val="center"/>
                </w:tcPr>
                <w:p w14:paraId="77644A57">
                  <w:pPr>
                    <w:jc w:val="center"/>
                    <w:rPr>
                      <w:rFonts w:hint="default" w:ascii="Times New Roman" w:hAnsi="Times New Roman" w:eastAsia="宋体" w:cs="Times New Roman"/>
                      <w:color w:val="auto"/>
                      <w:sz w:val="21"/>
                      <w:szCs w:val="21"/>
                      <w:lang w:val="en-US" w:eastAsia="zh-CN" w:bidi="ar-SA"/>
                    </w:rPr>
                  </w:pPr>
                  <w:r>
                    <w:rPr>
                      <w:rFonts w:ascii="Times New Roman" w:hAnsi="Times New Roman" w:cs="Times New Roman"/>
                      <w:color w:val="auto"/>
                      <w:sz w:val="21"/>
                      <w:szCs w:val="21"/>
                      <w:lang w:bidi="ar-SA"/>
                    </w:rPr>
                    <w:t>0.0471</w:t>
                  </w:r>
                </w:p>
              </w:tc>
            </w:tr>
            <w:tr w14:paraId="6B45AC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279" w:type="pct"/>
                  <w:vMerge w:val="restart"/>
                  <w:tcBorders>
                    <w:tl2br w:val="nil"/>
                    <w:tr2bl w:val="nil"/>
                  </w:tcBorders>
                  <w:shd w:val="clear" w:color="auto" w:fill="auto"/>
                  <w:vAlign w:val="center"/>
                </w:tcPr>
                <w:p w14:paraId="637F3022">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废水</w:t>
                  </w:r>
                </w:p>
              </w:tc>
              <w:tc>
                <w:tcPr>
                  <w:tcW w:w="949" w:type="pct"/>
                  <w:gridSpan w:val="2"/>
                  <w:tcBorders>
                    <w:tl2br w:val="nil"/>
                    <w:tr2bl w:val="nil"/>
                  </w:tcBorders>
                  <w:shd w:val="clear" w:color="auto" w:fill="auto"/>
                  <w:vAlign w:val="center"/>
                </w:tcPr>
                <w:p w14:paraId="567A62C0">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 w:val="21"/>
                      <w:szCs w:val="21"/>
                      <w:lang w:val="en-US" w:eastAsia="zh-CN" w:bidi="ar-SA"/>
                    </w:rPr>
                    <w:t>废水来源</w:t>
                  </w:r>
                </w:p>
              </w:tc>
              <w:tc>
                <w:tcPr>
                  <w:tcW w:w="1357" w:type="pct"/>
                  <w:gridSpan w:val="2"/>
                  <w:tcBorders>
                    <w:tl2br w:val="nil"/>
                    <w:tr2bl w:val="nil"/>
                  </w:tcBorders>
                  <w:shd w:val="clear" w:color="auto" w:fill="auto"/>
                  <w:vAlign w:val="center"/>
                </w:tcPr>
                <w:p w14:paraId="75792C8A">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 w:val="21"/>
                      <w:szCs w:val="21"/>
                      <w:lang w:val="en-US" w:eastAsia="zh-CN" w:bidi="ar-SA"/>
                    </w:rPr>
                    <w:t>产生量</w:t>
                  </w:r>
                  <w:r>
                    <w:rPr>
                      <w:rFonts w:ascii="Times New Roman" w:hAnsi="Times New Roman" w:cs="Times New Roman"/>
                      <w:color w:val="auto"/>
                      <w:sz w:val="21"/>
                      <w:szCs w:val="21"/>
                      <w:lang w:bidi="ar-SA"/>
                    </w:rPr>
                    <w:t>（t/a）</w:t>
                  </w:r>
                </w:p>
              </w:tc>
              <w:tc>
                <w:tcPr>
                  <w:tcW w:w="1059" w:type="pct"/>
                  <w:tcBorders>
                    <w:tl2br w:val="nil"/>
                    <w:tr2bl w:val="nil"/>
                  </w:tcBorders>
                  <w:shd w:val="clear" w:color="auto" w:fill="auto"/>
                  <w:vAlign w:val="center"/>
                </w:tcPr>
                <w:p w14:paraId="136D2181">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污染物主要组分</w:t>
                  </w:r>
                </w:p>
              </w:tc>
              <w:tc>
                <w:tcPr>
                  <w:tcW w:w="848" w:type="pct"/>
                  <w:tcBorders>
                    <w:tl2br w:val="nil"/>
                    <w:tr2bl w:val="nil"/>
                  </w:tcBorders>
                  <w:shd w:val="clear" w:color="auto" w:fill="auto"/>
                  <w:vAlign w:val="center"/>
                </w:tcPr>
                <w:p w14:paraId="58DFA44C">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 w:val="21"/>
                      <w:szCs w:val="21"/>
                      <w:lang w:val="en-US" w:eastAsia="zh-CN" w:bidi="ar-SA"/>
                    </w:rPr>
                    <w:t>排放量</w:t>
                  </w:r>
                  <w:r>
                    <w:rPr>
                      <w:rFonts w:ascii="Times New Roman" w:hAnsi="Times New Roman" w:cs="Times New Roman"/>
                      <w:color w:val="auto"/>
                      <w:sz w:val="21"/>
                      <w:szCs w:val="21"/>
                      <w:lang w:bidi="ar-SA"/>
                    </w:rPr>
                    <w:t>（t/a）</w:t>
                  </w:r>
                </w:p>
              </w:tc>
              <w:tc>
                <w:tcPr>
                  <w:tcW w:w="503" w:type="pct"/>
                  <w:tcBorders>
                    <w:tl2br w:val="nil"/>
                    <w:tr2bl w:val="nil"/>
                  </w:tcBorders>
                  <w:shd w:val="clear" w:color="auto" w:fill="auto"/>
                  <w:vAlign w:val="center"/>
                </w:tcPr>
                <w:p w14:paraId="1EF4E1A5">
                  <w:pPr>
                    <w:jc w:val="center"/>
                    <w:rPr>
                      <w:rFonts w:hint="default" w:ascii="Times New Roman" w:hAnsi="Times New Roman" w:cs="Times New Roman"/>
                      <w:color w:val="auto"/>
                      <w:sz w:val="21"/>
                      <w:szCs w:val="21"/>
                      <w:lang w:val="en-US" w:eastAsia="zh-CN" w:bidi="ar-SA"/>
                    </w:rPr>
                  </w:pPr>
                  <w:r>
                    <w:rPr>
                      <w:rFonts w:hint="eastAsia" w:ascii="Times New Roman" w:hAnsi="Times New Roman" w:cs="Times New Roman"/>
                      <w:color w:val="auto"/>
                      <w:sz w:val="21"/>
                      <w:szCs w:val="21"/>
                      <w:lang w:val="en-US" w:eastAsia="zh-CN" w:bidi="ar-SA"/>
                    </w:rPr>
                    <w:t>排放去向</w:t>
                  </w:r>
                </w:p>
              </w:tc>
            </w:tr>
            <w:tr w14:paraId="6AC742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279" w:type="pct"/>
                  <w:vMerge w:val="continue"/>
                  <w:tcBorders>
                    <w:tl2br w:val="nil"/>
                    <w:tr2bl w:val="nil"/>
                  </w:tcBorders>
                  <w:shd w:val="clear" w:color="auto" w:fill="auto"/>
                  <w:vAlign w:val="center"/>
                </w:tcPr>
                <w:p w14:paraId="48F1C384">
                  <w:pPr>
                    <w:jc w:val="center"/>
                    <w:rPr>
                      <w:color w:val="auto"/>
                    </w:rPr>
                  </w:pPr>
                </w:p>
              </w:tc>
              <w:tc>
                <w:tcPr>
                  <w:tcW w:w="462" w:type="pct"/>
                  <w:vMerge w:val="restart"/>
                  <w:tcBorders>
                    <w:tl2br w:val="nil"/>
                    <w:tr2bl w:val="nil"/>
                  </w:tcBorders>
                  <w:shd w:val="clear" w:color="auto" w:fill="auto"/>
                  <w:vAlign w:val="center"/>
                </w:tcPr>
                <w:p w14:paraId="15A2A2FF">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固体聚合氯化铝生产废水</w:t>
                  </w:r>
                </w:p>
              </w:tc>
              <w:tc>
                <w:tcPr>
                  <w:tcW w:w="487" w:type="pct"/>
                  <w:tcBorders>
                    <w:tl2br w:val="nil"/>
                    <w:tr2bl w:val="nil"/>
                  </w:tcBorders>
                  <w:shd w:val="clear" w:color="auto" w:fill="auto"/>
                  <w:vAlign w:val="center"/>
                </w:tcPr>
                <w:p w14:paraId="1506439F">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酸雾吸收塔废水</w:t>
                  </w:r>
                </w:p>
              </w:tc>
              <w:tc>
                <w:tcPr>
                  <w:tcW w:w="657" w:type="pct"/>
                  <w:tcBorders>
                    <w:tl2br w:val="nil"/>
                    <w:tr2bl w:val="nil"/>
                  </w:tcBorders>
                  <w:shd w:val="clear" w:color="auto" w:fill="auto"/>
                  <w:vAlign w:val="center"/>
                </w:tcPr>
                <w:p w14:paraId="4EAEA1E8">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1209.5</w:t>
                  </w:r>
                </w:p>
              </w:tc>
              <w:tc>
                <w:tcPr>
                  <w:tcW w:w="699" w:type="pct"/>
                  <w:vMerge w:val="restart"/>
                  <w:tcBorders>
                    <w:tl2br w:val="nil"/>
                    <w:tr2bl w:val="nil"/>
                  </w:tcBorders>
                  <w:shd w:val="clear" w:color="auto" w:fill="auto"/>
                  <w:vAlign w:val="center"/>
                </w:tcPr>
                <w:p w14:paraId="3298AAED">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27774.48</w:t>
                  </w:r>
                </w:p>
              </w:tc>
              <w:tc>
                <w:tcPr>
                  <w:tcW w:w="1059" w:type="pct"/>
                  <w:vMerge w:val="restart"/>
                  <w:tcBorders>
                    <w:tl2br w:val="nil"/>
                    <w:tr2bl w:val="nil"/>
                  </w:tcBorders>
                  <w:shd w:val="clear" w:color="auto" w:fill="auto"/>
                  <w:vAlign w:val="center"/>
                </w:tcPr>
                <w:p w14:paraId="2D10087A">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硫酸盐、氯化物、SS</w:t>
                  </w:r>
                </w:p>
              </w:tc>
              <w:tc>
                <w:tcPr>
                  <w:tcW w:w="848" w:type="pct"/>
                  <w:vMerge w:val="restart"/>
                  <w:tcBorders>
                    <w:tl2br w:val="nil"/>
                    <w:tr2bl w:val="nil"/>
                  </w:tcBorders>
                  <w:shd w:val="clear" w:color="auto" w:fill="auto"/>
                  <w:vAlign w:val="center"/>
                </w:tcPr>
                <w:p w14:paraId="134EC288">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 w:val="21"/>
                      <w:szCs w:val="21"/>
                      <w:lang w:val="en-US" w:eastAsia="zh-CN" w:bidi="ar-SA"/>
                    </w:rPr>
                    <w:t>0</w:t>
                  </w:r>
                </w:p>
              </w:tc>
              <w:tc>
                <w:tcPr>
                  <w:tcW w:w="503" w:type="pct"/>
                  <w:vMerge w:val="restart"/>
                  <w:tcBorders>
                    <w:tl2br w:val="nil"/>
                    <w:tr2bl w:val="nil"/>
                  </w:tcBorders>
                  <w:shd w:val="clear" w:color="auto" w:fill="auto"/>
                  <w:vAlign w:val="center"/>
                </w:tcPr>
                <w:p w14:paraId="53867378">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回用于生产</w:t>
                  </w:r>
                </w:p>
              </w:tc>
            </w:tr>
            <w:tr w14:paraId="167EF3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4" w:hRule="atLeast"/>
              </w:trPr>
              <w:tc>
                <w:tcPr>
                  <w:tcW w:w="279" w:type="pct"/>
                  <w:vMerge w:val="continue"/>
                  <w:tcBorders>
                    <w:tl2br w:val="nil"/>
                    <w:tr2bl w:val="nil"/>
                  </w:tcBorders>
                  <w:shd w:val="clear" w:color="auto" w:fill="auto"/>
                  <w:vAlign w:val="center"/>
                </w:tcPr>
                <w:p w14:paraId="32A3E617">
                  <w:pPr>
                    <w:jc w:val="center"/>
                    <w:rPr>
                      <w:color w:val="auto"/>
                    </w:rPr>
                  </w:pPr>
                </w:p>
              </w:tc>
              <w:tc>
                <w:tcPr>
                  <w:tcW w:w="462" w:type="pct"/>
                  <w:vMerge w:val="continue"/>
                  <w:tcBorders>
                    <w:tl2br w:val="nil"/>
                    <w:tr2bl w:val="nil"/>
                  </w:tcBorders>
                  <w:shd w:val="clear" w:color="auto" w:fill="auto"/>
                  <w:vAlign w:val="center"/>
                </w:tcPr>
                <w:p w14:paraId="5B37E124">
                  <w:pPr>
                    <w:jc w:val="center"/>
                    <w:rPr>
                      <w:color w:val="auto"/>
                    </w:rPr>
                  </w:pPr>
                </w:p>
              </w:tc>
              <w:tc>
                <w:tcPr>
                  <w:tcW w:w="487" w:type="pct"/>
                  <w:tcBorders>
                    <w:tl2br w:val="nil"/>
                    <w:tr2bl w:val="nil"/>
                  </w:tcBorders>
                  <w:shd w:val="clear" w:color="auto" w:fill="auto"/>
                  <w:vAlign w:val="center"/>
                </w:tcPr>
                <w:p w14:paraId="4D426C26">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三级吸收塔废水</w:t>
                  </w:r>
                </w:p>
              </w:tc>
              <w:tc>
                <w:tcPr>
                  <w:tcW w:w="657" w:type="pct"/>
                  <w:tcBorders>
                    <w:tl2br w:val="nil"/>
                    <w:tr2bl w:val="nil"/>
                  </w:tcBorders>
                  <w:shd w:val="clear" w:color="auto" w:fill="auto"/>
                  <w:vAlign w:val="center"/>
                </w:tcPr>
                <w:p w14:paraId="7A3D255A">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20544.46</w:t>
                  </w:r>
                </w:p>
              </w:tc>
              <w:tc>
                <w:tcPr>
                  <w:tcW w:w="699" w:type="pct"/>
                  <w:vMerge w:val="continue"/>
                  <w:tcBorders>
                    <w:tl2br w:val="nil"/>
                    <w:tr2bl w:val="nil"/>
                  </w:tcBorders>
                  <w:shd w:val="clear" w:color="auto" w:fill="auto"/>
                  <w:vAlign w:val="center"/>
                </w:tcPr>
                <w:p w14:paraId="2818B864">
                  <w:pPr>
                    <w:jc w:val="center"/>
                    <w:rPr>
                      <w:rFonts w:hint="default" w:ascii="Times New Roman" w:hAnsi="Times New Roman" w:eastAsia="宋体" w:cs="Times New Roman"/>
                      <w:color w:val="auto"/>
                      <w:sz w:val="21"/>
                      <w:szCs w:val="21"/>
                      <w:lang w:val="en-US" w:eastAsia="zh-CN" w:bidi="ar-SA"/>
                    </w:rPr>
                  </w:pPr>
                </w:p>
              </w:tc>
              <w:tc>
                <w:tcPr>
                  <w:tcW w:w="1059" w:type="pct"/>
                  <w:vMerge w:val="continue"/>
                  <w:tcBorders>
                    <w:tl2br w:val="nil"/>
                    <w:tr2bl w:val="nil"/>
                  </w:tcBorders>
                  <w:shd w:val="clear" w:color="auto" w:fill="auto"/>
                  <w:vAlign w:val="center"/>
                </w:tcPr>
                <w:p w14:paraId="589D5C47">
                  <w:pPr>
                    <w:jc w:val="center"/>
                    <w:rPr>
                      <w:rFonts w:hint="default" w:ascii="Times New Roman" w:hAnsi="Times New Roman" w:eastAsia="宋体" w:cs="Times New Roman"/>
                      <w:color w:val="auto"/>
                      <w:sz w:val="21"/>
                      <w:szCs w:val="21"/>
                      <w:lang w:val="en-US" w:eastAsia="zh-CN" w:bidi="ar-SA"/>
                    </w:rPr>
                  </w:pPr>
                </w:p>
              </w:tc>
              <w:tc>
                <w:tcPr>
                  <w:tcW w:w="848" w:type="pct"/>
                  <w:vMerge w:val="continue"/>
                  <w:tcBorders>
                    <w:tl2br w:val="nil"/>
                    <w:tr2bl w:val="nil"/>
                  </w:tcBorders>
                  <w:shd w:val="clear" w:color="auto" w:fill="auto"/>
                  <w:vAlign w:val="center"/>
                </w:tcPr>
                <w:p w14:paraId="548CF7D6">
                  <w:pPr>
                    <w:jc w:val="center"/>
                    <w:rPr>
                      <w:rFonts w:hint="default" w:ascii="Times New Roman" w:hAnsi="Times New Roman" w:eastAsia="宋体" w:cs="Times New Roman"/>
                      <w:color w:val="auto"/>
                      <w:sz w:val="21"/>
                      <w:szCs w:val="21"/>
                      <w:lang w:val="en-US" w:eastAsia="zh-CN" w:bidi="ar-SA"/>
                    </w:rPr>
                  </w:pPr>
                </w:p>
              </w:tc>
              <w:tc>
                <w:tcPr>
                  <w:tcW w:w="503" w:type="pct"/>
                  <w:vMerge w:val="continue"/>
                  <w:tcBorders>
                    <w:tl2br w:val="nil"/>
                    <w:tr2bl w:val="nil"/>
                  </w:tcBorders>
                  <w:shd w:val="clear" w:color="auto" w:fill="auto"/>
                  <w:vAlign w:val="center"/>
                </w:tcPr>
                <w:p w14:paraId="4A32250F">
                  <w:pPr>
                    <w:jc w:val="center"/>
                    <w:rPr>
                      <w:rFonts w:hint="default" w:ascii="Times New Roman" w:hAnsi="Times New Roman" w:eastAsia="宋体" w:cs="Times New Roman"/>
                      <w:color w:val="auto"/>
                      <w:sz w:val="21"/>
                      <w:szCs w:val="21"/>
                      <w:lang w:val="en-US" w:eastAsia="zh-CN" w:bidi="ar-SA"/>
                    </w:rPr>
                  </w:pPr>
                </w:p>
              </w:tc>
            </w:tr>
            <w:tr w14:paraId="550D48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4" w:hRule="atLeast"/>
              </w:trPr>
              <w:tc>
                <w:tcPr>
                  <w:tcW w:w="279" w:type="pct"/>
                  <w:vMerge w:val="continue"/>
                  <w:tcBorders>
                    <w:tl2br w:val="nil"/>
                    <w:tr2bl w:val="nil"/>
                  </w:tcBorders>
                  <w:shd w:val="clear" w:color="auto" w:fill="auto"/>
                  <w:vAlign w:val="center"/>
                </w:tcPr>
                <w:p w14:paraId="695E0278">
                  <w:pPr>
                    <w:jc w:val="center"/>
                    <w:rPr>
                      <w:rFonts w:hint="default" w:ascii="Times New Roman" w:hAnsi="Times New Roman" w:eastAsia="宋体" w:cs="Times New Roman"/>
                      <w:color w:val="auto"/>
                      <w:sz w:val="21"/>
                      <w:szCs w:val="21"/>
                      <w:lang w:val="en-US" w:eastAsia="zh-CN" w:bidi="ar-SA"/>
                    </w:rPr>
                  </w:pPr>
                </w:p>
              </w:tc>
              <w:tc>
                <w:tcPr>
                  <w:tcW w:w="462" w:type="pct"/>
                  <w:vMerge w:val="continue"/>
                  <w:tcBorders>
                    <w:tl2br w:val="nil"/>
                    <w:tr2bl w:val="nil"/>
                  </w:tcBorders>
                  <w:shd w:val="clear" w:color="auto" w:fill="auto"/>
                  <w:vAlign w:val="center"/>
                </w:tcPr>
                <w:p w14:paraId="4392B75E">
                  <w:pPr>
                    <w:jc w:val="center"/>
                    <w:rPr>
                      <w:rFonts w:hint="default" w:ascii="Times New Roman" w:hAnsi="Times New Roman" w:eastAsia="宋体" w:cs="Times New Roman"/>
                      <w:color w:val="auto"/>
                      <w:sz w:val="21"/>
                      <w:szCs w:val="21"/>
                      <w:lang w:val="en-US" w:eastAsia="zh-CN" w:bidi="ar-SA"/>
                    </w:rPr>
                  </w:pPr>
                </w:p>
              </w:tc>
              <w:tc>
                <w:tcPr>
                  <w:tcW w:w="487" w:type="pct"/>
                  <w:tcBorders>
                    <w:tl2br w:val="nil"/>
                    <w:tr2bl w:val="nil"/>
                  </w:tcBorders>
                  <w:shd w:val="clear" w:color="auto" w:fill="auto"/>
                  <w:vAlign w:val="center"/>
                </w:tcPr>
                <w:p w14:paraId="037787AC">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废渣洗涤水</w:t>
                  </w:r>
                </w:p>
              </w:tc>
              <w:tc>
                <w:tcPr>
                  <w:tcW w:w="657" w:type="pct"/>
                  <w:tcBorders>
                    <w:tl2br w:val="nil"/>
                    <w:tr2bl w:val="nil"/>
                  </w:tcBorders>
                  <w:shd w:val="clear" w:color="auto" w:fill="auto"/>
                  <w:vAlign w:val="center"/>
                </w:tcPr>
                <w:p w14:paraId="532C6FE3">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6020.52</w:t>
                  </w:r>
                </w:p>
              </w:tc>
              <w:tc>
                <w:tcPr>
                  <w:tcW w:w="699" w:type="pct"/>
                  <w:vMerge w:val="continue"/>
                  <w:tcBorders>
                    <w:tl2br w:val="nil"/>
                    <w:tr2bl w:val="nil"/>
                  </w:tcBorders>
                  <w:shd w:val="clear" w:color="auto" w:fill="auto"/>
                  <w:vAlign w:val="center"/>
                </w:tcPr>
                <w:p w14:paraId="4ACD5479">
                  <w:pPr>
                    <w:jc w:val="center"/>
                    <w:rPr>
                      <w:rFonts w:hint="default" w:ascii="Times New Roman" w:hAnsi="Times New Roman" w:eastAsia="宋体" w:cs="Times New Roman"/>
                      <w:color w:val="auto"/>
                      <w:sz w:val="21"/>
                      <w:szCs w:val="21"/>
                      <w:lang w:val="en-US" w:eastAsia="zh-CN" w:bidi="ar-SA"/>
                    </w:rPr>
                  </w:pPr>
                </w:p>
              </w:tc>
              <w:tc>
                <w:tcPr>
                  <w:tcW w:w="1059" w:type="pct"/>
                  <w:vMerge w:val="continue"/>
                  <w:tcBorders>
                    <w:tl2br w:val="nil"/>
                    <w:tr2bl w:val="nil"/>
                  </w:tcBorders>
                  <w:shd w:val="clear" w:color="auto" w:fill="auto"/>
                  <w:vAlign w:val="center"/>
                </w:tcPr>
                <w:p w14:paraId="4F9B1D1E">
                  <w:pPr>
                    <w:jc w:val="center"/>
                    <w:rPr>
                      <w:rFonts w:hint="default" w:ascii="Times New Roman" w:hAnsi="Times New Roman" w:eastAsia="宋体" w:cs="Times New Roman"/>
                      <w:color w:val="auto"/>
                      <w:sz w:val="21"/>
                      <w:szCs w:val="21"/>
                      <w:lang w:val="en-US" w:eastAsia="zh-CN" w:bidi="ar-SA"/>
                    </w:rPr>
                  </w:pPr>
                </w:p>
              </w:tc>
              <w:tc>
                <w:tcPr>
                  <w:tcW w:w="848" w:type="pct"/>
                  <w:vMerge w:val="continue"/>
                  <w:tcBorders>
                    <w:tl2br w:val="nil"/>
                    <w:tr2bl w:val="nil"/>
                  </w:tcBorders>
                  <w:shd w:val="clear" w:color="auto" w:fill="auto"/>
                  <w:vAlign w:val="center"/>
                </w:tcPr>
                <w:p w14:paraId="5771CC23">
                  <w:pPr>
                    <w:jc w:val="center"/>
                    <w:rPr>
                      <w:rFonts w:hint="default" w:ascii="Times New Roman" w:hAnsi="Times New Roman" w:eastAsia="宋体" w:cs="Times New Roman"/>
                      <w:color w:val="auto"/>
                      <w:sz w:val="21"/>
                      <w:szCs w:val="21"/>
                      <w:lang w:val="en-US" w:eastAsia="zh-CN" w:bidi="ar-SA"/>
                    </w:rPr>
                  </w:pPr>
                </w:p>
              </w:tc>
              <w:tc>
                <w:tcPr>
                  <w:tcW w:w="503" w:type="pct"/>
                  <w:vMerge w:val="continue"/>
                  <w:tcBorders>
                    <w:tl2br w:val="nil"/>
                    <w:tr2bl w:val="nil"/>
                  </w:tcBorders>
                  <w:shd w:val="clear" w:color="auto" w:fill="auto"/>
                  <w:vAlign w:val="center"/>
                </w:tcPr>
                <w:p w14:paraId="6063CCE6">
                  <w:pPr>
                    <w:jc w:val="center"/>
                    <w:rPr>
                      <w:rFonts w:hint="default" w:ascii="Times New Roman" w:hAnsi="Times New Roman" w:eastAsia="宋体" w:cs="Times New Roman"/>
                      <w:color w:val="auto"/>
                      <w:sz w:val="21"/>
                      <w:szCs w:val="21"/>
                      <w:lang w:val="en-US" w:eastAsia="zh-CN" w:bidi="ar-SA"/>
                    </w:rPr>
                  </w:pPr>
                </w:p>
              </w:tc>
            </w:tr>
            <w:tr w14:paraId="08B32F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9" w:type="pct"/>
                  <w:vMerge w:val="continue"/>
                  <w:tcBorders>
                    <w:tl2br w:val="nil"/>
                    <w:tr2bl w:val="nil"/>
                  </w:tcBorders>
                  <w:shd w:val="clear" w:color="auto" w:fill="auto"/>
                  <w:vAlign w:val="center"/>
                </w:tcPr>
                <w:p w14:paraId="26D13DEE">
                  <w:pPr>
                    <w:jc w:val="center"/>
                    <w:rPr>
                      <w:rFonts w:hint="default" w:ascii="Times New Roman" w:hAnsi="Times New Roman" w:eastAsia="宋体" w:cs="Times New Roman"/>
                      <w:color w:val="auto"/>
                      <w:sz w:val="21"/>
                      <w:szCs w:val="21"/>
                      <w:lang w:val="en-US" w:eastAsia="zh-CN" w:bidi="ar-SA"/>
                    </w:rPr>
                  </w:pPr>
                </w:p>
              </w:tc>
              <w:tc>
                <w:tcPr>
                  <w:tcW w:w="949" w:type="pct"/>
                  <w:gridSpan w:val="2"/>
                  <w:tcBorders>
                    <w:tl2br w:val="nil"/>
                    <w:tr2bl w:val="nil"/>
                  </w:tcBorders>
                  <w:shd w:val="clear" w:color="auto" w:fill="auto"/>
                  <w:vAlign w:val="center"/>
                </w:tcPr>
                <w:p w14:paraId="014EC2C9">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车间清洁废水</w:t>
                  </w:r>
                </w:p>
              </w:tc>
              <w:tc>
                <w:tcPr>
                  <w:tcW w:w="1357" w:type="pct"/>
                  <w:gridSpan w:val="2"/>
                  <w:tcBorders>
                    <w:tl2br w:val="nil"/>
                    <w:tr2bl w:val="nil"/>
                  </w:tcBorders>
                  <w:shd w:val="clear" w:color="auto" w:fill="auto"/>
                  <w:vAlign w:val="center"/>
                </w:tcPr>
                <w:p w14:paraId="78D81066">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270</w:t>
                  </w:r>
                </w:p>
              </w:tc>
              <w:tc>
                <w:tcPr>
                  <w:tcW w:w="1059" w:type="pct"/>
                  <w:tcBorders>
                    <w:tl2br w:val="nil"/>
                    <w:tr2bl w:val="nil"/>
                  </w:tcBorders>
                  <w:shd w:val="clear" w:color="auto" w:fill="auto"/>
                  <w:vAlign w:val="center"/>
                </w:tcPr>
                <w:p w14:paraId="389406CC">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SS：220mg/ L</w:t>
                  </w:r>
                </w:p>
                <w:p w14:paraId="06314EE2">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pH:6~9</w:t>
                  </w:r>
                </w:p>
              </w:tc>
              <w:tc>
                <w:tcPr>
                  <w:tcW w:w="848" w:type="pct"/>
                  <w:tcBorders>
                    <w:tl2br w:val="nil"/>
                    <w:tr2bl w:val="nil"/>
                  </w:tcBorders>
                  <w:shd w:val="clear" w:color="auto" w:fill="auto"/>
                  <w:vAlign w:val="center"/>
                </w:tcPr>
                <w:p w14:paraId="5710E263">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 w:val="21"/>
                      <w:szCs w:val="21"/>
                      <w:lang w:val="en-US" w:eastAsia="zh-CN" w:bidi="ar-SA"/>
                    </w:rPr>
                    <w:t>270</w:t>
                  </w:r>
                </w:p>
              </w:tc>
              <w:tc>
                <w:tcPr>
                  <w:tcW w:w="503" w:type="pct"/>
                  <w:vMerge w:val="restart"/>
                  <w:tcBorders>
                    <w:tl2br w:val="nil"/>
                    <w:tr2bl w:val="nil"/>
                  </w:tcBorders>
                  <w:shd w:val="clear" w:color="auto" w:fill="auto"/>
                  <w:vAlign w:val="center"/>
                </w:tcPr>
                <w:p w14:paraId="681D0824">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园区污水处理厂</w:t>
                  </w:r>
                </w:p>
              </w:tc>
            </w:tr>
            <w:tr w14:paraId="78EBB3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279" w:type="pct"/>
                  <w:vMerge w:val="continue"/>
                  <w:tcBorders>
                    <w:tl2br w:val="nil"/>
                    <w:tr2bl w:val="nil"/>
                  </w:tcBorders>
                  <w:shd w:val="clear" w:color="auto" w:fill="auto"/>
                  <w:vAlign w:val="center"/>
                </w:tcPr>
                <w:p w14:paraId="7FB88E0D">
                  <w:pPr>
                    <w:jc w:val="center"/>
                    <w:rPr>
                      <w:rFonts w:hint="default" w:ascii="Times New Roman" w:hAnsi="Times New Roman" w:eastAsia="宋体" w:cs="Times New Roman"/>
                      <w:color w:val="auto"/>
                      <w:sz w:val="21"/>
                      <w:szCs w:val="21"/>
                      <w:lang w:val="en-US" w:eastAsia="zh-CN" w:bidi="ar-SA"/>
                    </w:rPr>
                  </w:pPr>
                </w:p>
              </w:tc>
              <w:tc>
                <w:tcPr>
                  <w:tcW w:w="949" w:type="pct"/>
                  <w:gridSpan w:val="2"/>
                  <w:tcBorders>
                    <w:tl2br w:val="nil"/>
                    <w:tr2bl w:val="nil"/>
                  </w:tcBorders>
                  <w:shd w:val="clear" w:color="auto" w:fill="auto"/>
                  <w:vAlign w:val="center"/>
                </w:tcPr>
                <w:p w14:paraId="06C40666">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锅炉排污</w:t>
                  </w:r>
                </w:p>
              </w:tc>
              <w:tc>
                <w:tcPr>
                  <w:tcW w:w="1357" w:type="pct"/>
                  <w:gridSpan w:val="2"/>
                  <w:tcBorders>
                    <w:tl2br w:val="nil"/>
                    <w:tr2bl w:val="nil"/>
                  </w:tcBorders>
                  <w:shd w:val="clear" w:color="auto" w:fill="auto"/>
                  <w:vAlign w:val="center"/>
                </w:tcPr>
                <w:p w14:paraId="0AA16317">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1296</w:t>
                  </w:r>
                </w:p>
              </w:tc>
              <w:tc>
                <w:tcPr>
                  <w:tcW w:w="1059" w:type="pct"/>
                  <w:tcBorders>
                    <w:tl2br w:val="nil"/>
                    <w:tr2bl w:val="nil"/>
                  </w:tcBorders>
                  <w:shd w:val="clear" w:color="auto" w:fill="auto"/>
                  <w:vAlign w:val="center"/>
                </w:tcPr>
                <w:p w14:paraId="16F1352D">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SS：220mg/ L</w:t>
                  </w:r>
                </w:p>
                <w:p w14:paraId="63C4BCEA">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COD：50mg/ L</w:t>
                  </w:r>
                </w:p>
                <w:p w14:paraId="1B8C6A5F">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含盐量：1000 mg/ L</w:t>
                  </w:r>
                </w:p>
              </w:tc>
              <w:tc>
                <w:tcPr>
                  <w:tcW w:w="848" w:type="pct"/>
                  <w:tcBorders>
                    <w:tl2br w:val="nil"/>
                    <w:tr2bl w:val="nil"/>
                  </w:tcBorders>
                  <w:shd w:val="clear" w:color="auto" w:fill="auto"/>
                  <w:vAlign w:val="center"/>
                </w:tcPr>
                <w:p w14:paraId="4DF6EF64">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SS：0.29</w:t>
                  </w:r>
                </w:p>
                <w:p w14:paraId="1307E415">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COD：0.065</w:t>
                  </w:r>
                </w:p>
                <w:p w14:paraId="5B355498">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含盐量：1.296</w:t>
                  </w:r>
                </w:p>
              </w:tc>
              <w:tc>
                <w:tcPr>
                  <w:tcW w:w="503" w:type="pct"/>
                  <w:vMerge w:val="continue"/>
                  <w:tcBorders>
                    <w:tl2br w:val="nil"/>
                    <w:tr2bl w:val="nil"/>
                  </w:tcBorders>
                  <w:shd w:val="clear" w:color="auto" w:fill="auto"/>
                  <w:vAlign w:val="center"/>
                </w:tcPr>
                <w:p w14:paraId="08006A3C">
                  <w:pPr>
                    <w:jc w:val="center"/>
                    <w:rPr>
                      <w:rFonts w:hint="default" w:ascii="Times New Roman" w:hAnsi="Times New Roman" w:eastAsia="宋体" w:cs="Times New Roman"/>
                      <w:color w:val="auto"/>
                      <w:sz w:val="21"/>
                      <w:szCs w:val="21"/>
                      <w:lang w:val="en-US" w:eastAsia="zh-CN" w:bidi="ar-SA"/>
                    </w:rPr>
                  </w:pPr>
                </w:p>
              </w:tc>
            </w:tr>
            <w:tr w14:paraId="79C6FD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279" w:type="pct"/>
                  <w:vMerge w:val="continue"/>
                  <w:tcBorders>
                    <w:tl2br w:val="nil"/>
                    <w:tr2bl w:val="nil"/>
                  </w:tcBorders>
                  <w:shd w:val="clear" w:color="auto" w:fill="auto"/>
                  <w:vAlign w:val="center"/>
                </w:tcPr>
                <w:p w14:paraId="27CEA733">
                  <w:pPr>
                    <w:jc w:val="center"/>
                    <w:rPr>
                      <w:rFonts w:hint="default" w:ascii="Times New Roman" w:hAnsi="Times New Roman" w:eastAsia="宋体" w:cs="Times New Roman"/>
                      <w:color w:val="auto"/>
                      <w:sz w:val="21"/>
                      <w:szCs w:val="21"/>
                      <w:lang w:val="en-US" w:eastAsia="zh-CN" w:bidi="ar-SA"/>
                    </w:rPr>
                  </w:pPr>
                </w:p>
              </w:tc>
              <w:tc>
                <w:tcPr>
                  <w:tcW w:w="949" w:type="pct"/>
                  <w:gridSpan w:val="2"/>
                  <w:tcBorders>
                    <w:tl2br w:val="nil"/>
                    <w:tr2bl w:val="nil"/>
                  </w:tcBorders>
                  <w:shd w:val="clear" w:color="auto" w:fill="auto"/>
                  <w:vAlign w:val="center"/>
                </w:tcPr>
                <w:p w14:paraId="2278C358">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生活污水</w:t>
                  </w:r>
                </w:p>
              </w:tc>
              <w:tc>
                <w:tcPr>
                  <w:tcW w:w="1357" w:type="pct"/>
                  <w:gridSpan w:val="2"/>
                  <w:tcBorders>
                    <w:tl2br w:val="nil"/>
                    <w:tr2bl w:val="nil"/>
                  </w:tcBorders>
                  <w:shd w:val="clear" w:color="auto" w:fill="auto"/>
                  <w:vAlign w:val="center"/>
                </w:tcPr>
                <w:p w14:paraId="3F24A1B1">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259.2</w:t>
                  </w:r>
                </w:p>
              </w:tc>
              <w:tc>
                <w:tcPr>
                  <w:tcW w:w="1059" w:type="pct"/>
                  <w:tcBorders>
                    <w:tl2br w:val="nil"/>
                    <w:tr2bl w:val="nil"/>
                  </w:tcBorders>
                  <w:shd w:val="clear" w:color="auto" w:fill="auto"/>
                  <w:vAlign w:val="center"/>
                </w:tcPr>
                <w:p w14:paraId="7BF9D01C">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COD：400mg/ L</w:t>
                  </w:r>
                </w:p>
                <w:p w14:paraId="472E8C00">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BOD</w:t>
                  </w:r>
                  <w:r>
                    <w:rPr>
                      <w:rFonts w:hint="default" w:ascii="Times New Roman" w:hAnsi="Times New Roman" w:eastAsia="宋体" w:cs="Times New Roman"/>
                      <w:color w:val="auto"/>
                      <w:sz w:val="21"/>
                      <w:szCs w:val="21"/>
                      <w:vertAlign w:val="subscript"/>
                      <w:lang w:val="en-US" w:eastAsia="zh-CN" w:bidi="ar-SA"/>
                    </w:rPr>
                    <w:t>5</w:t>
                  </w:r>
                  <w:r>
                    <w:rPr>
                      <w:rFonts w:hint="default" w:ascii="Times New Roman" w:hAnsi="Times New Roman" w:eastAsia="宋体" w:cs="Times New Roman"/>
                      <w:color w:val="auto"/>
                      <w:sz w:val="21"/>
                      <w:szCs w:val="21"/>
                      <w:lang w:val="en-US" w:eastAsia="zh-CN" w:bidi="ar-SA"/>
                    </w:rPr>
                    <w:t>：200mg/ L</w:t>
                  </w:r>
                </w:p>
                <w:p w14:paraId="7E587D77">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NH</w:t>
                  </w:r>
                  <w:r>
                    <w:rPr>
                      <w:rFonts w:hint="default" w:ascii="Times New Roman" w:hAnsi="Times New Roman" w:eastAsia="宋体" w:cs="Times New Roman"/>
                      <w:color w:val="auto"/>
                      <w:sz w:val="21"/>
                      <w:szCs w:val="21"/>
                      <w:vertAlign w:val="subscript"/>
                      <w:lang w:val="en-US" w:eastAsia="zh-CN" w:bidi="ar-SA"/>
                    </w:rPr>
                    <w:t>3</w:t>
                  </w:r>
                  <w:r>
                    <w:rPr>
                      <w:rFonts w:hint="default" w:ascii="Times New Roman" w:hAnsi="Times New Roman" w:eastAsia="宋体" w:cs="Times New Roman"/>
                      <w:color w:val="auto"/>
                      <w:sz w:val="21"/>
                      <w:szCs w:val="21"/>
                      <w:lang w:val="en-US" w:eastAsia="zh-CN" w:bidi="ar-SA"/>
                    </w:rPr>
                    <w:t>-N：25mg/ L</w:t>
                  </w:r>
                </w:p>
                <w:p w14:paraId="5D05EC42">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SS：220mg/ L</w:t>
                  </w:r>
                </w:p>
              </w:tc>
              <w:tc>
                <w:tcPr>
                  <w:tcW w:w="848" w:type="pct"/>
                  <w:tcBorders>
                    <w:tl2br w:val="nil"/>
                    <w:tr2bl w:val="nil"/>
                  </w:tcBorders>
                  <w:shd w:val="clear" w:color="auto" w:fill="auto"/>
                  <w:vAlign w:val="center"/>
                </w:tcPr>
                <w:p w14:paraId="5274AF43">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COD：0.1</w:t>
                  </w:r>
                </w:p>
                <w:p w14:paraId="20E1CE68">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BOD</w:t>
                  </w:r>
                  <w:r>
                    <w:rPr>
                      <w:rFonts w:hint="default" w:ascii="Times New Roman" w:hAnsi="Times New Roman" w:eastAsia="宋体" w:cs="Times New Roman"/>
                      <w:color w:val="auto"/>
                      <w:sz w:val="21"/>
                      <w:szCs w:val="21"/>
                      <w:vertAlign w:val="subscript"/>
                      <w:lang w:val="en-US" w:eastAsia="zh-CN" w:bidi="ar-SA"/>
                    </w:rPr>
                    <w:t>5</w:t>
                  </w:r>
                  <w:r>
                    <w:rPr>
                      <w:rFonts w:hint="default" w:ascii="Times New Roman" w:hAnsi="Times New Roman" w:eastAsia="宋体" w:cs="Times New Roman"/>
                      <w:color w:val="auto"/>
                      <w:sz w:val="21"/>
                      <w:szCs w:val="21"/>
                      <w:lang w:val="en-US" w:eastAsia="zh-CN" w:bidi="ar-SA"/>
                    </w:rPr>
                    <w:t>：0.052</w:t>
                  </w:r>
                </w:p>
                <w:p w14:paraId="2848A4A7">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NH</w:t>
                  </w:r>
                  <w:r>
                    <w:rPr>
                      <w:rFonts w:hint="default" w:ascii="Times New Roman" w:hAnsi="Times New Roman" w:eastAsia="宋体" w:cs="Times New Roman"/>
                      <w:color w:val="auto"/>
                      <w:sz w:val="21"/>
                      <w:szCs w:val="21"/>
                      <w:vertAlign w:val="subscript"/>
                      <w:lang w:val="en-US" w:eastAsia="zh-CN" w:bidi="ar-SA"/>
                    </w:rPr>
                    <w:t>3</w:t>
                  </w:r>
                  <w:r>
                    <w:rPr>
                      <w:rFonts w:hint="default" w:ascii="Times New Roman" w:hAnsi="Times New Roman" w:eastAsia="宋体" w:cs="Times New Roman"/>
                      <w:color w:val="auto"/>
                      <w:sz w:val="21"/>
                      <w:szCs w:val="21"/>
                      <w:lang w:val="en-US" w:eastAsia="zh-CN" w:bidi="ar-SA"/>
                    </w:rPr>
                    <w:t>-N：0.00648</w:t>
                  </w:r>
                </w:p>
                <w:p w14:paraId="38C71C5B">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SS：0.057</w:t>
                  </w:r>
                </w:p>
              </w:tc>
              <w:tc>
                <w:tcPr>
                  <w:tcW w:w="503" w:type="pct"/>
                  <w:vMerge w:val="continue"/>
                  <w:tcBorders>
                    <w:tl2br w:val="nil"/>
                    <w:tr2bl w:val="nil"/>
                  </w:tcBorders>
                  <w:shd w:val="clear" w:color="auto" w:fill="auto"/>
                  <w:vAlign w:val="center"/>
                </w:tcPr>
                <w:p w14:paraId="5DAC4436">
                  <w:pPr>
                    <w:jc w:val="center"/>
                    <w:rPr>
                      <w:rFonts w:hint="default" w:ascii="Times New Roman" w:hAnsi="Times New Roman" w:eastAsia="宋体" w:cs="Times New Roman"/>
                      <w:color w:val="auto"/>
                      <w:sz w:val="21"/>
                      <w:szCs w:val="21"/>
                      <w:lang w:val="en-US" w:eastAsia="zh-CN" w:bidi="ar-SA"/>
                    </w:rPr>
                  </w:pPr>
                </w:p>
              </w:tc>
            </w:tr>
            <w:tr w14:paraId="30A90F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279" w:type="pct"/>
                  <w:vMerge w:val="restart"/>
                  <w:tcBorders>
                    <w:tl2br w:val="nil"/>
                    <w:tr2bl w:val="nil"/>
                  </w:tcBorders>
                  <w:shd w:val="clear" w:color="auto" w:fill="auto"/>
                  <w:vAlign w:val="center"/>
                </w:tcPr>
                <w:p w14:paraId="1CB3C80B">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固体废物</w:t>
                  </w:r>
                </w:p>
              </w:tc>
              <w:tc>
                <w:tcPr>
                  <w:tcW w:w="4720" w:type="pct"/>
                  <w:gridSpan w:val="7"/>
                  <w:tcBorders>
                    <w:tl2br w:val="nil"/>
                    <w:tr2bl w:val="nil"/>
                  </w:tcBorders>
                  <w:shd w:val="clear" w:color="auto" w:fill="auto"/>
                  <w:vAlign w:val="center"/>
                </w:tcPr>
                <w:p w14:paraId="49D2565C">
                  <w:pPr>
                    <w:jc w:val="center"/>
                    <w:rPr>
                      <w:rFonts w:hint="default" w:ascii="Times New Roman" w:hAnsi="Times New Roman" w:eastAsia="宋体" w:cs="Times New Roman"/>
                      <w:color w:val="auto"/>
                      <w:sz w:val="21"/>
                      <w:szCs w:val="21"/>
                      <w:lang w:val="en-US" w:eastAsia="zh-CN" w:bidi="ar-SA"/>
                    </w:rPr>
                  </w:pPr>
                  <w:r>
                    <w:rPr>
                      <w:rFonts w:ascii="Times New Roman" w:hAnsi="Times New Roman" w:cs="Times New Roman"/>
                      <w:color w:val="auto"/>
                    </w:rPr>
                    <w:t>一期</w:t>
                  </w:r>
                  <w:r>
                    <w:rPr>
                      <w:rFonts w:hint="eastAsia" w:ascii="Times New Roman" w:hAnsi="Times New Roman" w:cs="Times New Roman"/>
                      <w:color w:val="auto"/>
                      <w:lang w:val="en-US" w:eastAsia="zh-CN"/>
                    </w:rPr>
                    <w:t>工程</w:t>
                  </w:r>
                  <w:r>
                    <w:rPr>
                      <w:rFonts w:ascii="Times New Roman" w:hAnsi="Times New Roman" w:cs="Times New Roman"/>
                      <w:color w:val="auto"/>
                    </w:rPr>
                    <w:t>新增15人</w:t>
                  </w:r>
                  <w:r>
                    <w:rPr>
                      <w:rFonts w:hint="eastAsia" w:ascii="Times New Roman" w:hAnsi="Times New Roman" w:cs="Times New Roman"/>
                      <w:color w:val="auto"/>
                      <w:lang w:eastAsia="zh-CN"/>
                    </w:rPr>
                    <w:t>，</w:t>
                  </w:r>
                  <w:r>
                    <w:rPr>
                      <w:rFonts w:ascii="Times New Roman" w:hAnsi="Times New Roman" w:cs="Times New Roman"/>
                      <w:color w:val="auto"/>
                      <w:sz w:val="21"/>
                      <w:szCs w:val="21"/>
                      <w:lang w:bidi="ar-SA"/>
                    </w:rPr>
                    <w:t>生活垃圾</w:t>
                  </w:r>
                  <w:r>
                    <w:rPr>
                      <w:rFonts w:hint="eastAsia" w:ascii="Times New Roman" w:hAnsi="Times New Roman" w:cs="Times New Roman"/>
                      <w:color w:val="auto"/>
                      <w:sz w:val="21"/>
                      <w:szCs w:val="21"/>
                      <w:lang w:val="en-US" w:eastAsia="zh-CN" w:bidi="ar-SA"/>
                    </w:rPr>
                    <w:t>产生量为</w:t>
                  </w:r>
                  <w:r>
                    <w:rPr>
                      <w:rFonts w:hint="default" w:ascii="Times New Roman" w:hAnsi="Times New Roman" w:eastAsia="宋体" w:cs="Times New Roman"/>
                      <w:color w:val="auto"/>
                      <w:sz w:val="21"/>
                      <w:szCs w:val="21"/>
                      <w:lang w:val="en-US" w:eastAsia="zh-CN" w:bidi="ar-SA"/>
                    </w:rPr>
                    <w:t>2.03t/a</w:t>
                  </w:r>
                  <w:r>
                    <w:rPr>
                      <w:rFonts w:hint="eastAsia" w:ascii="Times New Roman" w:hAnsi="Times New Roman" w:cs="Times New Roman"/>
                      <w:color w:val="auto"/>
                      <w:sz w:val="21"/>
                      <w:szCs w:val="21"/>
                      <w:lang w:val="en-US" w:eastAsia="zh-CN" w:bidi="ar-SA"/>
                    </w:rPr>
                    <w:t>。</w:t>
                  </w:r>
                </w:p>
              </w:tc>
            </w:tr>
            <w:tr w14:paraId="301577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9" w:type="pct"/>
                  <w:vMerge w:val="continue"/>
                  <w:tcBorders>
                    <w:tl2br w:val="nil"/>
                    <w:tr2bl w:val="nil"/>
                  </w:tcBorders>
                  <w:vAlign w:val="center"/>
                </w:tcPr>
                <w:p w14:paraId="71732544">
                  <w:pPr>
                    <w:rPr>
                      <w:rFonts w:ascii="Times New Roman" w:hAnsi="Times New Roman" w:cs="Times New Roman"/>
                      <w:color w:val="auto"/>
                      <w:sz w:val="21"/>
                      <w:szCs w:val="21"/>
                      <w:lang w:bidi="ar-SA"/>
                    </w:rPr>
                  </w:pPr>
                </w:p>
              </w:tc>
              <w:tc>
                <w:tcPr>
                  <w:tcW w:w="4720" w:type="pct"/>
                  <w:gridSpan w:val="7"/>
                  <w:tcBorders>
                    <w:tl2br w:val="nil"/>
                    <w:tr2bl w:val="nil"/>
                  </w:tcBorders>
                  <w:shd w:val="clear" w:color="auto" w:fill="auto"/>
                  <w:vAlign w:val="center"/>
                </w:tcPr>
                <w:p w14:paraId="3C2159EB">
                  <w:pPr>
                    <w:jc w:val="center"/>
                    <w:rPr>
                      <w:rFonts w:hint="eastAsia" w:ascii="Times New Roman" w:hAnsi="Times New Roman" w:eastAsia="宋体" w:cs="Times New Roman"/>
                      <w:color w:val="auto"/>
                      <w:sz w:val="21"/>
                      <w:szCs w:val="21"/>
                      <w:lang w:eastAsia="zh-CN" w:bidi="ar-SA"/>
                    </w:rPr>
                  </w:pPr>
                  <w:r>
                    <w:rPr>
                      <w:rFonts w:ascii="Times New Roman" w:hAnsi="Times New Roman" w:cs="Times New Roman"/>
                      <w:color w:val="auto"/>
                    </w:rPr>
                    <w:t>固体聚合氯化铝生产</w:t>
                  </w:r>
                  <w:r>
                    <w:rPr>
                      <w:rFonts w:hint="eastAsia" w:ascii="Times New Roman" w:hAnsi="Times New Roman" w:cs="Times New Roman"/>
                      <w:color w:val="auto"/>
                      <w:lang w:val="en-US" w:eastAsia="zh-CN"/>
                    </w:rPr>
                    <w:t>线</w:t>
                  </w:r>
                  <w:r>
                    <w:rPr>
                      <w:rFonts w:ascii="Times New Roman" w:hAnsi="Times New Roman" w:cs="Times New Roman"/>
                      <w:color w:val="auto"/>
                      <w:lang w:val="zh-CN" w:bidi="zh-CN"/>
                    </w:rPr>
                    <w:t>一期工程</w:t>
                  </w:r>
                  <w:r>
                    <w:rPr>
                      <w:rFonts w:ascii="Times New Roman" w:hAnsi="Times New Roman" w:cs="Times New Roman"/>
                      <w:color w:val="auto"/>
                    </w:rPr>
                    <w:t>洗涤废渣</w:t>
                  </w:r>
                  <w:r>
                    <w:rPr>
                      <w:rFonts w:ascii="Times New Roman" w:hAnsi="Times New Roman" w:cs="Times New Roman"/>
                      <w:color w:val="auto"/>
                      <w:lang w:val="zh-CN" w:bidi="zh-CN"/>
                    </w:rPr>
                    <w:t>产生量</w:t>
                  </w:r>
                  <w:r>
                    <w:rPr>
                      <w:rFonts w:ascii="Times New Roman" w:hAnsi="Times New Roman" w:cs="Times New Roman"/>
                      <w:color w:val="auto"/>
                    </w:rPr>
                    <w:t>约为15795.54t/</w:t>
                  </w:r>
                  <w:r>
                    <w:rPr>
                      <w:rFonts w:ascii="Times New Roman" w:hAnsi="Times New Roman" w:cs="Times New Roman"/>
                      <w:color w:val="auto"/>
                      <w:spacing w:val="-1"/>
                    </w:rPr>
                    <w:t>a</w:t>
                  </w:r>
                  <w:r>
                    <w:rPr>
                      <w:rFonts w:hint="eastAsia" w:ascii="Times New Roman" w:hAnsi="Times New Roman" w:cs="Times New Roman"/>
                      <w:color w:val="auto"/>
                      <w:spacing w:val="-1"/>
                      <w:lang w:eastAsia="zh-CN"/>
                    </w:rPr>
                    <w:t>。</w:t>
                  </w:r>
                </w:p>
              </w:tc>
            </w:tr>
          </w:tbl>
          <w:p w14:paraId="7E2D6A08">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以上数据均来源于</w:t>
            </w:r>
            <w:r>
              <w:rPr>
                <w:rFonts w:hint="default" w:ascii="Times New Roman" w:hAnsi="Times New Roman" w:eastAsia="宋体" w:cs="Times New Roman"/>
                <w:color w:val="auto"/>
                <w:sz w:val="24"/>
                <w:szCs w:val="24"/>
                <w:lang w:val="en-US" w:eastAsia="zh-CN"/>
              </w:rPr>
              <w:t>利用粉煤灰生产聚合氯化铝技改扩建项目</w:t>
            </w:r>
            <w:r>
              <w:rPr>
                <w:rFonts w:hint="eastAsia" w:ascii="Times New Roman" w:hAnsi="Times New Roman" w:eastAsia="宋体" w:cs="Times New Roman"/>
                <w:color w:val="auto"/>
                <w:sz w:val="24"/>
                <w:szCs w:val="24"/>
                <w:lang w:val="en-US" w:eastAsia="zh-CN"/>
              </w:rPr>
              <w:t>环境影响评价报告书。</w:t>
            </w:r>
          </w:p>
          <w:p w14:paraId="3CD64B27">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auto"/>
                <w:sz w:val="24"/>
                <w:szCs w:val="24"/>
                <w:lang w:val="en-US" w:eastAsia="zh-CN"/>
              </w:rPr>
            </w:pPr>
          </w:p>
          <w:p w14:paraId="6F361CBC">
            <w:pPr>
              <w:keepNext w:val="0"/>
              <w:keepLines/>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auto"/>
                <w:sz w:val="24"/>
                <w:szCs w:val="24"/>
                <w:lang w:val="en-US" w:eastAsia="zh-CN"/>
              </w:rPr>
            </w:pPr>
          </w:p>
          <w:p w14:paraId="17C00649">
            <w:pPr>
              <w:pStyle w:val="2"/>
              <w:rPr>
                <w:rFonts w:hint="eastAsia" w:cs="Times New Roman"/>
                <w:color w:val="auto"/>
                <w:sz w:val="24"/>
                <w:szCs w:val="24"/>
                <w:lang w:val="en-US" w:eastAsia="zh-CN"/>
              </w:rPr>
            </w:pPr>
          </w:p>
          <w:p w14:paraId="1A5D5D97">
            <w:pPr>
              <w:rPr>
                <w:rFonts w:hint="eastAsia" w:cs="Times New Roman"/>
                <w:color w:val="auto"/>
                <w:sz w:val="24"/>
                <w:szCs w:val="24"/>
                <w:lang w:val="en-US" w:eastAsia="zh-CN"/>
              </w:rPr>
            </w:pPr>
          </w:p>
          <w:p w14:paraId="47EC2AA1">
            <w:pPr>
              <w:pStyle w:val="2"/>
              <w:rPr>
                <w:rFonts w:hint="eastAsia" w:cs="Times New Roman"/>
                <w:color w:val="auto"/>
                <w:sz w:val="24"/>
                <w:szCs w:val="24"/>
                <w:lang w:val="en-US" w:eastAsia="zh-CN"/>
              </w:rPr>
            </w:pPr>
          </w:p>
          <w:p w14:paraId="7306318C">
            <w:pPr>
              <w:keepNext w:val="0"/>
              <w:keepLines/>
              <w:pageBreakBefore w:val="0"/>
              <w:widowControl w:val="0"/>
              <w:kinsoku/>
              <w:wordWrap/>
              <w:overflowPunct/>
              <w:topLinePunct w:val="0"/>
              <w:autoSpaceDE/>
              <w:autoSpaceDN/>
              <w:bidi w:val="0"/>
              <w:adjustRightInd/>
              <w:snapToGrid/>
              <w:spacing w:line="360" w:lineRule="auto"/>
              <w:jc w:val="both"/>
              <w:textAlignment w:val="auto"/>
              <w:rPr>
                <w:rFonts w:hint="eastAsia" w:cs="Times New Roman"/>
                <w:color w:val="auto"/>
                <w:sz w:val="24"/>
                <w:szCs w:val="24"/>
                <w:lang w:val="en-US" w:eastAsia="zh-CN"/>
              </w:rPr>
            </w:pPr>
          </w:p>
          <w:p w14:paraId="6A6345B9">
            <w:pPr>
              <w:keepNext w:val="0"/>
              <w:keepLines/>
              <w:pageBreakBefore w:val="0"/>
              <w:widowControl w:val="0"/>
              <w:kinsoku/>
              <w:wordWrap/>
              <w:overflowPunct/>
              <w:topLinePunct w:val="0"/>
              <w:autoSpaceDE/>
              <w:autoSpaceDN/>
              <w:bidi w:val="0"/>
              <w:adjustRightInd/>
              <w:snapToGrid/>
              <w:spacing w:line="360" w:lineRule="auto"/>
              <w:jc w:val="both"/>
              <w:textAlignment w:val="auto"/>
              <w:rPr>
                <w:rFonts w:hint="eastAsia" w:cs="Times New Roman"/>
                <w:color w:val="auto"/>
                <w:sz w:val="24"/>
                <w:szCs w:val="24"/>
                <w:lang w:val="en-US" w:eastAsia="zh-CN"/>
              </w:rPr>
            </w:pPr>
          </w:p>
          <w:p w14:paraId="5214E3CE">
            <w:pPr>
              <w:keepNext w:val="0"/>
              <w:keepLines/>
              <w:pageBreakBefore w:val="0"/>
              <w:widowControl w:val="0"/>
              <w:kinsoku/>
              <w:wordWrap/>
              <w:overflowPunct/>
              <w:topLinePunct w:val="0"/>
              <w:autoSpaceDE/>
              <w:autoSpaceDN/>
              <w:bidi w:val="0"/>
              <w:adjustRightInd/>
              <w:snapToGrid/>
              <w:spacing w:line="360" w:lineRule="auto"/>
              <w:jc w:val="both"/>
              <w:textAlignment w:val="auto"/>
              <w:rPr>
                <w:rFonts w:hint="eastAsia" w:cs="Times New Roman"/>
                <w:color w:val="auto"/>
                <w:sz w:val="24"/>
                <w:szCs w:val="24"/>
                <w:lang w:val="en-US" w:eastAsia="zh-CN"/>
              </w:rPr>
            </w:pPr>
          </w:p>
          <w:p w14:paraId="15209460">
            <w:pPr>
              <w:keepNext w:val="0"/>
              <w:keepLines/>
              <w:pageBreakBefore w:val="0"/>
              <w:widowControl w:val="0"/>
              <w:kinsoku/>
              <w:wordWrap/>
              <w:overflowPunct/>
              <w:topLinePunct w:val="0"/>
              <w:autoSpaceDE/>
              <w:autoSpaceDN/>
              <w:bidi w:val="0"/>
              <w:adjustRightInd/>
              <w:snapToGrid/>
              <w:spacing w:line="360" w:lineRule="auto"/>
              <w:jc w:val="both"/>
              <w:textAlignment w:val="auto"/>
              <w:rPr>
                <w:rFonts w:hint="eastAsia" w:cs="Times New Roman"/>
                <w:color w:val="auto"/>
                <w:sz w:val="24"/>
                <w:szCs w:val="24"/>
                <w:lang w:val="en-US" w:eastAsia="zh-CN"/>
              </w:rPr>
            </w:pPr>
          </w:p>
          <w:p w14:paraId="3A15F80C">
            <w:pPr>
              <w:keepNext w:val="0"/>
              <w:keepLines/>
              <w:pageBreakBefore w:val="0"/>
              <w:widowControl w:val="0"/>
              <w:kinsoku/>
              <w:wordWrap/>
              <w:overflowPunct/>
              <w:topLinePunct w:val="0"/>
              <w:autoSpaceDE/>
              <w:autoSpaceDN/>
              <w:bidi w:val="0"/>
              <w:adjustRightInd/>
              <w:snapToGrid/>
              <w:spacing w:line="360" w:lineRule="auto"/>
              <w:jc w:val="both"/>
              <w:textAlignment w:val="auto"/>
              <w:rPr>
                <w:rFonts w:hint="eastAsia" w:cs="Times New Roman"/>
                <w:color w:val="auto"/>
                <w:sz w:val="24"/>
                <w:szCs w:val="24"/>
                <w:lang w:val="en-US" w:eastAsia="zh-CN"/>
              </w:rPr>
            </w:pPr>
          </w:p>
          <w:p w14:paraId="3C0DE078">
            <w:pPr>
              <w:keepNext w:val="0"/>
              <w:keepLines/>
              <w:pageBreakBefore w:val="0"/>
              <w:widowControl w:val="0"/>
              <w:kinsoku/>
              <w:wordWrap/>
              <w:overflowPunct/>
              <w:topLinePunct w:val="0"/>
              <w:autoSpaceDE/>
              <w:autoSpaceDN/>
              <w:bidi w:val="0"/>
              <w:adjustRightInd/>
              <w:snapToGrid/>
              <w:spacing w:line="360" w:lineRule="auto"/>
              <w:jc w:val="both"/>
              <w:textAlignment w:val="auto"/>
              <w:rPr>
                <w:rFonts w:hint="eastAsia" w:cs="Times New Roman"/>
                <w:color w:val="auto"/>
                <w:sz w:val="24"/>
                <w:szCs w:val="24"/>
                <w:lang w:val="en-US" w:eastAsia="zh-CN"/>
              </w:rPr>
            </w:pPr>
          </w:p>
          <w:p w14:paraId="67FDCC4B">
            <w:pPr>
              <w:keepNext w:val="0"/>
              <w:keepLines/>
              <w:pageBreakBefore w:val="0"/>
              <w:widowControl w:val="0"/>
              <w:kinsoku/>
              <w:wordWrap/>
              <w:overflowPunct/>
              <w:topLinePunct w:val="0"/>
              <w:autoSpaceDE/>
              <w:autoSpaceDN/>
              <w:bidi w:val="0"/>
              <w:adjustRightInd/>
              <w:snapToGrid/>
              <w:spacing w:line="360" w:lineRule="auto"/>
              <w:jc w:val="both"/>
              <w:textAlignment w:val="auto"/>
              <w:rPr>
                <w:rFonts w:hint="eastAsia" w:cs="Times New Roman"/>
                <w:color w:val="auto"/>
                <w:sz w:val="24"/>
                <w:szCs w:val="24"/>
                <w:lang w:val="en-US" w:eastAsia="zh-CN"/>
              </w:rPr>
            </w:pPr>
          </w:p>
          <w:p w14:paraId="659C29AA">
            <w:pPr>
              <w:keepNext w:val="0"/>
              <w:keepLines/>
              <w:pageBreakBefore w:val="0"/>
              <w:widowControl w:val="0"/>
              <w:kinsoku/>
              <w:wordWrap/>
              <w:overflowPunct/>
              <w:topLinePunct w:val="0"/>
              <w:autoSpaceDE/>
              <w:autoSpaceDN/>
              <w:bidi w:val="0"/>
              <w:adjustRightInd/>
              <w:snapToGrid/>
              <w:spacing w:line="360" w:lineRule="auto"/>
              <w:jc w:val="both"/>
              <w:textAlignment w:val="auto"/>
              <w:rPr>
                <w:rFonts w:hint="eastAsia" w:cs="Times New Roman"/>
                <w:color w:val="auto"/>
                <w:sz w:val="24"/>
                <w:szCs w:val="24"/>
                <w:lang w:val="en-US" w:eastAsia="zh-CN"/>
              </w:rPr>
            </w:pPr>
          </w:p>
          <w:p w14:paraId="23D51A26">
            <w:pPr>
              <w:keepNext w:val="0"/>
              <w:keepLines/>
              <w:pageBreakBefore w:val="0"/>
              <w:widowControl w:val="0"/>
              <w:kinsoku/>
              <w:wordWrap/>
              <w:overflowPunct/>
              <w:topLinePunct w:val="0"/>
              <w:autoSpaceDE/>
              <w:autoSpaceDN/>
              <w:bidi w:val="0"/>
              <w:adjustRightInd/>
              <w:snapToGrid/>
              <w:spacing w:line="360" w:lineRule="auto"/>
              <w:jc w:val="both"/>
              <w:textAlignment w:val="auto"/>
              <w:rPr>
                <w:rFonts w:hint="eastAsia" w:cs="Times New Roman"/>
                <w:color w:val="auto"/>
                <w:sz w:val="24"/>
                <w:szCs w:val="24"/>
                <w:lang w:val="en-US" w:eastAsia="zh-CN"/>
              </w:rPr>
            </w:pPr>
          </w:p>
          <w:p w14:paraId="5C9205A9">
            <w:pPr>
              <w:keepNext w:val="0"/>
              <w:keepLines/>
              <w:pageBreakBefore w:val="0"/>
              <w:widowControl w:val="0"/>
              <w:kinsoku/>
              <w:wordWrap/>
              <w:overflowPunct/>
              <w:topLinePunct w:val="0"/>
              <w:autoSpaceDE/>
              <w:autoSpaceDN/>
              <w:bidi w:val="0"/>
              <w:adjustRightInd/>
              <w:snapToGrid/>
              <w:spacing w:line="360" w:lineRule="auto"/>
              <w:jc w:val="both"/>
              <w:textAlignment w:val="auto"/>
              <w:rPr>
                <w:rFonts w:hint="eastAsia" w:cs="Times New Roman"/>
                <w:color w:val="auto"/>
                <w:sz w:val="24"/>
                <w:szCs w:val="24"/>
                <w:lang w:val="en-US" w:eastAsia="zh-CN"/>
              </w:rPr>
            </w:pPr>
          </w:p>
          <w:p w14:paraId="39C7B258">
            <w:pPr>
              <w:keepNext w:val="0"/>
              <w:keepLines/>
              <w:pageBreakBefore w:val="0"/>
              <w:widowControl w:val="0"/>
              <w:kinsoku/>
              <w:wordWrap/>
              <w:overflowPunct/>
              <w:topLinePunct w:val="0"/>
              <w:autoSpaceDE/>
              <w:autoSpaceDN/>
              <w:bidi w:val="0"/>
              <w:adjustRightInd/>
              <w:snapToGrid/>
              <w:spacing w:line="360" w:lineRule="auto"/>
              <w:jc w:val="both"/>
              <w:textAlignment w:val="auto"/>
              <w:rPr>
                <w:rFonts w:hint="eastAsia" w:cs="Times New Roman"/>
                <w:color w:val="auto"/>
                <w:sz w:val="24"/>
                <w:szCs w:val="24"/>
                <w:lang w:val="en-US" w:eastAsia="zh-CN"/>
              </w:rPr>
            </w:pPr>
          </w:p>
          <w:p w14:paraId="48FD6D11">
            <w:pPr>
              <w:keepNext w:val="0"/>
              <w:keepLines/>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olor w:val="auto"/>
                <w:sz w:val="24"/>
                <w:szCs w:val="24"/>
                <w:lang w:val="en-US" w:eastAsia="zh-CN"/>
              </w:rPr>
            </w:pPr>
          </w:p>
        </w:tc>
      </w:tr>
    </w:tbl>
    <w:p w14:paraId="22F3D74A">
      <w:pPr>
        <w:pStyle w:val="9"/>
        <w:spacing w:line="240" w:lineRule="auto"/>
        <w:jc w:val="both"/>
        <w:outlineLvl w:val="0"/>
        <w:rPr>
          <w:rFonts w:hint="eastAsia" w:ascii="黑体" w:hAnsi="黑体" w:eastAsia="黑体" w:cs="Times New Roman"/>
          <w:snapToGrid w:val="0"/>
          <w:color w:val="auto"/>
          <w:sz w:val="30"/>
          <w:szCs w:val="30"/>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72ABBB9C">
      <w:pPr>
        <w:pStyle w:val="9"/>
        <w:spacing w:line="240" w:lineRule="auto"/>
        <w:jc w:val="center"/>
        <w:outlineLvl w:val="0"/>
        <w:rPr>
          <w:color w:val="auto"/>
        </w:rPr>
      </w:pPr>
      <w:r>
        <w:rPr>
          <w:color w:val="auto"/>
          <w:sz w:val="24"/>
        </w:rPr>
        <mc:AlternateContent>
          <mc:Choice Requires="wps">
            <w:drawing>
              <wp:anchor distT="0" distB="0" distL="114300" distR="114300" simplePos="0" relativeHeight="251667456" behindDoc="0" locked="0" layoutInCell="1" allowOverlap="1">
                <wp:simplePos x="0" y="0"/>
                <wp:positionH relativeFrom="column">
                  <wp:posOffset>-142875</wp:posOffset>
                </wp:positionH>
                <wp:positionV relativeFrom="paragraph">
                  <wp:posOffset>2624455</wp:posOffset>
                </wp:positionV>
                <wp:extent cx="1844040" cy="1482090"/>
                <wp:effectExtent l="4445" t="4445" r="18415" b="18415"/>
                <wp:wrapNone/>
                <wp:docPr id="13" name="文本框 13"/>
                <wp:cNvGraphicFramePr/>
                <a:graphic xmlns:a="http://schemas.openxmlformats.org/drawingml/2006/main">
                  <a:graphicData uri="http://schemas.microsoft.com/office/word/2010/wordprocessingShape">
                    <wps:wsp>
                      <wps:cNvSpPr txBox="1"/>
                      <wps:spPr>
                        <a:xfrm>
                          <a:off x="0" y="0"/>
                          <a:ext cx="1844040" cy="14820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ACA128A">
                            <w:pPr>
                              <w:jc w:val="center"/>
                              <w:rPr>
                                <w:rFonts w:hint="default" w:cs="Times New Roman"/>
                                <w:b/>
                                <w:bCs/>
                                <w:color w:val="auto"/>
                                <w:sz w:val="24"/>
                                <w:szCs w:val="24"/>
                                <w:lang w:val="en-US" w:eastAsia="zh-CN"/>
                              </w:rPr>
                            </w:pPr>
                            <w:r>
                              <w:rPr>
                                <w:rFonts w:hint="eastAsia" w:cs="Times New Roman"/>
                                <w:b/>
                                <w:bCs/>
                                <w:color w:val="auto"/>
                                <w:sz w:val="24"/>
                                <w:szCs w:val="24"/>
                                <w:lang w:val="en-US" w:eastAsia="zh-CN"/>
                              </w:rPr>
                              <w:t>本次技改内容：</w:t>
                            </w:r>
                          </w:p>
                          <w:p w14:paraId="01F48E95">
                            <w:pPr>
                              <w:jc w:val="center"/>
                              <w:rPr>
                                <w:rFonts w:hint="default"/>
                                <w:lang w:val="en-US" w:eastAsia="zh-CN"/>
                              </w:rPr>
                            </w:pPr>
                            <w:r>
                              <w:rPr>
                                <w:rFonts w:hint="eastAsia" w:cs="Times New Roman"/>
                                <w:b/>
                                <w:bCs/>
                                <w:color w:val="auto"/>
                                <w:sz w:val="24"/>
                                <w:szCs w:val="24"/>
                                <w:lang w:val="en-US" w:eastAsia="zh-CN"/>
                              </w:rPr>
                              <w:t>新建一台MBZ直接式燃煤热风炉，为喷雾干燥工段提供</w:t>
                            </w:r>
                            <w:r>
                              <w:rPr>
                                <w:rFonts w:hint="default" w:ascii="Times New Roman" w:hAnsi="Times New Roman" w:eastAsia="宋体" w:cs="Times New Roman"/>
                                <w:b/>
                                <w:bCs/>
                                <w:color w:val="auto"/>
                                <w:sz w:val="24"/>
                                <w:szCs w:val="24"/>
                                <w:lang w:val="en-US" w:eastAsia="zh-CN"/>
                              </w:rPr>
                              <w:t>热空气</w:t>
                            </w:r>
                            <w:r>
                              <w:rPr>
                                <w:rFonts w:hint="eastAsia" w:cs="Times New Roman"/>
                                <w:b/>
                                <w:bCs/>
                                <w:color w:val="auto"/>
                                <w:sz w:val="24"/>
                                <w:szCs w:val="24"/>
                                <w:lang w:val="en-US" w:eastAsia="zh-CN"/>
                              </w:rPr>
                              <w:t>，保留原有喷雾干燥塔自动热风炉（焦炉煤气），作为备用热源。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5pt;margin-top:206.65pt;height:116.7pt;width:145.2pt;z-index:251667456;mso-width-relative:page;mso-height-relative:page;" fillcolor="#FFFFFF [3201]" filled="t" stroked="t" coordsize="21600,21600" o:gfxdata="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7hvh&#10;KdgAAAALAQAADwAAAAAAAAABACAAAAAiAAAAZHJzL2Rvd25yZXYueG1sUEsBAhQAFAAAAAgAh07i&#10;QEPTl0lbAgAAugQAAA4AAAAAAAAAAQAgAAAAJwEAAGRycy9lMm9Eb2MueG1sUEsFBgAAAAAGAAYA&#10;WQEAAPQFAAAAAA==&#10;">
                <v:fill on="t" focussize="0,0"/>
                <v:stroke weight="0.5pt" color="#000000 [3204]" joinstyle="round"/>
                <v:imagedata o:title=""/>
                <o:lock v:ext="edit" aspectratio="f"/>
                <v:textbox>
                  <w:txbxContent>
                    <w:p w14:paraId="4ACA128A">
                      <w:pPr>
                        <w:jc w:val="center"/>
                        <w:rPr>
                          <w:rFonts w:hint="default" w:cs="Times New Roman"/>
                          <w:b/>
                          <w:bCs/>
                          <w:color w:val="auto"/>
                          <w:sz w:val="24"/>
                          <w:szCs w:val="24"/>
                          <w:lang w:val="en-US" w:eastAsia="zh-CN"/>
                        </w:rPr>
                      </w:pPr>
                      <w:r>
                        <w:rPr>
                          <w:rFonts w:hint="eastAsia" w:cs="Times New Roman"/>
                          <w:b/>
                          <w:bCs/>
                          <w:color w:val="auto"/>
                          <w:sz w:val="24"/>
                          <w:szCs w:val="24"/>
                          <w:lang w:val="en-US" w:eastAsia="zh-CN"/>
                        </w:rPr>
                        <w:t>本次技改内容：</w:t>
                      </w:r>
                    </w:p>
                    <w:p w14:paraId="01F48E95">
                      <w:pPr>
                        <w:jc w:val="center"/>
                        <w:rPr>
                          <w:rFonts w:hint="default"/>
                          <w:lang w:val="en-US" w:eastAsia="zh-CN"/>
                        </w:rPr>
                      </w:pPr>
                      <w:r>
                        <w:rPr>
                          <w:rFonts w:hint="eastAsia" w:cs="Times New Roman"/>
                          <w:b/>
                          <w:bCs/>
                          <w:color w:val="auto"/>
                          <w:sz w:val="24"/>
                          <w:szCs w:val="24"/>
                          <w:lang w:val="en-US" w:eastAsia="zh-CN"/>
                        </w:rPr>
                        <w:t>新建一台MBZ直接式燃煤热风炉，为喷雾干燥工段提供</w:t>
                      </w:r>
                      <w:r>
                        <w:rPr>
                          <w:rFonts w:hint="default" w:ascii="Times New Roman" w:hAnsi="Times New Roman" w:eastAsia="宋体" w:cs="Times New Roman"/>
                          <w:b/>
                          <w:bCs/>
                          <w:color w:val="auto"/>
                          <w:sz w:val="24"/>
                          <w:szCs w:val="24"/>
                          <w:lang w:val="en-US" w:eastAsia="zh-CN"/>
                        </w:rPr>
                        <w:t>热空气</w:t>
                      </w:r>
                      <w:r>
                        <w:rPr>
                          <w:rFonts w:hint="eastAsia" w:cs="Times New Roman"/>
                          <w:b/>
                          <w:bCs/>
                          <w:color w:val="auto"/>
                          <w:sz w:val="24"/>
                          <w:szCs w:val="24"/>
                          <w:lang w:val="en-US" w:eastAsia="zh-CN"/>
                        </w:rPr>
                        <w:t>，保留原有喷雾干燥塔自动热风炉（焦炉煤气），作为备用热源。</w:t>
                      </w:r>
                    </w:p>
                  </w:txbxContent>
                </v:textbox>
              </v:shape>
            </w:pict>
          </mc:Fallback>
        </mc:AlternateContent>
      </w:r>
      <w:r>
        <w:rPr>
          <w:color w:val="auto"/>
          <w:sz w:val="24"/>
        </w:rPr>
        <mc:AlternateContent>
          <mc:Choice Requires="wps">
            <w:drawing>
              <wp:anchor distT="0" distB="0" distL="114300" distR="114300" simplePos="0" relativeHeight="251668480" behindDoc="0" locked="0" layoutInCell="1" allowOverlap="1">
                <wp:simplePos x="0" y="0"/>
                <wp:positionH relativeFrom="column">
                  <wp:posOffset>1673860</wp:posOffset>
                </wp:positionH>
                <wp:positionV relativeFrom="paragraph">
                  <wp:posOffset>3419475</wp:posOffset>
                </wp:positionV>
                <wp:extent cx="1134110" cy="0"/>
                <wp:effectExtent l="0" t="50800" r="8890" b="63500"/>
                <wp:wrapNone/>
                <wp:docPr id="14" name="直接箭头连接符 14"/>
                <wp:cNvGraphicFramePr/>
                <a:graphic xmlns:a="http://schemas.openxmlformats.org/drawingml/2006/main">
                  <a:graphicData uri="http://schemas.microsoft.com/office/word/2010/wordprocessingShape">
                    <wps:wsp>
                      <wps:cNvCnPr>
                        <a:stCxn id="10" idx="1"/>
                      </wps:cNvCnPr>
                      <wps:spPr>
                        <a:xfrm flipH="1">
                          <a:off x="2588260" y="4562475"/>
                          <a:ext cx="1134110" cy="0"/>
                        </a:xfrm>
                        <a:prstGeom prst="straightConnector1">
                          <a:avLst/>
                        </a:prstGeom>
                        <a:ln>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31.8pt;margin-top:269.25pt;height:0pt;width:89.3pt;z-index:251668480;mso-width-relative:page;mso-height-relative:page;" filled="f" stroked="t" coordsize="21600,21600" o:gfxdata="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QcBnEdcAAAALAQAADwAAAAAAAAABACAAAAAiAAAAZHJzL2Rvd25yZXYueG1sUEsBAhQA&#10;FAAAAAgAh07iQJ7OId4sAgAAHgQAAA4AAAAAAAAAAQAgAAAAJgEAAGRycy9lMm9Eb2MueG1sUEsF&#10;BgAAAAAGAAYAWQEAAMQFAAAAAA==&#10;">
                <v:fill on="f" focussize="0,0"/>
                <v:stroke weight="1pt" color="#7030A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2807970</wp:posOffset>
                </wp:positionH>
                <wp:positionV relativeFrom="paragraph">
                  <wp:posOffset>3072765</wp:posOffset>
                </wp:positionV>
                <wp:extent cx="311785" cy="692785"/>
                <wp:effectExtent l="6350" t="6350" r="24765" b="24765"/>
                <wp:wrapNone/>
                <wp:docPr id="10" name="矩形 10"/>
                <wp:cNvGraphicFramePr/>
                <a:graphic xmlns:a="http://schemas.openxmlformats.org/drawingml/2006/main">
                  <a:graphicData uri="http://schemas.microsoft.com/office/word/2010/wordprocessingShape">
                    <wps:wsp>
                      <wps:cNvSpPr/>
                      <wps:spPr>
                        <a:xfrm>
                          <a:off x="3739515" y="4215765"/>
                          <a:ext cx="311785" cy="692785"/>
                        </a:xfrm>
                        <a:prstGeom prst="rect">
                          <a:avLst/>
                        </a:prstGeom>
                        <a:noFill/>
                        <a:ln w="12700" cmpd="sng">
                          <a:solidFill>
                            <a:srgbClr val="7030A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1.1pt;margin-top:241.95pt;height:54.55pt;width:24.55pt;z-index:251666432;v-text-anchor:middle;mso-width-relative:page;mso-height-relative:page;" filled="f" stroked="t" coordsize="21600,21600" o:gfxdata="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jzA4stoAAAALAQAADwAAAAAAAAABACAAAAAi&#10;AAAAZHJzL2Rvd25yZXYueG1sUEsBAhQAFAAAAAgAh07iQDsJcrt6AgAA2gQAAA4AAAAAAAAAAQAg&#10;AAAAKQEAAGRycy9lMm9Eb2MueG1sUEsFBgAAAAAGAAYAWQEAABUGAAAAAA==&#10;">
                <v:fill on="f" focussize="0,0"/>
                <v:stroke weight="1pt" color="#7030A0 [3204]" miterlimit="8" joinstyle="miter" dashstyle="dashDot"/>
                <v:imagedata o:title=""/>
                <o:lock v:ext="edit" aspectratio="f"/>
              </v:rect>
            </w:pict>
          </mc:Fallback>
        </mc:AlternateContent>
      </w:r>
      <w:r>
        <w:rPr>
          <w:color w:val="auto"/>
          <w:sz w:val="24"/>
        </w:rPr>
        <mc:AlternateContent>
          <mc:Choice Requires="wps">
            <w:drawing>
              <wp:anchor distT="0" distB="0" distL="114300" distR="114300" simplePos="0" relativeHeight="251665408" behindDoc="0" locked="0" layoutInCell="1" allowOverlap="1">
                <wp:simplePos x="0" y="0"/>
                <wp:positionH relativeFrom="column">
                  <wp:posOffset>7775575</wp:posOffset>
                </wp:positionH>
                <wp:positionV relativeFrom="paragraph">
                  <wp:posOffset>3372485</wp:posOffset>
                </wp:positionV>
                <wp:extent cx="1090930" cy="702945"/>
                <wp:effectExtent l="5080" t="4445" r="8890" b="16510"/>
                <wp:wrapNone/>
                <wp:docPr id="9" name="文本框 9"/>
                <wp:cNvGraphicFramePr/>
                <a:graphic xmlns:a="http://schemas.openxmlformats.org/drawingml/2006/main">
                  <a:graphicData uri="http://schemas.microsoft.com/office/word/2010/wordprocessingShape">
                    <wps:wsp>
                      <wps:cNvSpPr txBox="1"/>
                      <wps:spPr>
                        <a:xfrm>
                          <a:off x="0" y="0"/>
                          <a:ext cx="1090930" cy="7029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3E51120">
                            <w:pPr>
                              <w:jc w:val="center"/>
                              <w:rPr>
                                <w:rFonts w:hint="eastAsia" w:eastAsia="宋体"/>
                                <w:lang w:val="en-US" w:eastAsia="zh-CN"/>
                              </w:rPr>
                            </w:pPr>
                            <w:r>
                              <w:rPr>
                                <w:rFonts w:hint="eastAsia" w:ascii="Times New Roman" w:hAnsi="Times New Roman" w:eastAsia="宋体" w:cs="Times New Roman"/>
                                <w:b/>
                                <w:bCs/>
                                <w:color w:val="auto"/>
                                <w:sz w:val="24"/>
                                <w:szCs w:val="24"/>
                                <w:lang w:val="en-US" w:eastAsia="zh-CN"/>
                              </w:rPr>
                              <w:t>固体</w:t>
                            </w:r>
                            <w:r>
                              <w:rPr>
                                <w:rFonts w:hint="default" w:ascii="Times New Roman" w:hAnsi="Times New Roman" w:eastAsia="宋体" w:cs="Times New Roman"/>
                                <w:b/>
                                <w:bCs/>
                                <w:color w:val="auto"/>
                                <w:sz w:val="24"/>
                                <w:szCs w:val="24"/>
                                <w:lang w:val="en-US" w:eastAsia="zh-CN"/>
                              </w:rPr>
                              <w:t>聚合氯化铝生产</w:t>
                            </w:r>
                            <w:r>
                              <w:rPr>
                                <w:rFonts w:hint="eastAsia" w:ascii="Times New Roman" w:hAnsi="Times New Roman" w:eastAsia="宋体" w:cs="Times New Roman"/>
                                <w:b/>
                                <w:bCs/>
                                <w:color w:val="auto"/>
                                <w:sz w:val="24"/>
                                <w:szCs w:val="24"/>
                                <w:lang w:val="en-US" w:eastAsia="zh-CN"/>
                              </w:rPr>
                              <w:t>工段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2.25pt;margin-top:265.55pt;height:55.35pt;width:85.9pt;z-index:251665408;mso-width-relative:page;mso-height-relative:page;" fillcolor="#FFFFFF [3201]" filled="t" stroked="t" coordsize="21600,21600" o:gfxdata="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lUR41NgA&#10;AAANAQAADwAAAAAAAAABACAAAAAiAAAAZHJzL2Rvd25yZXYueG1sUEsBAhQAFAAAAAgAh07iQDg4&#10;JR5YAgAAtwQAAA4AAAAAAAAAAQAgAAAAJwEAAGRycy9lMm9Eb2MueG1sUEsFBgAAAAAGAAYAWQEA&#10;APEFAAAAAA==&#10;">
                <v:fill on="t" focussize="0,0"/>
                <v:stroke weight="0.5pt" color="#000000 [3204]" joinstyle="round"/>
                <v:imagedata o:title=""/>
                <o:lock v:ext="edit" aspectratio="f"/>
                <v:textbox>
                  <w:txbxContent>
                    <w:p w14:paraId="43E51120">
                      <w:pPr>
                        <w:jc w:val="center"/>
                        <w:rPr>
                          <w:rFonts w:hint="eastAsia" w:eastAsia="宋体"/>
                          <w:lang w:val="en-US" w:eastAsia="zh-CN"/>
                        </w:rPr>
                      </w:pPr>
                      <w:r>
                        <w:rPr>
                          <w:rFonts w:hint="eastAsia" w:ascii="Times New Roman" w:hAnsi="Times New Roman" w:eastAsia="宋体" w:cs="Times New Roman"/>
                          <w:b/>
                          <w:bCs/>
                          <w:color w:val="auto"/>
                          <w:sz w:val="24"/>
                          <w:szCs w:val="24"/>
                          <w:lang w:val="en-US" w:eastAsia="zh-CN"/>
                        </w:rPr>
                        <w:t>固体</w:t>
                      </w:r>
                      <w:r>
                        <w:rPr>
                          <w:rFonts w:hint="default" w:ascii="Times New Roman" w:hAnsi="Times New Roman" w:eastAsia="宋体" w:cs="Times New Roman"/>
                          <w:b/>
                          <w:bCs/>
                          <w:color w:val="auto"/>
                          <w:sz w:val="24"/>
                          <w:szCs w:val="24"/>
                          <w:lang w:val="en-US" w:eastAsia="zh-CN"/>
                        </w:rPr>
                        <w:t>聚合氯化铝生产</w:t>
                      </w:r>
                      <w:r>
                        <w:rPr>
                          <w:rFonts w:hint="eastAsia" w:ascii="Times New Roman" w:hAnsi="Times New Roman" w:eastAsia="宋体" w:cs="Times New Roman"/>
                          <w:b/>
                          <w:bCs/>
                          <w:color w:val="auto"/>
                          <w:sz w:val="24"/>
                          <w:szCs w:val="24"/>
                          <w:lang w:val="en-US" w:eastAsia="zh-CN"/>
                        </w:rPr>
                        <w:t>工段</w:t>
                      </w:r>
                    </w:p>
                  </w:txbxContent>
                </v:textbox>
              </v:shape>
            </w:pict>
          </mc:Fallback>
        </mc:AlternateContent>
      </w:r>
      <w:r>
        <w:rPr>
          <w:color w:val="auto"/>
          <w:sz w:val="24"/>
        </w:rPr>
        <mc:AlternateContent>
          <mc:Choice Requires="wps">
            <w:drawing>
              <wp:anchor distT="0" distB="0" distL="114300" distR="114300" simplePos="0" relativeHeight="251664384" behindDoc="0" locked="0" layoutInCell="1" allowOverlap="1">
                <wp:simplePos x="0" y="0"/>
                <wp:positionH relativeFrom="column">
                  <wp:posOffset>7212330</wp:posOffset>
                </wp:positionH>
                <wp:positionV relativeFrom="paragraph">
                  <wp:posOffset>3710940</wp:posOffset>
                </wp:positionV>
                <wp:extent cx="557530" cy="2540"/>
                <wp:effectExtent l="0" t="48895" r="13970" b="62865"/>
                <wp:wrapNone/>
                <wp:docPr id="8" name="直接箭头连接符 8"/>
                <wp:cNvGraphicFramePr/>
                <a:graphic xmlns:a="http://schemas.openxmlformats.org/drawingml/2006/main">
                  <a:graphicData uri="http://schemas.microsoft.com/office/word/2010/wordprocessingShape">
                    <wps:wsp>
                      <wps:cNvCnPr>
                        <a:stCxn id="6" idx="3"/>
                      </wps:cNvCnPr>
                      <wps:spPr>
                        <a:xfrm>
                          <a:off x="8126730" y="4853940"/>
                          <a:ext cx="557530" cy="2540"/>
                        </a:xfrm>
                        <a:prstGeom prst="straightConnector1">
                          <a:avLst/>
                        </a:prstGeom>
                        <a:ln>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567.9pt;margin-top:292.2pt;height:0.2pt;width:43.9pt;z-index:251664384;mso-width-relative:page;mso-height-relative:page;" filled="f" stroked="t" coordsize="21600,21600" o:gfxdata="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CP2Jm/aAAAADQEAAA8AAAAAAAAAAQAgAAAAIgAAAGRycy9kb3ducmV2LnhtbFBLAQIUABQA&#10;AAAIAIdO4kBDQzl2JwIAABMEAAAOAAAAAAAAAAEAIAAAACkBAABkcnMvZTJvRG9jLnhtbFBLBQYA&#10;AAAABgAGAFkBAADCBQAAAAA=&#10;">
                <v:fill on="f" focussize="0,0"/>
                <v:stroke weight="1pt" color="#00B05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663360" behindDoc="0" locked="0" layoutInCell="1" allowOverlap="1">
                <wp:simplePos x="0" y="0"/>
                <wp:positionH relativeFrom="column">
                  <wp:posOffset>1791335</wp:posOffset>
                </wp:positionH>
                <wp:positionV relativeFrom="paragraph">
                  <wp:posOffset>3190875</wp:posOffset>
                </wp:positionV>
                <wp:extent cx="5420995" cy="1040130"/>
                <wp:effectExtent l="9525" t="9525" r="17780" b="17145"/>
                <wp:wrapNone/>
                <wp:docPr id="6" name="矩形 6"/>
                <wp:cNvGraphicFramePr/>
                <a:graphic xmlns:a="http://schemas.openxmlformats.org/drawingml/2006/main">
                  <a:graphicData uri="http://schemas.microsoft.com/office/word/2010/wordprocessingShape">
                    <wps:wsp>
                      <wps:cNvSpPr/>
                      <wps:spPr>
                        <a:xfrm>
                          <a:off x="0" y="0"/>
                          <a:ext cx="5420995" cy="1040130"/>
                        </a:xfrm>
                        <a:prstGeom prst="rect">
                          <a:avLst/>
                        </a:prstGeom>
                        <a:noFill/>
                        <a:ln w="19050" cmpd="sng">
                          <a:solidFill>
                            <a:srgbClr val="00B05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1.05pt;margin-top:251.25pt;height:81.9pt;width:426.85pt;z-index:251663360;v-text-anchor:middle;mso-width-relative:page;mso-height-relative:page;" filled="f" stroked="t" coordsize="21600,21600" o:gfxdata="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zhowx2QAAAAwBAAAPAAAAAAAAAAEAIAAAACIAAABkcnMvZG93bnJl&#10;di54bWxQSwECFAAUAAAACACHTuJAW/sFHm4CAADOBAAADgAAAAAAAAABACAAAAAoAQAAZHJzL2Uy&#10;b0RvYy54bWxQSwUGAAAAAAYABgBZAQAACAYAAAAA&#10;">
                <v:fill on="f" focussize="0,0"/>
                <v:stroke weight="1.5pt" color="#00B050 [3204]" miterlimit="8" joinstyle="miter" dashstyle="dashDot"/>
                <v:imagedata o:title=""/>
                <o:lock v:ext="edit" aspectratio="f"/>
              </v:rect>
            </w:pict>
          </mc:Fallback>
        </mc:AlternateContent>
      </w:r>
      <w:r>
        <w:rPr>
          <w:color w:val="auto"/>
          <w:sz w:val="24"/>
        </w:rPr>
        <mc:AlternateContent>
          <mc:Choice Requires="wps">
            <w:drawing>
              <wp:anchor distT="0" distB="0" distL="114300" distR="114300" simplePos="0" relativeHeight="251662336" behindDoc="0" locked="0" layoutInCell="1" allowOverlap="1">
                <wp:simplePos x="0" y="0"/>
                <wp:positionH relativeFrom="column">
                  <wp:posOffset>7847965</wp:posOffset>
                </wp:positionH>
                <wp:positionV relativeFrom="paragraph">
                  <wp:posOffset>1202055</wp:posOffset>
                </wp:positionV>
                <wp:extent cx="1090930" cy="702945"/>
                <wp:effectExtent l="5080" t="4445" r="8890" b="16510"/>
                <wp:wrapNone/>
                <wp:docPr id="5" name="文本框 5"/>
                <wp:cNvGraphicFramePr/>
                <a:graphic xmlns:a="http://schemas.openxmlformats.org/drawingml/2006/main">
                  <a:graphicData uri="http://schemas.microsoft.com/office/word/2010/wordprocessingShape">
                    <wps:wsp>
                      <wps:cNvSpPr txBox="1"/>
                      <wps:spPr>
                        <a:xfrm>
                          <a:off x="7082155" y="2310765"/>
                          <a:ext cx="1090930" cy="7029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5FA77CE">
                            <w:pPr>
                              <w:jc w:val="center"/>
                              <w:rPr>
                                <w:rFonts w:hint="eastAsia" w:eastAsia="宋体"/>
                                <w:lang w:val="en-US" w:eastAsia="zh-CN"/>
                              </w:rPr>
                            </w:pPr>
                            <w:r>
                              <w:rPr>
                                <w:rFonts w:hint="eastAsia" w:ascii="Times New Roman" w:hAnsi="Times New Roman" w:eastAsia="宋体" w:cs="Times New Roman"/>
                                <w:b/>
                                <w:bCs/>
                                <w:color w:val="auto"/>
                                <w:sz w:val="24"/>
                                <w:szCs w:val="24"/>
                                <w:lang w:val="en-US" w:eastAsia="zh-CN"/>
                              </w:rPr>
                              <w:t>液体</w:t>
                            </w:r>
                            <w:r>
                              <w:rPr>
                                <w:rFonts w:hint="default" w:ascii="Times New Roman" w:hAnsi="Times New Roman" w:eastAsia="宋体" w:cs="Times New Roman"/>
                                <w:b/>
                                <w:bCs/>
                                <w:color w:val="auto"/>
                                <w:sz w:val="24"/>
                                <w:szCs w:val="24"/>
                                <w:lang w:val="en-US" w:eastAsia="zh-CN"/>
                              </w:rPr>
                              <w:t>聚合氯化铝生产</w:t>
                            </w:r>
                            <w:r>
                              <w:rPr>
                                <w:rFonts w:hint="eastAsia" w:ascii="Times New Roman" w:hAnsi="Times New Roman" w:eastAsia="宋体" w:cs="Times New Roman"/>
                                <w:b/>
                                <w:bCs/>
                                <w:color w:val="auto"/>
                                <w:sz w:val="24"/>
                                <w:szCs w:val="24"/>
                                <w:lang w:val="en-US" w:eastAsia="zh-CN"/>
                              </w:rPr>
                              <w:t>工段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7.95pt;margin-top:94.65pt;height:55.35pt;width:85.9pt;z-index:251662336;mso-width-relative:page;mso-height-relative:page;" fillcolor="#FFFFFF [3201]" filled="t" stroked="t" coordsize="21600,21600" o:gfxdata="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jLEhBtkAAAANAQAADwAAAAAAAAABACAAAAAiAAAAZHJzL2Rvd25yZXYueG1sUEsB&#10;AhQAFAAAAAgAh07iQFh0i25mAgAAwwQAAA4AAAAAAAAAAQAgAAAAKAEAAGRycy9lMm9Eb2MueG1s&#10;UEsFBgAAAAAGAAYAWQEAAAAGAAAAAA==&#10;">
                <v:fill on="t" focussize="0,0"/>
                <v:stroke weight="0.5pt" color="#000000 [3204]" joinstyle="round"/>
                <v:imagedata o:title=""/>
                <o:lock v:ext="edit" aspectratio="f"/>
                <v:textbox>
                  <w:txbxContent>
                    <w:p w14:paraId="05FA77CE">
                      <w:pPr>
                        <w:jc w:val="center"/>
                        <w:rPr>
                          <w:rFonts w:hint="eastAsia" w:eastAsia="宋体"/>
                          <w:lang w:val="en-US" w:eastAsia="zh-CN"/>
                        </w:rPr>
                      </w:pPr>
                      <w:r>
                        <w:rPr>
                          <w:rFonts w:hint="eastAsia" w:ascii="Times New Roman" w:hAnsi="Times New Roman" w:eastAsia="宋体" w:cs="Times New Roman"/>
                          <w:b/>
                          <w:bCs/>
                          <w:color w:val="auto"/>
                          <w:sz w:val="24"/>
                          <w:szCs w:val="24"/>
                          <w:lang w:val="en-US" w:eastAsia="zh-CN"/>
                        </w:rPr>
                        <w:t>液体</w:t>
                      </w:r>
                      <w:r>
                        <w:rPr>
                          <w:rFonts w:hint="default" w:ascii="Times New Roman" w:hAnsi="Times New Roman" w:eastAsia="宋体" w:cs="Times New Roman"/>
                          <w:b/>
                          <w:bCs/>
                          <w:color w:val="auto"/>
                          <w:sz w:val="24"/>
                          <w:szCs w:val="24"/>
                          <w:lang w:val="en-US" w:eastAsia="zh-CN"/>
                        </w:rPr>
                        <w:t>聚合氯化铝生产</w:t>
                      </w:r>
                      <w:r>
                        <w:rPr>
                          <w:rFonts w:hint="eastAsia" w:ascii="Times New Roman" w:hAnsi="Times New Roman" w:eastAsia="宋体" w:cs="Times New Roman"/>
                          <w:b/>
                          <w:bCs/>
                          <w:color w:val="auto"/>
                          <w:sz w:val="24"/>
                          <w:szCs w:val="24"/>
                          <w:lang w:val="en-US" w:eastAsia="zh-CN"/>
                        </w:rPr>
                        <w:t>工段</w:t>
                      </w:r>
                    </w:p>
                  </w:txbxContent>
                </v:textbox>
              </v:shape>
            </w:pict>
          </mc:Fallback>
        </mc:AlternateContent>
      </w:r>
      <w:r>
        <w:rPr>
          <w:color w:val="auto"/>
          <w:sz w:val="24"/>
        </w:rPr>
        <mc:AlternateContent>
          <mc:Choice Requires="wps">
            <w:drawing>
              <wp:anchor distT="0" distB="0" distL="114300" distR="114300" simplePos="0" relativeHeight="251660288" behindDoc="0" locked="0" layoutInCell="1" allowOverlap="1">
                <wp:simplePos x="0" y="0"/>
                <wp:positionH relativeFrom="column">
                  <wp:posOffset>1795145</wp:posOffset>
                </wp:positionH>
                <wp:positionV relativeFrom="paragraph">
                  <wp:posOffset>59690</wp:posOffset>
                </wp:positionV>
                <wp:extent cx="5403850" cy="3065780"/>
                <wp:effectExtent l="9525" t="9525" r="15875" b="10795"/>
                <wp:wrapNone/>
                <wp:docPr id="3" name="矩形 3"/>
                <wp:cNvGraphicFramePr/>
                <a:graphic xmlns:a="http://schemas.openxmlformats.org/drawingml/2006/main">
                  <a:graphicData uri="http://schemas.microsoft.com/office/word/2010/wordprocessingShape">
                    <wps:wsp>
                      <wps:cNvSpPr/>
                      <wps:spPr>
                        <a:xfrm>
                          <a:off x="899795" y="1176655"/>
                          <a:ext cx="5403850" cy="3065780"/>
                        </a:xfrm>
                        <a:prstGeom prst="rect">
                          <a:avLst/>
                        </a:prstGeom>
                        <a:noFill/>
                        <a:ln w="19050" cmpd="sng">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1.35pt;margin-top:4.7pt;height:241.4pt;width:425.5pt;z-index:251660288;v-text-anchor:middle;mso-width-relative:page;mso-height-relative:page;" filled="f" stroked="t" coordsize="21600,21600" o:gfxdata="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Kj3ov1wAAAAoBAAAPAAAAAAAAAAEAIAAAACIAAABk&#10;cnMvZG93bnJldi54bWxQSwECFAAUAAAACACHTuJALQZwQXkCAADZBAAADgAAAAAAAAABACAAAAAm&#10;AQAAZHJzL2Uyb0RvYy54bWxQSwUGAAAAAAYABgBZAQAAEQYAAAAA&#10;">
                <v:fill on="f" focussize="0,0"/>
                <v:stroke weight="1.5pt" color="#FF0000 [3204]" miterlimit="8" joinstyle="miter" dashstyle="dashDot"/>
                <v:imagedata o:title=""/>
                <o:lock v:ext="edit" aspectratio="f"/>
              </v:rect>
            </w:pict>
          </mc:Fallback>
        </mc:AlternateContent>
      </w:r>
      <w:r>
        <w:rPr>
          <w:color w:val="auto"/>
          <w:sz w:val="24"/>
        </w:rPr>
        <mc:AlternateContent>
          <mc:Choice Requires="wps">
            <w:drawing>
              <wp:anchor distT="0" distB="0" distL="114300" distR="114300" simplePos="0" relativeHeight="251661312" behindDoc="0" locked="0" layoutInCell="1" allowOverlap="1">
                <wp:simplePos x="0" y="0"/>
                <wp:positionH relativeFrom="column">
                  <wp:posOffset>7198995</wp:posOffset>
                </wp:positionH>
                <wp:positionV relativeFrom="paragraph">
                  <wp:posOffset>1592580</wp:posOffset>
                </wp:positionV>
                <wp:extent cx="657225" cy="8255"/>
                <wp:effectExtent l="0" t="43815" r="9525" b="62230"/>
                <wp:wrapNone/>
                <wp:docPr id="4" name="直接箭头连接符 4"/>
                <wp:cNvGraphicFramePr/>
                <a:graphic xmlns:a="http://schemas.openxmlformats.org/drawingml/2006/main">
                  <a:graphicData uri="http://schemas.microsoft.com/office/word/2010/wordprocessingShape">
                    <wps:wsp>
                      <wps:cNvCnPr>
                        <a:stCxn id="3" idx="3"/>
                      </wps:cNvCnPr>
                      <wps:spPr>
                        <a:xfrm>
                          <a:off x="6303645" y="2709545"/>
                          <a:ext cx="657225" cy="825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566.85pt;margin-top:125.4pt;height:0.65pt;width:51.75pt;z-index:251661312;mso-width-relative:page;mso-height-relative:page;" filled="f" stroked="t" coordsize="21600,21600" o:gfxdata="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yc9PJ9gAAAANAQAADwAAAAAAAAABACAAAAAiAAAAZHJzL2Rvd25yZXYueG1sUEsBAhQAFAAAAAgA&#10;h07iQDns8CYlAgAAEwQAAA4AAAAAAAAAAQAgAAAAJwEAAGRycy9lMm9Eb2MueG1sUEsFBgAAAAAG&#10;AAYAWQEAAL4FAAAAAA==&#10;">
                <v:fill on="f" focussize="0,0"/>
                <v:stroke weight="1pt" color="#FF0000 [3204]" miterlimit="8" joinstyle="miter" endarrow="open"/>
                <v:imagedata o:title=""/>
                <o:lock v:ext="edit" aspectratio="f"/>
              </v:shape>
            </w:pict>
          </mc:Fallback>
        </mc:AlternateContent>
      </w:r>
      <w:r>
        <w:rPr>
          <w:color w:val="auto"/>
        </w:rPr>
        <w:object>
          <v:shape id="_x0000_i1025" o:spt="75" type="#_x0000_t75" style="height:338.25pt;width:432pt;" o:ole="t" filled="f" o:preferrelative="t" stroked="f" coordsize="21600,21600">
            <v:path/>
            <v:fill on="f" focussize="0,0"/>
            <v:stroke on="f" joinstyle="miter"/>
            <v:imagedata r:id="rId10" o:title=""/>
            <o:lock v:ext="edit" aspectratio="t"/>
            <w10:wrap type="none"/>
            <w10:anchorlock/>
          </v:shape>
          <o:OLEObject Type="Embed" ProgID="Visio.Drawing.15" ShapeID="_x0000_i1025" DrawAspect="Content" ObjectID="_1468075725">
            <o:LockedField>false</o:LockedField>
          </o:OLEObject>
        </w:object>
      </w:r>
    </w:p>
    <w:p w14:paraId="54AB64A9">
      <w:pPr>
        <w:keepNext w:val="0"/>
        <w:keepLines/>
        <w:pageBreakBefore w:val="0"/>
        <w:widowControl w:val="0"/>
        <w:kinsoku/>
        <w:wordWrap/>
        <w:overflowPunct/>
        <w:topLinePunct w:val="0"/>
        <w:autoSpaceDE/>
        <w:autoSpaceDN/>
        <w:bidi w:val="0"/>
        <w:adjustRightInd/>
        <w:snapToGrid/>
        <w:spacing w:line="480" w:lineRule="exact"/>
        <w:ind w:firstLine="0" w:firstLineChars="0"/>
        <w:jc w:val="center"/>
        <w:textAlignment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图2</w:t>
      </w:r>
      <w:r>
        <w:rPr>
          <w:rFonts w:hint="eastAsia" w:ascii="Times New Roman" w:hAnsi="Times New Roman" w:eastAsia="宋体" w:cs="Times New Roman"/>
          <w:b/>
          <w:bCs/>
          <w:color w:val="auto"/>
          <w:sz w:val="24"/>
          <w:szCs w:val="24"/>
          <w:lang w:val="en-US" w:eastAsia="zh-CN"/>
        </w:rPr>
        <w:t xml:space="preserve">-3  </w:t>
      </w:r>
      <w:r>
        <w:rPr>
          <w:rFonts w:hint="default" w:ascii="Times New Roman" w:hAnsi="Times New Roman" w:eastAsia="宋体" w:cs="Times New Roman"/>
          <w:b/>
          <w:bCs/>
          <w:color w:val="auto"/>
          <w:sz w:val="24"/>
          <w:szCs w:val="24"/>
          <w:lang w:val="en-US" w:eastAsia="zh-CN"/>
        </w:rPr>
        <w:t>聚合氯化铝生产工艺及产排污节点图</w:t>
      </w:r>
    </w:p>
    <w:p w14:paraId="484AB6D4">
      <w:pPr>
        <w:jc w:val="center"/>
        <w:rPr>
          <w:color w:val="auto"/>
        </w:rPr>
      </w:pPr>
      <w:r>
        <w:rPr>
          <w:color w:val="auto"/>
        </w:rPr>
        <w:drawing>
          <wp:inline distT="0" distB="0" distL="114300" distR="114300">
            <wp:extent cx="8851900" cy="4838065"/>
            <wp:effectExtent l="0" t="0" r="6350" b="63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1"/>
                    <a:stretch>
                      <a:fillRect/>
                    </a:stretch>
                  </pic:blipFill>
                  <pic:spPr>
                    <a:xfrm>
                      <a:off x="0" y="0"/>
                      <a:ext cx="8851900" cy="4838065"/>
                    </a:xfrm>
                    <a:prstGeom prst="rect">
                      <a:avLst/>
                    </a:prstGeom>
                    <a:noFill/>
                    <a:ln>
                      <a:noFill/>
                    </a:ln>
                  </pic:spPr>
                </pic:pic>
              </a:graphicData>
            </a:graphic>
          </wp:inline>
        </w:drawing>
      </w:r>
    </w:p>
    <w:p w14:paraId="555F545D">
      <w:pPr>
        <w:keepNext w:val="0"/>
        <w:keepLines/>
        <w:pageBreakBefore w:val="0"/>
        <w:widowControl w:val="0"/>
        <w:kinsoku/>
        <w:wordWrap/>
        <w:overflowPunct/>
        <w:topLinePunct w:val="0"/>
        <w:autoSpaceDE/>
        <w:autoSpaceDN/>
        <w:bidi w:val="0"/>
        <w:adjustRightInd/>
        <w:snapToGrid/>
        <w:spacing w:line="480" w:lineRule="exact"/>
        <w:ind w:firstLine="0" w:firstLineChars="0"/>
        <w:jc w:val="center"/>
        <w:textAlignment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图2</w:t>
      </w:r>
      <w:r>
        <w:rPr>
          <w:rFonts w:hint="eastAsia" w:ascii="Times New Roman" w:hAnsi="Times New Roman" w:eastAsia="宋体" w:cs="Times New Roman"/>
          <w:b/>
          <w:bCs/>
          <w:color w:val="auto"/>
          <w:sz w:val="24"/>
          <w:szCs w:val="24"/>
          <w:lang w:val="en-US" w:eastAsia="zh-CN"/>
        </w:rPr>
        <w:t>-4  燃煤热风炉</w:t>
      </w:r>
      <w:r>
        <w:rPr>
          <w:rFonts w:hint="default" w:ascii="Times New Roman" w:hAnsi="Times New Roman" w:eastAsia="宋体" w:cs="Times New Roman"/>
          <w:b/>
          <w:bCs/>
          <w:color w:val="auto"/>
          <w:sz w:val="24"/>
          <w:szCs w:val="24"/>
          <w:lang w:val="en-US" w:eastAsia="zh-CN"/>
        </w:rPr>
        <w:t>工艺</w:t>
      </w:r>
      <w:r>
        <w:rPr>
          <w:rFonts w:hint="eastAsia" w:ascii="Times New Roman" w:hAnsi="Times New Roman" w:eastAsia="宋体" w:cs="Times New Roman"/>
          <w:b/>
          <w:bCs/>
          <w:color w:val="auto"/>
          <w:sz w:val="24"/>
          <w:szCs w:val="24"/>
          <w:lang w:val="en-US" w:eastAsia="zh-CN"/>
        </w:rPr>
        <w:t>流程图</w:t>
      </w:r>
    </w:p>
    <w:p w14:paraId="4903A4AA">
      <w:pPr>
        <w:pStyle w:val="4"/>
        <w:rPr>
          <w:rFonts w:hint="default"/>
          <w:color w:val="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5643C6C">
      <w:pPr>
        <w:pStyle w:val="9"/>
        <w:keepNext w:val="0"/>
        <w:keepLines w:val="0"/>
        <w:pageBreakBefore w:val="0"/>
        <w:widowControl/>
        <w:kinsoku/>
        <w:wordWrap/>
        <w:overflowPunct/>
        <w:topLinePunct w:val="0"/>
        <w:autoSpaceDE/>
        <w:autoSpaceDN/>
        <w:bidi w:val="0"/>
        <w:adjustRightInd/>
        <w:snapToGrid/>
        <w:spacing w:line="480" w:lineRule="exact"/>
        <w:ind w:left="21" w:leftChars="10" w:right="21" w:rightChars="10" w:firstLine="600" w:firstLineChars="200"/>
        <w:jc w:val="center"/>
        <w:textAlignment w:val="center"/>
        <w:outlineLvl w:val="0"/>
        <w:rPr>
          <w:rFonts w:hint="eastAsia" w:ascii="Times New Roman" w:hAnsi="Times New Roman" w:eastAsia="黑体" w:cs="Times New Roman"/>
          <w:b/>
          <w:bCs/>
          <w:snapToGrid w:val="0"/>
          <w:color w:val="auto"/>
          <w:sz w:val="30"/>
          <w:szCs w:val="30"/>
        </w:rPr>
      </w:pPr>
      <w:r>
        <w:rPr>
          <w:rFonts w:hint="eastAsia" w:ascii="黑体" w:hAnsi="黑体" w:eastAsia="黑体" w:cs="Times New Roman"/>
          <w:snapToGrid w:val="0"/>
          <w:color w:val="auto"/>
          <w:sz w:val="30"/>
          <w:szCs w:val="30"/>
        </w:rPr>
        <w:t>三、区域环境质量现状、环境保护目标及评价标准</w:t>
      </w:r>
    </w:p>
    <w:tbl>
      <w:tblPr>
        <w:tblStyle w:val="10"/>
        <w:tblW w:w="900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8295"/>
      </w:tblGrid>
      <w:tr w14:paraId="79EFD4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2" w:type="dxa"/>
            <w:noWrap w:val="0"/>
            <w:vAlign w:val="center"/>
          </w:tcPr>
          <w:p w14:paraId="713B7FD5">
            <w:pPr>
              <w:pStyle w:val="15"/>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区域</w:t>
            </w:r>
          </w:p>
          <w:p w14:paraId="37B27D1B">
            <w:pPr>
              <w:pStyle w:val="15"/>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环境</w:t>
            </w:r>
          </w:p>
          <w:p w14:paraId="60BBFA73">
            <w:pPr>
              <w:pStyle w:val="15"/>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质量</w:t>
            </w:r>
          </w:p>
          <w:p w14:paraId="0A7110D2">
            <w:pPr>
              <w:pStyle w:val="15"/>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现状</w:t>
            </w:r>
          </w:p>
        </w:tc>
        <w:tc>
          <w:tcPr>
            <w:tcW w:w="8194" w:type="dxa"/>
            <w:noWrap w:val="0"/>
            <w:vAlign w:val="top"/>
          </w:tcPr>
          <w:p w14:paraId="3F691231">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jc w:val="both"/>
              <w:textAlignment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1、环境空气质量现状</w:t>
            </w:r>
          </w:p>
          <w:p w14:paraId="5398A847">
            <w:pPr>
              <w:keepNext w:val="0"/>
              <w:keepLines w:val="0"/>
              <w:pageBreakBefore w:val="0"/>
              <w:widowControl/>
              <w:tabs>
                <w:tab w:val="left" w:pos="922"/>
              </w:tabs>
              <w:kinsoku/>
              <w:wordWrap/>
              <w:overflowPunct/>
              <w:topLinePunct w:val="0"/>
              <w:autoSpaceDE/>
              <w:autoSpaceDN/>
              <w:bidi w:val="0"/>
              <w:adjustRightInd/>
              <w:snapToGrid/>
              <w:spacing w:line="480" w:lineRule="exact"/>
              <w:ind w:firstLine="480" w:firstLineChars="200"/>
              <w:jc w:val="left"/>
              <w:textAlignment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（1）常规污染物环境质量现状</w:t>
            </w:r>
          </w:p>
          <w:p w14:paraId="03DD635F">
            <w:pPr>
              <w:keepNext w:val="0"/>
              <w:keepLines w:val="0"/>
              <w:pageBreakBefore w:val="0"/>
              <w:widowControl/>
              <w:tabs>
                <w:tab w:val="left" w:pos="922"/>
              </w:tabs>
              <w:kinsoku/>
              <w:wordWrap/>
              <w:overflowPunct/>
              <w:topLinePunct w:val="0"/>
              <w:autoSpaceDE/>
              <w:autoSpaceDN/>
              <w:bidi w:val="0"/>
              <w:adjustRightInd/>
              <w:snapToGrid/>
              <w:spacing w:line="480" w:lineRule="exact"/>
              <w:ind w:firstLine="480" w:firstLineChars="200"/>
              <w:jc w:val="left"/>
              <w:textAlignment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本项目选取202</w:t>
            </w:r>
            <w:r>
              <w:rPr>
                <w:rFonts w:hint="eastAsia" w:cs="Times New Roman"/>
                <w:b w:val="0"/>
                <w:bCs w:val="0"/>
                <w:color w:val="auto"/>
                <w:sz w:val="24"/>
                <w:szCs w:val="24"/>
                <w:lang w:val="en-US" w:eastAsia="zh-CN"/>
              </w:rPr>
              <w:t>3</w:t>
            </w:r>
            <w:r>
              <w:rPr>
                <w:rFonts w:hint="default" w:ascii="Times New Roman" w:hAnsi="Times New Roman" w:eastAsia="宋体" w:cs="Times New Roman"/>
                <w:b w:val="0"/>
                <w:bCs w:val="0"/>
                <w:color w:val="auto"/>
                <w:sz w:val="24"/>
                <w:szCs w:val="24"/>
                <w:lang w:val="en-US" w:eastAsia="zh-CN"/>
              </w:rPr>
              <w:t>年发布的202</w:t>
            </w:r>
            <w:r>
              <w:rPr>
                <w:rFonts w:hint="eastAsia"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lang w:val="en-US" w:eastAsia="zh-CN"/>
              </w:rPr>
              <w:t>年内蒙古自治区生态环境质量状况公报统计数据。</w:t>
            </w:r>
          </w:p>
          <w:p w14:paraId="6C814A93">
            <w:pPr>
              <w:keepNext w:val="0"/>
              <w:keepLines w:val="0"/>
              <w:pageBreakBefore w:val="0"/>
              <w:widowControl/>
              <w:tabs>
                <w:tab w:val="left" w:pos="922"/>
              </w:tabs>
              <w:kinsoku/>
              <w:wordWrap/>
              <w:overflowPunct/>
              <w:topLinePunct w:val="0"/>
              <w:autoSpaceDE/>
              <w:autoSpaceDN/>
              <w:bidi w:val="0"/>
              <w:adjustRightInd/>
              <w:snapToGrid/>
              <w:spacing w:line="480" w:lineRule="exact"/>
              <w:ind w:firstLine="480" w:firstLineChars="200"/>
              <w:jc w:val="left"/>
              <w:textAlignment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202</w:t>
            </w:r>
            <w:r>
              <w:rPr>
                <w:rFonts w:hint="eastAsia"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lang w:val="en-US" w:eastAsia="zh-CN"/>
              </w:rPr>
              <w:t>年鄂尔多斯市环境空气各污染物平均浓度均低于《环境空气质量标准》（GB3095-2012）及其修改单二级标准浓度限值要求（颗粒物浓度扣除沙尘天气影响后），判定项目所在区域为环境空气质量达标区。各污染物数据具体见表3-1。</w:t>
            </w:r>
          </w:p>
          <w:p w14:paraId="2BDEEAD7">
            <w:pPr>
              <w:pStyle w:val="16"/>
              <w:keepNext w:val="0"/>
              <w:keepLines w:val="0"/>
              <w:pageBreakBefore w:val="0"/>
              <w:widowControl/>
              <w:kinsoku/>
              <w:wordWrap/>
              <w:overflowPunct/>
              <w:topLinePunct w:val="0"/>
              <w:autoSpaceDE/>
              <w:autoSpaceDN/>
              <w:bidi w:val="0"/>
              <w:adjustRightInd/>
              <w:snapToGrid/>
              <w:spacing w:line="480" w:lineRule="exact"/>
              <w:jc w:val="center"/>
              <w:textAlignment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表3-1  环境空气质量数据表</w:t>
            </w:r>
          </w:p>
          <w:tbl>
            <w:tblPr>
              <w:tblStyle w:val="11"/>
              <w:tblW w:w="4998" w:type="pct"/>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2"/>
              <w:gridCol w:w="1924"/>
              <w:gridCol w:w="1251"/>
              <w:gridCol w:w="1526"/>
              <w:gridCol w:w="1387"/>
              <w:gridCol w:w="976"/>
            </w:tblGrid>
            <w:tr w14:paraId="6CF732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626" w:type="pct"/>
                  <w:tcBorders>
                    <w:tl2br w:val="nil"/>
                    <w:tr2bl w:val="nil"/>
                  </w:tcBorders>
                  <w:noWrap w:val="0"/>
                  <w:vAlign w:val="center"/>
                </w:tcPr>
                <w:p w14:paraId="2E462AAA">
                  <w:pPr>
                    <w:pStyle w:val="2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环境</w:t>
                  </w:r>
                </w:p>
                <w:p w14:paraId="5BE7246C">
                  <w:pPr>
                    <w:pStyle w:val="2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因子</w:t>
                  </w:r>
                </w:p>
              </w:tc>
              <w:tc>
                <w:tcPr>
                  <w:tcW w:w="1964" w:type="pct"/>
                  <w:gridSpan w:val="2"/>
                  <w:tcBorders>
                    <w:tl2br w:val="nil"/>
                    <w:tr2bl w:val="nil"/>
                  </w:tcBorders>
                  <w:noWrap w:val="0"/>
                  <w:vAlign w:val="center"/>
                </w:tcPr>
                <w:p w14:paraId="1F560104">
                  <w:pPr>
                    <w:pStyle w:val="2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浓度/ug/m</w:t>
                  </w:r>
                  <w:r>
                    <w:rPr>
                      <w:rFonts w:hint="default" w:ascii="Times New Roman" w:hAnsi="Times New Roman" w:eastAsia="宋体" w:cs="Times New Roman"/>
                      <w:b/>
                      <w:bCs/>
                      <w:color w:val="auto"/>
                      <w:sz w:val="21"/>
                      <w:szCs w:val="21"/>
                      <w:vertAlign w:val="superscript"/>
                      <w:lang w:val="en-US" w:eastAsia="zh-CN"/>
                    </w:rPr>
                    <w:t>3</w:t>
                  </w:r>
                </w:p>
              </w:tc>
              <w:tc>
                <w:tcPr>
                  <w:tcW w:w="944" w:type="pct"/>
                  <w:tcBorders>
                    <w:tl2br w:val="nil"/>
                    <w:tr2bl w:val="nil"/>
                  </w:tcBorders>
                  <w:noWrap w:val="0"/>
                  <w:vAlign w:val="center"/>
                </w:tcPr>
                <w:p w14:paraId="04436ED5">
                  <w:pPr>
                    <w:pStyle w:val="2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标准值/ug/m</w:t>
                  </w:r>
                  <w:r>
                    <w:rPr>
                      <w:rFonts w:hint="default" w:ascii="Times New Roman" w:hAnsi="Times New Roman" w:eastAsia="宋体" w:cs="Times New Roman"/>
                      <w:b/>
                      <w:bCs/>
                      <w:color w:val="auto"/>
                      <w:sz w:val="21"/>
                      <w:szCs w:val="21"/>
                      <w:vertAlign w:val="superscript"/>
                      <w:lang w:val="en-US" w:eastAsia="zh-CN"/>
                    </w:rPr>
                    <w:t>3</w:t>
                  </w:r>
                </w:p>
              </w:tc>
              <w:tc>
                <w:tcPr>
                  <w:tcW w:w="858" w:type="pct"/>
                  <w:tcBorders>
                    <w:tl2br w:val="nil"/>
                    <w:tr2bl w:val="nil"/>
                  </w:tcBorders>
                  <w:noWrap w:val="0"/>
                  <w:vAlign w:val="center"/>
                </w:tcPr>
                <w:p w14:paraId="4E647D43">
                  <w:pPr>
                    <w:pStyle w:val="2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占标率</w:t>
                  </w:r>
                </w:p>
                <w:p w14:paraId="3E2BD174">
                  <w:pPr>
                    <w:pStyle w:val="2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P/%</w:t>
                  </w:r>
                </w:p>
              </w:tc>
              <w:tc>
                <w:tcPr>
                  <w:tcW w:w="604" w:type="pct"/>
                  <w:tcBorders>
                    <w:tl2br w:val="nil"/>
                    <w:tr2bl w:val="nil"/>
                  </w:tcBorders>
                  <w:noWrap w:val="0"/>
                  <w:vAlign w:val="center"/>
                </w:tcPr>
                <w:p w14:paraId="2692424C">
                  <w:pPr>
                    <w:pStyle w:val="2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达标情况</w:t>
                  </w:r>
                </w:p>
              </w:tc>
            </w:tr>
            <w:tr w14:paraId="3C1E71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626" w:type="pct"/>
                  <w:tcBorders>
                    <w:tl2br w:val="nil"/>
                    <w:tr2bl w:val="nil"/>
                  </w:tcBorders>
                  <w:noWrap w:val="0"/>
                  <w:vAlign w:val="center"/>
                </w:tcPr>
                <w:p w14:paraId="747D53D0">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SO</w:t>
                  </w:r>
                  <w:r>
                    <w:rPr>
                      <w:rFonts w:hint="default" w:ascii="Times New Roman" w:hAnsi="Times New Roman" w:eastAsia="宋体" w:cs="Times New Roman"/>
                      <w:color w:val="auto"/>
                      <w:sz w:val="21"/>
                      <w:szCs w:val="21"/>
                      <w:vertAlign w:val="subscript"/>
                      <w:lang w:val="en-US" w:eastAsia="zh-CN"/>
                    </w:rPr>
                    <w:t>2</w:t>
                  </w:r>
                </w:p>
              </w:tc>
              <w:tc>
                <w:tcPr>
                  <w:tcW w:w="1190" w:type="pct"/>
                  <w:tcBorders>
                    <w:tl2br w:val="nil"/>
                    <w:tr2bl w:val="nil"/>
                  </w:tcBorders>
                  <w:noWrap w:val="0"/>
                  <w:vAlign w:val="center"/>
                </w:tcPr>
                <w:p w14:paraId="26E75E3C">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年均浓度</w:t>
                  </w:r>
                </w:p>
              </w:tc>
              <w:tc>
                <w:tcPr>
                  <w:tcW w:w="774" w:type="pct"/>
                  <w:tcBorders>
                    <w:tl2br w:val="nil"/>
                    <w:tr2bl w:val="nil"/>
                  </w:tcBorders>
                  <w:noWrap w:val="0"/>
                  <w:vAlign w:val="center"/>
                </w:tcPr>
                <w:p w14:paraId="79CDFBFE">
                  <w:pPr>
                    <w:pStyle w:val="20"/>
                    <w:bidi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w:t>
                  </w:r>
                </w:p>
              </w:tc>
              <w:tc>
                <w:tcPr>
                  <w:tcW w:w="944" w:type="pct"/>
                  <w:tcBorders>
                    <w:tl2br w:val="nil"/>
                    <w:tr2bl w:val="nil"/>
                  </w:tcBorders>
                  <w:noWrap w:val="0"/>
                  <w:vAlign w:val="center"/>
                </w:tcPr>
                <w:p w14:paraId="21FA741C">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w:t>
                  </w:r>
                </w:p>
              </w:tc>
              <w:tc>
                <w:tcPr>
                  <w:tcW w:w="858" w:type="pct"/>
                  <w:tcBorders>
                    <w:tl2br w:val="nil"/>
                    <w:tr2bl w:val="nil"/>
                  </w:tcBorders>
                  <w:noWrap w:val="0"/>
                  <w:vAlign w:val="center"/>
                </w:tcPr>
                <w:p w14:paraId="4D4A9A7A">
                  <w:pPr>
                    <w:pStyle w:val="20"/>
                    <w:bidi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16.7</w:t>
                  </w:r>
                </w:p>
              </w:tc>
              <w:tc>
                <w:tcPr>
                  <w:tcW w:w="604" w:type="pct"/>
                  <w:tcBorders>
                    <w:tl2br w:val="nil"/>
                    <w:tr2bl w:val="nil"/>
                  </w:tcBorders>
                  <w:noWrap w:val="0"/>
                  <w:vAlign w:val="center"/>
                </w:tcPr>
                <w:p w14:paraId="22F467D5">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14:paraId="764DBC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626" w:type="pct"/>
                  <w:tcBorders>
                    <w:tl2br w:val="nil"/>
                    <w:tr2bl w:val="nil"/>
                  </w:tcBorders>
                  <w:noWrap w:val="0"/>
                  <w:vAlign w:val="center"/>
                </w:tcPr>
                <w:p w14:paraId="36A562BC">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NO</w:t>
                  </w:r>
                  <w:r>
                    <w:rPr>
                      <w:rFonts w:hint="default" w:ascii="Times New Roman" w:hAnsi="Times New Roman" w:eastAsia="宋体" w:cs="Times New Roman"/>
                      <w:color w:val="auto"/>
                      <w:sz w:val="21"/>
                      <w:szCs w:val="21"/>
                      <w:vertAlign w:val="subscript"/>
                      <w:lang w:val="en-US" w:eastAsia="zh-CN"/>
                    </w:rPr>
                    <w:t>2</w:t>
                  </w:r>
                </w:p>
              </w:tc>
              <w:tc>
                <w:tcPr>
                  <w:tcW w:w="1190" w:type="pct"/>
                  <w:tcBorders>
                    <w:tl2br w:val="nil"/>
                    <w:tr2bl w:val="nil"/>
                  </w:tcBorders>
                  <w:noWrap w:val="0"/>
                  <w:vAlign w:val="center"/>
                </w:tcPr>
                <w:p w14:paraId="19D98794">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年均浓度</w:t>
                  </w:r>
                </w:p>
              </w:tc>
              <w:tc>
                <w:tcPr>
                  <w:tcW w:w="774" w:type="pct"/>
                  <w:tcBorders>
                    <w:tl2br w:val="nil"/>
                    <w:tr2bl w:val="nil"/>
                  </w:tcBorders>
                  <w:noWrap w:val="0"/>
                  <w:vAlign w:val="center"/>
                </w:tcPr>
                <w:p w14:paraId="06E76453">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r>
                    <w:rPr>
                      <w:rFonts w:hint="eastAsia" w:cs="Times New Roman"/>
                      <w:color w:val="auto"/>
                      <w:sz w:val="21"/>
                      <w:szCs w:val="21"/>
                      <w:lang w:val="en-US" w:eastAsia="zh-CN"/>
                    </w:rPr>
                    <w:t>3</w:t>
                  </w:r>
                </w:p>
              </w:tc>
              <w:tc>
                <w:tcPr>
                  <w:tcW w:w="944" w:type="pct"/>
                  <w:tcBorders>
                    <w:tl2br w:val="nil"/>
                    <w:tr2bl w:val="nil"/>
                  </w:tcBorders>
                  <w:noWrap w:val="0"/>
                  <w:vAlign w:val="center"/>
                </w:tcPr>
                <w:p w14:paraId="093CCC9E">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w:t>
                  </w:r>
                </w:p>
              </w:tc>
              <w:tc>
                <w:tcPr>
                  <w:tcW w:w="858" w:type="pct"/>
                  <w:tcBorders>
                    <w:tl2br w:val="nil"/>
                    <w:tr2bl w:val="nil"/>
                  </w:tcBorders>
                  <w:noWrap w:val="0"/>
                  <w:vAlign w:val="center"/>
                </w:tcPr>
                <w:p w14:paraId="12DDEA7E">
                  <w:pPr>
                    <w:pStyle w:val="20"/>
                    <w:bidi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57.5</w:t>
                  </w:r>
                </w:p>
              </w:tc>
              <w:tc>
                <w:tcPr>
                  <w:tcW w:w="604" w:type="pct"/>
                  <w:tcBorders>
                    <w:tl2br w:val="nil"/>
                    <w:tr2bl w:val="nil"/>
                  </w:tcBorders>
                  <w:noWrap w:val="0"/>
                  <w:vAlign w:val="center"/>
                </w:tcPr>
                <w:p w14:paraId="1D0CF5AA">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14:paraId="4408CC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626" w:type="pct"/>
                  <w:tcBorders>
                    <w:tl2br w:val="nil"/>
                    <w:tr2bl w:val="nil"/>
                  </w:tcBorders>
                  <w:noWrap w:val="0"/>
                  <w:vAlign w:val="center"/>
                </w:tcPr>
                <w:p w14:paraId="5528B2A4">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PM</w:t>
                  </w:r>
                  <w:r>
                    <w:rPr>
                      <w:rFonts w:hint="default" w:ascii="Times New Roman" w:hAnsi="Times New Roman" w:eastAsia="宋体" w:cs="Times New Roman"/>
                      <w:color w:val="auto"/>
                      <w:sz w:val="21"/>
                      <w:szCs w:val="21"/>
                      <w:vertAlign w:val="subscript"/>
                      <w:lang w:val="en-US" w:eastAsia="zh-CN"/>
                    </w:rPr>
                    <w:t>10</w:t>
                  </w:r>
                </w:p>
              </w:tc>
              <w:tc>
                <w:tcPr>
                  <w:tcW w:w="1190" w:type="pct"/>
                  <w:tcBorders>
                    <w:tl2br w:val="nil"/>
                    <w:tr2bl w:val="nil"/>
                  </w:tcBorders>
                  <w:noWrap w:val="0"/>
                  <w:vAlign w:val="center"/>
                </w:tcPr>
                <w:p w14:paraId="64C2B4D4">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年均浓度</w:t>
                  </w:r>
                </w:p>
              </w:tc>
              <w:tc>
                <w:tcPr>
                  <w:tcW w:w="774" w:type="pct"/>
                  <w:tcBorders>
                    <w:tl2br w:val="nil"/>
                    <w:tr2bl w:val="nil"/>
                  </w:tcBorders>
                  <w:noWrap w:val="0"/>
                  <w:vAlign w:val="center"/>
                </w:tcPr>
                <w:p w14:paraId="7F6FBF27">
                  <w:pPr>
                    <w:pStyle w:val="20"/>
                    <w:bidi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51</w:t>
                  </w:r>
                </w:p>
              </w:tc>
              <w:tc>
                <w:tcPr>
                  <w:tcW w:w="944" w:type="pct"/>
                  <w:tcBorders>
                    <w:tl2br w:val="nil"/>
                    <w:tr2bl w:val="nil"/>
                  </w:tcBorders>
                  <w:noWrap w:val="0"/>
                  <w:vAlign w:val="center"/>
                </w:tcPr>
                <w:p w14:paraId="22517A44">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w:t>
                  </w:r>
                </w:p>
              </w:tc>
              <w:tc>
                <w:tcPr>
                  <w:tcW w:w="858" w:type="pct"/>
                  <w:tcBorders>
                    <w:tl2br w:val="nil"/>
                    <w:tr2bl w:val="nil"/>
                  </w:tcBorders>
                  <w:noWrap w:val="0"/>
                  <w:vAlign w:val="center"/>
                </w:tcPr>
                <w:p w14:paraId="66716683">
                  <w:pPr>
                    <w:pStyle w:val="20"/>
                    <w:bidi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72.9</w:t>
                  </w:r>
                </w:p>
              </w:tc>
              <w:tc>
                <w:tcPr>
                  <w:tcW w:w="604" w:type="pct"/>
                  <w:tcBorders>
                    <w:tl2br w:val="nil"/>
                    <w:tr2bl w:val="nil"/>
                  </w:tcBorders>
                  <w:noWrap w:val="0"/>
                  <w:vAlign w:val="center"/>
                </w:tcPr>
                <w:p w14:paraId="191EE2A8">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14:paraId="6EB868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626" w:type="pct"/>
                  <w:tcBorders>
                    <w:tl2br w:val="nil"/>
                    <w:tr2bl w:val="nil"/>
                  </w:tcBorders>
                  <w:noWrap w:val="0"/>
                  <w:vAlign w:val="center"/>
                </w:tcPr>
                <w:p w14:paraId="3E8E2E33">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PM</w:t>
                  </w:r>
                  <w:r>
                    <w:rPr>
                      <w:rFonts w:hint="default" w:ascii="Times New Roman" w:hAnsi="Times New Roman" w:eastAsia="宋体" w:cs="Times New Roman"/>
                      <w:color w:val="auto"/>
                      <w:sz w:val="21"/>
                      <w:szCs w:val="21"/>
                      <w:vertAlign w:val="subscript"/>
                      <w:lang w:val="en-US" w:eastAsia="zh-CN"/>
                    </w:rPr>
                    <w:t>2.5</w:t>
                  </w:r>
                </w:p>
              </w:tc>
              <w:tc>
                <w:tcPr>
                  <w:tcW w:w="1190" w:type="pct"/>
                  <w:tcBorders>
                    <w:tl2br w:val="nil"/>
                    <w:tr2bl w:val="nil"/>
                  </w:tcBorders>
                  <w:noWrap w:val="0"/>
                  <w:vAlign w:val="center"/>
                </w:tcPr>
                <w:p w14:paraId="66A9C9D5">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年均浓度</w:t>
                  </w:r>
                </w:p>
              </w:tc>
              <w:tc>
                <w:tcPr>
                  <w:tcW w:w="774" w:type="pct"/>
                  <w:tcBorders>
                    <w:tl2br w:val="nil"/>
                    <w:tr2bl w:val="nil"/>
                  </w:tcBorders>
                  <w:noWrap w:val="0"/>
                  <w:vAlign w:val="center"/>
                </w:tcPr>
                <w:p w14:paraId="4D8FFC4B">
                  <w:pPr>
                    <w:pStyle w:val="20"/>
                    <w:bidi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w:t>
                  </w:r>
                </w:p>
              </w:tc>
              <w:tc>
                <w:tcPr>
                  <w:tcW w:w="944" w:type="pct"/>
                  <w:tcBorders>
                    <w:tl2br w:val="nil"/>
                    <w:tr2bl w:val="nil"/>
                  </w:tcBorders>
                  <w:noWrap w:val="0"/>
                  <w:vAlign w:val="center"/>
                </w:tcPr>
                <w:p w14:paraId="0A46EC13">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35</w:t>
                  </w:r>
                </w:p>
              </w:tc>
              <w:tc>
                <w:tcPr>
                  <w:tcW w:w="858" w:type="pct"/>
                  <w:tcBorders>
                    <w:tl2br w:val="nil"/>
                    <w:tr2bl w:val="nil"/>
                  </w:tcBorders>
                  <w:noWrap w:val="0"/>
                  <w:vAlign w:val="center"/>
                </w:tcPr>
                <w:p w14:paraId="07F403A7">
                  <w:pPr>
                    <w:pStyle w:val="20"/>
                    <w:bidi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57.1</w:t>
                  </w:r>
                </w:p>
              </w:tc>
              <w:tc>
                <w:tcPr>
                  <w:tcW w:w="604" w:type="pct"/>
                  <w:tcBorders>
                    <w:tl2br w:val="nil"/>
                    <w:tr2bl w:val="nil"/>
                  </w:tcBorders>
                  <w:noWrap w:val="0"/>
                  <w:vAlign w:val="center"/>
                </w:tcPr>
                <w:p w14:paraId="509AFD5C">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14:paraId="1EA43F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626" w:type="pct"/>
                  <w:tcBorders>
                    <w:tl2br w:val="nil"/>
                    <w:tr2bl w:val="nil"/>
                  </w:tcBorders>
                  <w:noWrap w:val="0"/>
                  <w:vAlign w:val="center"/>
                </w:tcPr>
                <w:p w14:paraId="6149FA3E">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CO</w:t>
                  </w:r>
                </w:p>
              </w:tc>
              <w:tc>
                <w:tcPr>
                  <w:tcW w:w="1190" w:type="pct"/>
                  <w:tcBorders>
                    <w:tl2br w:val="nil"/>
                    <w:tr2bl w:val="nil"/>
                  </w:tcBorders>
                  <w:noWrap w:val="0"/>
                  <w:vAlign w:val="center"/>
                </w:tcPr>
                <w:p w14:paraId="4F6F5F74">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24小时平均第95百分位数</w:t>
                  </w:r>
                </w:p>
              </w:tc>
              <w:tc>
                <w:tcPr>
                  <w:tcW w:w="774" w:type="pct"/>
                  <w:tcBorders>
                    <w:tl2br w:val="nil"/>
                    <w:tr2bl w:val="nil"/>
                  </w:tcBorders>
                  <w:noWrap w:val="0"/>
                  <w:vAlign w:val="center"/>
                </w:tcPr>
                <w:p w14:paraId="0D9DAC7A">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0.9mg/m</w:t>
                  </w:r>
                  <w:r>
                    <w:rPr>
                      <w:rFonts w:hint="default" w:ascii="Times New Roman" w:hAnsi="Times New Roman" w:eastAsia="宋体" w:cs="Times New Roman"/>
                      <w:color w:val="auto"/>
                      <w:sz w:val="21"/>
                      <w:szCs w:val="21"/>
                      <w:vertAlign w:val="superscript"/>
                      <w:lang w:val="en-US" w:eastAsia="zh-CN"/>
                    </w:rPr>
                    <w:t>3</w:t>
                  </w:r>
                </w:p>
              </w:tc>
              <w:tc>
                <w:tcPr>
                  <w:tcW w:w="944" w:type="pct"/>
                  <w:tcBorders>
                    <w:tl2br w:val="nil"/>
                    <w:tr2bl w:val="nil"/>
                  </w:tcBorders>
                  <w:noWrap w:val="0"/>
                  <w:vAlign w:val="center"/>
                </w:tcPr>
                <w:p w14:paraId="08EF9038">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4mg/m</w:t>
                  </w:r>
                  <w:r>
                    <w:rPr>
                      <w:rFonts w:hint="default" w:ascii="Times New Roman" w:hAnsi="Times New Roman" w:eastAsia="宋体" w:cs="Times New Roman"/>
                      <w:color w:val="auto"/>
                      <w:sz w:val="21"/>
                      <w:szCs w:val="21"/>
                      <w:vertAlign w:val="superscript"/>
                      <w:lang w:val="en-US" w:eastAsia="zh-CN"/>
                    </w:rPr>
                    <w:t>3</w:t>
                  </w:r>
                </w:p>
              </w:tc>
              <w:tc>
                <w:tcPr>
                  <w:tcW w:w="858" w:type="pct"/>
                  <w:tcBorders>
                    <w:tl2br w:val="nil"/>
                    <w:tr2bl w:val="nil"/>
                  </w:tcBorders>
                  <w:noWrap w:val="0"/>
                  <w:vAlign w:val="center"/>
                </w:tcPr>
                <w:p w14:paraId="77D22B4A">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22.5</w:t>
                  </w:r>
                </w:p>
              </w:tc>
              <w:tc>
                <w:tcPr>
                  <w:tcW w:w="604" w:type="pct"/>
                  <w:tcBorders>
                    <w:tl2br w:val="nil"/>
                    <w:tr2bl w:val="nil"/>
                  </w:tcBorders>
                  <w:noWrap w:val="0"/>
                  <w:vAlign w:val="center"/>
                </w:tcPr>
                <w:p w14:paraId="136BD38D">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r w14:paraId="466B93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26" w:type="pct"/>
                  <w:tcBorders>
                    <w:tl2br w:val="nil"/>
                    <w:tr2bl w:val="nil"/>
                  </w:tcBorders>
                  <w:noWrap w:val="0"/>
                  <w:vAlign w:val="center"/>
                </w:tcPr>
                <w:p w14:paraId="6F3B3002">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O</w:t>
                  </w:r>
                  <w:r>
                    <w:rPr>
                      <w:rFonts w:hint="default" w:ascii="Times New Roman" w:hAnsi="Times New Roman" w:eastAsia="宋体" w:cs="Times New Roman"/>
                      <w:color w:val="auto"/>
                      <w:sz w:val="21"/>
                      <w:szCs w:val="21"/>
                      <w:vertAlign w:val="subscript"/>
                      <w:lang w:val="en-US" w:eastAsia="zh-CN"/>
                    </w:rPr>
                    <w:t>3</w:t>
                  </w:r>
                </w:p>
              </w:tc>
              <w:tc>
                <w:tcPr>
                  <w:tcW w:w="1190" w:type="pct"/>
                  <w:tcBorders>
                    <w:tl2br w:val="nil"/>
                    <w:tr2bl w:val="nil"/>
                  </w:tcBorders>
                  <w:noWrap w:val="0"/>
                  <w:vAlign w:val="center"/>
                </w:tcPr>
                <w:p w14:paraId="6CD795A6">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最大8小时平均第90百分位数</w:t>
                  </w:r>
                </w:p>
              </w:tc>
              <w:tc>
                <w:tcPr>
                  <w:tcW w:w="774" w:type="pct"/>
                  <w:tcBorders>
                    <w:tl2br w:val="nil"/>
                    <w:tr2bl w:val="nil"/>
                  </w:tcBorders>
                  <w:noWrap w:val="0"/>
                  <w:vAlign w:val="center"/>
                </w:tcPr>
                <w:p w14:paraId="41F7C5A7">
                  <w:pPr>
                    <w:pStyle w:val="20"/>
                    <w:bidi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148</w:t>
                  </w:r>
                </w:p>
              </w:tc>
              <w:tc>
                <w:tcPr>
                  <w:tcW w:w="944" w:type="pct"/>
                  <w:tcBorders>
                    <w:tl2br w:val="nil"/>
                    <w:tr2bl w:val="nil"/>
                  </w:tcBorders>
                  <w:noWrap w:val="0"/>
                  <w:vAlign w:val="center"/>
                </w:tcPr>
                <w:p w14:paraId="696FC879">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160ug/m</w:t>
                  </w:r>
                  <w:r>
                    <w:rPr>
                      <w:rFonts w:hint="default" w:ascii="Times New Roman" w:hAnsi="Times New Roman" w:eastAsia="宋体" w:cs="Times New Roman"/>
                      <w:color w:val="auto"/>
                      <w:sz w:val="21"/>
                      <w:szCs w:val="21"/>
                      <w:vertAlign w:val="superscript"/>
                      <w:lang w:val="en-US" w:eastAsia="zh-CN"/>
                    </w:rPr>
                    <w:t>3</w:t>
                  </w:r>
                </w:p>
              </w:tc>
              <w:tc>
                <w:tcPr>
                  <w:tcW w:w="858" w:type="pct"/>
                  <w:tcBorders>
                    <w:tl2br w:val="nil"/>
                    <w:tr2bl w:val="nil"/>
                  </w:tcBorders>
                  <w:noWrap w:val="0"/>
                  <w:vAlign w:val="center"/>
                </w:tcPr>
                <w:p w14:paraId="3DF4DF77">
                  <w:pPr>
                    <w:pStyle w:val="20"/>
                    <w:bidi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92.5</w:t>
                  </w:r>
                </w:p>
              </w:tc>
              <w:tc>
                <w:tcPr>
                  <w:tcW w:w="604" w:type="pct"/>
                  <w:tcBorders>
                    <w:tl2br w:val="nil"/>
                    <w:tr2bl w:val="nil"/>
                  </w:tcBorders>
                  <w:noWrap w:val="0"/>
                  <w:vAlign w:val="center"/>
                </w:tcPr>
                <w:p w14:paraId="21E47934">
                  <w:pPr>
                    <w:pStyle w:val="2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r>
          </w:tbl>
          <w:p w14:paraId="1AE6EBDB">
            <w:pPr>
              <w:keepNext w:val="0"/>
              <w:keepLines w:val="0"/>
              <w:pageBreakBefore w:val="0"/>
              <w:widowControl/>
              <w:tabs>
                <w:tab w:val="left" w:pos="922"/>
              </w:tabs>
              <w:kinsoku/>
              <w:wordWrap/>
              <w:overflowPunct/>
              <w:topLinePunct w:val="0"/>
              <w:autoSpaceDE/>
              <w:autoSpaceDN/>
              <w:bidi w:val="0"/>
              <w:adjustRightInd/>
              <w:snapToGrid/>
              <w:spacing w:line="480" w:lineRule="exact"/>
              <w:ind w:firstLine="480" w:firstLineChars="200"/>
              <w:jc w:val="left"/>
              <w:textAlignment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由表3-1知，各污染物平均浓度均优于《环境空气质量标准》（GB3095-2012）中二级标准限值，项目所在区域为达标区。</w:t>
            </w:r>
          </w:p>
          <w:p w14:paraId="0DD5C827">
            <w:pPr>
              <w:pStyle w:val="17"/>
              <w:keepNext w:val="0"/>
              <w:keepLines w:val="0"/>
              <w:pageBreakBefore w:val="0"/>
              <w:widowControl/>
              <w:kinsoku/>
              <w:wordWrap/>
              <w:overflowPunct/>
              <w:topLinePunct w:val="0"/>
              <w:autoSpaceDE/>
              <w:autoSpaceDN/>
              <w:bidi w:val="0"/>
              <w:adjustRightInd w:val="0"/>
              <w:snapToGrid/>
              <w:spacing w:line="480" w:lineRule="exact"/>
              <w:ind w:firstLine="480" w:firstLineChars="200"/>
              <w:jc w:val="both"/>
              <w:textAlignment w:val="center"/>
              <w:rPr>
                <w:rFonts w:hint="default" w:ascii="Times New Roman" w:hAnsi="Times New Roman" w:eastAsia="宋体" w:cs="Times New Roman"/>
                <w:i w:val="0"/>
                <w:caps w:val="0"/>
                <w:color w:val="auto"/>
                <w:spacing w:val="0"/>
                <w:w w:val="100"/>
                <w:sz w:val="24"/>
                <w:szCs w:val="24"/>
                <w:shd w:val="clear" w:color="auto" w:fill="auto"/>
                <w:lang w:val="en-US" w:eastAsia="zh-CN"/>
              </w:rPr>
            </w:pPr>
            <w:r>
              <w:rPr>
                <w:rFonts w:hint="default" w:ascii="Times New Roman" w:hAnsi="Times New Roman" w:eastAsia="宋体" w:cs="Times New Roman"/>
                <w:i w:val="0"/>
                <w:caps w:val="0"/>
                <w:color w:val="auto"/>
                <w:spacing w:val="0"/>
                <w:w w:val="100"/>
                <w:sz w:val="24"/>
                <w:szCs w:val="24"/>
                <w:shd w:val="clear" w:color="auto" w:fill="auto"/>
                <w:lang w:val="en-US" w:eastAsia="zh-CN"/>
              </w:rPr>
              <w:t>（2）特征污染物</w:t>
            </w:r>
          </w:p>
          <w:p w14:paraId="15D698F0">
            <w:pPr>
              <w:keepNext w:val="0"/>
              <w:keepLines w:val="0"/>
              <w:pageBreakBefore w:val="0"/>
              <w:widowControl/>
              <w:tabs>
                <w:tab w:val="left" w:pos="922"/>
              </w:tabs>
              <w:kinsoku/>
              <w:wordWrap/>
              <w:overflowPunct/>
              <w:topLinePunct w:val="0"/>
              <w:autoSpaceDE/>
              <w:autoSpaceDN/>
              <w:bidi w:val="0"/>
              <w:adjustRightInd/>
              <w:snapToGrid/>
              <w:spacing w:line="480" w:lineRule="exact"/>
              <w:ind w:firstLine="480" w:firstLineChars="200"/>
              <w:jc w:val="left"/>
              <w:textAlignment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本次评价委托内蒙古长达监测有限公司在本项目所在地当季主导风向下风向（</w:t>
            </w:r>
            <w:r>
              <w:rPr>
                <w:rFonts w:hint="eastAsia" w:ascii="Times New Roman" w:hAnsi="Times New Roman"/>
                <w:color w:val="auto"/>
                <w:sz w:val="24"/>
                <w:lang w:val="en-US" w:eastAsia="zh-CN"/>
              </w:rPr>
              <w:t>西北</w:t>
            </w:r>
            <w:r>
              <w:rPr>
                <w:rFonts w:hint="default" w:ascii="Times New Roman" w:hAnsi="Times New Roman" w:eastAsia="宋体" w:cs="Times New Roman"/>
                <w:b w:val="0"/>
                <w:bCs w:val="0"/>
                <w:color w:val="auto"/>
                <w:sz w:val="24"/>
                <w:szCs w:val="24"/>
                <w:lang w:val="en-US" w:eastAsia="zh-CN"/>
              </w:rPr>
              <w:t>）</w:t>
            </w:r>
            <w:r>
              <w:rPr>
                <w:rFonts w:hint="eastAsia"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lang w:val="en-US" w:eastAsia="zh-CN"/>
              </w:rPr>
              <w:t>km处空地布点监测TSP、NOx排放情况，监测时间为202</w:t>
            </w:r>
            <w:r>
              <w:rPr>
                <w:rFonts w:hint="eastAsia" w:cs="Times New Roman"/>
                <w:b w:val="0"/>
                <w:bCs w:val="0"/>
                <w:color w:val="auto"/>
                <w:sz w:val="24"/>
                <w:szCs w:val="24"/>
                <w:lang w:val="en-US" w:eastAsia="zh-CN"/>
              </w:rPr>
              <w:t>3</w:t>
            </w:r>
            <w:r>
              <w:rPr>
                <w:rFonts w:hint="default" w:ascii="Times New Roman" w:hAnsi="Times New Roman" w:eastAsia="宋体" w:cs="Times New Roman"/>
                <w:b w:val="0"/>
                <w:bCs w:val="0"/>
                <w:color w:val="auto"/>
                <w:sz w:val="24"/>
                <w:szCs w:val="24"/>
                <w:lang w:val="en-US" w:eastAsia="zh-CN"/>
              </w:rPr>
              <w:t>年</w:t>
            </w:r>
            <w:r>
              <w:rPr>
                <w:rFonts w:hint="eastAsia" w:cs="Times New Roman"/>
                <w:b w:val="0"/>
                <w:bCs w:val="0"/>
                <w:color w:val="auto"/>
                <w:sz w:val="24"/>
                <w:szCs w:val="24"/>
                <w:lang w:val="en-US" w:eastAsia="zh-CN"/>
              </w:rPr>
              <w:t>7</w:t>
            </w:r>
            <w:r>
              <w:rPr>
                <w:rFonts w:hint="default" w:ascii="Times New Roman" w:hAnsi="Times New Roman" w:eastAsia="宋体" w:cs="Times New Roman"/>
                <w:b w:val="0"/>
                <w:bCs w:val="0"/>
                <w:color w:val="auto"/>
                <w:sz w:val="24"/>
                <w:szCs w:val="24"/>
                <w:lang w:val="en-US" w:eastAsia="zh-CN"/>
              </w:rPr>
              <w:t>月</w:t>
            </w:r>
            <w:r>
              <w:rPr>
                <w:rFonts w:hint="eastAsia" w:cs="Times New Roman"/>
                <w:b w:val="0"/>
                <w:bCs w:val="0"/>
                <w:color w:val="auto"/>
                <w:sz w:val="24"/>
                <w:szCs w:val="24"/>
                <w:lang w:val="en-US" w:eastAsia="zh-CN"/>
              </w:rPr>
              <w:t>19</w:t>
            </w:r>
            <w:r>
              <w:rPr>
                <w:rFonts w:hint="default" w:ascii="Times New Roman" w:hAnsi="Times New Roman" w:eastAsia="宋体" w:cs="Times New Roman"/>
                <w:b w:val="0"/>
                <w:bCs w:val="0"/>
                <w:color w:val="auto"/>
                <w:sz w:val="24"/>
                <w:szCs w:val="24"/>
                <w:lang w:val="en-US" w:eastAsia="zh-CN"/>
              </w:rPr>
              <w:t>日-</w:t>
            </w:r>
            <w:r>
              <w:rPr>
                <w:rFonts w:hint="eastAsia" w:cs="Times New Roman"/>
                <w:b w:val="0"/>
                <w:bCs w:val="0"/>
                <w:color w:val="auto"/>
                <w:sz w:val="24"/>
                <w:szCs w:val="24"/>
                <w:lang w:val="en-US" w:eastAsia="zh-CN"/>
              </w:rPr>
              <w:t>21</w:t>
            </w:r>
            <w:r>
              <w:rPr>
                <w:rFonts w:hint="default" w:ascii="Times New Roman" w:hAnsi="Times New Roman" w:eastAsia="宋体" w:cs="Times New Roman"/>
                <w:b w:val="0"/>
                <w:bCs w:val="0"/>
                <w:color w:val="auto"/>
                <w:sz w:val="24"/>
                <w:szCs w:val="24"/>
                <w:lang w:val="en-US" w:eastAsia="zh-CN"/>
              </w:rPr>
              <w:t>日</w:t>
            </w:r>
            <w:r>
              <w:rPr>
                <w:rFonts w:hint="eastAsia"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监测信息见表3-2，监测结果见表3-3，监测点位见附图</w:t>
            </w:r>
            <w:r>
              <w:rPr>
                <w:rFonts w:hint="eastAsia" w:cs="Times New Roman"/>
                <w:b w:val="0"/>
                <w:bCs w:val="0"/>
                <w:color w:val="auto"/>
                <w:sz w:val="24"/>
                <w:szCs w:val="24"/>
                <w:lang w:val="en-US" w:eastAsia="zh-CN"/>
              </w:rPr>
              <w:t>四</w:t>
            </w:r>
            <w:r>
              <w:rPr>
                <w:rFonts w:hint="default" w:ascii="Times New Roman" w:hAnsi="Times New Roman" w:eastAsia="宋体" w:cs="Times New Roman"/>
                <w:b w:val="0"/>
                <w:bCs w:val="0"/>
                <w:color w:val="auto"/>
                <w:sz w:val="24"/>
                <w:szCs w:val="24"/>
                <w:lang w:val="en-US" w:eastAsia="zh-CN"/>
              </w:rPr>
              <w:t>。</w:t>
            </w:r>
          </w:p>
          <w:p w14:paraId="2701ED4E">
            <w:pPr>
              <w:spacing w:line="360" w:lineRule="auto"/>
              <w:jc w:val="center"/>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eastAsia="zh-CN"/>
              </w:rPr>
              <w:t>表</w:t>
            </w:r>
            <w:r>
              <w:rPr>
                <w:rFonts w:hint="eastAsia" w:ascii="Times New Roman" w:hAnsi="Times New Roman" w:eastAsia="宋体" w:cs="Times New Roman"/>
                <w:b/>
                <w:bCs/>
                <w:color w:val="auto"/>
                <w:sz w:val="24"/>
                <w:szCs w:val="24"/>
                <w:highlight w:val="none"/>
                <w:lang w:val="en-US" w:eastAsia="zh-CN"/>
              </w:rPr>
              <w:t>3-2  本项目大气环境监测布点情况</w:t>
            </w:r>
          </w:p>
          <w:tbl>
            <w:tblPr>
              <w:tblStyle w:val="10"/>
              <w:tblW w:w="5000"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52"/>
              <w:gridCol w:w="2089"/>
              <w:gridCol w:w="1491"/>
              <w:gridCol w:w="2188"/>
              <w:gridCol w:w="1559"/>
            </w:tblGrid>
            <w:tr w14:paraId="4CA1F5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c>
                <w:tcPr>
                  <w:tcW w:w="465" w:type="pct"/>
                  <w:tcBorders>
                    <w:tl2br w:val="nil"/>
                    <w:tr2bl w:val="nil"/>
                  </w:tcBorders>
                  <w:noWrap w:val="0"/>
                  <w:vAlign w:val="center"/>
                </w:tcPr>
                <w:p w14:paraId="3E6DCC43">
                  <w:pPr>
                    <w:tabs>
                      <w:tab w:val="left" w:pos="2352"/>
                    </w:tabs>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编号</w:t>
                  </w:r>
                </w:p>
              </w:tc>
              <w:tc>
                <w:tcPr>
                  <w:tcW w:w="1292" w:type="pct"/>
                  <w:tcBorders>
                    <w:tl2br w:val="nil"/>
                    <w:tr2bl w:val="nil"/>
                  </w:tcBorders>
                  <w:noWrap w:val="0"/>
                  <w:vAlign w:val="center"/>
                </w:tcPr>
                <w:p w14:paraId="53F41CDB">
                  <w:pPr>
                    <w:tabs>
                      <w:tab w:val="left" w:pos="2352"/>
                    </w:tabs>
                    <w:ind w:left="0" w:leftChars="0" w:firstLine="0" w:firstLine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位置</w:t>
                  </w:r>
                </w:p>
              </w:tc>
              <w:tc>
                <w:tcPr>
                  <w:tcW w:w="922" w:type="pct"/>
                  <w:tcBorders>
                    <w:tl2br w:val="nil"/>
                    <w:tr2bl w:val="nil"/>
                  </w:tcBorders>
                  <w:noWrap w:val="0"/>
                  <w:vAlign w:val="center"/>
                </w:tcPr>
                <w:p w14:paraId="50157A25">
                  <w:pPr>
                    <w:tabs>
                      <w:tab w:val="left" w:pos="2352"/>
                    </w:tabs>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相对</w:t>
                  </w:r>
                  <w:r>
                    <w:rPr>
                      <w:rFonts w:hint="eastAsia" w:ascii="Times New Roman" w:hAnsi="Times New Roman" w:cs="Times New Roman"/>
                      <w:color w:val="auto"/>
                      <w:sz w:val="21"/>
                      <w:szCs w:val="21"/>
                      <w:highlight w:val="none"/>
                      <w:lang w:val="en-US" w:eastAsia="zh-CN"/>
                    </w:rPr>
                    <w:t>厂址</w:t>
                  </w:r>
                  <w:r>
                    <w:rPr>
                      <w:rFonts w:hint="default" w:ascii="Times New Roman" w:hAnsi="Times New Roman" w:cs="Times New Roman"/>
                      <w:color w:val="auto"/>
                      <w:sz w:val="21"/>
                      <w:szCs w:val="21"/>
                      <w:highlight w:val="none"/>
                    </w:rPr>
                    <w:t>方位</w:t>
                  </w:r>
                </w:p>
              </w:tc>
              <w:tc>
                <w:tcPr>
                  <w:tcW w:w="1353" w:type="pct"/>
                  <w:tcBorders>
                    <w:tl2br w:val="nil"/>
                    <w:tr2bl w:val="nil"/>
                  </w:tcBorders>
                  <w:noWrap w:val="0"/>
                  <w:vAlign w:val="center"/>
                </w:tcPr>
                <w:p w14:paraId="6A674F9B">
                  <w:pPr>
                    <w:tabs>
                      <w:tab w:val="left" w:pos="2352"/>
                    </w:tabs>
                    <w:ind w:left="0" w:leftChars="0" w:firstLine="0" w:firstLineChars="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相对厂址</w:t>
                  </w:r>
                  <w:r>
                    <w:rPr>
                      <w:rFonts w:hint="default" w:ascii="Times New Roman" w:hAnsi="Times New Roman" w:cs="Times New Roman"/>
                      <w:color w:val="auto"/>
                      <w:sz w:val="21"/>
                      <w:szCs w:val="21"/>
                      <w:highlight w:val="none"/>
                    </w:rPr>
                    <w:t>距离（m）</w:t>
                  </w:r>
                </w:p>
              </w:tc>
              <w:tc>
                <w:tcPr>
                  <w:tcW w:w="964" w:type="pct"/>
                  <w:tcBorders>
                    <w:tl2br w:val="nil"/>
                    <w:tr2bl w:val="nil"/>
                  </w:tcBorders>
                  <w:noWrap w:val="0"/>
                  <w:vAlign w:val="center"/>
                </w:tcPr>
                <w:p w14:paraId="6F0B070F">
                  <w:pPr>
                    <w:tabs>
                      <w:tab w:val="left" w:pos="2352"/>
                    </w:tabs>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监测因子</w:t>
                  </w:r>
                </w:p>
              </w:tc>
            </w:tr>
            <w:tr w14:paraId="445B05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c>
                <w:tcPr>
                  <w:tcW w:w="465" w:type="pct"/>
                  <w:tcBorders>
                    <w:tl2br w:val="nil"/>
                    <w:tr2bl w:val="nil"/>
                  </w:tcBorders>
                  <w:noWrap w:val="0"/>
                  <w:vAlign w:val="center"/>
                </w:tcPr>
                <w:p w14:paraId="54CA0AC6">
                  <w:pPr>
                    <w:tabs>
                      <w:tab w:val="left" w:pos="2352"/>
                    </w:tabs>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G1</w:t>
                  </w:r>
                </w:p>
              </w:tc>
              <w:tc>
                <w:tcPr>
                  <w:tcW w:w="1292" w:type="pct"/>
                  <w:tcBorders>
                    <w:tl2br w:val="nil"/>
                    <w:tr2bl w:val="nil"/>
                  </w:tcBorders>
                  <w:noWrap w:val="0"/>
                  <w:vAlign w:val="center"/>
                </w:tcPr>
                <w:p w14:paraId="29FB7BB5">
                  <w:pPr>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厂界下风向</w:t>
                  </w:r>
                </w:p>
              </w:tc>
              <w:tc>
                <w:tcPr>
                  <w:tcW w:w="922" w:type="pct"/>
                  <w:tcBorders>
                    <w:tl2br w:val="nil"/>
                    <w:tr2bl w:val="nil"/>
                  </w:tcBorders>
                  <w:noWrap w:val="0"/>
                  <w:vAlign w:val="center"/>
                </w:tcPr>
                <w:p w14:paraId="676DC985">
                  <w:pPr>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西北</w:t>
                  </w:r>
                </w:p>
              </w:tc>
              <w:tc>
                <w:tcPr>
                  <w:tcW w:w="1353" w:type="pct"/>
                  <w:tcBorders>
                    <w:tl2br w:val="nil"/>
                    <w:tr2bl w:val="nil"/>
                  </w:tcBorders>
                  <w:noWrap w:val="0"/>
                  <w:vAlign w:val="center"/>
                </w:tcPr>
                <w:p w14:paraId="0B2636F8">
                  <w:pPr>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2000</w:t>
                  </w:r>
                </w:p>
              </w:tc>
              <w:tc>
                <w:tcPr>
                  <w:tcW w:w="964" w:type="pct"/>
                  <w:tcBorders>
                    <w:tl2br w:val="nil"/>
                    <w:tr2bl w:val="nil"/>
                  </w:tcBorders>
                  <w:noWrap w:val="0"/>
                  <w:vAlign w:val="center"/>
                </w:tcPr>
                <w:p w14:paraId="26AA19F1">
                  <w:pPr>
                    <w:tabs>
                      <w:tab w:val="left" w:pos="2352"/>
                    </w:tabs>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TSP、NOx</w:t>
                  </w:r>
                </w:p>
              </w:tc>
            </w:tr>
          </w:tbl>
          <w:p w14:paraId="18E3D2E1">
            <w:pPr>
              <w:spacing w:line="360" w:lineRule="auto"/>
              <w:jc w:val="center"/>
              <w:rPr>
                <w:rFonts w:hint="eastAsia" w:ascii="Times New Roman" w:hAnsi="Times New Roman" w:eastAsia="宋体" w:cs="Times New Roman"/>
                <w:b/>
                <w:bCs/>
                <w:color w:val="auto"/>
                <w:sz w:val="24"/>
                <w:szCs w:val="24"/>
                <w:highlight w:val="none"/>
                <w:lang w:val="en-US" w:eastAsia="zh-CN"/>
              </w:rPr>
            </w:pPr>
          </w:p>
          <w:p w14:paraId="2BA34F60">
            <w:pPr>
              <w:pStyle w:val="2"/>
              <w:rPr>
                <w:rFonts w:hint="eastAsia"/>
                <w:color w:val="auto"/>
                <w:lang w:val="en-US" w:eastAsia="zh-CN"/>
              </w:rPr>
            </w:pPr>
          </w:p>
          <w:p w14:paraId="610D77BD">
            <w:pPr>
              <w:spacing w:line="360" w:lineRule="auto"/>
              <w:jc w:val="center"/>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 3-3</w:t>
            </w:r>
            <w:r>
              <w:rPr>
                <w:rFonts w:hint="eastAsia" w:cs="Times New Roman"/>
                <w:b/>
                <w:bCs/>
                <w:color w:val="auto"/>
                <w:sz w:val="24"/>
                <w:szCs w:val="24"/>
                <w:highlight w:val="none"/>
                <w:lang w:val="en-US" w:eastAsia="zh-CN"/>
              </w:rPr>
              <w:t xml:space="preserve">  </w:t>
            </w:r>
            <w:r>
              <w:rPr>
                <w:rFonts w:hint="eastAsia" w:ascii="Times New Roman" w:hAnsi="Times New Roman" w:eastAsia="宋体" w:cs="Times New Roman"/>
                <w:b/>
                <w:bCs/>
                <w:color w:val="auto"/>
                <w:sz w:val="24"/>
                <w:szCs w:val="24"/>
                <w:highlight w:val="none"/>
                <w:lang w:val="en-US" w:eastAsia="zh-CN"/>
              </w:rPr>
              <w:t>大气环境质量现状监测</w:t>
            </w:r>
            <w:r>
              <w:rPr>
                <w:rFonts w:hint="eastAsia"/>
                <w:b/>
                <w:bCs/>
                <w:color w:val="auto"/>
                <w:sz w:val="24"/>
              </w:rPr>
              <w:t>结果</w:t>
            </w:r>
          </w:p>
          <w:tbl>
            <w:tblPr>
              <w:tblStyle w:val="10"/>
              <w:tblW w:w="484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083"/>
              <w:gridCol w:w="774"/>
              <w:gridCol w:w="970"/>
              <w:gridCol w:w="1180"/>
              <w:gridCol w:w="1060"/>
              <w:gridCol w:w="1227"/>
              <w:gridCol w:w="904"/>
              <w:gridCol w:w="634"/>
            </w:tblGrid>
            <w:tr w14:paraId="3E73B0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blHeader/>
                <w:jc w:val="center"/>
              </w:trPr>
              <w:tc>
                <w:tcPr>
                  <w:tcW w:w="691" w:type="pct"/>
                  <w:tcBorders>
                    <w:tl2br w:val="nil"/>
                    <w:tr2bl w:val="nil"/>
                  </w:tcBorders>
                  <w:noWrap w:val="0"/>
                  <w:vAlign w:val="center"/>
                </w:tcPr>
                <w:p w14:paraId="07852880">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监测点位</w:t>
                  </w:r>
                </w:p>
              </w:tc>
              <w:tc>
                <w:tcPr>
                  <w:tcW w:w="494" w:type="pct"/>
                  <w:tcBorders>
                    <w:tl2br w:val="nil"/>
                    <w:tr2bl w:val="nil"/>
                  </w:tcBorders>
                  <w:noWrap w:val="0"/>
                  <w:vAlign w:val="center"/>
                </w:tcPr>
                <w:p w14:paraId="34992122">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val="en-US" w:eastAsia="zh-CN"/>
                    </w:rPr>
                    <w:t>污染物</w:t>
                  </w:r>
                </w:p>
              </w:tc>
              <w:tc>
                <w:tcPr>
                  <w:tcW w:w="619" w:type="pct"/>
                  <w:tcBorders>
                    <w:tl2br w:val="nil"/>
                    <w:tr2bl w:val="nil"/>
                  </w:tcBorders>
                  <w:noWrap w:val="0"/>
                  <w:vAlign w:val="center"/>
                </w:tcPr>
                <w:p w14:paraId="0CAECE29">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val="en-US" w:eastAsia="zh-CN"/>
                    </w:rPr>
                    <w:t>平均时间</w:t>
                  </w:r>
                </w:p>
              </w:tc>
              <w:tc>
                <w:tcPr>
                  <w:tcW w:w="753" w:type="pct"/>
                  <w:tcBorders>
                    <w:tl2br w:val="nil"/>
                    <w:tr2bl w:val="nil"/>
                  </w:tcBorders>
                  <w:noWrap w:val="0"/>
                  <w:vAlign w:val="center"/>
                </w:tcPr>
                <w:p w14:paraId="6430515F">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评价标准／</w:t>
                  </w:r>
                  <w:r>
                    <w:rPr>
                      <w:rFonts w:hint="default" w:ascii="Times New Roman" w:hAnsi="Times New Roman" w:cs="Times New Roman"/>
                      <w:b w:val="0"/>
                      <w:bCs w:val="0"/>
                      <w:color w:val="auto"/>
                      <w:sz w:val="21"/>
                      <w:szCs w:val="21"/>
                      <w:highlight w:val="none"/>
                    </w:rPr>
                    <w:t>μg/m</w:t>
                  </w:r>
                  <w:r>
                    <w:rPr>
                      <w:rFonts w:hint="default" w:ascii="Times New Roman" w:hAnsi="Times New Roman" w:cs="Times New Roman"/>
                      <w:b w:val="0"/>
                      <w:bCs w:val="0"/>
                      <w:color w:val="auto"/>
                      <w:sz w:val="21"/>
                      <w:szCs w:val="21"/>
                      <w:highlight w:val="none"/>
                      <w:vertAlign w:val="superscript"/>
                    </w:rPr>
                    <w:t>3</w:t>
                  </w:r>
                </w:p>
              </w:tc>
              <w:tc>
                <w:tcPr>
                  <w:tcW w:w="676" w:type="pct"/>
                  <w:tcBorders>
                    <w:tl2br w:val="nil"/>
                    <w:tr2bl w:val="nil"/>
                  </w:tcBorders>
                  <w:noWrap w:val="0"/>
                  <w:vAlign w:val="center"/>
                </w:tcPr>
                <w:p w14:paraId="60E1AB63">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浓度范围</w:t>
                  </w:r>
                </w:p>
                <w:p w14:paraId="7A5A0DC6">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rPr>
                    <w:t>μg/m</w:t>
                  </w:r>
                  <w:r>
                    <w:rPr>
                      <w:rFonts w:hint="default" w:ascii="Times New Roman" w:hAnsi="Times New Roman" w:cs="Times New Roman"/>
                      <w:b w:val="0"/>
                      <w:bCs w:val="0"/>
                      <w:color w:val="auto"/>
                      <w:sz w:val="21"/>
                      <w:szCs w:val="21"/>
                      <w:highlight w:val="none"/>
                      <w:vertAlign w:val="superscript"/>
                    </w:rPr>
                    <w:t>3</w:t>
                  </w:r>
                </w:p>
              </w:tc>
              <w:tc>
                <w:tcPr>
                  <w:tcW w:w="783" w:type="pct"/>
                  <w:tcBorders>
                    <w:tl2br w:val="nil"/>
                    <w:tr2bl w:val="nil"/>
                  </w:tcBorders>
                  <w:noWrap w:val="0"/>
                  <w:vAlign w:val="center"/>
                </w:tcPr>
                <w:p w14:paraId="1D9E39E5">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最大浓度占标率／％</w:t>
                  </w:r>
                </w:p>
              </w:tc>
              <w:tc>
                <w:tcPr>
                  <w:tcW w:w="576" w:type="pct"/>
                  <w:tcBorders>
                    <w:tl2br w:val="nil"/>
                    <w:tr2bl w:val="nil"/>
                  </w:tcBorders>
                  <w:noWrap w:val="0"/>
                  <w:vAlign w:val="center"/>
                </w:tcPr>
                <w:p w14:paraId="75B5AA68">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超标率</w:t>
                  </w:r>
                </w:p>
                <w:p w14:paraId="2C39442F">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rPr>
                    <w:t>(%)</w:t>
                  </w:r>
                </w:p>
              </w:tc>
              <w:tc>
                <w:tcPr>
                  <w:tcW w:w="404" w:type="pct"/>
                  <w:tcBorders>
                    <w:tl2br w:val="nil"/>
                    <w:tr2bl w:val="nil"/>
                  </w:tcBorders>
                  <w:noWrap w:val="0"/>
                  <w:vAlign w:val="center"/>
                </w:tcPr>
                <w:p w14:paraId="307FF397">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达标情况</w:t>
                  </w:r>
                </w:p>
              </w:tc>
            </w:tr>
            <w:tr w14:paraId="716A22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691" w:type="pct"/>
                  <w:vMerge w:val="restart"/>
                  <w:tcBorders>
                    <w:tl2br w:val="nil"/>
                    <w:tr2bl w:val="nil"/>
                  </w:tcBorders>
                  <w:noWrap w:val="0"/>
                  <w:vAlign w:val="center"/>
                </w:tcPr>
                <w:p w14:paraId="7EA085BE">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rPr>
                    <w:t>厂区外下风向</w:t>
                  </w:r>
                  <w:r>
                    <w:rPr>
                      <w:rFonts w:hint="eastAsia" w:ascii="Times New Roman" w:hAnsi="Times New Roman" w:cs="Times New Roman"/>
                      <w:b w:val="0"/>
                      <w:bCs w:val="0"/>
                      <w:color w:val="auto"/>
                      <w:sz w:val="21"/>
                      <w:szCs w:val="21"/>
                      <w:highlight w:val="none"/>
                      <w:lang w:val="en-US" w:eastAsia="zh-CN"/>
                    </w:rPr>
                    <w:t>20</w:t>
                  </w:r>
                  <w:r>
                    <w:rPr>
                      <w:rFonts w:hint="default" w:ascii="Times New Roman" w:hAnsi="Times New Roman" w:cs="Times New Roman"/>
                      <w:b w:val="0"/>
                      <w:bCs w:val="0"/>
                      <w:color w:val="auto"/>
                      <w:sz w:val="21"/>
                      <w:szCs w:val="21"/>
                      <w:highlight w:val="none"/>
                      <w:lang w:val="en-US" w:eastAsia="zh-CN"/>
                    </w:rPr>
                    <w:t>00</w:t>
                  </w:r>
                  <w:r>
                    <w:rPr>
                      <w:rFonts w:hint="default" w:ascii="Times New Roman" w:hAnsi="Times New Roman" w:cs="Times New Roman"/>
                      <w:b w:val="0"/>
                      <w:bCs w:val="0"/>
                      <w:color w:val="auto"/>
                      <w:sz w:val="21"/>
                      <w:szCs w:val="21"/>
                      <w:highlight w:val="none"/>
                    </w:rPr>
                    <w:t>m处</w:t>
                  </w:r>
                </w:p>
              </w:tc>
              <w:tc>
                <w:tcPr>
                  <w:tcW w:w="494" w:type="pct"/>
                  <w:tcBorders>
                    <w:tl2br w:val="nil"/>
                    <w:tr2bl w:val="nil"/>
                  </w:tcBorders>
                  <w:noWrap w:val="0"/>
                  <w:vAlign w:val="center"/>
                </w:tcPr>
                <w:p w14:paraId="736D22C1">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TSP</w:t>
                  </w:r>
                </w:p>
              </w:tc>
              <w:tc>
                <w:tcPr>
                  <w:tcW w:w="619" w:type="pct"/>
                  <w:tcBorders>
                    <w:tl2br w:val="nil"/>
                    <w:tr2bl w:val="nil"/>
                  </w:tcBorders>
                  <w:noWrap w:val="0"/>
                  <w:vAlign w:val="center"/>
                </w:tcPr>
                <w:p w14:paraId="14678C0A">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24</w:t>
                  </w:r>
                  <w:r>
                    <w:rPr>
                      <w:rFonts w:hint="default" w:ascii="Times New Roman" w:hAnsi="Times New Roman" w:cs="Times New Roman"/>
                      <w:b w:val="0"/>
                      <w:bCs w:val="0"/>
                      <w:color w:val="auto"/>
                      <w:sz w:val="21"/>
                      <w:szCs w:val="21"/>
                      <w:highlight w:val="none"/>
                    </w:rPr>
                    <w:t>小时平均</w:t>
                  </w:r>
                </w:p>
              </w:tc>
              <w:tc>
                <w:tcPr>
                  <w:tcW w:w="753" w:type="pct"/>
                  <w:tcBorders>
                    <w:tl2br w:val="nil"/>
                    <w:tr2bl w:val="nil"/>
                  </w:tcBorders>
                  <w:noWrap w:val="0"/>
                  <w:vAlign w:val="center"/>
                </w:tcPr>
                <w:p w14:paraId="0D18C8B6">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300</w:t>
                  </w:r>
                </w:p>
              </w:tc>
              <w:tc>
                <w:tcPr>
                  <w:tcW w:w="676" w:type="pct"/>
                  <w:tcBorders>
                    <w:tl2br w:val="nil"/>
                    <w:tr2bl w:val="nil"/>
                  </w:tcBorders>
                  <w:noWrap w:val="0"/>
                  <w:vAlign w:val="center"/>
                </w:tcPr>
                <w:p w14:paraId="4CB5C47A">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251-263</w:t>
                  </w:r>
                </w:p>
              </w:tc>
              <w:tc>
                <w:tcPr>
                  <w:tcW w:w="783" w:type="pct"/>
                  <w:tcBorders>
                    <w:tl2br w:val="nil"/>
                    <w:tr2bl w:val="nil"/>
                  </w:tcBorders>
                  <w:noWrap w:val="0"/>
                  <w:vAlign w:val="center"/>
                </w:tcPr>
                <w:p w14:paraId="36390B86">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kern w:val="2"/>
                      <w:sz w:val="21"/>
                      <w:szCs w:val="21"/>
                      <w:highlight w:val="none"/>
                      <w:lang w:val="en-US" w:eastAsia="zh-CN" w:bidi="ar-SA"/>
                    </w:rPr>
                    <w:t>0.88</w:t>
                  </w:r>
                </w:p>
              </w:tc>
              <w:tc>
                <w:tcPr>
                  <w:tcW w:w="576" w:type="pct"/>
                  <w:tcBorders>
                    <w:tl2br w:val="nil"/>
                    <w:tr2bl w:val="nil"/>
                  </w:tcBorders>
                  <w:noWrap w:val="0"/>
                  <w:vAlign w:val="center"/>
                </w:tcPr>
                <w:p w14:paraId="3851ECCA">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rPr>
                    <w:t>0</w:t>
                  </w:r>
                </w:p>
              </w:tc>
              <w:tc>
                <w:tcPr>
                  <w:tcW w:w="404" w:type="pct"/>
                  <w:tcBorders>
                    <w:tl2br w:val="nil"/>
                    <w:tr2bl w:val="nil"/>
                  </w:tcBorders>
                  <w:noWrap w:val="0"/>
                  <w:vAlign w:val="center"/>
                </w:tcPr>
                <w:p w14:paraId="2B63B7DC">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达标</w:t>
                  </w:r>
                </w:p>
              </w:tc>
            </w:tr>
            <w:tr w14:paraId="0BC285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691" w:type="pct"/>
                  <w:vMerge w:val="continue"/>
                  <w:tcBorders>
                    <w:tl2br w:val="nil"/>
                    <w:tr2bl w:val="nil"/>
                  </w:tcBorders>
                  <w:noWrap w:val="0"/>
                  <w:vAlign w:val="center"/>
                </w:tcPr>
                <w:p w14:paraId="2F838634">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cs="Times New Roman"/>
                      <w:b w:val="0"/>
                      <w:bCs w:val="0"/>
                      <w:color w:val="auto"/>
                      <w:sz w:val="21"/>
                      <w:szCs w:val="21"/>
                      <w:highlight w:val="none"/>
                    </w:rPr>
                  </w:pPr>
                </w:p>
              </w:tc>
              <w:tc>
                <w:tcPr>
                  <w:tcW w:w="494" w:type="pct"/>
                  <w:tcBorders>
                    <w:tl2br w:val="nil"/>
                    <w:tr2bl w:val="nil"/>
                  </w:tcBorders>
                  <w:noWrap w:val="0"/>
                  <w:vAlign w:val="center"/>
                </w:tcPr>
                <w:p w14:paraId="501F2A35">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olor w:val="auto"/>
                      <w:szCs w:val="21"/>
                    </w:rPr>
                    <w:t>NOx</w:t>
                  </w:r>
                </w:p>
              </w:tc>
              <w:tc>
                <w:tcPr>
                  <w:tcW w:w="619" w:type="pct"/>
                  <w:tcBorders>
                    <w:tl2br w:val="nil"/>
                    <w:tr2bl w:val="nil"/>
                  </w:tcBorders>
                  <w:noWrap w:val="0"/>
                  <w:vAlign w:val="center"/>
                </w:tcPr>
                <w:p w14:paraId="663DFD90">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eastAsia="zh-CN"/>
                    </w:rPr>
                    <w:t>1小时平均</w:t>
                  </w:r>
                </w:p>
              </w:tc>
              <w:tc>
                <w:tcPr>
                  <w:tcW w:w="753" w:type="pct"/>
                  <w:tcBorders>
                    <w:tl2br w:val="nil"/>
                    <w:tr2bl w:val="nil"/>
                  </w:tcBorders>
                  <w:noWrap w:val="0"/>
                  <w:vAlign w:val="center"/>
                </w:tcPr>
                <w:p w14:paraId="07E67AAB">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250</w:t>
                  </w:r>
                </w:p>
              </w:tc>
              <w:tc>
                <w:tcPr>
                  <w:tcW w:w="676" w:type="pct"/>
                  <w:tcBorders>
                    <w:tl2br w:val="nil"/>
                    <w:tr2bl w:val="nil"/>
                  </w:tcBorders>
                  <w:noWrap w:val="0"/>
                  <w:vAlign w:val="center"/>
                </w:tcPr>
                <w:p w14:paraId="446C953F">
                  <w:pPr>
                    <w:keepNext w:val="0"/>
                    <w:keepLines w:val="0"/>
                    <w:pageBreakBefore w:val="0"/>
                    <w:widowControl/>
                    <w:kinsoku/>
                    <w:wordWrap/>
                    <w:overflowPunct/>
                    <w:topLinePunct w:val="0"/>
                    <w:bidi w:val="0"/>
                    <w:spacing w:line="240" w:lineRule="auto"/>
                    <w:ind w:firstLine="0" w:firstLineChars="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41-46</w:t>
                  </w:r>
                </w:p>
              </w:tc>
              <w:tc>
                <w:tcPr>
                  <w:tcW w:w="783" w:type="pct"/>
                  <w:tcBorders>
                    <w:tl2br w:val="nil"/>
                    <w:tr2bl w:val="nil"/>
                  </w:tcBorders>
                  <w:noWrap w:val="0"/>
                  <w:vAlign w:val="center"/>
                </w:tcPr>
                <w:p w14:paraId="0B53A191">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0.18</w:t>
                  </w:r>
                </w:p>
              </w:tc>
              <w:tc>
                <w:tcPr>
                  <w:tcW w:w="576" w:type="pct"/>
                  <w:tcBorders>
                    <w:tl2br w:val="nil"/>
                    <w:tr2bl w:val="nil"/>
                  </w:tcBorders>
                  <w:noWrap w:val="0"/>
                  <w:vAlign w:val="center"/>
                </w:tcPr>
                <w:p w14:paraId="3A2A1A5D">
                  <w:pPr>
                    <w:keepNext w:val="0"/>
                    <w:keepLines w:val="0"/>
                    <w:pageBreakBefore w:val="0"/>
                    <w:widowControl/>
                    <w:kinsoku/>
                    <w:wordWrap/>
                    <w:overflowPunct/>
                    <w:topLinePunct w:val="0"/>
                    <w:bidi w:val="0"/>
                    <w:spacing w:line="240" w:lineRule="auto"/>
                    <w:ind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w:t>
                  </w:r>
                </w:p>
              </w:tc>
              <w:tc>
                <w:tcPr>
                  <w:tcW w:w="404" w:type="pct"/>
                  <w:tcBorders>
                    <w:tl2br w:val="nil"/>
                    <w:tr2bl w:val="nil"/>
                  </w:tcBorders>
                  <w:noWrap w:val="0"/>
                  <w:vAlign w:val="center"/>
                </w:tcPr>
                <w:p w14:paraId="1A8F1002">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达标</w:t>
                  </w:r>
                </w:p>
              </w:tc>
            </w:tr>
          </w:tbl>
          <w:p w14:paraId="273CEE3B">
            <w:pPr>
              <w:keepNext w:val="0"/>
              <w:keepLines w:val="0"/>
              <w:pageBreakBefore w:val="0"/>
              <w:widowControl/>
              <w:tabs>
                <w:tab w:val="left" w:pos="922"/>
              </w:tabs>
              <w:kinsoku/>
              <w:wordWrap/>
              <w:overflowPunct/>
              <w:topLinePunct w:val="0"/>
              <w:autoSpaceDE/>
              <w:autoSpaceDN/>
              <w:bidi w:val="0"/>
              <w:adjustRightInd/>
              <w:snapToGrid/>
              <w:spacing w:line="480" w:lineRule="exact"/>
              <w:ind w:firstLine="480" w:firstLineChars="200"/>
              <w:jc w:val="left"/>
              <w:textAlignment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监测结果表明，项目区监测点的</w:t>
            </w:r>
            <w:r>
              <w:rPr>
                <w:rFonts w:hint="eastAsia" w:cs="Times New Roman"/>
                <w:b w:val="0"/>
                <w:bCs w:val="0"/>
                <w:color w:val="auto"/>
                <w:sz w:val="24"/>
                <w:szCs w:val="24"/>
                <w:lang w:val="en-US" w:eastAsia="zh-CN"/>
              </w:rPr>
              <w:t>TSP</w:t>
            </w:r>
            <w:r>
              <w:rPr>
                <w:rFonts w:hint="default" w:ascii="Times New Roman" w:hAnsi="Times New Roman" w:eastAsia="宋体" w:cs="Times New Roman"/>
                <w:b w:val="0"/>
                <w:bCs w:val="0"/>
                <w:color w:val="auto"/>
                <w:sz w:val="24"/>
                <w:szCs w:val="24"/>
                <w:lang w:val="en-US" w:eastAsia="zh-CN"/>
              </w:rPr>
              <w:t>、NOx</w:t>
            </w:r>
            <w:r>
              <w:rPr>
                <w:rFonts w:hint="eastAsia" w:cs="Times New Roman"/>
                <w:b w:val="0"/>
                <w:bCs w:val="0"/>
                <w:color w:val="auto"/>
                <w:sz w:val="24"/>
                <w:szCs w:val="24"/>
                <w:lang w:val="en-US" w:eastAsia="zh-CN"/>
              </w:rPr>
              <w:t>均满足《环境空气质量标准》（GB3095-2012）二级标准限值</w:t>
            </w:r>
            <w:r>
              <w:rPr>
                <w:rFonts w:hint="default" w:ascii="Times New Roman" w:hAnsi="Times New Roman" w:eastAsia="宋体" w:cs="Times New Roman"/>
                <w:b w:val="0"/>
                <w:bCs w:val="0"/>
                <w:color w:val="auto"/>
                <w:sz w:val="24"/>
                <w:szCs w:val="24"/>
                <w:lang w:val="en-US" w:eastAsia="zh-CN"/>
              </w:rPr>
              <w:t>。</w:t>
            </w:r>
          </w:p>
          <w:p w14:paraId="40812426">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jc w:val="both"/>
              <w:textAlignment w:val="center"/>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2、声环境质量现状</w:t>
            </w:r>
          </w:p>
          <w:p w14:paraId="4CB1D15B">
            <w:pPr>
              <w:pStyle w:val="21"/>
              <w:spacing w:line="360" w:lineRule="auto"/>
              <w:ind w:firstLine="480"/>
              <w:rPr>
                <w:color w:val="auto"/>
                <w:sz w:val="24"/>
                <w:lang w:val="en-US"/>
              </w:rPr>
            </w:pPr>
            <w:r>
              <w:rPr>
                <w:color w:val="auto"/>
                <w:sz w:val="24"/>
                <w:lang w:val="en-US"/>
              </w:rPr>
              <w:t>本项目位于鄂尔多斯市鄂托克旗内蒙古蒙西高新技术工业园区鄂尔多斯市蓝天白云环保材料有限责任公司厂区内，属于</w:t>
            </w:r>
            <w:r>
              <w:rPr>
                <w:rFonts w:hint="eastAsia"/>
                <w:color w:val="auto"/>
                <w:sz w:val="24"/>
                <w:lang w:val="en-US"/>
              </w:rPr>
              <w:t>3</w:t>
            </w:r>
            <w:r>
              <w:rPr>
                <w:color w:val="auto"/>
                <w:sz w:val="24"/>
                <w:lang w:val="en-US"/>
              </w:rPr>
              <w:t>类声环境功能区。项目声环境质量现状委托内蒙古长达监测有限公司进行监测并出具环境质量现状监测报告。监测时间为202</w:t>
            </w:r>
            <w:r>
              <w:rPr>
                <w:rFonts w:hint="eastAsia"/>
                <w:color w:val="auto"/>
                <w:sz w:val="24"/>
                <w:lang w:val="en-US"/>
              </w:rPr>
              <w:t>3</w:t>
            </w:r>
            <w:r>
              <w:rPr>
                <w:color w:val="auto"/>
                <w:sz w:val="24"/>
                <w:lang w:val="en-US"/>
              </w:rPr>
              <w:t>年</w:t>
            </w:r>
            <w:r>
              <w:rPr>
                <w:rFonts w:hint="eastAsia"/>
                <w:color w:val="auto"/>
                <w:sz w:val="24"/>
                <w:lang w:val="en-US"/>
              </w:rPr>
              <w:t>7</w:t>
            </w:r>
            <w:r>
              <w:rPr>
                <w:color w:val="auto"/>
                <w:sz w:val="24"/>
                <w:lang w:val="en-US"/>
              </w:rPr>
              <w:t>月</w:t>
            </w:r>
            <w:r>
              <w:rPr>
                <w:rFonts w:hint="eastAsia"/>
                <w:color w:val="auto"/>
                <w:sz w:val="24"/>
                <w:lang w:val="en-US"/>
              </w:rPr>
              <w:t>19</w:t>
            </w:r>
            <w:r>
              <w:rPr>
                <w:color w:val="auto"/>
                <w:sz w:val="24"/>
                <w:lang w:val="en-US"/>
              </w:rPr>
              <w:t>日。</w:t>
            </w:r>
            <w:r>
              <w:rPr>
                <w:rFonts w:hint="eastAsia"/>
                <w:color w:val="auto"/>
                <w:sz w:val="24"/>
                <w:lang w:val="en-US"/>
              </w:rPr>
              <w:t>具体监测布点见表3-4，监测结果见表3-5。</w:t>
            </w:r>
          </w:p>
          <w:p w14:paraId="32C2976E">
            <w:pPr>
              <w:pStyle w:val="21"/>
              <w:spacing w:line="360" w:lineRule="auto"/>
              <w:ind w:firstLine="482"/>
              <w:jc w:val="center"/>
              <w:rPr>
                <w:b/>
                <w:bCs/>
                <w:color w:val="auto"/>
                <w:sz w:val="24"/>
                <w:lang w:val="en-US"/>
              </w:rPr>
            </w:pPr>
            <w:r>
              <w:rPr>
                <w:rFonts w:hint="eastAsia"/>
                <w:b/>
                <w:bCs/>
                <w:color w:val="auto"/>
                <w:sz w:val="24"/>
                <w:lang w:val="en-US"/>
              </w:rPr>
              <w:t>表3-4  本项目声环境监测布点情况</w:t>
            </w:r>
          </w:p>
          <w:tbl>
            <w:tblPr>
              <w:tblStyle w:val="1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20"/>
              <w:gridCol w:w="2020"/>
              <w:gridCol w:w="2018"/>
              <w:gridCol w:w="2018"/>
            </w:tblGrid>
            <w:tr w14:paraId="087B0F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tcBorders>
                    <w:tl2br w:val="nil"/>
                    <w:tr2bl w:val="nil"/>
                  </w:tcBorders>
                  <w:vAlign w:val="center"/>
                </w:tcPr>
                <w:p w14:paraId="0EFF2127">
                  <w:pPr>
                    <w:pStyle w:val="22"/>
                    <w:rPr>
                      <w:color w:val="auto"/>
                    </w:rPr>
                  </w:pPr>
                  <w:r>
                    <w:rPr>
                      <w:color w:val="auto"/>
                    </w:rPr>
                    <w:t>点位编号</w:t>
                  </w:r>
                </w:p>
              </w:tc>
              <w:tc>
                <w:tcPr>
                  <w:tcW w:w="1250" w:type="pct"/>
                  <w:tcBorders>
                    <w:tl2br w:val="nil"/>
                    <w:tr2bl w:val="nil"/>
                  </w:tcBorders>
                  <w:vAlign w:val="center"/>
                </w:tcPr>
                <w:p w14:paraId="2A2F3869">
                  <w:pPr>
                    <w:pStyle w:val="22"/>
                    <w:rPr>
                      <w:color w:val="auto"/>
                    </w:rPr>
                  </w:pPr>
                  <w:r>
                    <w:rPr>
                      <w:color w:val="auto"/>
                    </w:rPr>
                    <w:t>位置</w:t>
                  </w:r>
                </w:p>
              </w:tc>
              <w:tc>
                <w:tcPr>
                  <w:tcW w:w="1249" w:type="pct"/>
                  <w:tcBorders>
                    <w:tl2br w:val="nil"/>
                    <w:tr2bl w:val="nil"/>
                  </w:tcBorders>
                  <w:vAlign w:val="center"/>
                </w:tcPr>
                <w:p w14:paraId="4C8427AF">
                  <w:pPr>
                    <w:pStyle w:val="22"/>
                    <w:rPr>
                      <w:color w:val="auto"/>
                    </w:rPr>
                  </w:pPr>
                  <w:r>
                    <w:rPr>
                      <w:color w:val="auto"/>
                    </w:rPr>
                    <w:t>监测因子</w:t>
                  </w:r>
                </w:p>
              </w:tc>
              <w:tc>
                <w:tcPr>
                  <w:tcW w:w="1249" w:type="pct"/>
                  <w:tcBorders>
                    <w:tl2br w:val="nil"/>
                    <w:tr2bl w:val="nil"/>
                  </w:tcBorders>
                  <w:vAlign w:val="center"/>
                </w:tcPr>
                <w:p w14:paraId="1AEE3352">
                  <w:pPr>
                    <w:pStyle w:val="22"/>
                    <w:rPr>
                      <w:color w:val="auto"/>
                    </w:rPr>
                  </w:pPr>
                  <w:r>
                    <w:rPr>
                      <w:color w:val="auto"/>
                    </w:rPr>
                    <w:t>标准</w:t>
                  </w:r>
                </w:p>
              </w:tc>
            </w:tr>
            <w:tr w14:paraId="048540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tcBorders>
                    <w:tl2br w:val="nil"/>
                    <w:tr2bl w:val="nil"/>
                  </w:tcBorders>
                  <w:vAlign w:val="center"/>
                </w:tcPr>
                <w:p w14:paraId="3F0BEBB2">
                  <w:pPr>
                    <w:pStyle w:val="22"/>
                    <w:rPr>
                      <w:color w:val="auto"/>
                    </w:rPr>
                  </w:pPr>
                  <w:r>
                    <w:rPr>
                      <w:color w:val="auto"/>
                    </w:rPr>
                    <w:t>N1</w:t>
                  </w:r>
                </w:p>
              </w:tc>
              <w:tc>
                <w:tcPr>
                  <w:tcW w:w="1250" w:type="pct"/>
                  <w:tcBorders>
                    <w:tl2br w:val="nil"/>
                    <w:tr2bl w:val="nil"/>
                  </w:tcBorders>
                  <w:vAlign w:val="center"/>
                </w:tcPr>
                <w:p w14:paraId="0A47DCB2">
                  <w:pPr>
                    <w:pStyle w:val="22"/>
                    <w:rPr>
                      <w:color w:val="auto"/>
                    </w:rPr>
                  </w:pPr>
                  <w:r>
                    <w:rPr>
                      <w:color w:val="auto"/>
                    </w:rPr>
                    <w:t>厂界东侧1m处</w:t>
                  </w:r>
                </w:p>
              </w:tc>
              <w:tc>
                <w:tcPr>
                  <w:tcW w:w="1249" w:type="pct"/>
                  <w:vMerge w:val="restart"/>
                  <w:tcBorders>
                    <w:tl2br w:val="nil"/>
                    <w:tr2bl w:val="nil"/>
                  </w:tcBorders>
                  <w:vAlign w:val="center"/>
                </w:tcPr>
                <w:p w14:paraId="04DE5A61">
                  <w:pPr>
                    <w:pStyle w:val="22"/>
                    <w:rPr>
                      <w:color w:val="auto"/>
                    </w:rPr>
                  </w:pPr>
                  <w:r>
                    <w:rPr>
                      <w:color w:val="auto"/>
                    </w:rPr>
                    <w:t>等效连续A声级（Leq（A））</w:t>
                  </w:r>
                </w:p>
              </w:tc>
              <w:tc>
                <w:tcPr>
                  <w:tcW w:w="1249" w:type="pct"/>
                  <w:vMerge w:val="restart"/>
                  <w:tcBorders>
                    <w:tl2br w:val="nil"/>
                    <w:tr2bl w:val="nil"/>
                  </w:tcBorders>
                  <w:vAlign w:val="center"/>
                </w:tcPr>
                <w:p w14:paraId="72CD83A5">
                  <w:pPr>
                    <w:pStyle w:val="22"/>
                    <w:rPr>
                      <w:color w:val="auto"/>
                    </w:rPr>
                  </w:pPr>
                  <w:r>
                    <w:rPr>
                      <w:color w:val="auto"/>
                    </w:rPr>
                    <w:t>《声环境质量标准》（GB3096-2008）</w:t>
                  </w:r>
                </w:p>
                <w:p w14:paraId="145988DD">
                  <w:pPr>
                    <w:pStyle w:val="22"/>
                    <w:rPr>
                      <w:color w:val="auto"/>
                    </w:rPr>
                  </w:pPr>
                  <w:r>
                    <w:rPr>
                      <w:rFonts w:hint="eastAsia"/>
                      <w:color w:val="auto"/>
                    </w:rPr>
                    <w:t>3</w:t>
                  </w:r>
                  <w:r>
                    <w:rPr>
                      <w:color w:val="auto"/>
                    </w:rPr>
                    <w:t>类标准限值</w:t>
                  </w:r>
                </w:p>
              </w:tc>
            </w:tr>
            <w:tr w14:paraId="58DF7D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tcBorders>
                    <w:tl2br w:val="nil"/>
                    <w:tr2bl w:val="nil"/>
                  </w:tcBorders>
                  <w:vAlign w:val="center"/>
                </w:tcPr>
                <w:p w14:paraId="6BBAF450">
                  <w:pPr>
                    <w:pStyle w:val="22"/>
                    <w:rPr>
                      <w:color w:val="auto"/>
                    </w:rPr>
                  </w:pPr>
                  <w:r>
                    <w:rPr>
                      <w:color w:val="auto"/>
                    </w:rPr>
                    <w:t>N2</w:t>
                  </w:r>
                </w:p>
              </w:tc>
              <w:tc>
                <w:tcPr>
                  <w:tcW w:w="1250" w:type="pct"/>
                  <w:tcBorders>
                    <w:tl2br w:val="nil"/>
                    <w:tr2bl w:val="nil"/>
                  </w:tcBorders>
                  <w:vAlign w:val="center"/>
                </w:tcPr>
                <w:p w14:paraId="15B07FB4">
                  <w:pPr>
                    <w:pStyle w:val="22"/>
                    <w:rPr>
                      <w:color w:val="auto"/>
                    </w:rPr>
                  </w:pPr>
                  <w:r>
                    <w:rPr>
                      <w:color w:val="auto"/>
                    </w:rPr>
                    <w:t>厂界南侧1m处</w:t>
                  </w:r>
                </w:p>
              </w:tc>
              <w:tc>
                <w:tcPr>
                  <w:tcW w:w="1249" w:type="pct"/>
                  <w:vMerge w:val="continue"/>
                  <w:tcBorders>
                    <w:tl2br w:val="nil"/>
                    <w:tr2bl w:val="nil"/>
                  </w:tcBorders>
                  <w:vAlign w:val="center"/>
                </w:tcPr>
                <w:p w14:paraId="33E12B1F">
                  <w:pPr>
                    <w:pStyle w:val="22"/>
                    <w:rPr>
                      <w:color w:val="auto"/>
                    </w:rPr>
                  </w:pPr>
                </w:p>
              </w:tc>
              <w:tc>
                <w:tcPr>
                  <w:tcW w:w="1249" w:type="pct"/>
                  <w:vMerge w:val="continue"/>
                  <w:tcBorders>
                    <w:tl2br w:val="nil"/>
                    <w:tr2bl w:val="nil"/>
                  </w:tcBorders>
                  <w:vAlign w:val="center"/>
                </w:tcPr>
                <w:p w14:paraId="6873D05D">
                  <w:pPr>
                    <w:pStyle w:val="22"/>
                    <w:rPr>
                      <w:color w:val="auto"/>
                    </w:rPr>
                  </w:pPr>
                </w:p>
              </w:tc>
            </w:tr>
            <w:tr w14:paraId="711680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tcBorders>
                    <w:tl2br w:val="nil"/>
                    <w:tr2bl w:val="nil"/>
                  </w:tcBorders>
                  <w:vAlign w:val="center"/>
                </w:tcPr>
                <w:p w14:paraId="56B4C46D">
                  <w:pPr>
                    <w:pStyle w:val="22"/>
                    <w:rPr>
                      <w:color w:val="auto"/>
                    </w:rPr>
                  </w:pPr>
                  <w:r>
                    <w:rPr>
                      <w:color w:val="auto"/>
                    </w:rPr>
                    <w:t>N3</w:t>
                  </w:r>
                </w:p>
              </w:tc>
              <w:tc>
                <w:tcPr>
                  <w:tcW w:w="1250" w:type="pct"/>
                  <w:tcBorders>
                    <w:tl2br w:val="nil"/>
                    <w:tr2bl w:val="nil"/>
                  </w:tcBorders>
                  <w:vAlign w:val="center"/>
                </w:tcPr>
                <w:p w14:paraId="5956A743">
                  <w:pPr>
                    <w:pStyle w:val="22"/>
                    <w:rPr>
                      <w:color w:val="auto"/>
                    </w:rPr>
                  </w:pPr>
                  <w:r>
                    <w:rPr>
                      <w:color w:val="auto"/>
                    </w:rPr>
                    <w:t>厂界西侧1m处</w:t>
                  </w:r>
                </w:p>
              </w:tc>
              <w:tc>
                <w:tcPr>
                  <w:tcW w:w="1249" w:type="pct"/>
                  <w:vMerge w:val="continue"/>
                  <w:tcBorders>
                    <w:tl2br w:val="nil"/>
                    <w:tr2bl w:val="nil"/>
                  </w:tcBorders>
                  <w:vAlign w:val="center"/>
                </w:tcPr>
                <w:p w14:paraId="7512291C">
                  <w:pPr>
                    <w:pStyle w:val="22"/>
                    <w:rPr>
                      <w:color w:val="auto"/>
                    </w:rPr>
                  </w:pPr>
                </w:p>
              </w:tc>
              <w:tc>
                <w:tcPr>
                  <w:tcW w:w="1249" w:type="pct"/>
                  <w:vMerge w:val="continue"/>
                  <w:tcBorders>
                    <w:tl2br w:val="nil"/>
                    <w:tr2bl w:val="nil"/>
                  </w:tcBorders>
                  <w:vAlign w:val="center"/>
                </w:tcPr>
                <w:p w14:paraId="343292FD">
                  <w:pPr>
                    <w:pStyle w:val="22"/>
                    <w:rPr>
                      <w:color w:val="auto"/>
                    </w:rPr>
                  </w:pPr>
                </w:p>
              </w:tc>
            </w:tr>
            <w:tr w14:paraId="323062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1250" w:type="pct"/>
                  <w:tcBorders>
                    <w:tl2br w:val="nil"/>
                    <w:tr2bl w:val="nil"/>
                  </w:tcBorders>
                  <w:vAlign w:val="center"/>
                </w:tcPr>
                <w:p w14:paraId="20629844">
                  <w:pPr>
                    <w:pStyle w:val="22"/>
                    <w:rPr>
                      <w:color w:val="auto"/>
                    </w:rPr>
                  </w:pPr>
                  <w:r>
                    <w:rPr>
                      <w:color w:val="auto"/>
                    </w:rPr>
                    <w:t>N4</w:t>
                  </w:r>
                </w:p>
              </w:tc>
              <w:tc>
                <w:tcPr>
                  <w:tcW w:w="1250" w:type="pct"/>
                  <w:tcBorders>
                    <w:tl2br w:val="nil"/>
                    <w:tr2bl w:val="nil"/>
                  </w:tcBorders>
                  <w:vAlign w:val="center"/>
                </w:tcPr>
                <w:p w14:paraId="4DB341CF">
                  <w:pPr>
                    <w:pStyle w:val="22"/>
                    <w:rPr>
                      <w:color w:val="auto"/>
                    </w:rPr>
                  </w:pPr>
                  <w:r>
                    <w:rPr>
                      <w:color w:val="auto"/>
                    </w:rPr>
                    <w:t>厂界北侧1m处</w:t>
                  </w:r>
                </w:p>
              </w:tc>
              <w:tc>
                <w:tcPr>
                  <w:tcW w:w="1249" w:type="pct"/>
                  <w:vMerge w:val="continue"/>
                  <w:tcBorders>
                    <w:tl2br w:val="nil"/>
                    <w:tr2bl w:val="nil"/>
                  </w:tcBorders>
                  <w:vAlign w:val="center"/>
                </w:tcPr>
                <w:p w14:paraId="05F15378">
                  <w:pPr>
                    <w:pStyle w:val="22"/>
                    <w:rPr>
                      <w:color w:val="auto"/>
                    </w:rPr>
                  </w:pPr>
                </w:p>
              </w:tc>
              <w:tc>
                <w:tcPr>
                  <w:tcW w:w="1249" w:type="pct"/>
                  <w:vMerge w:val="continue"/>
                  <w:tcBorders>
                    <w:tl2br w:val="nil"/>
                    <w:tr2bl w:val="nil"/>
                  </w:tcBorders>
                  <w:vAlign w:val="center"/>
                </w:tcPr>
                <w:p w14:paraId="7D3E6E89">
                  <w:pPr>
                    <w:pStyle w:val="22"/>
                    <w:rPr>
                      <w:color w:val="auto"/>
                    </w:rPr>
                  </w:pPr>
                </w:p>
              </w:tc>
            </w:tr>
          </w:tbl>
          <w:p w14:paraId="60AA4F30">
            <w:pPr>
              <w:pStyle w:val="21"/>
              <w:spacing w:line="360" w:lineRule="auto"/>
              <w:ind w:firstLine="482"/>
              <w:jc w:val="center"/>
              <w:rPr>
                <w:b/>
                <w:bCs/>
                <w:color w:val="auto"/>
                <w:sz w:val="24"/>
                <w:lang w:val="en-US"/>
              </w:rPr>
            </w:pPr>
            <w:r>
              <w:rPr>
                <w:rFonts w:hint="eastAsia"/>
                <w:b/>
                <w:bCs/>
                <w:color w:val="auto"/>
                <w:sz w:val="24"/>
                <w:lang w:val="en-US"/>
              </w:rPr>
              <w:t>表3-5  本项目声环境监测结果</w:t>
            </w:r>
          </w:p>
          <w:tbl>
            <w:tblPr>
              <w:tblStyle w:val="11"/>
              <w:tblW w:w="496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85"/>
              <w:gridCol w:w="2913"/>
              <w:gridCol w:w="2928"/>
            </w:tblGrid>
            <w:tr w14:paraId="29AA32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3"/>
                  <w:tcBorders>
                    <w:tl2br w:val="nil"/>
                    <w:tr2bl w:val="nil"/>
                  </w:tcBorders>
                  <w:vAlign w:val="center"/>
                </w:tcPr>
                <w:p w14:paraId="1C14DA37">
                  <w:pPr>
                    <w:widowControl/>
                    <w:jc w:val="center"/>
                    <w:rPr>
                      <w:rFonts w:ascii="宋体" w:hAnsi="宋体"/>
                      <w:b/>
                      <w:color w:val="auto"/>
                      <w:szCs w:val="21"/>
                    </w:rPr>
                  </w:pPr>
                  <w:r>
                    <w:rPr>
                      <w:rFonts w:hint="eastAsia" w:ascii="宋体" w:hAnsi="宋体"/>
                      <w:b/>
                      <w:color w:val="auto"/>
                      <w:szCs w:val="21"/>
                    </w:rPr>
                    <w:t>检测结果L</w:t>
                  </w:r>
                  <w:r>
                    <w:rPr>
                      <w:rFonts w:hint="eastAsia" w:ascii="宋体" w:hAnsi="宋体"/>
                      <w:b/>
                      <w:color w:val="auto"/>
                      <w:szCs w:val="21"/>
                      <w:vertAlign w:val="subscript"/>
                    </w:rPr>
                    <w:t>eq</w:t>
                  </w:r>
                  <w:r>
                    <w:rPr>
                      <w:rFonts w:hint="eastAsia" w:ascii="宋体" w:hAnsi="宋体"/>
                      <w:b/>
                      <w:color w:val="auto"/>
                      <w:szCs w:val="21"/>
                    </w:rPr>
                    <w:t xml:space="preserve"> 单位：dB（A）</w:t>
                  </w:r>
                </w:p>
              </w:tc>
            </w:tr>
            <w:tr w14:paraId="79F869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1" w:type="pct"/>
                  <w:tcBorders>
                    <w:tl2br w:val="nil"/>
                    <w:tr2bl w:val="nil"/>
                  </w:tcBorders>
                  <w:vAlign w:val="center"/>
                </w:tcPr>
                <w:p w14:paraId="5E54F32B">
                  <w:pPr>
                    <w:widowControl/>
                    <w:jc w:val="center"/>
                    <w:rPr>
                      <w:rFonts w:ascii="宋体" w:hAnsi="宋体"/>
                      <w:b/>
                      <w:color w:val="auto"/>
                      <w:szCs w:val="21"/>
                    </w:rPr>
                  </w:pPr>
                  <w:r>
                    <w:rPr>
                      <w:rFonts w:hint="eastAsia" w:ascii="宋体" w:hAnsi="宋体"/>
                      <w:b/>
                      <w:color w:val="auto"/>
                      <w:szCs w:val="21"/>
                    </w:rPr>
                    <w:t>检测日期</w:t>
                  </w:r>
                </w:p>
              </w:tc>
              <w:tc>
                <w:tcPr>
                  <w:tcW w:w="3638" w:type="pct"/>
                  <w:gridSpan w:val="2"/>
                  <w:tcBorders>
                    <w:tl2br w:val="nil"/>
                    <w:tr2bl w:val="nil"/>
                  </w:tcBorders>
                  <w:vAlign w:val="center"/>
                </w:tcPr>
                <w:p w14:paraId="3648BD02">
                  <w:pPr>
                    <w:jc w:val="center"/>
                    <w:rPr>
                      <w:rFonts w:ascii="宋体" w:hAnsi="宋体"/>
                      <w:color w:val="auto"/>
                      <w:szCs w:val="21"/>
                    </w:rPr>
                  </w:pPr>
                  <w:r>
                    <w:rPr>
                      <w:rFonts w:hint="eastAsia" w:ascii="宋体" w:hAnsi="宋体"/>
                      <w:color w:val="auto"/>
                      <w:szCs w:val="21"/>
                    </w:rPr>
                    <w:t>2023.07.19</w:t>
                  </w:r>
                </w:p>
              </w:tc>
            </w:tr>
            <w:tr w14:paraId="4EB53F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1" w:type="pct"/>
                  <w:tcBorders>
                    <w:tl2br w:val="nil"/>
                    <w:tr2bl w:val="nil"/>
                  </w:tcBorders>
                  <w:vAlign w:val="center"/>
                </w:tcPr>
                <w:p w14:paraId="202FF199">
                  <w:pPr>
                    <w:widowControl/>
                    <w:jc w:val="center"/>
                    <w:rPr>
                      <w:rFonts w:ascii="宋体" w:hAnsi="宋体"/>
                      <w:b/>
                      <w:color w:val="auto"/>
                      <w:szCs w:val="21"/>
                    </w:rPr>
                  </w:pPr>
                  <w:r>
                    <w:rPr>
                      <w:rFonts w:hint="eastAsia" w:ascii="宋体" w:hAnsi="宋体"/>
                      <w:b/>
                      <w:color w:val="auto"/>
                      <w:szCs w:val="21"/>
                    </w:rPr>
                    <w:t>检测点位</w:t>
                  </w:r>
                </w:p>
              </w:tc>
              <w:tc>
                <w:tcPr>
                  <w:tcW w:w="1815" w:type="pct"/>
                  <w:tcBorders>
                    <w:tl2br w:val="nil"/>
                    <w:tr2bl w:val="nil"/>
                  </w:tcBorders>
                  <w:vAlign w:val="center"/>
                </w:tcPr>
                <w:p w14:paraId="42AB3933">
                  <w:pPr>
                    <w:widowControl/>
                    <w:jc w:val="center"/>
                    <w:rPr>
                      <w:rFonts w:ascii="宋体" w:hAnsi="宋体"/>
                      <w:b/>
                      <w:color w:val="auto"/>
                      <w:szCs w:val="21"/>
                    </w:rPr>
                  </w:pPr>
                  <w:r>
                    <w:rPr>
                      <w:rFonts w:hint="eastAsia" w:ascii="宋体" w:hAnsi="宋体"/>
                      <w:b/>
                      <w:color w:val="auto"/>
                      <w:szCs w:val="21"/>
                    </w:rPr>
                    <w:t>昼间</w:t>
                  </w:r>
                </w:p>
                <w:p w14:paraId="50CE9580">
                  <w:pPr>
                    <w:widowControl/>
                    <w:jc w:val="center"/>
                    <w:rPr>
                      <w:rFonts w:ascii="宋体" w:hAnsi="宋体"/>
                      <w:b/>
                      <w:color w:val="auto"/>
                      <w:szCs w:val="21"/>
                    </w:rPr>
                  </w:pPr>
                  <w:r>
                    <w:rPr>
                      <w:rFonts w:hint="eastAsia" w:ascii="宋体" w:hAnsi="宋体"/>
                      <w:b/>
                      <w:color w:val="auto"/>
                      <w:szCs w:val="21"/>
                    </w:rPr>
                    <w:t>(06：00-22：00）</w:t>
                  </w:r>
                </w:p>
              </w:tc>
              <w:tc>
                <w:tcPr>
                  <w:tcW w:w="1823" w:type="pct"/>
                  <w:tcBorders>
                    <w:tl2br w:val="nil"/>
                    <w:tr2bl w:val="nil"/>
                  </w:tcBorders>
                  <w:vAlign w:val="center"/>
                </w:tcPr>
                <w:p w14:paraId="0500736D">
                  <w:pPr>
                    <w:widowControl/>
                    <w:jc w:val="center"/>
                    <w:rPr>
                      <w:rFonts w:ascii="宋体" w:hAnsi="宋体"/>
                      <w:b/>
                      <w:color w:val="auto"/>
                      <w:szCs w:val="21"/>
                    </w:rPr>
                  </w:pPr>
                  <w:r>
                    <w:rPr>
                      <w:rFonts w:hint="eastAsia" w:ascii="宋体" w:hAnsi="宋体"/>
                      <w:b/>
                      <w:color w:val="auto"/>
                      <w:szCs w:val="21"/>
                    </w:rPr>
                    <w:t>夜间</w:t>
                  </w:r>
                </w:p>
                <w:p w14:paraId="69FB1735">
                  <w:pPr>
                    <w:widowControl/>
                    <w:jc w:val="center"/>
                    <w:rPr>
                      <w:rFonts w:ascii="宋体" w:hAnsi="宋体"/>
                      <w:b/>
                      <w:color w:val="auto"/>
                      <w:szCs w:val="21"/>
                    </w:rPr>
                  </w:pPr>
                  <w:r>
                    <w:rPr>
                      <w:rFonts w:hint="eastAsia" w:ascii="宋体" w:hAnsi="宋体"/>
                      <w:b/>
                      <w:color w:val="auto"/>
                      <w:szCs w:val="21"/>
                    </w:rPr>
                    <w:t>（22：00-06：00）</w:t>
                  </w:r>
                </w:p>
              </w:tc>
            </w:tr>
            <w:tr w14:paraId="1B941C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5000" w:type="pct"/>
                  <w:gridSpan w:val="3"/>
                  <w:tcBorders>
                    <w:tl2br w:val="nil"/>
                    <w:tr2bl w:val="nil"/>
                  </w:tcBorders>
                  <w:vAlign w:val="center"/>
                </w:tcPr>
                <w:p w14:paraId="5ADACE9D">
                  <w:pPr>
                    <w:jc w:val="center"/>
                    <w:rPr>
                      <w:rFonts w:ascii="宋体" w:hAnsi="宋体"/>
                      <w:bCs/>
                      <w:color w:val="auto"/>
                      <w:szCs w:val="21"/>
                    </w:rPr>
                  </w:pPr>
                  <w:r>
                    <w:rPr>
                      <w:rFonts w:hint="eastAsia" w:ascii="宋体" w:hAnsi="宋体"/>
                      <w:bCs/>
                      <w:color w:val="auto"/>
                      <w:szCs w:val="21"/>
                    </w:rPr>
                    <w:t>厂界四周</w:t>
                  </w:r>
                </w:p>
              </w:tc>
            </w:tr>
            <w:tr w14:paraId="48A73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361" w:type="pct"/>
                  <w:tcBorders>
                    <w:tl2br w:val="nil"/>
                    <w:tr2bl w:val="nil"/>
                  </w:tcBorders>
                  <w:vAlign w:val="center"/>
                </w:tcPr>
                <w:p w14:paraId="4BBE77AD">
                  <w:pPr>
                    <w:tabs>
                      <w:tab w:val="center" w:pos="1301"/>
                      <w:tab w:val="right" w:pos="2482"/>
                    </w:tabs>
                    <w:jc w:val="center"/>
                    <w:rPr>
                      <w:rFonts w:ascii="宋体" w:hAnsi="宋体"/>
                      <w:bCs/>
                      <w:color w:val="auto"/>
                      <w:szCs w:val="21"/>
                    </w:rPr>
                  </w:pPr>
                  <w:r>
                    <w:rPr>
                      <w:rFonts w:hint="eastAsia" w:ascii="宋体" w:hAnsi="宋体"/>
                      <w:bCs/>
                      <w:color w:val="auto"/>
                      <w:szCs w:val="21"/>
                    </w:rPr>
                    <w:t>厂界</w:t>
                  </w:r>
                  <w:r>
                    <w:rPr>
                      <w:color w:val="auto"/>
                      <w:szCs w:val="21"/>
                      <w:lang w:bidi="ar"/>
                    </w:rPr>
                    <w:t>东侧1m处</w:t>
                  </w:r>
                </w:p>
              </w:tc>
              <w:tc>
                <w:tcPr>
                  <w:tcW w:w="1815" w:type="pct"/>
                  <w:tcBorders>
                    <w:tl2br w:val="nil"/>
                    <w:tr2bl w:val="nil"/>
                  </w:tcBorders>
                  <w:vAlign w:val="center"/>
                </w:tcPr>
                <w:p w14:paraId="67A9EEE8">
                  <w:pPr>
                    <w:jc w:val="center"/>
                    <w:rPr>
                      <w:rFonts w:ascii="宋体" w:hAnsi="宋体"/>
                      <w:bCs/>
                      <w:color w:val="auto"/>
                      <w:szCs w:val="21"/>
                    </w:rPr>
                  </w:pPr>
                  <w:r>
                    <w:rPr>
                      <w:rFonts w:hint="eastAsia" w:ascii="宋体" w:hAnsi="宋体"/>
                      <w:bCs/>
                      <w:color w:val="auto"/>
                      <w:szCs w:val="21"/>
                    </w:rPr>
                    <w:t>54</w:t>
                  </w:r>
                </w:p>
              </w:tc>
              <w:tc>
                <w:tcPr>
                  <w:tcW w:w="1823" w:type="pct"/>
                  <w:tcBorders>
                    <w:tl2br w:val="nil"/>
                    <w:tr2bl w:val="nil"/>
                  </w:tcBorders>
                  <w:vAlign w:val="center"/>
                </w:tcPr>
                <w:p w14:paraId="2F4CF80F">
                  <w:pPr>
                    <w:jc w:val="center"/>
                    <w:rPr>
                      <w:rFonts w:hint="default" w:ascii="宋体" w:hAnsi="宋体" w:eastAsia="宋体"/>
                      <w:bCs/>
                      <w:color w:val="auto"/>
                      <w:szCs w:val="21"/>
                      <w:lang w:val="en-US" w:eastAsia="zh-CN"/>
                    </w:rPr>
                  </w:pPr>
                  <w:r>
                    <w:rPr>
                      <w:rFonts w:hint="eastAsia" w:ascii="宋体" w:hAnsi="宋体"/>
                      <w:bCs/>
                      <w:color w:val="auto"/>
                      <w:szCs w:val="21"/>
                      <w:lang w:val="en-US" w:eastAsia="zh-CN"/>
                    </w:rPr>
                    <w:t>52</w:t>
                  </w:r>
                </w:p>
              </w:tc>
            </w:tr>
            <w:tr w14:paraId="2CE865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1361" w:type="pct"/>
                  <w:tcBorders>
                    <w:tl2br w:val="nil"/>
                    <w:tr2bl w:val="nil"/>
                  </w:tcBorders>
                  <w:vAlign w:val="center"/>
                </w:tcPr>
                <w:p w14:paraId="5E48C1D4">
                  <w:pPr>
                    <w:tabs>
                      <w:tab w:val="center" w:pos="1301"/>
                      <w:tab w:val="right" w:pos="2482"/>
                    </w:tabs>
                    <w:jc w:val="center"/>
                    <w:rPr>
                      <w:rFonts w:ascii="宋体" w:hAnsi="宋体"/>
                      <w:bCs/>
                      <w:color w:val="auto"/>
                      <w:szCs w:val="21"/>
                    </w:rPr>
                  </w:pPr>
                  <w:r>
                    <w:rPr>
                      <w:rFonts w:hint="eastAsia" w:ascii="宋体" w:hAnsi="宋体"/>
                      <w:bCs/>
                      <w:color w:val="auto"/>
                      <w:szCs w:val="21"/>
                    </w:rPr>
                    <w:t>厂界</w:t>
                  </w:r>
                  <w:r>
                    <w:rPr>
                      <w:color w:val="auto"/>
                      <w:szCs w:val="21"/>
                      <w:lang w:bidi="ar"/>
                    </w:rPr>
                    <w:t>南侧1m处</w:t>
                  </w:r>
                </w:p>
              </w:tc>
              <w:tc>
                <w:tcPr>
                  <w:tcW w:w="1815" w:type="pct"/>
                  <w:tcBorders>
                    <w:tl2br w:val="nil"/>
                    <w:tr2bl w:val="nil"/>
                  </w:tcBorders>
                  <w:vAlign w:val="center"/>
                </w:tcPr>
                <w:p w14:paraId="0139D799">
                  <w:pPr>
                    <w:jc w:val="center"/>
                    <w:rPr>
                      <w:rFonts w:ascii="宋体" w:hAnsi="宋体"/>
                      <w:bCs/>
                      <w:color w:val="auto"/>
                      <w:szCs w:val="21"/>
                    </w:rPr>
                  </w:pPr>
                  <w:r>
                    <w:rPr>
                      <w:rFonts w:hint="eastAsia" w:ascii="宋体" w:hAnsi="宋体"/>
                      <w:bCs/>
                      <w:color w:val="auto"/>
                      <w:szCs w:val="21"/>
                    </w:rPr>
                    <w:t>52</w:t>
                  </w:r>
                </w:p>
              </w:tc>
              <w:tc>
                <w:tcPr>
                  <w:tcW w:w="1823" w:type="pct"/>
                  <w:tcBorders>
                    <w:tl2br w:val="nil"/>
                    <w:tr2bl w:val="nil"/>
                  </w:tcBorders>
                  <w:vAlign w:val="center"/>
                </w:tcPr>
                <w:p w14:paraId="40C14D9F">
                  <w:pPr>
                    <w:jc w:val="center"/>
                    <w:rPr>
                      <w:rFonts w:hint="default" w:ascii="宋体" w:hAnsi="宋体" w:eastAsia="宋体"/>
                      <w:bCs/>
                      <w:color w:val="auto"/>
                      <w:szCs w:val="21"/>
                      <w:lang w:val="en-US" w:eastAsia="zh-CN"/>
                    </w:rPr>
                  </w:pPr>
                  <w:r>
                    <w:rPr>
                      <w:rFonts w:hint="eastAsia" w:ascii="宋体" w:hAnsi="宋体"/>
                      <w:bCs/>
                      <w:color w:val="auto"/>
                      <w:szCs w:val="21"/>
                      <w:lang w:val="en-US" w:eastAsia="zh-CN"/>
                    </w:rPr>
                    <w:t>51</w:t>
                  </w:r>
                </w:p>
              </w:tc>
            </w:tr>
            <w:tr w14:paraId="6488A2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1361" w:type="pct"/>
                  <w:tcBorders>
                    <w:tl2br w:val="nil"/>
                    <w:tr2bl w:val="nil"/>
                  </w:tcBorders>
                  <w:vAlign w:val="center"/>
                </w:tcPr>
                <w:p w14:paraId="052C0F14">
                  <w:pPr>
                    <w:tabs>
                      <w:tab w:val="center" w:pos="1301"/>
                      <w:tab w:val="right" w:pos="2482"/>
                    </w:tabs>
                    <w:jc w:val="center"/>
                    <w:rPr>
                      <w:color w:val="auto"/>
                    </w:rPr>
                  </w:pPr>
                  <w:r>
                    <w:rPr>
                      <w:rFonts w:hint="eastAsia" w:ascii="宋体" w:hAnsi="宋体"/>
                      <w:bCs/>
                      <w:color w:val="auto"/>
                      <w:szCs w:val="21"/>
                    </w:rPr>
                    <w:t>厂界</w:t>
                  </w:r>
                  <w:r>
                    <w:rPr>
                      <w:color w:val="auto"/>
                      <w:szCs w:val="21"/>
                      <w:lang w:bidi="ar"/>
                    </w:rPr>
                    <w:t>西侧1m处</w:t>
                  </w:r>
                </w:p>
              </w:tc>
              <w:tc>
                <w:tcPr>
                  <w:tcW w:w="1815" w:type="pct"/>
                  <w:tcBorders>
                    <w:tl2br w:val="nil"/>
                    <w:tr2bl w:val="nil"/>
                  </w:tcBorders>
                  <w:vAlign w:val="center"/>
                </w:tcPr>
                <w:p w14:paraId="6F153A41">
                  <w:pPr>
                    <w:jc w:val="center"/>
                    <w:rPr>
                      <w:rFonts w:ascii="宋体" w:hAnsi="宋体"/>
                      <w:bCs/>
                      <w:color w:val="auto"/>
                      <w:szCs w:val="21"/>
                    </w:rPr>
                  </w:pPr>
                  <w:r>
                    <w:rPr>
                      <w:rFonts w:hint="eastAsia" w:ascii="宋体" w:hAnsi="宋体"/>
                      <w:bCs/>
                      <w:color w:val="auto"/>
                      <w:szCs w:val="21"/>
                    </w:rPr>
                    <w:t>51</w:t>
                  </w:r>
                </w:p>
              </w:tc>
              <w:tc>
                <w:tcPr>
                  <w:tcW w:w="1823" w:type="pct"/>
                  <w:tcBorders>
                    <w:tl2br w:val="nil"/>
                    <w:tr2bl w:val="nil"/>
                  </w:tcBorders>
                  <w:vAlign w:val="center"/>
                </w:tcPr>
                <w:p w14:paraId="6AB3C77E">
                  <w:pPr>
                    <w:jc w:val="center"/>
                    <w:rPr>
                      <w:rFonts w:hint="default" w:ascii="宋体" w:hAnsi="宋体" w:eastAsia="宋体"/>
                      <w:bCs/>
                      <w:color w:val="auto"/>
                      <w:szCs w:val="21"/>
                      <w:lang w:val="en-US" w:eastAsia="zh-CN"/>
                    </w:rPr>
                  </w:pPr>
                  <w:r>
                    <w:rPr>
                      <w:rFonts w:hint="eastAsia" w:ascii="宋体" w:hAnsi="宋体"/>
                      <w:bCs/>
                      <w:color w:val="auto"/>
                      <w:szCs w:val="21"/>
                      <w:lang w:val="en-US" w:eastAsia="zh-CN"/>
                    </w:rPr>
                    <w:t>50</w:t>
                  </w:r>
                </w:p>
              </w:tc>
            </w:tr>
            <w:tr w14:paraId="3541BA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1361" w:type="pct"/>
                  <w:tcBorders>
                    <w:tl2br w:val="nil"/>
                    <w:tr2bl w:val="nil"/>
                  </w:tcBorders>
                  <w:vAlign w:val="center"/>
                </w:tcPr>
                <w:p w14:paraId="3D1A7140">
                  <w:pPr>
                    <w:tabs>
                      <w:tab w:val="center" w:pos="1301"/>
                      <w:tab w:val="right" w:pos="2482"/>
                    </w:tabs>
                    <w:jc w:val="center"/>
                    <w:rPr>
                      <w:color w:val="auto"/>
                    </w:rPr>
                  </w:pPr>
                  <w:r>
                    <w:rPr>
                      <w:rFonts w:hint="eastAsia" w:ascii="宋体" w:hAnsi="宋体"/>
                      <w:bCs/>
                      <w:color w:val="auto"/>
                      <w:szCs w:val="21"/>
                    </w:rPr>
                    <w:t>厂界</w:t>
                  </w:r>
                  <w:r>
                    <w:rPr>
                      <w:color w:val="auto"/>
                      <w:szCs w:val="21"/>
                      <w:lang w:bidi="ar"/>
                    </w:rPr>
                    <w:t>北侧1m处</w:t>
                  </w:r>
                </w:p>
              </w:tc>
              <w:tc>
                <w:tcPr>
                  <w:tcW w:w="1815" w:type="pct"/>
                  <w:tcBorders>
                    <w:tl2br w:val="nil"/>
                    <w:tr2bl w:val="nil"/>
                  </w:tcBorders>
                  <w:vAlign w:val="center"/>
                </w:tcPr>
                <w:p w14:paraId="6DB315B9">
                  <w:pPr>
                    <w:jc w:val="center"/>
                    <w:rPr>
                      <w:rFonts w:ascii="宋体" w:hAnsi="宋体"/>
                      <w:bCs/>
                      <w:color w:val="auto"/>
                      <w:szCs w:val="21"/>
                    </w:rPr>
                  </w:pPr>
                  <w:r>
                    <w:rPr>
                      <w:rFonts w:hint="eastAsia" w:ascii="宋体" w:hAnsi="宋体"/>
                      <w:bCs/>
                      <w:color w:val="auto"/>
                      <w:szCs w:val="21"/>
                    </w:rPr>
                    <w:t>53</w:t>
                  </w:r>
                </w:p>
              </w:tc>
              <w:tc>
                <w:tcPr>
                  <w:tcW w:w="1823" w:type="pct"/>
                  <w:tcBorders>
                    <w:tl2br w:val="nil"/>
                    <w:tr2bl w:val="nil"/>
                  </w:tcBorders>
                  <w:vAlign w:val="center"/>
                </w:tcPr>
                <w:p w14:paraId="005BDD50">
                  <w:pPr>
                    <w:jc w:val="center"/>
                    <w:rPr>
                      <w:rFonts w:hint="default" w:ascii="宋体" w:hAnsi="宋体" w:eastAsia="宋体"/>
                      <w:bCs/>
                      <w:color w:val="auto"/>
                      <w:szCs w:val="21"/>
                      <w:lang w:val="en-US" w:eastAsia="zh-CN"/>
                    </w:rPr>
                  </w:pPr>
                  <w:r>
                    <w:rPr>
                      <w:rFonts w:hint="eastAsia" w:ascii="宋体" w:hAnsi="宋体"/>
                      <w:bCs/>
                      <w:color w:val="auto"/>
                      <w:szCs w:val="21"/>
                      <w:lang w:val="en-US" w:eastAsia="zh-CN"/>
                    </w:rPr>
                    <w:t>50</w:t>
                  </w:r>
                </w:p>
              </w:tc>
            </w:tr>
            <w:tr w14:paraId="09A5EA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1" w:type="pct"/>
                  <w:tcBorders>
                    <w:tl2br w:val="nil"/>
                    <w:tr2bl w:val="nil"/>
                  </w:tcBorders>
                  <w:vAlign w:val="center"/>
                </w:tcPr>
                <w:p w14:paraId="55923EB9">
                  <w:pPr>
                    <w:tabs>
                      <w:tab w:val="center" w:pos="1301"/>
                      <w:tab w:val="right" w:pos="2482"/>
                    </w:tabs>
                    <w:jc w:val="center"/>
                    <w:rPr>
                      <w:bCs/>
                      <w:color w:val="auto"/>
                      <w:sz w:val="18"/>
                      <w:szCs w:val="18"/>
                    </w:rPr>
                  </w:pPr>
                  <w:r>
                    <w:rPr>
                      <w:rFonts w:hint="eastAsia" w:ascii="宋体" w:hAnsi="宋体"/>
                      <w:b/>
                      <w:color w:val="auto"/>
                      <w:szCs w:val="21"/>
                    </w:rPr>
                    <w:t>参考标准</w:t>
                  </w:r>
                </w:p>
              </w:tc>
              <w:tc>
                <w:tcPr>
                  <w:tcW w:w="3638" w:type="pct"/>
                  <w:gridSpan w:val="2"/>
                  <w:tcBorders>
                    <w:tl2br w:val="nil"/>
                    <w:tr2bl w:val="nil"/>
                  </w:tcBorders>
                  <w:vAlign w:val="center"/>
                </w:tcPr>
                <w:p w14:paraId="01DF43FB">
                  <w:pPr>
                    <w:widowControl/>
                    <w:jc w:val="center"/>
                    <w:rPr>
                      <w:rFonts w:ascii="宋体" w:hAnsi="宋体"/>
                      <w:bCs/>
                      <w:color w:val="auto"/>
                      <w:szCs w:val="21"/>
                    </w:rPr>
                  </w:pPr>
                  <w:r>
                    <w:rPr>
                      <w:rFonts w:hint="eastAsia" w:ascii="宋体" w:hAnsi="宋体"/>
                      <w:bCs/>
                      <w:color w:val="auto"/>
                      <w:szCs w:val="21"/>
                    </w:rPr>
                    <w:t>《声环境质量标准》（GB3096-2008）中3类</w:t>
                  </w:r>
                </w:p>
              </w:tc>
            </w:tr>
          </w:tbl>
          <w:p w14:paraId="5BCCCAFD">
            <w:pPr>
              <w:widowControl/>
              <w:spacing w:line="480" w:lineRule="exact"/>
              <w:ind w:firstLine="480" w:firstLineChars="200"/>
              <w:jc w:val="left"/>
              <w:textAlignment w:val="center"/>
              <w:rPr>
                <w:rFonts w:hint="eastAsia" w:eastAsia="宋体"/>
                <w:color w:val="auto"/>
                <w:sz w:val="24"/>
                <w:lang w:eastAsia="zh-CN"/>
              </w:rPr>
            </w:pPr>
            <w:r>
              <w:rPr>
                <w:color w:val="auto"/>
                <w:kern w:val="0"/>
                <w:sz w:val="24"/>
                <w:lang w:bidi="ar"/>
              </w:rPr>
              <w:t>由表3-</w:t>
            </w:r>
            <w:r>
              <w:rPr>
                <w:rFonts w:hint="eastAsia"/>
                <w:color w:val="auto"/>
                <w:kern w:val="0"/>
                <w:sz w:val="24"/>
                <w:lang w:bidi="ar"/>
              </w:rPr>
              <w:t>5得</w:t>
            </w:r>
            <w:r>
              <w:rPr>
                <w:color w:val="auto"/>
                <w:kern w:val="0"/>
                <w:sz w:val="24"/>
                <w:lang w:bidi="ar"/>
              </w:rPr>
              <w:t>知，</w:t>
            </w:r>
            <w:r>
              <w:rPr>
                <w:rFonts w:hint="eastAsia"/>
                <w:color w:val="auto"/>
                <w:kern w:val="0"/>
                <w:sz w:val="24"/>
                <w:lang w:bidi="ar"/>
              </w:rPr>
              <w:t>厂界东、南、西、北侧1m处</w:t>
            </w:r>
            <w:r>
              <w:rPr>
                <w:rFonts w:hint="eastAsia"/>
                <w:color w:val="auto"/>
                <w:kern w:val="0"/>
                <w:sz w:val="24"/>
                <w:lang w:val="en-US" w:eastAsia="zh-CN" w:bidi="ar"/>
              </w:rPr>
              <w:t>厂界噪声</w:t>
            </w:r>
            <w:r>
              <w:rPr>
                <w:color w:val="auto"/>
                <w:kern w:val="0"/>
                <w:sz w:val="24"/>
                <w:lang w:bidi="ar"/>
              </w:rPr>
              <w:t>满足</w:t>
            </w:r>
            <w:r>
              <w:rPr>
                <w:rFonts w:hint="eastAsia"/>
                <w:color w:val="auto"/>
                <w:kern w:val="0"/>
                <w:sz w:val="24"/>
                <w:lang w:bidi="ar"/>
              </w:rPr>
              <w:t>《工业企业厂界环境噪声排放标准》（GB12348-2008）3类标准</w:t>
            </w:r>
            <w:r>
              <w:rPr>
                <w:rFonts w:hint="eastAsia"/>
                <w:color w:val="auto"/>
                <w:kern w:val="0"/>
                <w:sz w:val="24"/>
                <w:lang w:eastAsia="zh-CN" w:bidi="ar"/>
              </w:rPr>
              <w:t>（</w:t>
            </w:r>
            <w:r>
              <w:rPr>
                <w:rFonts w:hint="eastAsia"/>
                <w:color w:val="auto"/>
                <w:kern w:val="0"/>
                <w:sz w:val="24"/>
                <w:lang w:val="en-US" w:eastAsia="zh-CN" w:bidi="ar"/>
              </w:rPr>
              <w:t>昼间：65dB（A），夜间55dB（A）</w:t>
            </w:r>
            <w:r>
              <w:rPr>
                <w:rFonts w:hint="eastAsia"/>
                <w:color w:val="auto"/>
                <w:kern w:val="0"/>
                <w:sz w:val="24"/>
                <w:lang w:eastAsia="zh-CN" w:bidi="ar"/>
              </w:rPr>
              <w:t>）。</w:t>
            </w:r>
          </w:p>
          <w:p w14:paraId="6331B80E">
            <w:pPr>
              <w:spacing w:line="360" w:lineRule="auto"/>
              <w:rPr>
                <w:rFonts w:hint="default" w:ascii="Times New Roman" w:hAnsi="Times New Roman" w:cs="Times New Roman"/>
                <w:b/>
                <w:bCs/>
                <w:color w:val="auto"/>
                <w:sz w:val="24"/>
                <w:szCs w:val="24"/>
                <w:highlight w:val="none"/>
                <w:lang w:val="en-US"/>
              </w:rPr>
            </w:pPr>
            <w:r>
              <w:rPr>
                <w:rFonts w:hint="eastAsia"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lang w:val="en-US"/>
              </w:rPr>
              <w:t>、地下水</w:t>
            </w:r>
            <w:r>
              <w:rPr>
                <w:rFonts w:hint="eastAsia" w:cs="Times New Roman"/>
                <w:b/>
                <w:bCs/>
                <w:color w:val="auto"/>
                <w:sz w:val="24"/>
                <w:szCs w:val="24"/>
                <w:highlight w:val="none"/>
                <w:lang w:val="en-US" w:eastAsia="zh-CN"/>
              </w:rPr>
              <w:t>、土壤</w:t>
            </w:r>
            <w:r>
              <w:rPr>
                <w:rFonts w:hint="default" w:ascii="Times New Roman" w:hAnsi="Times New Roman" w:cs="Times New Roman"/>
                <w:b/>
                <w:bCs/>
                <w:color w:val="auto"/>
                <w:sz w:val="24"/>
                <w:szCs w:val="24"/>
                <w:highlight w:val="none"/>
                <w:lang w:val="en-US"/>
              </w:rPr>
              <w:t>环境</w:t>
            </w:r>
          </w:p>
          <w:p w14:paraId="1F613205">
            <w:pPr>
              <w:overflowPunct w:val="0"/>
              <w:spacing w:line="360" w:lineRule="auto"/>
              <w:ind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项目运行过程中在做好防渗、严格管理的情况下对地下水</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土壤</w:t>
            </w:r>
            <w:r>
              <w:rPr>
                <w:rFonts w:hint="default" w:ascii="Times New Roman" w:hAnsi="Times New Roman" w:cs="Times New Roman"/>
                <w:color w:val="auto"/>
                <w:sz w:val="24"/>
                <w:szCs w:val="24"/>
                <w:highlight w:val="none"/>
              </w:rPr>
              <w:t>环境污染可能性较小。</w:t>
            </w:r>
          </w:p>
          <w:p w14:paraId="360975E6">
            <w:pPr>
              <w:overflowPunct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color w:val="auto"/>
                <w:sz w:val="24"/>
                <w:szCs w:val="24"/>
                <w:highlight w:val="none"/>
                <w:lang w:eastAsia="zh-CN"/>
              </w:rPr>
              <w:t>依据《建设项目环境影响报告表编制技术指南（污染影响类）（试行）》，不开展地下水、</w:t>
            </w:r>
            <w:r>
              <w:rPr>
                <w:rFonts w:hint="eastAsia"/>
                <w:color w:val="auto"/>
                <w:sz w:val="24"/>
                <w:szCs w:val="24"/>
                <w:highlight w:val="none"/>
                <w:lang w:val="en-US" w:eastAsia="zh-CN"/>
              </w:rPr>
              <w:t>土壤</w:t>
            </w:r>
            <w:r>
              <w:rPr>
                <w:rFonts w:hint="eastAsia"/>
                <w:color w:val="auto"/>
                <w:sz w:val="24"/>
                <w:szCs w:val="24"/>
                <w:highlight w:val="none"/>
                <w:lang w:eastAsia="zh-CN"/>
              </w:rPr>
              <w:t>环境质量现状调查，</w:t>
            </w:r>
            <w:r>
              <w:rPr>
                <w:rFonts w:ascii="Times New Roman" w:hAnsi="Times New Roman" w:cs="Times New Roman"/>
                <w:color w:val="auto"/>
                <w:sz w:val="24"/>
                <w:szCs w:val="24"/>
                <w:highlight w:val="none"/>
              </w:rPr>
              <w:t>项目运行过程中</w:t>
            </w:r>
            <w:r>
              <w:rPr>
                <w:rFonts w:hint="eastAsia" w:ascii="Times New Roman" w:hAnsi="Times New Roman" w:cs="Times New Roman"/>
                <w:color w:val="auto"/>
                <w:sz w:val="24"/>
                <w:szCs w:val="24"/>
                <w:highlight w:val="none"/>
              </w:rPr>
              <w:t>做好防渗、严格管理的情况下对</w:t>
            </w:r>
            <w:r>
              <w:rPr>
                <w:rFonts w:ascii="Times New Roman" w:hAnsi="Times New Roman" w:cs="Times New Roman"/>
                <w:color w:val="auto"/>
                <w:sz w:val="24"/>
                <w:szCs w:val="24"/>
                <w:highlight w:val="none"/>
              </w:rPr>
              <w:t>地下水</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土壤</w:t>
            </w:r>
            <w:r>
              <w:rPr>
                <w:rFonts w:ascii="Times New Roman" w:hAnsi="Times New Roman" w:cs="Times New Roman"/>
                <w:color w:val="auto"/>
                <w:sz w:val="24"/>
                <w:szCs w:val="24"/>
                <w:highlight w:val="none"/>
              </w:rPr>
              <w:t>环境污染</w:t>
            </w:r>
            <w:r>
              <w:rPr>
                <w:rFonts w:hint="eastAsia" w:ascii="Times New Roman" w:hAnsi="Times New Roman" w:cs="Times New Roman"/>
                <w:color w:val="auto"/>
                <w:sz w:val="24"/>
                <w:szCs w:val="24"/>
                <w:highlight w:val="none"/>
              </w:rPr>
              <w:t>可能性较小</w:t>
            </w:r>
            <w:r>
              <w:rPr>
                <w:color w:val="auto"/>
                <w:sz w:val="24"/>
              </w:rPr>
              <w:t>。</w:t>
            </w:r>
            <w:r>
              <w:rPr>
                <w:rFonts w:hint="eastAsia"/>
                <w:color w:val="auto"/>
                <w:sz w:val="24"/>
                <w:lang w:val="en-US" w:eastAsia="zh-CN"/>
              </w:rPr>
              <w:t>因此，</w:t>
            </w:r>
            <w:r>
              <w:rPr>
                <w:rFonts w:hint="eastAsia" w:ascii="Times New Roman" w:hAnsi="Times New Roman" w:cs="Times New Roman"/>
                <w:color w:val="auto"/>
                <w:sz w:val="24"/>
                <w:szCs w:val="24"/>
                <w:highlight w:val="none"/>
                <w:lang w:eastAsia="zh-CN"/>
              </w:rPr>
              <w:t>本项目未进行项目周边地下水</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土壤</w:t>
            </w:r>
            <w:r>
              <w:rPr>
                <w:rFonts w:hint="eastAsia" w:ascii="Times New Roman" w:hAnsi="Times New Roman" w:cs="Times New Roman"/>
                <w:color w:val="auto"/>
                <w:sz w:val="24"/>
                <w:szCs w:val="24"/>
                <w:highlight w:val="none"/>
                <w:lang w:eastAsia="zh-CN"/>
              </w:rPr>
              <w:t>环境监测。</w:t>
            </w:r>
          </w:p>
        </w:tc>
      </w:tr>
      <w:tr w14:paraId="23585E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71" w:hRule="atLeast"/>
          <w:jc w:val="center"/>
        </w:trPr>
        <w:tc>
          <w:tcPr>
            <w:tcW w:w="812" w:type="dxa"/>
            <w:noWrap w:val="0"/>
            <w:vAlign w:val="center"/>
          </w:tcPr>
          <w:p w14:paraId="08D93514">
            <w:pPr>
              <w:pStyle w:val="15"/>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环境</w:t>
            </w:r>
          </w:p>
          <w:p w14:paraId="589FC643">
            <w:pPr>
              <w:pStyle w:val="15"/>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保护</w:t>
            </w:r>
          </w:p>
          <w:p w14:paraId="5B91611E">
            <w:pPr>
              <w:pStyle w:val="15"/>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目标</w:t>
            </w:r>
          </w:p>
        </w:tc>
        <w:tc>
          <w:tcPr>
            <w:tcW w:w="8194" w:type="dxa"/>
            <w:noWrap w:val="0"/>
            <w:vAlign w:val="top"/>
          </w:tcPr>
          <w:p w14:paraId="7290BF55">
            <w:pPr>
              <w:pStyle w:val="16"/>
              <w:keepNext w:val="0"/>
              <w:keepLines w:val="0"/>
              <w:pageBreakBefore w:val="0"/>
              <w:widowControl/>
              <w:kinsoku/>
              <w:wordWrap/>
              <w:overflowPunct/>
              <w:topLinePunct w:val="0"/>
              <w:autoSpaceDE/>
              <w:autoSpaceDN/>
              <w:bidi w:val="0"/>
              <w:adjustRightInd/>
              <w:snapToGrid/>
              <w:spacing w:line="480" w:lineRule="exact"/>
              <w:ind w:firstLine="480" w:firstLineChars="200"/>
              <w:jc w:val="both"/>
              <w:textAlignment w:val="center"/>
              <w:rPr>
                <w:rFonts w:hint="default" w:ascii="Times New Roman" w:hAnsi="Times New Roman" w:eastAsia="宋体" w:cs="Times New Roman"/>
                <w:b w:val="0"/>
                <w:color w:val="auto"/>
                <w:kern w:val="2"/>
                <w:sz w:val="24"/>
                <w:szCs w:val="24"/>
                <w:highlight w:val="none"/>
                <w:lang w:val="en-US" w:eastAsia="zh-CN" w:bidi="ar-SA"/>
              </w:rPr>
            </w:pPr>
            <w:r>
              <w:rPr>
                <w:rFonts w:hint="default" w:ascii="Times New Roman" w:hAnsi="Times New Roman" w:eastAsia="宋体" w:cs="Times New Roman"/>
                <w:b w:val="0"/>
                <w:color w:val="auto"/>
                <w:kern w:val="2"/>
                <w:sz w:val="24"/>
                <w:szCs w:val="24"/>
                <w:highlight w:val="none"/>
                <w:lang w:val="en-US" w:eastAsia="zh-CN" w:bidi="ar-SA"/>
              </w:rPr>
              <w:t>根据现场勘察，本项目评价范围内无重点文物、名胜古迹、自然保护区等</w:t>
            </w:r>
            <w:r>
              <w:rPr>
                <w:rFonts w:hint="eastAsia" w:eastAsia="宋体" w:cs="Times New Roman"/>
                <w:b w:val="0"/>
                <w:color w:val="auto"/>
                <w:kern w:val="2"/>
                <w:sz w:val="24"/>
                <w:szCs w:val="24"/>
                <w:highlight w:val="none"/>
                <w:lang w:val="en-US" w:eastAsia="zh-CN" w:bidi="ar-SA"/>
              </w:rPr>
              <w:t>，本项目距黄河最近距离为3.027km，距东北方向的西鄂尔多斯国家级自然保护区实验区4.3km</w:t>
            </w:r>
            <w:r>
              <w:rPr>
                <w:rFonts w:hint="default" w:ascii="Times New Roman" w:hAnsi="Times New Roman" w:eastAsia="宋体" w:cs="Times New Roman"/>
                <w:b w:val="0"/>
                <w:color w:val="auto"/>
                <w:kern w:val="2"/>
                <w:sz w:val="24"/>
                <w:szCs w:val="24"/>
                <w:highlight w:val="none"/>
                <w:lang w:val="en-US" w:eastAsia="zh-CN" w:bidi="ar-SA"/>
              </w:rPr>
              <w:t>。结合项目本身的特点，确定本项目的具体保护目标见表3-</w:t>
            </w:r>
            <w:r>
              <w:rPr>
                <w:rFonts w:hint="eastAsia" w:eastAsia="宋体" w:cs="Times New Roman"/>
                <w:b w:val="0"/>
                <w:color w:val="auto"/>
                <w:kern w:val="2"/>
                <w:sz w:val="24"/>
                <w:szCs w:val="24"/>
                <w:highlight w:val="none"/>
                <w:lang w:val="en-US" w:eastAsia="zh-CN" w:bidi="ar-SA"/>
              </w:rPr>
              <w:t>6</w:t>
            </w:r>
            <w:r>
              <w:rPr>
                <w:rFonts w:hint="default" w:ascii="Times New Roman" w:hAnsi="Times New Roman" w:eastAsia="宋体" w:cs="Times New Roman"/>
                <w:b w:val="0"/>
                <w:color w:val="auto"/>
                <w:kern w:val="2"/>
                <w:sz w:val="24"/>
                <w:szCs w:val="24"/>
                <w:highlight w:val="none"/>
                <w:lang w:val="en-US" w:eastAsia="zh-CN" w:bidi="ar-SA"/>
              </w:rPr>
              <w:t>，本项目环境保护目标分布见附图</w:t>
            </w:r>
            <w:r>
              <w:rPr>
                <w:rFonts w:hint="eastAsia" w:eastAsia="宋体" w:cs="Times New Roman"/>
                <w:b w:val="0"/>
                <w:color w:val="auto"/>
                <w:kern w:val="2"/>
                <w:sz w:val="24"/>
                <w:szCs w:val="24"/>
                <w:highlight w:val="none"/>
                <w:lang w:val="en-US" w:eastAsia="zh-CN" w:bidi="ar-SA"/>
              </w:rPr>
              <w:t>5</w:t>
            </w:r>
            <w:r>
              <w:rPr>
                <w:rFonts w:hint="default" w:ascii="Times New Roman" w:hAnsi="Times New Roman" w:eastAsia="宋体" w:cs="Times New Roman"/>
                <w:b w:val="0"/>
                <w:color w:val="auto"/>
                <w:kern w:val="2"/>
                <w:sz w:val="24"/>
                <w:szCs w:val="24"/>
                <w:highlight w:val="none"/>
                <w:lang w:val="en-US" w:eastAsia="zh-CN" w:bidi="ar-SA"/>
              </w:rPr>
              <w:t>。</w:t>
            </w:r>
          </w:p>
          <w:p w14:paraId="06B36F3D">
            <w:pPr>
              <w:pStyle w:val="21"/>
              <w:keepNext w:val="0"/>
              <w:keepLines w:val="0"/>
              <w:pageBreakBefore w:val="0"/>
              <w:widowControl w:val="0"/>
              <w:numPr>
                <w:ilvl w:val="0"/>
                <w:numId w:val="0"/>
              </w:numPr>
              <w:suppressLineNumbers w:val="0"/>
              <w:kinsoku/>
              <w:wordWrap/>
              <w:overflowPunct/>
              <w:topLinePunct w:val="0"/>
              <w:bidi w:val="0"/>
              <w:adjustRightInd/>
              <w:snapToGrid/>
              <w:spacing w:before="0" w:beforeAutospacing="0" w:after="0" w:afterAutospacing="0" w:line="360" w:lineRule="auto"/>
              <w:ind w:leftChars="0" w:right="0" w:rightChars="0" w:firstLine="482" w:firstLineChars="20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表3-</w:t>
            </w:r>
            <w:r>
              <w:rPr>
                <w:rFonts w:hint="eastAsia"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lang w:val="en-US" w:eastAsia="zh-CN"/>
              </w:rPr>
              <w:t xml:space="preserve">  主要环境保护目标</w:t>
            </w:r>
          </w:p>
          <w:tbl>
            <w:tblPr>
              <w:tblStyle w:val="1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00"/>
              <w:gridCol w:w="432"/>
              <w:gridCol w:w="296"/>
              <w:gridCol w:w="296"/>
              <w:gridCol w:w="432"/>
              <w:gridCol w:w="713"/>
              <w:gridCol w:w="433"/>
              <w:gridCol w:w="993"/>
              <w:gridCol w:w="1146"/>
              <w:gridCol w:w="2838"/>
            </w:tblGrid>
            <w:tr w14:paraId="092E3E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1" w:hRule="atLeast"/>
                <w:tblHeader/>
                <w:jc w:val="center"/>
              </w:trPr>
              <w:tc>
                <w:tcPr>
                  <w:tcW w:w="0" w:type="auto"/>
                  <w:vMerge w:val="restart"/>
                  <w:tcBorders>
                    <w:tl2br w:val="nil"/>
                    <w:tr2bl w:val="nil"/>
                  </w:tcBorders>
                  <w:noWrap w:val="0"/>
                  <w:vAlign w:val="center"/>
                </w:tcPr>
                <w:p w14:paraId="71C29E15">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环境要素</w:t>
                  </w:r>
                </w:p>
              </w:tc>
              <w:tc>
                <w:tcPr>
                  <w:tcW w:w="0" w:type="auto"/>
                  <w:vMerge w:val="restart"/>
                  <w:tcBorders>
                    <w:tl2br w:val="nil"/>
                    <w:tr2bl w:val="nil"/>
                  </w:tcBorders>
                  <w:noWrap w:val="0"/>
                  <w:vAlign w:val="center"/>
                </w:tcPr>
                <w:p w14:paraId="13415B24">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名称</w:t>
                  </w:r>
                </w:p>
              </w:tc>
              <w:tc>
                <w:tcPr>
                  <w:tcW w:w="0" w:type="auto"/>
                  <w:gridSpan w:val="2"/>
                  <w:tcBorders>
                    <w:tl2br w:val="nil"/>
                    <w:tr2bl w:val="nil"/>
                  </w:tcBorders>
                  <w:noWrap w:val="0"/>
                  <w:vAlign w:val="center"/>
                </w:tcPr>
                <w:p w14:paraId="462218EE">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坐标</w:t>
                  </w:r>
                </w:p>
              </w:tc>
              <w:tc>
                <w:tcPr>
                  <w:tcW w:w="0" w:type="auto"/>
                  <w:vMerge w:val="restart"/>
                  <w:tcBorders>
                    <w:tl2br w:val="nil"/>
                    <w:tr2bl w:val="nil"/>
                  </w:tcBorders>
                  <w:noWrap w:val="0"/>
                  <w:vAlign w:val="center"/>
                </w:tcPr>
                <w:p w14:paraId="0163CF40">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保护</w:t>
                  </w:r>
                </w:p>
                <w:p w14:paraId="6B8CB0AB">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对象</w:t>
                  </w:r>
                </w:p>
              </w:tc>
              <w:tc>
                <w:tcPr>
                  <w:tcW w:w="0" w:type="auto"/>
                  <w:vMerge w:val="restart"/>
                  <w:tcBorders>
                    <w:tl2br w:val="nil"/>
                    <w:tr2bl w:val="nil"/>
                  </w:tcBorders>
                  <w:noWrap w:val="0"/>
                  <w:vAlign w:val="center"/>
                </w:tcPr>
                <w:p w14:paraId="26B66926">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保护内容</w:t>
                  </w:r>
                </w:p>
              </w:tc>
              <w:tc>
                <w:tcPr>
                  <w:tcW w:w="0" w:type="auto"/>
                  <w:vMerge w:val="restart"/>
                  <w:tcBorders>
                    <w:tl2br w:val="nil"/>
                    <w:tr2bl w:val="nil"/>
                  </w:tcBorders>
                  <w:noWrap w:val="0"/>
                  <w:vAlign w:val="center"/>
                </w:tcPr>
                <w:p w14:paraId="1EC8803D">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人数</w:t>
                  </w:r>
                </w:p>
              </w:tc>
              <w:tc>
                <w:tcPr>
                  <w:tcW w:w="0" w:type="auto"/>
                  <w:vMerge w:val="restart"/>
                  <w:tcBorders>
                    <w:tl2br w:val="nil"/>
                    <w:tr2bl w:val="nil"/>
                  </w:tcBorders>
                  <w:noWrap w:val="0"/>
                  <w:vAlign w:val="center"/>
                </w:tcPr>
                <w:p w14:paraId="3396CB87">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相对厂址方位</w:t>
                  </w:r>
                </w:p>
              </w:tc>
              <w:tc>
                <w:tcPr>
                  <w:tcW w:w="0" w:type="auto"/>
                  <w:vMerge w:val="restart"/>
                  <w:tcBorders>
                    <w:tl2br w:val="nil"/>
                    <w:tr2bl w:val="nil"/>
                  </w:tcBorders>
                  <w:noWrap w:val="0"/>
                  <w:vAlign w:val="center"/>
                </w:tcPr>
                <w:p w14:paraId="4AAE120D">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相对厂址距离/m</w:t>
                  </w:r>
                </w:p>
              </w:tc>
              <w:tc>
                <w:tcPr>
                  <w:tcW w:w="0" w:type="auto"/>
                  <w:vMerge w:val="restart"/>
                  <w:tcBorders>
                    <w:tl2br w:val="nil"/>
                    <w:tr2bl w:val="nil"/>
                  </w:tcBorders>
                  <w:noWrap w:val="0"/>
                  <w:vAlign w:val="center"/>
                </w:tcPr>
                <w:p w14:paraId="732D353D">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olor w:val="auto"/>
                    </w:rPr>
                    <w:t>保护要求</w:t>
                  </w:r>
                </w:p>
              </w:tc>
            </w:tr>
            <w:tr w14:paraId="6E1D07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1" w:hRule="atLeast"/>
                <w:tblHeader/>
                <w:jc w:val="center"/>
              </w:trPr>
              <w:tc>
                <w:tcPr>
                  <w:tcW w:w="0" w:type="auto"/>
                  <w:vMerge w:val="continue"/>
                  <w:tcBorders>
                    <w:tl2br w:val="nil"/>
                    <w:tr2bl w:val="nil"/>
                  </w:tcBorders>
                  <w:noWrap w:val="0"/>
                  <w:vAlign w:val="center"/>
                </w:tcPr>
                <w:p w14:paraId="4338D527">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highlight w:val="none"/>
                    </w:rPr>
                  </w:pPr>
                </w:p>
              </w:tc>
              <w:tc>
                <w:tcPr>
                  <w:tcW w:w="0" w:type="auto"/>
                  <w:vMerge w:val="continue"/>
                  <w:tcBorders>
                    <w:tl2br w:val="nil"/>
                    <w:tr2bl w:val="nil"/>
                  </w:tcBorders>
                  <w:noWrap w:val="0"/>
                  <w:vAlign w:val="center"/>
                </w:tcPr>
                <w:p w14:paraId="52F1A676">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highlight w:val="none"/>
                    </w:rPr>
                  </w:pPr>
                </w:p>
              </w:tc>
              <w:tc>
                <w:tcPr>
                  <w:tcW w:w="0" w:type="auto"/>
                  <w:tcBorders>
                    <w:tl2br w:val="nil"/>
                    <w:tr2bl w:val="nil"/>
                  </w:tcBorders>
                  <w:noWrap w:val="0"/>
                  <w:vAlign w:val="center"/>
                </w:tcPr>
                <w:p w14:paraId="03DAA5F9">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X</w:t>
                  </w:r>
                </w:p>
              </w:tc>
              <w:tc>
                <w:tcPr>
                  <w:tcW w:w="0" w:type="auto"/>
                  <w:tcBorders>
                    <w:tl2br w:val="nil"/>
                    <w:tr2bl w:val="nil"/>
                  </w:tcBorders>
                  <w:noWrap w:val="0"/>
                  <w:vAlign w:val="center"/>
                </w:tcPr>
                <w:p w14:paraId="6687D120">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Y</w:t>
                  </w:r>
                </w:p>
              </w:tc>
              <w:tc>
                <w:tcPr>
                  <w:tcW w:w="0" w:type="auto"/>
                  <w:vMerge w:val="continue"/>
                  <w:tcBorders>
                    <w:tl2br w:val="nil"/>
                    <w:tr2bl w:val="nil"/>
                  </w:tcBorders>
                  <w:noWrap w:val="0"/>
                  <w:vAlign w:val="center"/>
                </w:tcPr>
                <w:p w14:paraId="74C9A589">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highlight w:val="none"/>
                    </w:rPr>
                  </w:pPr>
                </w:p>
              </w:tc>
              <w:tc>
                <w:tcPr>
                  <w:tcW w:w="0" w:type="auto"/>
                  <w:vMerge w:val="continue"/>
                  <w:tcBorders>
                    <w:tl2br w:val="nil"/>
                    <w:tr2bl w:val="nil"/>
                  </w:tcBorders>
                  <w:noWrap w:val="0"/>
                  <w:vAlign w:val="center"/>
                </w:tcPr>
                <w:p w14:paraId="67F13185">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highlight w:val="none"/>
                    </w:rPr>
                  </w:pPr>
                </w:p>
              </w:tc>
              <w:tc>
                <w:tcPr>
                  <w:tcW w:w="0" w:type="auto"/>
                  <w:vMerge w:val="continue"/>
                  <w:tcBorders>
                    <w:tl2br w:val="nil"/>
                    <w:tr2bl w:val="nil"/>
                  </w:tcBorders>
                  <w:noWrap w:val="0"/>
                  <w:vAlign w:val="center"/>
                </w:tcPr>
                <w:p w14:paraId="69619DB4">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highlight w:val="none"/>
                    </w:rPr>
                  </w:pPr>
                </w:p>
              </w:tc>
              <w:tc>
                <w:tcPr>
                  <w:tcW w:w="0" w:type="auto"/>
                  <w:vMerge w:val="continue"/>
                  <w:tcBorders>
                    <w:tl2br w:val="nil"/>
                    <w:tr2bl w:val="nil"/>
                  </w:tcBorders>
                  <w:noWrap w:val="0"/>
                  <w:vAlign w:val="center"/>
                </w:tcPr>
                <w:p w14:paraId="55B4ECAD">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highlight w:val="none"/>
                    </w:rPr>
                  </w:pPr>
                </w:p>
              </w:tc>
              <w:tc>
                <w:tcPr>
                  <w:tcW w:w="0" w:type="auto"/>
                  <w:vMerge w:val="continue"/>
                  <w:tcBorders>
                    <w:tl2br w:val="nil"/>
                    <w:tr2bl w:val="nil"/>
                  </w:tcBorders>
                  <w:noWrap w:val="0"/>
                  <w:vAlign w:val="center"/>
                </w:tcPr>
                <w:p w14:paraId="20844347">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highlight w:val="none"/>
                    </w:rPr>
                  </w:pPr>
                </w:p>
              </w:tc>
              <w:tc>
                <w:tcPr>
                  <w:tcW w:w="0" w:type="auto"/>
                  <w:vMerge w:val="continue"/>
                  <w:tcBorders>
                    <w:tl2br w:val="nil"/>
                    <w:tr2bl w:val="nil"/>
                  </w:tcBorders>
                  <w:noWrap w:val="0"/>
                  <w:vAlign w:val="center"/>
                </w:tcPr>
                <w:p w14:paraId="1BFAE29C">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kern w:val="2"/>
                      <w:sz w:val="21"/>
                      <w:szCs w:val="24"/>
                      <w:highlight w:val="none"/>
                      <w:lang w:val="en-US" w:eastAsia="zh-CN" w:bidi="ar-SA"/>
                    </w:rPr>
                  </w:pPr>
                </w:p>
              </w:tc>
            </w:tr>
            <w:tr w14:paraId="7A1194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1" w:hRule="atLeast"/>
                <w:jc w:val="center"/>
              </w:trPr>
              <w:tc>
                <w:tcPr>
                  <w:tcW w:w="0" w:type="auto"/>
                  <w:tcBorders>
                    <w:tl2br w:val="nil"/>
                    <w:tr2bl w:val="nil"/>
                  </w:tcBorders>
                  <w:noWrap w:val="0"/>
                  <w:vAlign w:val="center"/>
                </w:tcPr>
                <w:p w14:paraId="5D8C38DE">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大气</w:t>
                  </w:r>
                </w:p>
                <w:p w14:paraId="670767E6">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环境</w:t>
                  </w:r>
                </w:p>
              </w:tc>
              <w:tc>
                <w:tcPr>
                  <w:tcW w:w="0" w:type="auto"/>
                  <w:gridSpan w:val="8"/>
                  <w:tcBorders>
                    <w:tl2br w:val="nil"/>
                    <w:tr2bl w:val="nil"/>
                  </w:tcBorders>
                  <w:noWrap w:val="0"/>
                  <w:vAlign w:val="center"/>
                </w:tcPr>
                <w:p w14:paraId="2D2A50E2">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color w:val="auto"/>
                      <w:highlight w:val="none"/>
                      <w:lang w:val="en-US" w:eastAsia="zh-CN"/>
                    </w:rPr>
                  </w:pPr>
                  <w:r>
                    <w:rPr>
                      <w:rFonts w:hint="default"/>
                      <w:color w:val="auto"/>
                      <w:highlight w:val="none"/>
                      <w:lang w:val="en-US" w:eastAsia="zh-CN"/>
                    </w:rPr>
                    <w:t>项目厂界外500m范围内无自然保护区、风景名胜区、居住区、文化区和农村地区中人群较集中的区域，无居民居住</w:t>
                  </w:r>
                </w:p>
              </w:tc>
              <w:tc>
                <w:tcPr>
                  <w:tcW w:w="0" w:type="auto"/>
                  <w:tcBorders>
                    <w:tl2br w:val="nil"/>
                    <w:tr2bl w:val="nil"/>
                  </w:tcBorders>
                  <w:noWrap w:val="0"/>
                  <w:vAlign w:val="center"/>
                </w:tcPr>
                <w:p w14:paraId="3A45E4A6">
                  <w:pPr>
                    <w:widowControl w:val="0"/>
                    <w:adjustRightInd w:val="0"/>
                    <w:snapToGrid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olor w:val="auto"/>
                    </w:rPr>
                    <w:t>《环境空气质量标准》（</w:t>
                  </w:r>
                  <w:r>
                    <w:rPr>
                      <w:color w:val="auto"/>
                    </w:rPr>
                    <w:t>GB3095-2012</w:t>
                  </w:r>
                  <w:r>
                    <w:rPr>
                      <w:rFonts w:hint="eastAsia"/>
                      <w:color w:val="auto"/>
                    </w:rPr>
                    <w:t>）二级标准</w:t>
                  </w:r>
                </w:p>
              </w:tc>
            </w:tr>
            <w:tr w14:paraId="2D5A46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0" w:type="auto"/>
                  <w:tcBorders>
                    <w:tl2br w:val="nil"/>
                    <w:tr2bl w:val="nil"/>
                  </w:tcBorders>
                  <w:noWrap w:val="0"/>
                  <w:vAlign w:val="center"/>
                </w:tcPr>
                <w:p w14:paraId="7BB11854">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声环境</w:t>
                  </w:r>
                </w:p>
              </w:tc>
              <w:tc>
                <w:tcPr>
                  <w:tcW w:w="0" w:type="auto"/>
                  <w:gridSpan w:val="8"/>
                  <w:tcBorders>
                    <w:tl2br w:val="nil"/>
                    <w:tr2bl w:val="nil"/>
                  </w:tcBorders>
                  <w:noWrap w:val="0"/>
                  <w:vAlign w:val="center"/>
                </w:tcPr>
                <w:p w14:paraId="7E3B1F92">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eastAsia"/>
                      <w:color w:val="auto"/>
                      <w:highlight w:val="none"/>
                      <w:lang w:val="en-US" w:eastAsia="zh-CN"/>
                    </w:rPr>
                  </w:pPr>
                  <w:r>
                    <w:rPr>
                      <w:rFonts w:hint="eastAsia"/>
                      <w:color w:val="auto"/>
                      <w:highlight w:val="none"/>
                      <w:lang w:val="en-US" w:eastAsia="zh-CN"/>
                    </w:rPr>
                    <w:t>项目厂界外50m范围内无声环境保护目标</w:t>
                  </w:r>
                </w:p>
              </w:tc>
              <w:tc>
                <w:tcPr>
                  <w:tcW w:w="0" w:type="auto"/>
                  <w:tcBorders>
                    <w:tl2br w:val="nil"/>
                    <w:tr2bl w:val="nil"/>
                  </w:tcBorders>
                  <w:noWrap w:val="0"/>
                  <w:vAlign w:val="center"/>
                </w:tcPr>
                <w:p w14:paraId="332535E6">
                  <w:pPr>
                    <w:widowControl w:val="0"/>
                    <w:adjustRightInd w:val="0"/>
                    <w:snapToGrid w:val="0"/>
                    <w:jc w:val="center"/>
                    <w:rPr>
                      <w:color w:val="auto"/>
                    </w:rPr>
                  </w:pPr>
                  <w:r>
                    <w:rPr>
                      <w:rFonts w:hint="eastAsia"/>
                      <w:color w:val="auto"/>
                    </w:rPr>
                    <w:t>《声环境质量标准》</w:t>
                  </w:r>
                </w:p>
                <w:p w14:paraId="7A971F4C">
                  <w:pPr>
                    <w:widowControl w:val="0"/>
                    <w:adjustRightInd w:val="0"/>
                    <w:snapToGrid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olor w:val="auto"/>
                    </w:rPr>
                    <w:t>（</w:t>
                  </w:r>
                  <w:r>
                    <w:rPr>
                      <w:color w:val="auto"/>
                    </w:rPr>
                    <w:t>GB3096-2008</w:t>
                  </w:r>
                  <w:r>
                    <w:rPr>
                      <w:rFonts w:hint="eastAsia"/>
                      <w:color w:val="auto"/>
                    </w:rPr>
                    <w:t>）</w:t>
                  </w:r>
                  <w:r>
                    <w:rPr>
                      <w:color w:val="auto"/>
                    </w:rPr>
                    <w:t>3</w:t>
                  </w:r>
                  <w:r>
                    <w:rPr>
                      <w:rFonts w:hint="eastAsia"/>
                      <w:color w:val="auto"/>
                    </w:rPr>
                    <w:t>类标准</w:t>
                  </w:r>
                </w:p>
              </w:tc>
            </w:tr>
            <w:tr w14:paraId="79718E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0" w:type="auto"/>
                  <w:tcBorders>
                    <w:tl2br w:val="nil"/>
                    <w:tr2bl w:val="nil"/>
                  </w:tcBorders>
                  <w:noWrap w:val="0"/>
                  <w:vAlign w:val="center"/>
                </w:tcPr>
                <w:p w14:paraId="0D652B1C">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地下水环境</w:t>
                  </w:r>
                </w:p>
              </w:tc>
              <w:tc>
                <w:tcPr>
                  <w:tcW w:w="0" w:type="auto"/>
                  <w:gridSpan w:val="8"/>
                  <w:tcBorders>
                    <w:tl2br w:val="nil"/>
                    <w:tr2bl w:val="nil"/>
                  </w:tcBorders>
                  <w:noWrap w:val="0"/>
                  <w:vAlign w:val="center"/>
                </w:tcPr>
                <w:p w14:paraId="13471335">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eastAsia"/>
                      <w:color w:val="auto"/>
                      <w:highlight w:val="none"/>
                      <w:lang w:val="en-US" w:eastAsia="zh-CN"/>
                    </w:rPr>
                  </w:pPr>
                  <w:r>
                    <w:rPr>
                      <w:rFonts w:hint="eastAsia"/>
                      <w:color w:val="auto"/>
                    </w:rPr>
                    <w:t>项目厂界外</w:t>
                  </w:r>
                  <w:r>
                    <w:rPr>
                      <w:color w:val="auto"/>
                    </w:rPr>
                    <w:t>5</w:t>
                  </w:r>
                  <w:r>
                    <w:rPr>
                      <w:rFonts w:hint="eastAsia"/>
                      <w:color w:val="auto"/>
                    </w:rPr>
                    <w:t>0</w:t>
                  </w:r>
                  <w:r>
                    <w:rPr>
                      <w:color w:val="auto"/>
                    </w:rPr>
                    <w:t>0m</w:t>
                  </w:r>
                  <w:r>
                    <w:rPr>
                      <w:rFonts w:hint="eastAsia"/>
                      <w:color w:val="auto"/>
                    </w:rPr>
                    <w:t>范围内无地下水集中式饮用水水源和热水、矿泉水、温泉等特殊地下水资源</w:t>
                  </w:r>
                </w:p>
              </w:tc>
              <w:tc>
                <w:tcPr>
                  <w:tcW w:w="0" w:type="auto"/>
                  <w:tcBorders>
                    <w:tl2br w:val="nil"/>
                    <w:tr2bl w:val="nil"/>
                  </w:tcBorders>
                  <w:noWrap w:val="0"/>
                  <w:vAlign w:val="center"/>
                </w:tcPr>
                <w:p w14:paraId="66A67E0A">
                  <w:pPr>
                    <w:keepNext w:val="0"/>
                    <w:keepLines w:val="0"/>
                    <w:widowControl w:val="0"/>
                    <w:suppressLineNumbers w:val="0"/>
                    <w:spacing w:before="0" w:beforeAutospacing="0" w:after="0" w:afterAutospacing="0" w:line="240" w:lineRule="auto"/>
                    <w:ind w:left="-105" w:leftChars="-50" w:right="-105" w:rightChars="-50" w:firstLine="0" w:firstLineChars="0"/>
                    <w:jc w:val="center"/>
                    <w:rPr>
                      <w:rFonts w:hint="eastAsia" w:cs="Times New Roman"/>
                      <w:color w:val="auto"/>
                      <w:highlight w:val="none"/>
                      <w:lang w:val="en-US" w:eastAsia="zh-CN"/>
                    </w:rPr>
                  </w:pPr>
                  <w:r>
                    <w:rPr>
                      <w:rFonts w:hint="eastAsia"/>
                      <w:color w:val="auto"/>
                    </w:rPr>
                    <w:t>《地下水质量标准》（</w:t>
                  </w:r>
                  <w:r>
                    <w:rPr>
                      <w:color w:val="auto"/>
                    </w:rPr>
                    <w:t>GB/T14848-2017</w:t>
                  </w:r>
                  <w:r>
                    <w:rPr>
                      <w:rFonts w:hint="eastAsia"/>
                      <w:color w:val="auto"/>
                    </w:rPr>
                    <w:t>）</w:t>
                  </w:r>
                  <w:r>
                    <w:rPr>
                      <w:color w:val="auto"/>
                    </w:rPr>
                    <w:t>Ⅲ</w:t>
                  </w:r>
                  <w:r>
                    <w:rPr>
                      <w:rFonts w:hint="eastAsia"/>
                      <w:color w:val="auto"/>
                    </w:rPr>
                    <w:t>类标准</w:t>
                  </w:r>
                </w:p>
              </w:tc>
            </w:tr>
          </w:tbl>
          <w:p w14:paraId="632F4D3B">
            <w:pPr>
              <w:keepLines w:val="0"/>
              <w:pageBreakBefore w:val="0"/>
              <w:kinsoku/>
              <w:wordWrap/>
              <w:overflowPunct/>
              <w:topLinePunct w:val="0"/>
              <w:bidi w:val="0"/>
              <w:adjustRightInd w:val="0"/>
              <w:snapToGrid w:val="0"/>
              <w:ind w:left="0" w:leftChars="0" w:right="21" w:rightChars="10" w:firstLine="0" w:firstLineChars="0"/>
              <w:jc w:val="both"/>
              <w:rPr>
                <w:rFonts w:hint="default" w:ascii="Times New Roman" w:hAnsi="Times New Roman" w:eastAsia="宋体" w:cs="Times New Roman"/>
                <w:color w:val="auto"/>
                <w:kern w:val="0"/>
                <w:sz w:val="24"/>
                <w:szCs w:val="24"/>
                <w:lang w:val="en-US" w:eastAsia="zh-CN"/>
              </w:rPr>
            </w:pPr>
          </w:p>
        </w:tc>
      </w:tr>
      <w:tr w14:paraId="6363A7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2" w:type="dxa"/>
            <w:noWrap w:val="0"/>
            <w:tcMar>
              <w:left w:w="28" w:type="dxa"/>
              <w:right w:w="28" w:type="dxa"/>
            </w:tcMar>
            <w:vAlign w:val="center"/>
          </w:tcPr>
          <w:p w14:paraId="76DF45E8">
            <w:pPr>
              <w:pStyle w:val="15"/>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污染</w:t>
            </w:r>
          </w:p>
          <w:p w14:paraId="6E103F4C">
            <w:pPr>
              <w:pStyle w:val="15"/>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物排</w:t>
            </w:r>
          </w:p>
          <w:p w14:paraId="2A7A10A3">
            <w:pPr>
              <w:pStyle w:val="15"/>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放控</w:t>
            </w:r>
          </w:p>
          <w:p w14:paraId="18F42E6F">
            <w:pPr>
              <w:pStyle w:val="15"/>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制标</w:t>
            </w:r>
          </w:p>
          <w:p w14:paraId="1BF68BCF">
            <w:pPr>
              <w:pStyle w:val="15"/>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准</w:t>
            </w:r>
          </w:p>
        </w:tc>
        <w:tc>
          <w:tcPr>
            <w:tcW w:w="8194" w:type="dxa"/>
            <w:noWrap w:val="0"/>
            <w:vAlign w:val="top"/>
          </w:tcPr>
          <w:p w14:paraId="16924782">
            <w:pPr>
              <w:keepNext w:val="0"/>
              <w:keepLines w:val="0"/>
              <w:pageBreakBefore w:val="0"/>
              <w:widowControl/>
              <w:kinsoku/>
              <w:wordWrap/>
              <w:overflowPunct/>
              <w:topLinePunct w:val="0"/>
              <w:autoSpaceDE/>
              <w:autoSpaceDN/>
              <w:bidi w:val="0"/>
              <w:adjustRightInd/>
              <w:snapToGrid/>
              <w:spacing w:line="480" w:lineRule="exact"/>
              <w:ind w:left="0" w:leftChars="0" w:firstLine="0" w:firstLineChars="0"/>
              <w:jc w:val="both"/>
              <w:textAlignment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 xml:space="preserve">1、废气排放标准 </w:t>
            </w:r>
          </w:p>
          <w:p w14:paraId="76A01BFD">
            <w:pPr>
              <w:pStyle w:val="16"/>
              <w:keepNext w:val="0"/>
              <w:keepLines w:val="0"/>
              <w:pageBreakBefore w:val="0"/>
              <w:widowControl/>
              <w:kinsoku/>
              <w:wordWrap/>
              <w:overflowPunct/>
              <w:topLinePunct w:val="0"/>
              <w:autoSpaceDE/>
              <w:autoSpaceDN/>
              <w:bidi w:val="0"/>
              <w:adjustRightInd/>
              <w:snapToGrid/>
              <w:spacing w:line="480" w:lineRule="exact"/>
              <w:ind w:firstLine="480" w:firstLineChars="200"/>
              <w:jc w:val="both"/>
              <w:textAlignment w:val="center"/>
              <w:rPr>
                <w:rFonts w:hint="default" w:ascii="Times New Roman" w:hAnsi="Times New Roman" w:eastAsia="宋体" w:cs="Times New Roman"/>
                <w:b w:val="0"/>
                <w:color w:val="auto"/>
                <w:kern w:val="2"/>
                <w:sz w:val="24"/>
                <w:szCs w:val="24"/>
                <w:highlight w:val="none"/>
                <w:lang w:val="en-US" w:eastAsia="zh-CN" w:bidi="ar-SA"/>
              </w:rPr>
            </w:pPr>
            <w:r>
              <w:rPr>
                <w:rFonts w:hint="default" w:ascii="Times New Roman" w:hAnsi="Times New Roman" w:eastAsia="宋体" w:cs="Times New Roman"/>
                <w:b w:val="0"/>
                <w:color w:val="auto"/>
                <w:kern w:val="2"/>
                <w:sz w:val="24"/>
                <w:szCs w:val="24"/>
                <w:highlight w:val="none"/>
                <w:lang w:val="en-US" w:eastAsia="zh-CN" w:bidi="ar-SA"/>
              </w:rPr>
              <w:t>施工期大气污染物</w:t>
            </w:r>
            <w:r>
              <w:rPr>
                <w:rFonts w:hint="eastAsia" w:eastAsia="宋体" w:cs="Times New Roman"/>
                <w:b w:val="0"/>
                <w:color w:val="auto"/>
                <w:kern w:val="2"/>
                <w:sz w:val="24"/>
                <w:szCs w:val="24"/>
                <w:highlight w:val="none"/>
                <w:lang w:val="en-US" w:eastAsia="zh-CN" w:bidi="ar-SA"/>
              </w:rPr>
              <w:t>执行</w:t>
            </w:r>
            <w:r>
              <w:rPr>
                <w:rFonts w:hint="default" w:ascii="Times New Roman" w:hAnsi="Times New Roman" w:eastAsia="宋体" w:cs="Times New Roman"/>
                <w:b w:val="0"/>
                <w:color w:val="auto"/>
                <w:kern w:val="2"/>
                <w:sz w:val="24"/>
                <w:szCs w:val="24"/>
                <w:highlight w:val="none"/>
                <w:lang w:val="en-US" w:eastAsia="zh-CN" w:bidi="ar-SA"/>
              </w:rPr>
              <w:t>《大气污染物综合排放标准》（GB16297-1996）表2中无组织排放监控浓度限值；项目废气执行《</w:t>
            </w:r>
            <w:r>
              <w:rPr>
                <w:rFonts w:hint="eastAsia" w:eastAsia="宋体" w:cs="Times New Roman"/>
                <w:b w:val="0"/>
                <w:color w:val="auto"/>
                <w:kern w:val="2"/>
                <w:sz w:val="24"/>
                <w:szCs w:val="24"/>
                <w:highlight w:val="none"/>
                <w:lang w:val="en-US" w:eastAsia="zh-CN" w:bidi="ar-SA"/>
              </w:rPr>
              <w:t>无机化学工业污染物排放标准</w:t>
            </w:r>
            <w:r>
              <w:rPr>
                <w:rFonts w:hint="default" w:ascii="Times New Roman" w:hAnsi="Times New Roman" w:eastAsia="宋体" w:cs="Times New Roman"/>
                <w:b w:val="0"/>
                <w:color w:val="auto"/>
                <w:kern w:val="2"/>
                <w:sz w:val="24"/>
                <w:szCs w:val="24"/>
                <w:highlight w:val="none"/>
                <w:lang w:val="en-US" w:eastAsia="zh-CN" w:bidi="ar-SA"/>
              </w:rPr>
              <w:t>》</w:t>
            </w:r>
            <w:r>
              <w:rPr>
                <w:rFonts w:hint="eastAsia" w:eastAsia="宋体" w:cs="Times New Roman"/>
                <w:b w:val="0"/>
                <w:color w:val="auto"/>
                <w:kern w:val="2"/>
                <w:sz w:val="24"/>
                <w:szCs w:val="24"/>
                <w:highlight w:val="none"/>
                <w:lang w:val="en-US" w:eastAsia="zh-CN" w:bidi="ar-SA"/>
              </w:rPr>
              <w:t>及修改单</w:t>
            </w:r>
            <w:r>
              <w:rPr>
                <w:rFonts w:hint="default" w:ascii="Times New Roman" w:hAnsi="Times New Roman" w:eastAsia="宋体" w:cs="Times New Roman"/>
                <w:b w:val="0"/>
                <w:color w:val="auto"/>
                <w:kern w:val="2"/>
                <w:sz w:val="24"/>
                <w:szCs w:val="24"/>
                <w:highlight w:val="none"/>
                <w:lang w:val="en-US" w:eastAsia="zh-CN" w:bidi="ar-SA"/>
              </w:rPr>
              <w:t>（GB 31573-2015）表4大气污染物特别排放限值</w:t>
            </w:r>
            <w:r>
              <w:rPr>
                <w:rFonts w:hint="eastAsia" w:eastAsia="宋体" w:cs="Times New Roman"/>
                <w:b w:val="0"/>
                <w:color w:val="auto"/>
                <w:kern w:val="2"/>
                <w:sz w:val="24"/>
                <w:szCs w:val="24"/>
                <w:highlight w:val="none"/>
                <w:lang w:val="en-US" w:eastAsia="zh-CN" w:bidi="ar-SA"/>
              </w:rPr>
              <w:t>；</w:t>
            </w:r>
            <w:r>
              <w:rPr>
                <w:rFonts w:hint="default" w:ascii="Times New Roman" w:hAnsi="Times New Roman" w:eastAsia="宋体" w:cs="Times New Roman"/>
                <w:b w:val="0"/>
                <w:color w:val="auto"/>
                <w:kern w:val="2"/>
                <w:sz w:val="24"/>
                <w:szCs w:val="24"/>
                <w:highlight w:val="none"/>
                <w:lang w:val="en-US" w:eastAsia="zh-CN" w:bidi="ar-SA"/>
              </w:rPr>
              <w:t>煤堆存粉尘执行《大气污染物综合排放标准》（GB16297-1996）表2中无组织排放监控浓度限值</w:t>
            </w:r>
            <w:r>
              <w:rPr>
                <w:rFonts w:hint="eastAsia" w:ascii="Times New Roman" w:hAnsi="Times New Roman" w:eastAsia="宋体" w:cs="Times New Roman"/>
                <w:b w:val="0"/>
                <w:color w:val="auto"/>
                <w:kern w:val="2"/>
                <w:sz w:val="24"/>
                <w:szCs w:val="24"/>
                <w:highlight w:val="none"/>
                <w:lang w:val="en-US" w:eastAsia="zh-CN" w:bidi="ar-SA"/>
              </w:rPr>
              <w:t>，详情见表3-</w:t>
            </w:r>
            <w:r>
              <w:rPr>
                <w:rFonts w:hint="eastAsia" w:eastAsia="宋体" w:cs="Times New Roman"/>
                <w:b w:val="0"/>
                <w:color w:val="auto"/>
                <w:kern w:val="2"/>
                <w:sz w:val="24"/>
                <w:szCs w:val="24"/>
                <w:highlight w:val="none"/>
                <w:lang w:val="en-US" w:eastAsia="zh-CN" w:bidi="ar-SA"/>
              </w:rPr>
              <w:t>7</w:t>
            </w:r>
            <w:r>
              <w:rPr>
                <w:rFonts w:hint="eastAsia" w:ascii="Times New Roman" w:hAnsi="Times New Roman" w:eastAsia="宋体" w:cs="Times New Roman"/>
                <w:b w:val="0"/>
                <w:color w:val="auto"/>
                <w:kern w:val="2"/>
                <w:sz w:val="24"/>
                <w:szCs w:val="24"/>
                <w:highlight w:val="none"/>
                <w:lang w:val="en-US" w:eastAsia="zh-CN" w:bidi="ar-SA"/>
              </w:rPr>
              <w:t>。</w:t>
            </w:r>
          </w:p>
          <w:p w14:paraId="5A3D73EF">
            <w:pPr>
              <w:pStyle w:val="21"/>
              <w:keepNext w:val="0"/>
              <w:keepLines w:val="0"/>
              <w:pageBreakBefore w:val="0"/>
              <w:widowControl w:val="0"/>
              <w:numPr>
                <w:ilvl w:val="0"/>
                <w:numId w:val="0"/>
              </w:numPr>
              <w:suppressLineNumbers w:val="0"/>
              <w:kinsoku/>
              <w:wordWrap/>
              <w:overflowPunct/>
              <w:topLinePunct w:val="0"/>
              <w:bidi w:val="0"/>
              <w:adjustRightInd/>
              <w:snapToGrid/>
              <w:spacing w:before="0" w:beforeAutospacing="0" w:after="0" w:afterAutospacing="0" w:line="360" w:lineRule="auto"/>
              <w:ind w:leftChars="0" w:right="0" w:rightChars="0" w:firstLine="482" w:firstLineChars="200"/>
              <w:jc w:val="center"/>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w:t>
            </w:r>
            <w:r>
              <w:rPr>
                <w:rFonts w:hint="default" w:ascii="Times New Roman" w:hAnsi="Times New Roman" w:eastAsia="宋体" w:cs="Times New Roman"/>
                <w:b/>
                <w:bCs/>
                <w:color w:val="auto"/>
                <w:sz w:val="24"/>
                <w:szCs w:val="24"/>
                <w:highlight w:val="none"/>
                <w:lang w:val="en-US" w:eastAsia="zh-CN"/>
              </w:rPr>
              <w:t>3-</w:t>
            </w:r>
            <w:r>
              <w:rPr>
                <w:rFonts w:hint="eastAsia"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lang w:val="en-US" w:eastAsia="zh-CN"/>
              </w:rPr>
              <w:t xml:space="preserve">  大气污染物排放标准一览表</w:t>
            </w:r>
          </w:p>
          <w:tbl>
            <w:tblPr>
              <w:tblStyle w:val="10"/>
              <w:tblW w:w="5000" w:type="pct"/>
              <w:tblInd w:w="17"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925"/>
              <w:gridCol w:w="2470"/>
              <w:gridCol w:w="1571"/>
              <w:gridCol w:w="1574"/>
              <w:gridCol w:w="1539"/>
            </w:tblGrid>
            <w:tr w14:paraId="2F912328">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572" w:type="pct"/>
                  <w:tcBorders>
                    <w:tl2br w:val="nil"/>
                    <w:tr2bl w:val="nil"/>
                  </w:tcBorders>
                  <w:vAlign w:val="center"/>
                </w:tcPr>
                <w:p w14:paraId="70BFF65A">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污染物类型</w:t>
                  </w:r>
                </w:p>
              </w:tc>
              <w:tc>
                <w:tcPr>
                  <w:tcW w:w="1528" w:type="pct"/>
                  <w:tcBorders>
                    <w:tl2br w:val="nil"/>
                    <w:tr2bl w:val="nil"/>
                  </w:tcBorders>
                  <w:vAlign w:val="center"/>
                </w:tcPr>
                <w:p w14:paraId="271027B3">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标准名称及级(类)别</w:t>
                  </w:r>
                </w:p>
              </w:tc>
              <w:tc>
                <w:tcPr>
                  <w:tcW w:w="972" w:type="pct"/>
                  <w:tcBorders>
                    <w:tl2br w:val="nil"/>
                    <w:tr2bl w:val="nil"/>
                  </w:tcBorders>
                  <w:vAlign w:val="center"/>
                </w:tcPr>
                <w:p w14:paraId="1EE4C281">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污染因子</w:t>
                  </w:r>
                </w:p>
              </w:tc>
              <w:tc>
                <w:tcPr>
                  <w:tcW w:w="1926" w:type="pct"/>
                  <w:gridSpan w:val="2"/>
                  <w:tcBorders>
                    <w:tl2br w:val="nil"/>
                    <w:tr2bl w:val="nil"/>
                  </w:tcBorders>
                  <w:vAlign w:val="center"/>
                </w:tcPr>
                <w:p w14:paraId="4D9D4F8C">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标准值</w:t>
                  </w:r>
                </w:p>
              </w:tc>
            </w:tr>
            <w:tr w14:paraId="454DD666">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572" w:type="pct"/>
                  <w:vMerge w:val="restart"/>
                  <w:tcBorders>
                    <w:tl2br w:val="nil"/>
                    <w:tr2bl w:val="nil"/>
                  </w:tcBorders>
                  <w:vAlign w:val="center"/>
                </w:tcPr>
                <w:p w14:paraId="619B63C2">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废气</w:t>
                  </w:r>
                </w:p>
              </w:tc>
              <w:tc>
                <w:tcPr>
                  <w:tcW w:w="1528" w:type="pct"/>
                  <w:vMerge w:val="restart"/>
                  <w:tcBorders>
                    <w:tl2br w:val="nil"/>
                    <w:tr2bl w:val="nil"/>
                  </w:tcBorders>
                  <w:vAlign w:val="center"/>
                </w:tcPr>
                <w:p w14:paraId="3EFE8CDB">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w:t>
                  </w:r>
                  <w:r>
                    <w:rPr>
                      <w:rFonts w:hint="eastAsia" w:ascii="Times New Roman" w:hAnsi="Times New Roman" w:cs="Times New Roman"/>
                      <w:color w:val="auto"/>
                      <w:sz w:val="21"/>
                      <w:szCs w:val="21"/>
                      <w:lang w:eastAsia="zh-CN"/>
                    </w:rPr>
                    <w:t>无机化学工业污染物排放标准</w:t>
                  </w:r>
                  <w:r>
                    <w:rPr>
                      <w:rFonts w:ascii="Times New Roman" w:hAnsi="Times New Roman" w:cs="Times New Roman"/>
                      <w:color w:val="auto"/>
                      <w:sz w:val="21"/>
                      <w:szCs w:val="21"/>
                    </w:rPr>
                    <w:t>》</w:t>
                  </w:r>
                  <w:r>
                    <w:rPr>
                      <w:rFonts w:hint="eastAsia" w:ascii="Times New Roman" w:hAnsi="Times New Roman" w:cs="Times New Roman"/>
                      <w:color w:val="auto"/>
                      <w:sz w:val="21"/>
                      <w:szCs w:val="21"/>
                      <w:lang w:eastAsia="zh-CN"/>
                    </w:rPr>
                    <w:t>及修改单</w:t>
                  </w:r>
                  <w:r>
                    <w:rPr>
                      <w:rFonts w:ascii="Times New Roman" w:hAnsi="Times New Roman" w:cs="Times New Roman"/>
                      <w:color w:val="auto"/>
                      <w:sz w:val="21"/>
                      <w:szCs w:val="21"/>
                    </w:rPr>
                    <w:t>（GB 31573-2015）</w:t>
                  </w:r>
                </w:p>
              </w:tc>
              <w:tc>
                <w:tcPr>
                  <w:tcW w:w="972" w:type="pct"/>
                  <w:tcBorders>
                    <w:tl2br w:val="nil"/>
                    <w:tr2bl w:val="nil"/>
                  </w:tcBorders>
                  <w:vAlign w:val="center"/>
                </w:tcPr>
                <w:p w14:paraId="6666AF20">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颗粒物</w:t>
                  </w:r>
                </w:p>
              </w:tc>
              <w:tc>
                <w:tcPr>
                  <w:tcW w:w="974" w:type="pct"/>
                  <w:tcBorders>
                    <w:tl2br w:val="nil"/>
                    <w:tr2bl w:val="nil"/>
                  </w:tcBorders>
                  <w:vAlign w:val="center"/>
                </w:tcPr>
                <w:p w14:paraId="47C4F187">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mg/m</w:t>
                  </w:r>
                  <w:r>
                    <w:rPr>
                      <w:rFonts w:ascii="Times New Roman" w:hAnsi="Times New Roman" w:cs="Times New Roman"/>
                      <w:color w:val="auto"/>
                      <w:sz w:val="21"/>
                      <w:szCs w:val="21"/>
                      <w:vertAlign w:val="superscript"/>
                    </w:rPr>
                    <w:t>3</w:t>
                  </w:r>
                </w:p>
              </w:tc>
              <w:tc>
                <w:tcPr>
                  <w:tcW w:w="952" w:type="pct"/>
                  <w:tcBorders>
                    <w:tl2br w:val="nil"/>
                    <w:tr2bl w:val="nil"/>
                  </w:tcBorders>
                  <w:vAlign w:val="center"/>
                </w:tcPr>
                <w:p w14:paraId="17A65392">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10</w:t>
                  </w:r>
                </w:p>
              </w:tc>
            </w:tr>
            <w:tr w14:paraId="0793E0F6">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572" w:type="pct"/>
                  <w:vMerge w:val="continue"/>
                  <w:tcBorders>
                    <w:tl2br w:val="nil"/>
                    <w:tr2bl w:val="nil"/>
                  </w:tcBorders>
                  <w:vAlign w:val="center"/>
                </w:tcPr>
                <w:p w14:paraId="5D5E332A">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p>
              </w:tc>
              <w:tc>
                <w:tcPr>
                  <w:tcW w:w="1528" w:type="pct"/>
                  <w:vMerge w:val="continue"/>
                  <w:tcBorders>
                    <w:tl2br w:val="nil"/>
                    <w:tr2bl w:val="nil"/>
                  </w:tcBorders>
                  <w:vAlign w:val="center"/>
                </w:tcPr>
                <w:p w14:paraId="797E653A">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p>
              </w:tc>
              <w:tc>
                <w:tcPr>
                  <w:tcW w:w="972" w:type="pct"/>
                  <w:tcBorders>
                    <w:tl2br w:val="nil"/>
                    <w:tr2bl w:val="nil"/>
                  </w:tcBorders>
                  <w:vAlign w:val="center"/>
                </w:tcPr>
                <w:p w14:paraId="32539CA4">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二氧化硫</w:t>
                  </w:r>
                </w:p>
              </w:tc>
              <w:tc>
                <w:tcPr>
                  <w:tcW w:w="974" w:type="pct"/>
                  <w:tcBorders>
                    <w:tl2br w:val="nil"/>
                    <w:tr2bl w:val="nil"/>
                  </w:tcBorders>
                  <w:vAlign w:val="center"/>
                </w:tcPr>
                <w:p w14:paraId="5816778C">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mg/m</w:t>
                  </w:r>
                  <w:r>
                    <w:rPr>
                      <w:rFonts w:ascii="Times New Roman" w:hAnsi="Times New Roman" w:cs="Times New Roman"/>
                      <w:color w:val="auto"/>
                      <w:sz w:val="21"/>
                      <w:szCs w:val="21"/>
                      <w:vertAlign w:val="superscript"/>
                    </w:rPr>
                    <w:t>3</w:t>
                  </w:r>
                </w:p>
              </w:tc>
              <w:tc>
                <w:tcPr>
                  <w:tcW w:w="952" w:type="pct"/>
                  <w:tcBorders>
                    <w:tl2br w:val="nil"/>
                    <w:tr2bl w:val="nil"/>
                  </w:tcBorders>
                  <w:vAlign w:val="center"/>
                </w:tcPr>
                <w:p w14:paraId="22415882">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100</w:t>
                  </w:r>
                </w:p>
              </w:tc>
            </w:tr>
            <w:tr w14:paraId="09E1BA9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572" w:type="pct"/>
                  <w:vMerge w:val="continue"/>
                  <w:tcBorders>
                    <w:tl2br w:val="nil"/>
                    <w:tr2bl w:val="nil"/>
                  </w:tcBorders>
                  <w:vAlign w:val="center"/>
                </w:tcPr>
                <w:p w14:paraId="70152D20">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p>
              </w:tc>
              <w:tc>
                <w:tcPr>
                  <w:tcW w:w="1528" w:type="pct"/>
                  <w:vMerge w:val="continue"/>
                  <w:tcBorders>
                    <w:tl2br w:val="nil"/>
                    <w:tr2bl w:val="nil"/>
                  </w:tcBorders>
                  <w:vAlign w:val="center"/>
                </w:tcPr>
                <w:p w14:paraId="73D137E4">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p>
              </w:tc>
              <w:tc>
                <w:tcPr>
                  <w:tcW w:w="972" w:type="pct"/>
                  <w:tcBorders>
                    <w:tl2br w:val="nil"/>
                    <w:tr2bl w:val="nil"/>
                  </w:tcBorders>
                  <w:vAlign w:val="center"/>
                </w:tcPr>
                <w:p w14:paraId="62860DC1">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氮氧化物</w:t>
                  </w:r>
                </w:p>
              </w:tc>
              <w:tc>
                <w:tcPr>
                  <w:tcW w:w="974" w:type="pct"/>
                  <w:tcBorders>
                    <w:tl2br w:val="nil"/>
                    <w:tr2bl w:val="nil"/>
                  </w:tcBorders>
                  <w:vAlign w:val="center"/>
                </w:tcPr>
                <w:p w14:paraId="5C96927E">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mg/m</w:t>
                  </w:r>
                  <w:r>
                    <w:rPr>
                      <w:rFonts w:ascii="Times New Roman" w:hAnsi="Times New Roman" w:cs="Times New Roman"/>
                      <w:color w:val="auto"/>
                      <w:sz w:val="21"/>
                      <w:szCs w:val="21"/>
                      <w:vertAlign w:val="superscript"/>
                    </w:rPr>
                    <w:t>3</w:t>
                  </w:r>
                </w:p>
              </w:tc>
              <w:tc>
                <w:tcPr>
                  <w:tcW w:w="952" w:type="pct"/>
                  <w:tcBorders>
                    <w:tl2br w:val="nil"/>
                    <w:tr2bl w:val="nil"/>
                  </w:tcBorders>
                  <w:vAlign w:val="center"/>
                </w:tcPr>
                <w:p w14:paraId="2CFC6658">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100</w:t>
                  </w:r>
                </w:p>
              </w:tc>
            </w:tr>
            <w:tr w14:paraId="46530409">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572" w:type="pct"/>
                  <w:vMerge w:val="continue"/>
                  <w:tcBorders>
                    <w:tl2br w:val="nil"/>
                    <w:tr2bl w:val="nil"/>
                  </w:tcBorders>
                  <w:vAlign w:val="center"/>
                </w:tcPr>
                <w:p w14:paraId="75CB9656">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p>
              </w:tc>
              <w:tc>
                <w:tcPr>
                  <w:tcW w:w="1528" w:type="pct"/>
                  <w:vMerge w:val="continue"/>
                  <w:tcBorders>
                    <w:tl2br w:val="nil"/>
                    <w:tr2bl w:val="nil"/>
                  </w:tcBorders>
                  <w:vAlign w:val="center"/>
                </w:tcPr>
                <w:p w14:paraId="4AF2F6E8">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p>
              </w:tc>
              <w:tc>
                <w:tcPr>
                  <w:tcW w:w="972" w:type="pct"/>
                  <w:tcBorders>
                    <w:tl2br w:val="nil"/>
                    <w:tr2bl w:val="nil"/>
                  </w:tcBorders>
                  <w:vAlign w:val="center"/>
                </w:tcPr>
                <w:p w14:paraId="0C253D61">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氯化氢</w:t>
                  </w:r>
                </w:p>
              </w:tc>
              <w:tc>
                <w:tcPr>
                  <w:tcW w:w="974" w:type="pct"/>
                  <w:tcBorders>
                    <w:tl2br w:val="nil"/>
                    <w:tr2bl w:val="nil"/>
                  </w:tcBorders>
                  <w:vAlign w:val="center"/>
                </w:tcPr>
                <w:p w14:paraId="284C149F">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mg/m</w:t>
                  </w:r>
                  <w:r>
                    <w:rPr>
                      <w:rFonts w:ascii="Times New Roman" w:hAnsi="Times New Roman" w:cs="Times New Roman"/>
                      <w:color w:val="auto"/>
                      <w:sz w:val="21"/>
                      <w:szCs w:val="21"/>
                      <w:vertAlign w:val="superscript"/>
                    </w:rPr>
                    <w:t>3</w:t>
                  </w:r>
                </w:p>
              </w:tc>
              <w:tc>
                <w:tcPr>
                  <w:tcW w:w="952" w:type="pct"/>
                  <w:tcBorders>
                    <w:tl2br w:val="nil"/>
                    <w:tr2bl w:val="nil"/>
                  </w:tcBorders>
                  <w:vAlign w:val="center"/>
                </w:tcPr>
                <w:p w14:paraId="34C7C8C5">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20</w:t>
                  </w:r>
                </w:p>
              </w:tc>
            </w:tr>
            <w:tr w14:paraId="610C57F0">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809" w:hRule="atLeast"/>
              </w:trPr>
              <w:tc>
                <w:tcPr>
                  <w:tcW w:w="572" w:type="pct"/>
                  <w:vMerge w:val="continue"/>
                  <w:tcBorders>
                    <w:tl2br w:val="nil"/>
                    <w:tr2bl w:val="nil"/>
                  </w:tcBorders>
                  <w:vAlign w:val="center"/>
                </w:tcPr>
                <w:p w14:paraId="55473CEC">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p>
              </w:tc>
              <w:tc>
                <w:tcPr>
                  <w:tcW w:w="1528" w:type="pct"/>
                  <w:tcBorders>
                    <w:tl2br w:val="nil"/>
                    <w:tr2bl w:val="nil"/>
                  </w:tcBorders>
                  <w:vAlign w:val="center"/>
                </w:tcPr>
                <w:p w14:paraId="4EE0C82C">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《大气污染物综合排放标准》(GB16297-1996)</w:t>
                  </w:r>
                </w:p>
              </w:tc>
              <w:tc>
                <w:tcPr>
                  <w:tcW w:w="972" w:type="pct"/>
                  <w:tcBorders>
                    <w:tl2br w:val="nil"/>
                    <w:tr2bl w:val="nil"/>
                  </w:tcBorders>
                  <w:vAlign w:val="center"/>
                </w:tcPr>
                <w:p w14:paraId="66AB06AF">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ascii="Times New Roman" w:hAnsi="Times New Roman" w:cs="Times New Roman"/>
                      <w:color w:val="auto"/>
                      <w:sz w:val="21"/>
                      <w:szCs w:val="21"/>
                    </w:rPr>
                    <w:t>颗粒物</w:t>
                  </w:r>
                </w:p>
              </w:tc>
              <w:tc>
                <w:tcPr>
                  <w:tcW w:w="974" w:type="pct"/>
                  <w:tcBorders>
                    <w:tl2br w:val="nil"/>
                    <w:tr2bl w:val="nil"/>
                  </w:tcBorders>
                  <w:vAlign w:val="center"/>
                </w:tcPr>
                <w:p w14:paraId="7F524A61">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color w:val="auto"/>
                    </w:rPr>
                    <w:t>mg/m</w:t>
                  </w:r>
                  <w:r>
                    <w:rPr>
                      <w:rFonts w:hint="default" w:ascii="Times New Roman" w:hAnsi="Times New Roman" w:eastAsia="宋体" w:cs="Times New Roman"/>
                      <w:color w:val="auto"/>
                      <w:vertAlign w:val="superscript"/>
                    </w:rPr>
                    <w:t>3</w:t>
                  </w:r>
                </w:p>
              </w:tc>
              <w:tc>
                <w:tcPr>
                  <w:tcW w:w="952" w:type="pct"/>
                  <w:tcBorders>
                    <w:tl2br w:val="nil"/>
                    <w:tr2bl w:val="nil"/>
                  </w:tcBorders>
                  <w:vAlign w:val="center"/>
                </w:tcPr>
                <w:p w14:paraId="678A7504">
                  <w:pPr>
                    <w:kinsoku w:val="0"/>
                    <w:overflowPunct w:val="0"/>
                    <w:autoSpaceDE w:val="0"/>
                    <w:autoSpaceDN w:val="0"/>
                    <w:adjustRightInd w:val="0"/>
                    <w:snapToGrid w:val="0"/>
                    <w:jc w:val="center"/>
                    <w:textAlignment w:val="center"/>
                    <w:rPr>
                      <w:rFonts w:ascii="Times New Roman" w:hAnsi="Times New Roman" w:cs="Times New Roman"/>
                      <w:color w:val="auto"/>
                      <w:sz w:val="21"/>
                      <w:szCs w:val="21"/>
                    </w:rPr>
                  </w:pPr>
                  <w:r>
                    <w:rPr>
                      <w:rFonts w:hint="default" w:ascii="Times New Roman" w:hAnsi="Times New Roman" w:eastAsia="宋体" w:cs="Times New Roman"/>
                      <w:color w:val="auto"/>
                    </w:rPr>
                    <w:t>1.0</w:t>
                  </w:r>
                </w:p>
              </w:tc>
            </w:tr>
          </w:tbl>
          <w:p w14:paraId="6F968CDB">
            <w:pPr>
              <w:keepNext w:val="0"/>
              <w:keepLines w:val="0"/>
              <w:pageBreakBefore w:val="0"/>
              <w:widowControl/>
              <w:kinsoku/>
              <w:wordWrap/>
              <w:overflowPunct/>
              <w:topLinePunct w:val="0"/>
              <w:autoSpaceDE/>
              <w:autoSpaceDN/>
              <w:bidi w:val="0"/>
              <w:adjustRightInd/>
              <w:snapToGrid/>
              <w:spacing w:line="480" w:lineRule="exact"/>
              <w:ind w:left="0" w:leftChars="0" w:firstLine="0" w:firstLineChars="0"/>
              <w:jc w:val="both"/>
              <w:textAlignment w:val="center"/>
              <w:rPr>
                <w:rFonts w:hint="default" w:ascii="Times New Roman" w:hAnsi="Times New Roman" w:eastAsia="宋体" w:cs="Times New Roman"/>
                <w:b/>
                <w:bCs/>
                <w:color w:val="auto"/>
                <w:sz w:val="24"/>
                <w:szCs w:val="24"/>
                <w:lang w:val="en-US" w:eastAsia="zh-CN"/>
              </w:rPr>
            </w:pPr>
            <w:r>
              <w:rPr>
                <w:rFonts w:hint="eastAsia"/>
                <w:b/>
                <w:bCs/>
                <w:color w:val="auto"/>
                <w:sz w:val="24"/>
                <w:lang w:val="en-US" w:eastAsia="zh-CN"/>
              </w:rPr>
              <w:t>2</w:t>
            </w:r>
            <w:r>
              <w:rPr>
                <w:b/>
                <w:bCs/>
                <w:color w:val="auto"/>
                <w:sz w:val="24"/>
              </w:rPr>
              <w:t>、</w:t>
            </w:r>
            <w:r>
              <w:rPr>
                <w:rFonts w:hint="default" w:ascii="Times New Roman" w:hAnsi="Times New Roman" w:eastAsia="宋体" w:cs="Times New Roman"/>
                <w:b/>
                <w:bCs/>
                <w:color w:val="auto"/>
                <w:sz w:val="24"/>
                <w:szCs w:val="24"/>
                <w:lang w:val="en-US" w:eastAsia="zh-CN"/>
              </w:rPr>
              <w:t>噪声排放标准</w:t>
            </w:r>
          </w:p>
          <w:p w14:paraId="78C1D9D4">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施工期噪声执行《建筑施工场界环境噪声排放标准》（GB12523-2011）；</w:t>
            </w:r>
            <w:r>
              <w:rPr>
                <w:rFonts w:hint="eastAsia" w:cs="Times New Roman"/>
                <w:color w:val="auto"/>
                <w:sz w:val="24"/>
                <w:szCs w:val="24"/>
                <w:highlight w:val="none"/>
                <w:lang w:val="en-US" w:eastAsia="zh-CN"/>
              </w:rPr>
              <w:t>运营期</w:t>
            </w:r>
            <w:r>
              <w:rPr>
                <w:rFonts w:hint="eastAsia" w:ascii="Times New Roman" w:hAnsi="Times New Roman" w:eastAsia="宋体" w:cs="Times New Roman"/>
                <w:color w:val="auto"/>
                <w:sz w:val="24"/>
                <w:szCs w:val="24"/>
                <w:highlight w:val="none"/>
                <w:lang w:val="en-US" w:eastAsia="zh-CN"/>
              </w:rPr>
              <w:t>噪声执行《工业企业厂界环境噪声排放标准》（</w:t>
            </w:r>
            <w:r>
              <w:rPr>
                <w:rFonts w:hint="default" w:ascii="Times New Roman" w:hAnsi="Times New Roman" w:eastAsia="宋体" w:cs="Times New Roman"/>
                <w:color w:val="auto"/>
                <w:sz w:val="24"/>
                <w:szCs w:val="24"/>
                <w:highlight w:val="none"/>
                <w:lang w:val="en-US" w:eastAsia="zh-CN"/>
              </w:rPr>
              <w:t>GB12348-2008</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val="en-US" w:eastAsia="zh-CN"/>
              </w:rPr>
              <w:t>类标准。</w:t>
            </w:r>
          </w:p>
          <w:p w14:paraId="2B31B827">
            <w:pPr>
              <w:pStyle w:val="21"/>
              <w:keepNext w:val="0"/>
              <w:keepLines w:val="0"/>
              <w:pageBreakBefore w:val="0"/>
              <w:widowControl w:val="0"/>
              <w:numPr>
                <w:ilvl w:val="0"/>
                <w:numId w:val="0"/>
              </w:numPr>
              <w:suppressLineNumbers w:val="0"/>
              <w:kinsoku/>
              <w:wordWrap/>
              <w:overflowPunct/>
              <w:topLinePunct w:val="0"/>
              <w:bidi w:val="0"/>
              <w:adjustRightInd/>
              <w:snapToGrid/>
              <w:spacing w:before="0" w:beforeAutospacing="0" w:after="0" w:afterAutospacing="0" w:line="360" w:lineRule="auto"/>
              <w:ind w:leftChars="0" w:right="0" w:rightChars="0" w:firstLine="482" w:firstLineChars="200"/>
              <w:jc w:val="center"/>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表3-</w:t>
            </w:r>
            <w:r>
              <w:rPr>
                <w:rFonts w:hint="eastAsia" w:cs="Times New Roman"/>
                <w:b/>
                <w:bCs/>
                <w:color w:val="auto"/>
                <w:sz w:val="24"/>
                <w:szCs w:val="24"/>
                <w:highlight w:val="none"/>
                <w:lang w:val="en-US" w:eastAsia="zh-CN"/>
              </w:rPr>
              <w:t>8</w:t>
            </w:r>
            <w:r>
              <w:rPr>
                <w:rFonts w:hint="eastAsia" w:ascii="Times New Roman" w:hAnsi="Times New Roman" w:eastAsia="宋体" w:cs="Times New Roman"/>
                <w:b/>
                <w:bCs/>
                <w:color w:val="auto"/>
                <w:sz w:val="24"/>
                <w:szCs w:val="24"/>
                <w:highlight w:val="none"/>
                <w:lang w:val="en-US" w:eastAsia="zh-CN"/>
              </w:rPr>
              <w:t xml:space="preserve">  建筑施工场界环境噪声排放标准     单位：dB（A）</w:t>
            </w:r>
          </w:p>
          <w:tbl>
            <w:tblPr>
              <w:tblStyle w:val="11"/>
              <w:tblW w:w="80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993"/>
              <w:gridCol w:w="993"/>
              <w:gridCol w:w="5084"/>
            </w:tblGrid>
            <w:tr w14:paraId="03FF0B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988" w:type="dxa"/>
                  <w:vMerge w:val="restart"/>
                  <w:tcBorders>
                    <w:tl2br w:val="nil"/>
                    <w:tr2bl w:val="nil"/>
                  </w:tcBorders>
                  <w:vAlign w:val="center"/>
                </w:tcPr>
                <w:p w14:paraId="6C69A42A">
                  <w:pPr>
                    <w:spacing w:line="320" w:lineRule="exact"/>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限值</w:t>
                  </w:r>
                </w:p>
              </w:tc>
              <w:tc>
                <w:tcPr>
                  <w:tcW w:w="993" w:type="dxa"/>
                  <w:tcBorders>
                    <w:tl2br w:val="nil"/>
                    <w:tr2bl w:val="nil"/>
                  </w:tcBorders>
                  <w:vAlign w:val="center"/>
                </w:tcPr>
                <w:p w14:paraId="5DF68C6D">
                  <w:pPr>
                    <w:spacing w:line="320" w:lineRule="exact"/>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昼间</w:t>
                  </w:r>
                </w:p>
              </w:tc>
              <w:tc>
                <w:tcPr>
                  <w:tcW w:w="993" w:type="dxa"/>
                  <w:tcBorders>
                    <w:tl2br w:val="nil"/>
                    <w:tr2bl w:val="nil"/>
                  </w:tcBorders>
                  <w:vAlign w:val="center"/>
                </w:tcPr>
                <w:p w14:paraId="3519C623">
                  <w:pPr>
                    <w:spacing w:line="320" w:lineRule="exact"/>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夜间</w:t>
                  </w:r>
                </w:p>
              </w:tc>
              <w:tc>
                <w:tcPr>
                  <w:tcW w:w="5084" w:type="dxa"/>
                  <w:tcBorders>
                    <w:tl2br w:val="nil"/>
                    <w:tr2bl w:val="nil"/>
                  </w:tcBorders>
                  <w:vAlign w:val="center"/>
                </w:tcPr>
                <w:p w14:paraId="7B04A1CA">
                  <w:pPr>
                    <w:spacing w:line="320" w:lineRule="exact"/>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标准来源</w:t>
                  </w:r>
                </w:p>
              </w:tc>
            </w:tr>
            <w:tr w14:paraId="1CA09D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8" w:type="dxa"/>
                  <w:vMerge w:val="continue"/>
                  <w:tcBorders>
                    <w:tl2br w:val="nil"/>
                    <w:tr2bl w:val="nil"/>
                  </w:tcBorders>
                  <w:vAlign w:val="center"/>
                </w:tcPr>
                <w:p w14:paraId="688F42F9">
                  <w:pPr>
                    <w:spacing w:line="320" w:lineRule="exact"/>
                    <w:jc w:val="center"/>
                    <w:rPr>
                      <w:rFonts w:ascii="Times New Roman" w:hAnsi="Times New Roman" w:cs="Times New Roman"/>
                      <w:color w:val="auto"/>
                      <w:sz w:val="21"/>
                      <w:szCs w:val="21"/>
                      <w:highlight w:val="none"/>
                    </w:rPr>
                  </w:pPr>
                </w:p>
              </w:tc>
              <w:tc>
                <w:tcPr>
                  <w:tcW w:w="993" w:type="dxa"/>
                  <w:tcBorders>
                    <w:tl2br w:val="nil"/>
                    <w:tr2bl w:val="nil"/>
                  </w:tcBorders>
                  <w:vAlign w:val="center"/>
                </w:tcPr>
                <w:p w14:paraId="694A95B8">
                  <w:pPr>
                    <w:spacing w:line="320" w:lineRule="exact"/>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70</w:t>
                  </w:r>
                </w:p>
              </w:tc>
              <w:tc>
                <w:tcPr>
                  <w:tcW w:w="993" w:type="dxa"/>
                  <w:tcBorders>
                    <w:tl2br w:val="nil"/>
                    <w:tr2bl w:val="nil"/>
                  </w:tcBorders>
                  <w:vAlign w:val="center"/>
                </w:tcPr>
                <w:p w14:paraId="1DD10DD6">
                  <w:pPr>
                    <w:spacing w:line="320" w:lineRule="exact"/>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55</w:t>
                  </w:r>
                </w:p>
              </w:tc>
              <w:tc>
                <w:tcPr>
                  <w:tcW w:w="5084" w:type="dxa"/>
                  <w:tcBorders>
                    <w:tl2br w:val="nil"/>
                    <w:tr2bl w:val="nil"/>
                  </w:tcBorders>
                  <w:vAlign w:val="center"/>
                </w:tcPr>
                <w:p w14:paraId="5C3EF8FF">
                  <w:pPr>
                    <w:spacing w:line="320" w:lineRule="exact"/>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《建筑施工场界环境噪声排放标准》（GB12523-2011）</w:t>
                  </w:r>
                </w:p>
              </w:tc>
            </w:tr>
          </w:tbl>
          <w:p w14:paraId="1094885E">
            <w:pPr>
              <w:pStyle w:val="21"/>
              <w:keepNext w:val="0"/>
              <w:keepLines w:val="0"/>
              <w:pageBreakBefore w:val="0"/>
              <w:widowControl w:val="0"/>
              <w:numPr>
                <w:ilvl w:val="0"/>
                <w:numId w:val="0"/>
              </w:numPr>
              <w:suppressLineNumbers w:val="0"/>
              <w:kinsoku/>
              <w:wordWrap/>
              <w:overflowPunct/>
              <w:topLinePunct w:val="0"/>
              <w:bidi w:val="0"/>
              <w:adjustRightInd/>
              <w:snapToGrid/>
              <w:spacing w:before="0" w:beforeAutospacing="0" w:after="0" w:afterAutospacing="0" w:line="360" w:lineRule="auto"/>
              <w:ind w:leftChars="0" w:right="0" w:rightChars="0" w:firstLine="482" w:firstLineChars="200"/>
              <w:jc w:val="center"/>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表3-</w:t>
            </w:r>
            <w:r>
              <w:rPr>
                <w:rFonts w:hint="eastAsia" w:cs="Times New Roman"/>
                <w:b/>
                <w:bCs/>
                <w:color w:val="auto"/>
                <w:sz w:val="24"/>
                <w:szCs w:val="24"/>
                <w:highlight w:val="none"/>
                <w:lang w:val="en-US" w:eastAsia="zh-CN"/>
              </w:rPr>
              <w:t>9</w:t>
            </w:r>
            <w:r>
              <w:rPr>
                <w:rFonts w:hint="eastAsia" w:ascii="Times New Roman" w:hAnsi="Times New Roman" w:eastAsia="宋体" w:cs="Times New Roman"/>
                <w:b/>
                <w:bCs/>
                <w:color w:val="auto"/>
                <w:sz w:val="24"/>
                <w:szCs w:val="24"/>
                <w:highlight w:val="none"/>
                <w:lang w:val="en-US" w:eastAsia="zh-CN"/>
              </w:rPr>
              <w:t xml:space="preserve">  工业企业厂界环境噪声排放标准      单位：dB（A）</w:t>
            </w:r>
          </w:p>
          <w:tbl>
            <w:tblPr>
              <w:tblStyle w:val="11"/>
              <w:tblW w:w="807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38"/>
              <w:gridCol w:w="1039"/>
              <w:gridCol w:w="1039"/>
              <w:gridCol w:w="4963"/>
            </w:tblGrid>
            <w:tr w14:paraId="14EAA6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1038" w:type="dxa"/>
                  <w:tcBorders>
                    <w:tl2br w:val="nil"/>
                    <w:tr2bl w:val="nil"/>
                  </w:tcBorders>
                  <w:vAlign w:val="center"/>
                </w:tcPr>
                <w:p w14:paraId="7611F583">
                  <w:pPr>
                    <w:spacing w:line="320" w:lineRule="exact"/>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类别</w:t>
                  </w:r>
                </w:p>
              </w:tc>
              <w:tc>
                <w:tcPr>
                  <w:tcW w:w="1039" w:type="dxa"/>
                  <w:tcBorders>
                    <w:tl2br w:val="nil"/>
                    <w:tr2bl w:val="nil"/>
                  </w:tcBorders>
                  <w:vAlign w:val="center"/>
                </w:tcPr>
                <w:p w14:paraId="5B867C26">
                  <w:pPr>
                    <w:spacing w:line="320" w:lineRule="exact"/>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昼间</w:t>
                  </w:r>
                </w:p>
              </w:tc>
              <w:tc>
                <w:tcPr>
                  <w:tcW w:w="1039" w:type="dxa"/>
                  <w:tcBorders>
                    <w:tl2br w:val="nil"/>
                    <w:tr2bl w:val="nil"/>
                  </w:tcBorders>
                  <w:vAlign w:val="center"/>
                </w:tcPr>
                <w:p w14:paraId="1C825F35">
                  <w:pPr>
                    <w:spacing w:line="320" w:lineRule="exact"/>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夜间</w:t>
                  </w:r>
                </w:p>
              </w:tc>
              <w:tc>
                <w:tcPr>
                  <w:tcW w:w="4963" w:type="dxa"/>
                  <w:tcBorders>
                    <w:tl2br w:val="nil"/>
                    <w:tr2bl w:val="nil"/>
                  </w:tcBorders>
                  <w:vAlign w:val="center"/>
                </w:tcPr>
                <w:p w14:paraId="68D2999D">
                  <w:pPr>
                    <w:spacing w:line="320" w:lineRule="exact"/>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标准来源</w:t>
                  </w:r>
                </w:p>
              </w:tc>
            </w:tr>
            <w:tr w14:paraId="433440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038" w:type="dxa"/>
                  <w:tcBorders>
                    <w:tl2br w:val="nil"/>
                    <w:tr2bl w:val="nil"/>
                  </w:tcBorders>
                  <w:vAlign w:val="center"/>
                </w:tcPr>
                <w:p w14:paraId="71649F98">
                  <w:pPr>
                    <w:spacing w:line="320" w:lineRule="exact"/>
                    <w:jc w:val="center"/>
                    <w:rPr>
                      <w:rFonts w:ascii="Times New Roman" w:hAnsi="Times New Roman" w:cs="Times New Roman"/>
                      <w:color w:val="auto"/>
                      <w:sz w:val="21"/>
                      <w:szCs w:val="21"/>
                      <w:highlight w:val="none"/>
                    </w:rPr>
                  </w:pPr>
                  <w:r>
                    <w:rPr>
                      <w:rFonts w:hint="eastAsia" w:cs="Times New Roman"/>
                      <w:color w:val="auto"/>
                      <w:sz w:val="21"/>
                      <w:szCs w:val="21"/>
                      <w:highlight w:val="none"/>
                      <w:lang w:val="en-US" w:eastAsia="zh-CN"/>
                    </w:rPr>
                    <w:t>3</w:t>
                  </w:r>
                  <w:r>
                    <w:rPr>
                      <w:rFonts w:ascii="Times New Roman" w:hAnsi="Times New Roman" w:cs="Times New Roman"/>
                      <w:color w:val="auto"/>
                      <w:sz w:val="21"/>
                      <w:szCs w:val="21"/>
                      <w:highlight w:val="none"/>
                    </w:rPr>
                    <w:t>类</w:t>
                  </w:r>
                </w:p>
              </w:tc>
              <w:tc>
                <w:tcPr>
                  <w:tcW w:w="1039" w:type="dxa"/>
                  <w:tcBorders>
                    <w:tl2br w:val="nil"/>
                    <w:tr2bl w:val="nil"/>
                  </w:tcBorders>
                  <w:vAlign w:val="center"/>
                </w:tcPr>
                <w:p w14:paraId="27162142">
                  <w:pPr>
                    <w:spacing w:line="32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65</w:t>
                  </w:r>
                </w:p>
              </w:tc>
              <w:tc>
                <w:tcPr>
                  <w:tcW w:w="1039" w:type="dxa"/>
                  <w:tcBorders>
                    <w:tl2br w:val="nil"/>
                    <w:tr2bl w:val="nil"/>
                  </w:tcBorders>
                  <w:vAlign w:val="center"/>
                </w:tcPr>
                <w:p w14:paraId="272C5BCC">
                  <w:pPr>
                    <w:spacing w:line="32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55</w:t>
                  </w:r>
                </w:p>
              </w:tc>
              <w:tc>
                <w:tcPr>
                  <w:tcW w:w="4963" w:type="dxa"/>
                  <w:tcBorders>
                    <w:tl2br w:val="nil"/>
                    <w:tr2bl w:val="nil"/>
                  </w:tcBorders>
                  <w:vAlign w:val="center"/>
                </w:tcPr>
                <w:p w14:paraId="253113DD">
                  <w:pPr>
                    <w:spacing w:line="320" w:lineRule="exact"/>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《工业企业厂界环境噪声排放标准》（GB12348-2008）</w:t>
                  </w:r>
                </w:p>
              </w:tc>
            </w:tr>
          </w:tbl>
          <w:p w14:paraId="1A1E455E">
            <w:pPr>
              <w:keepNext w:val="0"/>
              <w:keepLines w:val="0"/>
              <w:pageBreakBefore w:val="0"/>
              <w:widowControl/>
              <w:kinsoku/>
              <w:wordWrap/>
              <w:overflowPunct/>
              <w:topLinePunct w:val="0"/>
              <w:autoSpaceDE/>
              <w:autoSpaceDN/>
              <w:bidi w:val="0"/>
              <w:adjustRightInd/>
              <w:snapToGrid/>
              <w:spacing w:line="480" w:lineRule="exact"/>
              <w:ind w:left="0" w:leftChars="0" w:firstLine="0" w:firstLineChars="0"/>
              <w:jc w:val="both"/>
              <w:textAlignment w:val="center"/>
              <w:rPr>
                <w:rFonts w:hint="default" w:ascii="Times New Roman" w:hAnsi="Times New Roman" w:eastAsia="宋体" w:cs="Times New Roman"/>
                <w:b/>
                <w:bCs/>
                <w:color w:val="auto"/>
                <w:sz w:val="24"/>
                <w:szCs w:val="24"/>
                <w:lang w:val="en-US" w:eastAsia="zh-CN"/>
              </w:rPr>
            </w:pPr>
            <w:r>
              <w:rPr>
                <w:rFonts w:hint="eastAsia"/>
                <w:b/>
                <w:bCs/>
                <w:color w:val="auto"/>
                <w:sz w:val="24"/>
                <w:lang w:val="en-US" w:eastAsia="zh-CN"/>
              </w:rPr>
              <w:t>3</w:t>
            </w:r>
            <w:r>
              <w:rPr>
                <w:b/>
                <w:bCs/>
                <w:color w:val="auto"/>
                <w:sz w:val="24"/>
              </w:rPr>
              <w:t>、</w:t>
            </w:r>
            <w:r>
              <w:rPr>
                <w:rFonts w:hint="default" w:ascii="Times New Roman" w:hAnsi="Times New Roman" w:eastAsia="宋体" w:cs="Times New Roman"/>
                <w:b/>
                <w:bCs/>
                <w:color w:val="auto"/>
                <w:sz w:val="24"/>
                <w:szCs w:val="24"/>
                <w:lang w:val="en-US" w:eastAsia="zh-CN"/>
              </w:rPr>
              <w:t>固体废弃物控制标准</w:t>
            </w:r>
          </w:p>
          <w:p w14:paraId="7AC73E85">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center"/>
              <w:rPr>
                <w:rFonts w:hint="default" w:ascii="Times New Roman" w:hAnsi="Times New Roman" w:eastAsia="宋体" w:cs="Times New Roman"/>
                <w:color w:val="auto"/>
                <w:kern w:val="0"/>
                <w:sz w:val="24"/>
                <w:szCs w:val="24"/>
              </w:rPr>
            </w:pPr>
            <w:r>
              <w:rPr>
                <w:rFonts w:eastAsia="新宋体"/>
                <w:color w:val="auto"/>
                <w:sz w:val="24"/>
              </w:rPr>
              <w:t>一般固废执行</w:t>
            </w:r>
            <w:r>
              <w:rPr>
                <w:color w:val="auto"/>
                <w:sz w:val="24"/>
              </w:rPr>
              <w:t>《一般工业固体废物贮存</w:t>
            </w:r>
            <w:r>
              <w:rPr>
                <w:rFonts w:hint="eastAsia"/>
                <w:color w:val="auto"/>
                <w:sz w:val="24"/>
              </w:rPr>
              <w:t>和</w:t>
            </w:r>
            <w:r>
              <w:rPr>
                <w:color w:val="auto"/>
                <w:sz w:val="24"/>
              </w:rPr>
              <w:t>填埋污染控制标准》（GB18599-2020）</w:t>
            </w:r>
            <w:r>
              <w:rPr>
                <w:rFonts w:hint="eastAsia"/>
                <w:color w:val="auto"/>
                <w:sz w:val="24"/>
                <w:szCs w:val="24"/>
                <w:lang w:val="zh-CN"/>
              </w:rPr>
              <w:t>。</w:t>
            </w:r>
          </w:p>
        </w:tc>
      </w:tr>
      <w:tr w14:paraId="3216E3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93" w:hRule="atLeast"/>
          <w:jc w:val="center"/>
        </w:trPr>
        <w:tc>
          <w:tcPr>
            <w:tcW w:w="812" w:type="dxa"/>
            <w:noWrap w:val="0"/>
            <w:vAlign w:val="center"/>
          </w:tcPr>
          <w:p w14:paraId="3FB38F10">
            <w:pPr>
              <w:pStyle w:val="15"/>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总量控制指标</w:t>
            </w:r>
          </w:p>
        </w:tc>
        <w:tc>
          <w:tcPr>
            <w:tcW w:w="8194" w:type="dxa"/>
            <w:noWrap w:val="0"/>
            <w:vAlign w:val="top"/>
          </w:tcPr>
          <w:p w14:paraId="532FE3B2">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center"/>
              <w:rPr>
                <w:rFonts w:hint="default" w:ascii="Times New Roman" w:hAnsi="Times New Roman" w:eastAsia="新宋体" w:cs="Times New Roman"/>
                <w:color w:val="auto"/>
                <w:sz w:val="24"/>
                <w:lang w:val="en-US" w:eastAsia="zh-CN"/>
              </w:rPr>
            </w:pPr>
            <w:r>
              <w:rPr>
                <w:rFonts w:hint="eastAsia" w:ascii="Times New Roman" w:hAnsi="Times New Roman" w:eastAsia="新宋体" w:cs="Times New Roman"/>
                <w:color w:val="auto"/>
                <w:sz w:val="24"/>
                <w:lang w:val="en-US" w:eastAsia="zh-CN"/>
              </w:rPr>
              <w:t>根据《利用粉煤灰生产聚合氯化铝技改扩建项目环境影响评价报告书》</w:t>
            </w:r>
            <w:r>
              <w:rPr>
                <w:rFonts w:hint="eastAsia" w:eastAsia="新宋体" w:cs="Times New Roman"/>
                <w:color w:val="auto"/>
                <w:sz w:val="24"/>
                <w:lang w:val="en-US" w:eastAsia="zh-CN"/>
              </w:rPr>
              <w:t>项目技改前三级吸收塔排放总量为</w:t>
            </w:r>
            <w:r>
              <w:rPr>
                <w:rFonts w:hint="eastAsia" w:ascii="Times New Roman" w:hAnsi="Times New Roman" w:eastAsia="新宋体" w:cs="Times New Roman"/>
                <w:color w:val="auto"/>
                <w:sz w:val="24"/>
                <w:lang w:val="en-US" w:eastAsia="zh-CN"/>
              </w:rPr>
              <w:t>二氧化硫0.0471t/a、氮氧化物2.09t/a。</w:t>
            </w:r>
            <w:r>
              <w:rPr>
                <w:rFonts w:hint="eastAsia" w:eastAsia="新宋体" w:cs="Times New Roman"/>
                <w:color w:val="auto"/>
                <w:sz w:val="24"/>
                <w:lang w:val="en-US" w:eastAsia="zh-CN"/>
              </w:rPr>
              <w:t>本次技改后项目新增二氧化硫排放量1.1529t/a、</w:t>
            </w:r>
            <w:r>
              <w:rPr>
                <w:rFonts w:hint="eastAsia" w:ascii="Times New Roman" w:hAnsi="Times New Roman" w:eastAsia="新宋体" w:cs="Times New Roman"/>
                <w:color w:val="auto"/>
                <w:sz w:val="24"/>
                <w:lang w:val="en-US" w:eastAsia="zh-CN"/>
              </w:rPr>
              <w:t>氮氧化物排放量2.21t/a。</w:t>
            </w:r>
          </w:p>
          <w:p w14:paraId="046011AD">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center"/>
              <w:rPr>
                <w:rFonts w:hint="default" w:ascii="Times New Roman" w:hAnsi="Times New Roman" w:eastAsia="新宋体" w:cs="Times New Roman"/>
                <w:color w:val="auto"/>
                <w:sz w:val="24"/>
                <w:lang w:val="en-US" w:eastAsia="zh-CN"/>
              </w:rPr>
            </w:pPr>
            <w:r>
              <w:rPr>
                <w:rFonts w:hint="eastAsia" w:eastAsia="新宋体" w:cs="Times New Roman"/>
                <w:color w:val="auto"/>
                <w:sz w:val="24"/>
                <w:lang w:val="en-US" w:eastAsia="zh-CN"/>
              </w:rPr>
              <w:t>综</w:t>
            </w:r>
            <w:bookmarkStart w:id="3" w:name="_GoBack"/>
            <w:bookmarkEnd w:id="3"/>
            <w:r>
              <w:rPr>
                <w:rFonts w:hint="eastAsia" w:ascii="Times New Roman" w:hAnsi="Times New Roman" w:eastAsia="新宋体" w:cs="Times New Roman"/>
                <w:color w:val="auto"/>
                <w:sz w:val="24"/>
                <w:lang w:val="en-US" w:eastAsia="zh-CN"/>
              </w:rPr>
              <w:t>上所述，本项目技改后最终排放总量为二氧化硫1.2t/a、氮氧化物4.3t/a。</w:t>
            </w:r>
            <w:r>
              <w:rPr>
                <w:rFonts w:hint="eastAsia" w:eastAsia="新宋体" w:cs="Times New Roman"/>
                <w:color w:val="auto"/>
                <w:sz w:val="24"/>
                <w:lang w:val="en-US" w:eastAsia="zh-CN"/>
              </w:rPr>
              <w:t>总量批复文件见附件7。</w:t>
            </w:r>
          </w:p>
          <w:p w14:paraId="44B55E65">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center"/>
              <w:rPr>
                <w:rFonts w:hint="eastAsia" w:ascii="Times New Roman" w:hAnsi="Times New Roman" w:eastAsia="新宋体" w:cs="Times New Roman"/>
                <w:color w:val="auto"/>
                <w:sz w:val="24"/>
                <w:lang w:val="en-US" w:eastAsia="zh-CN"/>
              </w:rPr>
            </w:pPr>
          </w:p>
          <w:p w14:paraId="118F4FF7">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center"/>
              <w:rPr>
                <w:rFonts w:hint="eastAsia" w:ascii="Times New Roman" w:hAnsi="Times New Roman" w:eastAsia="新宋体" w:cs="Times New Roman"/>
                <w:color w:val="auto"/>
                <w:sz w:val="24"/>
                <w:lang w:val="en-US" w:eastAsia="zh-CN"/>
              </w:rPr>
            </w:pPr>
          </w:p>
          <w:p w14:paraId="276DD9F9">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center"/>
              <w:rPr>
                <w:rFonts w:hint="eastAsia" w:ascii="Times New Roman" w:hAnsi="Times New Roman" w:eastAsia="新宋体" w:cs="Times New Roman"/>
                <w:color w:val="auto"/>
                <w:sz w:val="24"/>
                <w:lang w:val="en-US" w:eastAsia="zh-CN"/>
              </w:rPr>
            </w:pPr>
          </w:p>
          <w:p w14:paraId="2221894F">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center"/>
              <w:rPr>
                <w:rFonts w:hint="eastAsia" w:ascii="Times New Roman" w:hAnsi="Times New Roman" w:eastAsia="新宋体" w:cs="Times New Roman"/>
                <w:color w:val="auto"/>
                <w:sz w:val="24"/>
                <w:lang w:val="en-US" w:eastAsia="zh-CN"/>
              </w:rPr>
            </w:pPr>
          </w:p>
          <w:p w14:paraId="4B3EBC66">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center"/>
              <w:rPr>
                <w:rFonts w:hint="eastAsia" w:ascii="Times New Roman" w:hAnsi="Times New Roman" w:eastAsia="新宋体" w:cs="Times New Roman"/>
                <w:color w:val="auto"/>
                <w:sz w:val="24"/>
                <w:lang w:val="en-US" w:eastAsia="zh-CN"/>
              </w:rPr>
            </w:pPr>
          </w:p>
          <w:p w14:paraId="1CF7DF51">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center"/>
              <w:rPr>
                <w:rFonts w:hint="eastAsia" w:ascii="Times New Roman" w:hAnsi="Times New Roman" w:eastAsia="新宋体" w:cs="Times New Roman"/>
                <w:color w:val="auto"/>
                <w:sz w:val="24"/>
                <w:lang w:val="en-US" w:eastAsia="zh-CN"/>
              </w:rPr>
            </w:pPr>
          </w:p>
          <w:p w14:paraId="7448F6B4">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center"/>
              <w:rPr>
                <w:rFonts w:hint="eastAsia" w:ascii="Times New Roman" w:hAnsi="Times New Roman" w:eastAsia="新宋体" w:cs="Times New Roman"/>
                <w:color w:val="auto"/>
                <w:sz w:val="24"/>
                <w:lang w:val="en-US" w:eastAsia="zh-CN"/>
              </w:rPr>
            </w:pPr>
          </w:p>
          <w:p w14:paraId="045E2972">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center"/>
              <w:rPr>
                <w:rFonts w:hint="eastAsia" w:cs="Times New Roman"/>
                <w:color w:val="auto"/>
                <w:kern w:val="0"/>
                <w:sz w:val="24"/>
                <w:szCs w:val="24"/>
                <w:lang w:val="en-US" w:eastAsia="zh-CN"/>
              </w:rPr>
            </w:pPr>
          </w:p>
          <w:p w14:paraId="15A65250">
            <w:pPr>
              <w:keepNext w:val="0"/>
              <w:keepLines w:val="0"/>
              <w:pageBreakBefore w:val="0"/>
              <w:widowControl w:val="0"/>
              <w:kinsoku/>
              <w:wordWrap/>
              <w:overflowPunct/>
              <w:topLinePunct w:val="0"/>
              <w:autoSpaceDE/>
              <w:autoSpaceDN/>
              <w:bidi w:val="0"/>
              <w:adjustRightInd/>
              <w:snapToGrid/>
              <w:spacing w:line="480" w:lineRule="exact"/>
              <w:jc w:val="both"/>
              <w:textAlignment w:val="center"/>
              <w:rPr>
                <w:rFonts w:hint="default" w:ascii="Times New Roman" w:hAnsi="Times New Roman" w:eastAsia="宋体" w:cs="Times New Roman"/>
                <w:color w:val="auto"/>
                <w:kern w:val="0"/>
                <w:sz w:val="24"/>
                <w:szCs w:val="24"/>
                <w:lang w:val="en-US" w:eastAsia="zh-CN"/>
              </w:rPr>
            </w:pPr>
          </w:p>
        </w:tc>
      </w:tr>
    </w:tbl>
    <w:p w14:paraId="1295F302">
      <w:pPr>
        <w:pStyle w:val="9"/>
        <w:keepNext w:val="0"/>
        <w:keepLines w:val="0"/>
        <w:pageBreakBefore w:val="0"/>
        <w:widowControl/>
        <w:kinsoku/>
        <w:wordWrap/>
        <w:overflowPunct/>
        <w:topLinePunct w:val="0"/>
        <w:autoSpaceDE/>
        <w:autoSpaceDN/>
        <w:bidi w:val="0"/>
        <w:adjustRightInd/>
        <w:snapToGrid/>
        <w:spacing w:line="480" w:lineRule="exact"/>
        <w:ind w:left="21" w:leftChars="10" w:right="21" w:rightChars="10" w:firstLine="600" w:firstLineChars="200"/>
        <w:jc w:val="center"/>
        <w:textAlignment w:val="center"/>
        <w:outlineLvl w:val="0"/>
        <w:rPr>
          <w:rFonts w:hint="default" w:ascii="黑体" w:hAnsi="黑体" w:eastAsia="黑体" w:cs="Times New Roman"/>
          <w:snapToGrid w:val="0"/>
          <w:color w:val="auto"/>
          <w:sz w:val="30"/>
          <w:szCs w:val="30"/>
        </w:rPr>
      </w:pPr>
      <w:r>
        <w:rPr>
          <w:rFonts w:hint="default" w:ascii="黑体" w:hAnsi="黑体" w:eastAsia="黑体" w:cs="Times New Roman"/>
          <w:snapToGrid w:val="0"/>
          <w:color w:val="auto"/>
          <w:sz w:val="30"/>
          <w:szCs w:val="30"/>
        </w:rPr>
        <w:t>四、主要环境影响和保护措施</w:t>
      </w:r>
    </w:p>
    <w:tbl>
      <w:tblPr>
        <w:tblStyle w:val="10"/>
        <w:tblW w:w="887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8162"/>
      </w:tblGrid>
      <w:tr w14:paraId="475828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4" w:hRule="atLeast"/>
          <w:jc w:val="center"/>
        </w:trPr>
        <w:tc>
          <w:tcPr>
            <w:tcW w:w="833" w:type="dxa"/>
            <w:noWrap w:val="0"/>
            <w:tcMar>
              <w:left w:w="28" w:type="dxa"/>
              <w:right w:w="28" w:type="dxa"/>
            </w:tcMar>
            <w:vAlign w:val="center"/>
          </w:tcPr>
          <w:p w14:paraId="6FC9440F">
            <w:pPr>
              <w:pStyle w:val="9"/>
              <w:adjustRightInd w:val="0"/>
              <w:snapToGrid w:val="0"/>
              <w:spacing w:before="0" w:beforeAutospacing="0" w:after="0" w:afterAutospacing="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施工</w:t>
            </w:r>
          </w:p>
          <w:p w14:paraId="6CF8BA21">
            <w:pPr>
              <w:pStyle w:val="9"/>
              <w:adjustRightInd w:val="0"/>
              <w:snapToGrid w:val="0"/>
              <w:spacing w:before="0" w:beforeAutospacing="0" w:after="0" w:afterAutospacing="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期环</w:t>
            </w:r>
          </w:p>
          <w:p w14:paraId="24C402C4">
            <w:pPr>
              <w:pStyle w:val="9"/>
              <w:adjustRightInd w:val="0"/>
              <w:snapToGrid w:val="0"/>
              <w:spacing w:before="0" w:beforeAutospacing="0" w:after="0" w:afterAutospacing="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境保</w:t>
            </w:r>
          </w:p>
          <w:p w14:paraId="34A479B9">
            <w:pPr>
              <w:pStyle w:val="9"/>
              <w:adjustRightInd w:val="0"/>
              <w:snapToGrid w:val="0"/>
              <w:spacing w:before="0" w:beforeAutospacing="0" w:after="0" w:afterAutospacing="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护措</w:t>
            </w:r>
          </w:p>
          <w:p w14:paraId="7E16131B">
            <w:pPr>
              <w:pStyle w:val="9"/>
              <w:adjustRightInd w:val="0"/>
              <w:snapToGrid w:val="0"/>
              <w:spacing w:before="0" w:beforeAutospacing="0" w:after="0" w:afterAutospacing="0"/>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color w:val="auto"/>
                <w:kern w:val="2"/>
                <w:sz w:val="21"/>
                <w:szCs w:val="21"/>
                <w:highlight w:val="none"/>
              </w:rPr>
              <w:t>施</w:t>
            </w:r>
          </w:p>
        </w:tc>
        <w:tc>
          <w:tcPr>
            <w:tcW w:w="8044" w:type="dxa"/>
            <w:noWrap w:val="0"/>
            <w:vAlign w:val="center"/>
          </w:tcPr>
          <w:p w14:paraId="194EC343">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1、大气环境影响分析</w:t>
            </w:r>
          </w:p>
          <w:p w14:paraId="58D6E8E5">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施工废气主要为施工扬尘。</w:t>
            </w:r>
          </w:p>
          <w:p w14:paraId="1452C1C3">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（1）施工期基础工程的开挖、临时堆放产生的扬尘。</w:t>
            </w:r>
          </w:p>
          <w:p w14:paraId="3454698F">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（2）建筑材料在装卸、堆放和使用过程会产生扬尘。</w:t>
            </w:r>
          </w:p>
          <w:p w14:paraId="76C1A525">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（3）施工期车辆洒落的尘土的一次扬尘污染和车辆运行时产生的二次扬尘污染均会对环境产生明显不利影响。扬尘的产生量及扬尘污染程度与车辆的运输方式、路面状况、天气条件等因素关系密切。</w:t>
            </w:r>
          </w:p>
          <w:p w14:paraId="5A34200A">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为控制扬尘的影响，建设单位应严格采取以下施工污染控制对策：</w:t>
            </w:r>
          </w:p>
          <w:p w14:paraId="1D8FBE41">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（1）工程建设期间，应在施工区四周设置围挡。</w:t>
            </w:r>
          </w:p>
          <w:p w14:paraId="4FD46EBD">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（2）工程建设期间，其所使用的建筑材料主要是水泥、砂土等易起尘物料在装卸、堆放和使用过程会产生扬尘，应全部入库贮存或者覆盖防尘布或防尘网，配合定期喷洒粉尘抑制剂等措施，防止风蚀起尘。</w:t>
            </w:r>
          </w:p>
          <w:p w14:paraId="6AAB9430">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（3）运输车辆道路扬尘强度除了与风速、湿度等因素有关，还与路面状况有关。要求施工单位必须加强管理，严格控制车速，采用密封车辆、加盖</w:t>
            </w:r>
            <w:r>
              <w:rPr>
                <w:rFonts w:hint="eastAsia" w:cs="Times New Roman"/>
                <w:color w:val="auto"/>
                <w:sz w:val="24"/>
                <w:szCs w:val="24"/>
                <w:highlight w:val="none"/>
                <w:lang w:val="en-US" w:eastAsia="zh-CN"/>
              </w:rPr>
              <w:t>篷布</w:t>
            </w:r>
            <w:r>
              <w:rPr>
                <w:rFonts w:hint="default" w:ascii="Times New Roman" w:hAnsi="Times New Roman" w:eastAsia="宋体" w:cs="Times New Roman"/>
                <w:color w:val="auto"/>
                <w:sz w:val="24"/>
                <w:szCs w:val="24"/>
                <w:highlight w:val="none"/>
                <w:lang w:val="en-US" w:eastAsia="zh-CN"/>
              </w:rPr>
              <w:t>防止泥土洒落地面和采取车辆冲洗及地面洒水等防范措施，以减少道路扬尘对环境的污染影响。</w:t>
            </w:r>
          </w:p>
          <w:p w14:paraId="6F6C9299">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（4）施工期产生的弃土、弃渣在施工场地内临时堆放时，应采用覆盖防尘网、防尘布，配合定期喷洒粉尘抑制剂等措施，防止风蚀起尘。</w:t>
            </w:r>
          </w:p>
          <w:p w14:paraId="2B18CA70">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工程施工期环境空气污染具有随时间变化程度大，漂移距离近、影响距离和范围小等特点，其影响只限于施工期，随建设期的结束而停止，不会产生累积的污染影响。在采取上述相应防治措施情况下，施工期废气对周围环境空气影响较小。</w:t>
            </w:r>
          </w:p>
          <w:p w14:paraId="665A5423">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2、水环境影响分析</w:t>
            </w:r>
          </w:p>
          <w:p w14:paraId="627440C2">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项目施工期废水主要为施工废水和施工人员的生活污水。</w:t>
            </w:r>
          </w:p>
          <w:p w14:paraId="76393D67">
            <w:pPr>
              <w:pStyle w:val="21"/>
              <w:spacing w:line="360" w:lineRule="auto"/>
              <w:ind w:firstLine="480"/>
              <w:rPr>
                <w:rFonts w:hint="default"/>
                <w:color w:val="auto"/>
                <w:sz w:val="24"/>
                <w:lang w:val="en-US"/>
              </w:rPr>
            </w:pPr>
            <w:r>
              <w:rPr>
                <w:rFonts w:hint="eastAsia" w:ascii="Times New Roman" w:hAnsi="Times New Roman" w:eastAsia="宋体" w:cs="Times New Roman"/>
                <w:color w:val="auto"/>
                <w:sz w:val="24"/>
                <w:szCs w:val="24"/>
                <w:highlight w:val="none"/>
                <w:lang w:val="en-US" w:eastAsia="zh-CN"/>
              </w:rPr>
              <w:t>施工废水包括砂石冲洗水、养护水、场地冲洗水，这部分废水主要为泥砂。施工时产生的泥浆水以及混凝土搅拌机及输送系统的冲洗废水应设置临时沉沙池，含泥沙雨水、泥浆水经沉沙池沉淀处理后回收利用。施工人员生活污水主要为盥洗水，生活污水依托现有化粪池收集处理后最终排入园区污水处理厂处理。</w:t>
            </w:r>
          </w:p>
          <w:p w14:paraId="71A3AB5C">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施工单位应严格执行《建筑工程施工场地文明施工及环境暂行规定》，对施工废水的排放进行设计，严禁乱排、乱流，污染道路和环境，这样处置可确保施工期生产废水和生活污水不会影响水环境。</w:t>
            </w:r>
          </w:p>
          <w:p w14:paraId="69ABD3C8">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3、声环境影响分析</w:t>
            </w:r>
          </w:p>
          <w:p w14:paraId="3B8289CC">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施工现场噪声主要是施工机械的设备噪声。</w:t>
            </w:r>
          </w:p>
          <w:p w14:paraId="0091BBCC">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（1）合理安排施工时间制定施工计划，尽可能避免大量高噪声设备同时施工；</w:t>
            </w:r>
          </w:p>
          <w:p w14:paraId="28311DCD">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（2）施工时选用噪声符合国家相关标准的施工设备。加强设备维护和保养，保持机械润滑，以减少因施工设备维护和保养不当产生的噪声；</w:t>
            </w:r>
          </w:p>
          <w:p w14:paraId="445B4AFA">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（3）加强施工管理，优化施工场地布置；</w:t>
            </w:r>
          </w:p>
          <w:p w14:paraId="45E6B60E">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（4）施工期交通运输噪声对环境影响较大，应尽量减少夜间运输；适当限制大型载重车的车速；对运输车辆定期维修、养护。</w:t>
            </w:r>
          </w:p>
          <w:p w14:paraId="3F93587A">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通过采取以上措施，施工期产生的噪声可满足《建筑施工场界环境噪声排放标准》（GB12523-2011），对周围环境影响较小。并且施工期噪声影响随着施工期的结束，噪声影响也将随之消失。</w:t>
            </w:r>
          </w:p>
          <w:p w14:paraId="18184B22">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4、固体废物环境影响分析</w:t>
            </w:r>
          </w:p>
          <w:p w14:paraId="68498DE2">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施工期开挖土方大部分用于地基回填，其余用于垫高低洼地，无弃土外运。施工过程中产生的建筑垃圾回用于项目建设，不能回用的定期运至政府指定建筑垃圾填埋场所处理。施工人员产生的生活垃圾</w:t>
            </w:r>
            <w:r>
              <w:rPr>
                <w:rFonts w:hint="eastAsia" w:cs="Times New Roman"/>
                <w:color w:val="auto"/>
                <w:sz w:val="24"/>
                <w:szCs w:val="24"/>
                <w:highlight w:val="none"/>
                <w:lang w:val="en-US" w:eastAsia="zh-CN"/>
              </w:rPr>
              <w:t>依托现有措施收集处理</w:t>
            </w:r>
            <w:r>
              <w:rPr>
                <w:rFonts w:hint="default" w:ascii="Times New Roman" w:hAnsi="Times New Roman" w:eastAsia="宋体" w:cs="Times New Roman"/>
                <w:color w:val="auto"/>
                <w:sz w:val="24"/>
                <w:szCs w:val="24"/>
                <w:highlight w:val="none"/>
                <w:lang w:val="en-US" w:eastAsia="zh-CN"/>
              </w:rPr>
              <w:t>。综上所述，在采取以上措施后，施工期固废均可得到妥善处置，不会对周围环境产生明显影响。</w:t>
            </w:r>
          </w:p>
        </w:tc>
      </w:tr>
      <w:tr w14:paraId="1DB03C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66" w:hRule="atLeast"/>
          <w:jc w:val="center"/>
        </w:trPr>
        <w:tc>
          <w:tcPr>
            <w:tcW w:w="833" w:type="dxa"/>
            <w:noWrap w:val="0"/>
            <w:tcMar>
              <w:left w:w="28" w:type="dxa"/>
              <w:right w:w="28" w:type="dxa"/>
            </w:tcMar>
            <w:vAlign w:val="center"/>
          </w:tcPr>
          <w:p w14:paraId="5F58ADE8">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运营</w:t>
            </w:r>
          </w:p>
          <w:p w14:paraId="15EE0731">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期环</w:t>
            </w:r>
          </w:p>
          <w:p w14:paraId="2659DE30">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境影</w:t>
            </w:r>
          </w:p>
          <w:p w14:paraId="079369D0">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响和</w:t>
            </w:r>
          </w:p>
          <w:p w14:paraId="060D2A7A">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保护</w:t>
            </w:r>
          </w:p>
          <w:p w14:paraId="5C5A3A1D">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措施</w:t>
            </w:r>
          </w:p>
        </w:tc>
        <w:tc>
          <w:tcPr>
            <w:tcW w:w="8044" w:type="dxa"/>
            <w:noWrap w:val="0"/>
            <w:vAlign w:val="center"/>
          </w:tcPr>
          <w:p w14:paraId="5F9F71B5">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1、大气环境影响</w:t>
            </w:r>
            <w:r>
              <w:rPr>
                <w:rFonts w:hint="eastAsia" w:cs="Times New Roman"/>
                <w:b/>
                <w:bCs/>
                <w:color w:val="auto"/>
                <w:sz w:val="24"/>
                <w:szCs w:val="24"/>
                <w:highlight w:val="none"/>
                <w:lang w:val="en-US" w:eastAsia="zh-CN"/>
              </w:rPr>
              <w:t>及</w:t>
            </w:r>
            <w:r>
              <w:rPr>
                <w:rFonts w:hint="eastAsia" w:ascii="Times New Roman" w:hAnsi="Times New Roman" w:eastAsia="宋体" w:cs="Times New Roman"/>
                <w:b/>
                <w:bCs/>
                <w:color w:val="auto"/>
                <w:sz w:val="24"/>
                <w:szCs w:val="24"/>
                <w:highlight w:val="none"/>
                <w:lang w:val="en-US" w:eastAsia="zh-CN"/>
              </w:rPr>
              <w:t>保护措施</w:t>
            </w:r>
          </w:p>
          <w:p w14:paraId="2E2DFC78">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（1）产排污环节及污染源强核算</w:t>
            </w:r>
          </w:p>
          <w:p w14:paraId="45D7BAC9">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本项目废气主要为燃煤热风炉</w:t>
            </w:r>
            <w:r>
              <w:rPr>
                <w:rFonts w:hint="eastAsia" w:cs="Times New Roman"/>
                <w:color w:val="auto"/>
                <w:sz w:val="24"/>
                <w:szCs w:val="24"/>
                <w:highlight w:val="none"/>
                <w:lang w:val="en-US" w:eastAsia="zh-CN"/>
              </w:rPr>
              <w:t>和喷雾干燥</w:t>
            </w:r>
            <w:r>
              <w:rPr>
                <w:rFonts w:hint="eastAsia" w:ascii="Times New Roman" w:hAnsi="Times New Roman" w:eastAsia="宋体" w:cs="Times New Roman"/>
                <w:color w:val="auto"/>
                <w:sz w:val="24"/>
                <w:szCs w:val="24"/>
                <w:highlight w:val="none"/>
                <w:lang w:val="en-US" w:eastAsia="zh-CN"/>
              </w:rPr>
              <w:t>产生的</w:t>
            </w:r>
            <w:r>
              <w:rPr>
                <w:rFonts w:hint="eastAsia" w:cs="Times New Roman"/>
                <w:color w:val="auto"/>
                <w:sz w:val="24"/>
                <w:szCs w:val="24"/>
                <w:highlight w:val="none"/>
                <w:lang w:val="en-US" w:eastAsia="zh-CN"/>
              </w:rPr>
              <w:t>废气，最终经一个排气筒排放；</w:t>
            </w:r>
            <w:r>
              <w:rPr>
                <w:rFonts w:hint="eastAsia" w:ascii="Times New Roman" w:hAnsi="Times New Roman" w:eastAsia="宋体" w:cs="Times New Roman"/>
                <w:color w:val="auto"/>
                <w:sz w:val="24"/>
                <w:szCs w:val="24"/>
                <w:highlight w:val="none"/>
                <w:lang w:val="en-US" w:eastAsia="zh-CN"/>
              </w:rPr>
              <w:t>燃煤、</w:t>
            </w:r>
            <w:r>
              <w:rPr>
                <w:rFonts w:hint="eastAsia" w:cs="Times New Roman"/>
                <w:color w:val="auto"/>
                <w:sz w:val="24"/>
                <w:szCs w:val="24"/>
                <w:highlight w:val="none"/>
                <w:lang w:val="en-US" w:eastAsia="zh-CN"/>
              </w:rPr>
              <w:t>灰</w:t>
            </w:r>
            <w:r>
              <w:rPr>
                <w:rFonts w:hint="eastAsia" w:ascii="Times New Roman" w:hAnsi="Times New Roman" w:eastAsia="宋体" w:cs="Times New Roman"/>
                <w:color w:val="auto"/>
                <w:sz w:val="24"/>
                <w:szCs w:val="24"/>
                <w:highlight w:val="none"/>
                <w:lang w:val="en-US" w:eastAsia="zh-CN"/>
              </w:rPr>
              <w:t>渣堆放产生的扬尘。</w:t>
            </w:r>
          </w:p>
          <w:p w14:paraId="2F986315">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燃煤热风炉</w:t>
            </w:r>
            <w:r>
              <w:rPr>
                <w:rFonts w:hint="eastAsia" w:cs="Times New Roman"/>
                <w:color w:val="auto"/>
                <w:sz w:val="24"/>
                <w:szCs w:val="24"/>
                <w:highlight w:val="none"/>
                <w:lang w:val="en-US" w:eastAsia="zh-CN"/>
              </w:rPr>
              <w:t>及喷雾干燥</w:t>
            </w:r>
            <w:r>
              <w:rPr>
                <w:rFonts w:hint="eastAsia" w:ascii="Times New Roman" w:hAnsi="Times New Roman" w:eastAsia="宋体" w:cs="Times New Roman"/>
                <w:color w:val="auto"/>
                <w:sz w:val="24"/>
                <w:szCs w:val="24"/>
                <w:highlight w:val="none"/>
                <w:lang w:val="en-US" w:eastAsia="zh-CN"/>
              </w:rPr>
              <w:t>产生的</w:t>
            </w:r>
            <w:r>
              <w:rPr>
                <w:rFonts w:hint="eastAsia" w:cs="Times New Roman"/>
                <w:color w:val="auto"/>
                <w:sz w:val="24"/>
                <w:szCs w:val="24"/>
                <w:highlight w:val="none"/>
                <w:lang w:val="en-US" w:eastAsia="zh-CN"/>
              </w:rPr>
              <w:t>废气</w:t>
            </w:r>
          </w:p>
          <w:p w14:paraId="1283CC9F">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本项目拟</w:t>
            </w:r>
            <w:r>
              <w:rPr>
                <w:rFonts w:hint="eastAsia" w:cs="Times New Roman"/>
                <w:color w:val="auto"/>
                <w:sz w:val="24"/>
                <w:szCs w:val="24"/>
                <w:highlight w:val="none"/>
                <w:lang w:val="en-US" w:eastAsia="zh-CN"/>
              </w:rPr>
              <w:t>新建一台燃煤热风炉，为喷雾干燥塔提供热源，热风炉产生的烟气经</w:t>
            </w:r>
            <w:r>
              <w:rPr>
                <w:rFonts w:hint="eastAsia" w:ascii="Times New Roman" w:hAnsi="Times New Roman" w:eastAsia="宋体" w:cs="Times New Roman"/>
                <w:color w:val="auto"/>
                <w:sz w:val="24"/>
                <w:szCs w:val="24"/>
                <w:highlight w:val="none"/>
                <w:lang w:val="en-US" w:eastAsia="zh-CN"/>
              </w:rPr>
              <w:t>低氮燃烧+</w:t>
            </w:r>
            <w:r>
              <w:rPr>
                <w:rFonts w:hint="eastAsia" w:cs="Times New Roman"/>
                <w:color w:val="auto"/>
                <w:sz w:val="24"/>
                <w:szCs w:val="24"/>
                <w:highlight w:val="none"/>
                <w:lang w:val="en-US" w:eastAsia="zh-CN"/>
              </w:rPr>
              <w:t>SNCR脱硝处理后直接接触物料，烟气与喷雾干燥产生的废气一并进入三级吸收塔处理后经高32m，内径为1.6m排气筒排放。项目年工作日300天，每天24h，年工作时间7200h，年消耗燃煤量为3000t/a，</w:t>
            </w:r>
            <w:r>
              <w:rPr>
                <w:rFonts w:hint="default" w:cs="Times New Roman"/>
                <w:color w:val="auto"/>
                <w:sz w:val="24"/>
                <w:szCs w:val="24"/>
                <w:highlight w:val="none"/>
                <w:lang w:val="en-US" w:eastAsia="zh-CN"/>
              </w:rPr>
              <w:t>煤质成分为：灰分</w:t>
            </w:r>
            <w:r>
              <w:rPr>
                <w:rFonts w:hint="eastAsia" w:cs="Times New Roman"/>
                <w:color w:val="auto"/>
                <w:sz w:val="24"/>
                <w:szCs w:val="24"/>
                <w:highlight w:val="none"/>
                <w:lang w:val="en-US" w:eastAsia="zh-CN"/>
              </w:rPr>
              <w:t>6.5</w:t>
            </w:r>
            <w:r>
              <w:rPr>
                <w:rFonts w:hint="default" w:cs="Times New Roman"/>
                <w:color w:val="auto"/>
                <w:sz w:val="24"/>
                <w:szCs w:val="24"/>
                <w:highlight w:val="none"/>
                <w:lang w:val="en-US" w:eastAsia="zh-CN"/>
              </w:rPr>
              <w:t>%、硫分</w:t>
            </w:r>
            <w:r>
              <w:rPr>
                <w:rFonts w:hint="eastAsia" w:cs="Times New Roman"/>
                <w:color w:val="auto"/>
                <w:sz w:val="24"/>
                <w:szCs w:val="24"/>
                <w:highlight w:val="none"/>
                <w:lang w:val="en-US" w:eastAsia="zh-CN"/>
              </w:rPr>
              <w:t>0.25</w:t>
            </w:r>
            <w:r>
              <w:rPr>
                <w:rFonts w:hint="default" w:cs="Times New Roman"/>
                <w:color w:val="auto"/>
                <w:sz w:val="24"/>
                <w:szCs w:val="24"/>
                <w:highlight w:val="none"/>
                <w:lang w:val="en-US" w:eastAsia="zh-CN"/>
              </w:rPr>
              <w:t>%</w:t>
            </w:r>
            <w:r>
              <w:rPr>
                <w:rFonts w:hint="eastAsia" w:cs="Times New Roman"/>
                <w:color w:val="auto"/>
                <w:sz w:val="24"/>
                <w:szCs w:val="24"/>
                <w:highlight w:val="none"/>
                <w:lang w:val="en-US" w:eastAsia="zh-CN"/>
              </w:rPr>
              <w:t>、低位发热量23.63MJ/kg。</w:t>
            </w:r>
          </w:p>
          <w:p w14:paraId="43C2BDC8">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w:t>
            </w:r>
            <w:r>
              <w:rPr>
                <w:rFonts w:hint="eastAsia" w:cs="Times New Roman"/>
                <w:color w:val="auto"/>
                <w:sz w:val="24"/>
                <w:szCs w:val="24"/>
                <w:highlight w:val="none"/>
                <w:lang w:val="en-US" w:eastAsia="zh-CN"/>
              </w:rPr>
              <w:t>燃煤</w:t>
            </w:r>
            <w:r>
              <w:rPr>
                <w:rFonts w:hint="default" w:ascii="Times New Roman" w:hAnsi="Times New Roman" w:eastAsia="宋体" w:cs="Times New Roman"/>
                <w:color w:val="auto"/>
                <w:sz w:val="24"/>
                <w:szCs w:val="24"/>
                <w:highlight w:val="none"/>
                <w:lang w:val="en-US" w:eastAsia="zh-CN"/>
              </w:rPr>
              <w:t>热风炉烟气经SNCR</w:t>
            </w:r>
            <w:r>
              <w:rPr>
                <w:rFonts w:hint="eastAsia" w:ascii="Times New Roman" w:hAnsi="Times New Roman" w:eastAsia="宋体" w:cs="Times New Roman"/>
                <w:color w:val="auto"/>
                <w:sz w:val="24"/>
                <w:szCs w:val="24"/>
                <w:highlight w:val="none"/>
                <w:lang w:val="en-US" w:eastAsia="zh-CN"/>
              </w:rPr>
              <w:t>+低氮燃烧</w:t>
            </w:r>
            <w:r>
              <w:rPr>
                <w:rFonts w:hint="default" w:ascii="Times New Roman" w:hAnsi="Times New Roman" w:eastAsia="宋体" w:cs="Times New Roman"/>
                <w:color w:val="auto"/>
                <w:sz w:val="24"/>
                <w:szCs w:val="24"/>
                <w:highlight w:val="none"/>
                <w:lang w:val="en-US" w:eastAsia="zh-CN"/>
              </w:rPr>
              <w:t>处理后进入喷雾干燥塔用作热源，</w:t>
            </w:r>
            <w:r>
              <w:rPr>
                <w:rFonts w:hint="eastAsia" w:cs="Times New Roman"/>
                <w:color w:val="auto"/>
                <w:sz w:val="24"/>
                <w:szCs w:val="24"/>
                <w:highlight w:val="none"/>
                <w:lang w:val="en-US" w:eastAsia="zh-CN"/>
              </w:rPr>
              <w:t>热风炉烟尘与干燥塔粉尘首先经过粉尘收集装置（布袋除尘器）进行吸收（效率99%），</w:t>
            </w:r>
            <w:r>
              <w:rPr>
                <w:rFonts w:hint="default" w:ascii="Times New Roman" w:hAnsi="Times New Roman" w:eastAsia="宋体" w:cs="Times New Roman"/>
                <w:color w:val="auto"/>
                <w:sz w:val="24"/>
                <w:szCs w:val="24"/>
                <w:highlight w:val="none"/>
                <w:lang w:val="en-US" w:eastAsia="zh-CN"/>
              </w:rPr>
              <w:t>最终经三级吸收塔（2级水+1级碱（钠碱法脱硫））处理后，由</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2m高、内径为1.6m的排气筒排放</w:t>
            </w:r>
            <w:r>
              <w:rPr>
                <w:rFonts w:hint="eastAsia" w:cs="Times New Roman"/>
                <w:color w:val="auto"/>
                <w:sz w:val="24"/>
                <w:szCs w:val="24"/>
                <w:highlight w:val="none"/>
                <w:lang w:val="en-US" w:eastAsia="zh-CN"/>
              </w:rPr>
              <w:t>，热风炉风机风量为40000m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/h。参照《污染源源强核算技术指南 锅炉》（HJ991-2018）</w:t>
            </w:r>
            <w:r>
              <w:rPr>
                <w:rFonts w:hint="default" w:ascii="Times New Roman" w:hAnsi="Times New Roman" w:eastAsia="宋体" w:cs="Times New Roman"/>
                <w:color w:val="auto"/>
                <w:sz w:val="24"/>
                <w:szCs w:val="24"/>
                <w:highlight w:val="none"/>
                <w:lang w:val="en-US" w:eastAsia="zh-CN"/>
              </w:rPr>
              <w:t>SNCR</w:t>
            </w:r>
            <w:r>
              <w:rPr>
                <w:rFonts w:hint="eastAsia" w:ascii="Times New Roman" w:hAnsi="Times New Roman" w:eastAsia="宋体" w:cs="Times New Roman"/>
                <w:color w:val="auto"/>
                <w:sz w:val="24"/>
                <w:szCs w:val="24"/>
                <w:highlight w:val="none"/>
                <w:lang w:val="en-US" w:eastAsia="zh-CN"/>
              </w:rPr>
              <w:t>脱硝效率为30%-50%，</w:t>
            </w:r>
            <w:r>
              <w:rPr>
                <w:rFonts w:hint="default" w:ascii="Times New Roman" w:hAnsi="Times New Roman" w:eastAsia="宋体" w:cs="Times New Roman"/>
                <w:color w:val="auto"/>
                <w:sz w:val="24"/>
                <w:szCs w:val="24"/>
                <w:highlight w:val="none"/>
                <w:lang w:val="en-US" w:eastAsia="zh-CN"/>
              </w:rPr>
              <w:t>钠碱法脱硫</w:t>
            </w:r>
            <w:r>
              <w:rPr>
                <w:rFonts w:hint="eastAsia" w:ascii="Times New Roman" w:hAnsi="Times New Roman" w:eastAsia="宋体" w:cs="Times New Roman"/>
                <w:color w:val="auto"/>
                <w:sz w:val="24"/>
                <w:szCs w:val="24"/>
                <w:highlight w:val="none"/>
                <w:lang w:val="en-US" w:eastAsia="zh-CN"/>
              </w:rPr>
              <w:t>效率为90-99%</w:t>
            </w:r>
            <w:r>
              <w:rPr>
                <w:rFonts w:hint="eastAsia" w:cs="Times New Roman"/>
                <w:color w:val="auto"/>
                <w:sz w:val="24"/>
                <w:szCs w:val="24"/>
                <w:highlight w:val="none"/>
                <w:lang w:val="en-US" w:eastAsia="zh-CN"/>
              </w:rPr>
              <w:t>；参照《排放源统计调查产排污核算方法和系数手册》附件中《工业锅炉（热力供应）行业系数手册》湿法除尘对粉尘的去除效率为87%，根据《污染源源强核算技术指南 锅炉》（HJ991-2018）湿发脱硫时，可协同脱除50%的颗粒物，本项目三级吸收塔（二级水（每一级除尘效率为87%）+一级碱（除尘效率50%））对粉尘的处理效率达99%以上</w:t>
            </w:r>
            <w:r>
              <w:rPr>
                <w:rFonts w:hint="eastAsia" w:ascii="Times New Roman" w:hAnsi="Times New Roman" w:eastAsia="宋体"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lang w:val="en-US" w:eastAsia="zh-CN"/>
              </w:rPr>
              <w:t>三级吸收塔（2级水+1级碱</w:t>
            </w:r>
            <w:r>
              <w:rPr>
                <w:rFonts w:hint="eastAsia" w:cs="Times New Roman"/>
                <w:color w:val="auto"/>
                <w:sz w:val="24"/>
                <w:szCs w:val="24"/>
                <w:highlight w:val="none"/>
                <w:lang w:val="en-US" w:eastAsia="zh-CN"/>
              </w:rPr>
              <w:t>）脱除效率取最低值，</w:t>
            </w:r>
            <w:r>
              <w:rPr>
                <w:color w:val="auto"/>
                <w:sz w:val="24"/>
                <w:lang w:val="en-US"/>
              </w:rPr>
              <w:t>除尘效率为</w:t>
            </w:r>
            <w:r>
              <w:rPr>
                <w:rFonts w:hint="eastAsia"/>
                <w:color w:val="auto"/>
                <w:sz w:val="24"/>
                <w:lang w:val="en-US"/>
              </w:rPr>
              <w:t>99</w:t>
            </w:r>
            <w:r>
              <w:rPr>
                <w:color w:val="auto"/>
                <w:sz w:val="24"/>
                <w:lang w:val="en-US"/>
              </w:rPr>
              <w:t>%、脱硫效率90%</w:t>
            </w:r>
            <w:r>
              <w:rPr>
                <w:rFonts w:hint="eastAsia"/>
                <w:color w:val="auto"/>
                <w:lang w:eastAsia="zh-CN"/>
              </w:rPr>
              <w:t>，</w:t>
            </w:r>
            <w:r>
              <w:rPr>
                <w:rFonts w:hint="default" w:ascii="Times New Roman" w:hAnsi="Times New Roman" w:eastAsia="宋体" w:cs="Times New Roman"/>
                <w:color w:val="auto"/>
                <w:sz w:val="24"/>
                <w:szCs w:val="24"/>
                <w:highlight w:val="none"/>
                <w:lang w:val="en-US" w:eastAsia="zh-CN"/>
              </w:rPr>
              <w:t>（SNCR）</w:t>
            </w:r>
            <w:r>
              <w:rPr>
                <w:rFonts w:hint="eastAsia" w:cs="Times New Roman"/>
                <w:color w:val="auto"/>
                <w:sz w:val="24"/>
                <w:szCs w:val="24"/>
                <w:highlight w:val="none"/>
                <w:lang w:val="en-US" w:eastAsia="zh-CN"/>
              </w:rPr>
              <w:t>脱硝装置</w:t>
            </w:r>
            <w:r>
              <w:rPr>
                <w:rFonts w:hint="default" w:ascii="Times New Roman" w:hAnsi="Times New Roman" w:eastAsia="宋体" w:cs="Times New Roman"/>
                <w:color w:val="auto"/>
                <w:sz w:val="24"/>
                <w:szCs w:val="24"/>
                <w:highlight w:val="none"/>
                <w:lang w:val="en-US" w:eastAsia="zh-CN"/>
              </w:rPr>
              <w:t>脱</w:t>
            </w:r>
            <w:r>
              <w:rPr>
                <w:rFonts w:hint="eastAsia" w:cs="Times New Roman"/>
                <w:color w:val="auto"/>
                <w:sz w:val="24"/>
                <w:szCs w:val="24"/>
                <w:highlight w:val="none"/>
                <w:lang w:val="en-US" w:eastAsia="zh-CN"/>
              </w:rPr>
              <w:t>硝</w:t>
            </w:r>
            <w:r>
              <w:rPr>
                <w:rFonts w:hint="default" w:ascii="Times New Roman" w:hAnsi="Times New Roman" w:eastAsia="宋体" w:cs="Times New Roman"/>
                <w:color w:val="auto"/>
                <w:sz w:val="24"/>
                <w:szCs w:val="24"/>
                <w:highlight w:val="none"/>
                <w:lang w:val="en-US" w:eastAsia="zh-CN"/>
              </w:rPr>
              <w:t>效率30%。</w:t>
            </w:r>
            <w:r>
              <w:rPr>
                <w:rFonts w:hint="eastAsia" w:cs="Times New Roman"/>
                <w:color w:val="auto"/>
                <w:sz w:val="24"/>
                <w:szCs w:val="24"/>
                <w:highlight w:val="none"/>
                <w:lang w:val="en-US" w:eastAsia="zh-CN"/>
              </w:rPr>
              <w:t>热风炉</w:t>
            </w:r>
            <w:r>
              <w:rPr>
                <w:rFonts w:hint="default" w:ascii="Times New Roman" w:hAnsi="Times New Roman" w:eastAsia="宋体" w:cs="Times New Roman"/>
                <w:color w:val="auto"/>
                <w:sz w:val="24"/>
                <w:szCs w:val="24"/>
                <w:highlight w:val="none"/>
                <w:lang w:val="en-US" w:eastAsia="zh-CN"/>
              </w:rPr>
              <w:t>废气主要污染物为SO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、NO</w:t>
            </w:r>
            <w:r>
              <w:rPr>
                <w:rFonts w:hint="default" w:ascii="Times New Roman" w:hAnsi="Times New Roman" w:eastAsia="宋体" w:cs="Times New Roman"/>
                <w:color w:val="auto"/>
                <w:sz w:val="24"/>
                <w:szCs w:val="24"/>
                <w:highlight w:val="none"/>
                <w:vertAlign w:val="subscript"/>
                <w:lang w:val="en-US" w:eastAsia="zh-CN"/>
              </w:rPr>
              <w:t>X</w:t>
            </w:r>
            <w:r>
              <w:rPr>
                <w:rFonts w:hint="default" w:ascii="Times New Roman" w:hAnsi="Times New Roman" w:eastAsia="宋体" w:cs="Times New Roman"/>
                <w:color w:val="auto"/>
                <w:sz w:val="24"/>
                <w:szCs w:val="24"/>
                <w:highlight w:val="none"/>
                <w:lang w:val="en-US" w:eastAsia="zh-CN"/>
              </w:rPr>
              <w:t>、颗粒物</w:t>
            </w:r>
            <w:r>
              <w:rPr>
                <w:rFonts w:hint="eastAsia" w:cs="Times New Roman"/>
                <w:color w:val="auto"/>
                <w:sz w:val="24"/>
                <w:szCs w:val="24"/>
                <w:highlight w:val="none"/>
                <w:lang w:val="en-US" w:eastAsia="zh-CN"/>
              </w:rPr>
              <w:t>；雾干燥</w:t>
            </w:r>
            <w:r>
              <w:rPr>
                <w:rFonts w:hint="eastAsia" w:ascii="Times New Roman" w:hAnsi="Times New Roman" w:eastAsia="宋体" w:cs="Times New Roman"/>
                <w:color w:val="auto"/>
                <w:sz w:val="24"/>
                <w:szCs w:val="24"/>
                <w:highlight w:val="none"/>
                <w:lang w:val="en-US" w:eastAsia="zh-CN"/>
              </w:rPr>
              <w:t>产生的</w:t>
            </w:r>
            <w:r>
              <w:rPr>
                <w:rFonts w:hint="eastAsia" w:cs="Times New Roman"/>
                <w:color w:val="auto"/>
                <w:sz w:val="24"/>
                <w:szCs w:val="24"/>
                <w:highlight w:val="none"/>
                <w:lang w:val="en-US" w:eastAsia="zh-CN"/>
              </w:rPr>
              <w:t>废气</w:t>
            </w:r>
            <w:r>
              <w:rPr>
                <w:rFonts w:hint="default" w:ascii="Times New Roman" w:hAnsi="Times New Roman" w:eastAsia="宋体" w:cs="Times New Roman"/>
                <w:color w:val="auto"/>
                <w:sz w:val="24"/>
                <w:szCs w:val="24"/>
                <w:highlight w:val="none"/>
                <w:lang w:val="en-US" w:eastAsia="zh-CN"/>
              </w:rPr>
              <w:t>主要污染物为颗粒物</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HCl</w:t>
            </w:r>
            <w:r>
              <w:rPr>
                <w:rFonts w:hint="default" w:ascii="Times New Roman" w:hAnsi="Times New Roman" w:eastAsia="宋体" w:cs="Times New Roman"/>
                <w:color w:val="auto"/>
                <w:sz w:val="24"/>
                <w:szCs w:val="24"/>
                <w:highlight w:val="none"/>
                <w:lang w:val="en-US" w:eastAsia="zh-CN"/>
              </w:rPr>
              <w:t>。</w:t>
            </w:r>
          </w:p>
          <w:p w14:paraId="6F566BD3">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lang w:eastAsia="zh-Hans"/>
              </w:rPr>
            </w:pPr>
            <w:r>
              <w:rPr>
                <w:rFonts w:hint="eastAsia" w:ascii="Times New Roman" w:hAnsi="Times New Roman" w:eastAsia="宋体" w:cs="Times New Roman"/>
                <w:color w:val="auto"/>
                <w:kern w:val="0"/>
                <w:sz w:val="24"/>
                <w:szCs w:val="24"/>
                <w:lang w:val="en-US" w:eastAsia="zh-CN"/>
              </w:rPr>
              <w:t>本项目</w:t>
            </w:r>
            <w:r>
              <w:rPr>
                <w:rFonts w:hint="eastAsia" w:cs="Times New Roman"/>
                <w:color w:val="auto"/>
                <w:sz w:val="24"/>
                <w:szCs w:val="24"/>
                <w:highlight w:val="none"/>
                <w:lang w:val="en-US" w:eastAsia="zh-CN"/>
              </w:rPr>
              <w:t>燃煤</w:t>
            </w:r>
            <w:r>
              <w:rPr>
                <w:rFonts w:hint="default" w:ascii="Times New Roman" w:hAnsi="Times New Roman" w:eastAsia="宋体" w:cs="Times New Roman"/>
                <w:color w:val="auto"/>
                <w:sz w:val="24"/>
                <w:szCs w:val="24"/>
                <w:highlight w:val="none"/>
                <w:lang w:val="en-US" w:eastAsia="zh-CN"/>
              </w:rPr>
              <w:t>热风炉SO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、NO</w:t>
            </w:r>
            <w:r>
              <w:rPr>
                <w:rFonts w:hint="default" w:ascii="Times New Roman" w:hAnsi="Times New Roman" w:eastAsia="宋体" w:cs="Times New Roman"/>
                <w:color w:val="auto"/>
                <w:sz w:val="24"/>
                <w:szCs w:val="24"/>
                <w:highlight w:val="none"/>
                <w:vertAlign w:val="subscript"/>
                <w:lang w:val="en-US" w:eastAsia="zh-CN"/>
              </w:rPr>
              <w:t>X</w:t>
            </w:r>
            <w:r>
              <w:rPr>
                <w:rFonts w:hint="default" w:ascii="Times New Roman" w:hAnsi="Times New Roman" w:eastAsia="宋体" w:cs="Times New Roman"/>
                <w:color w:val="auto"/>
                <w:sz w:val="24"/>
                <w:szCs w:val="24"/>
                <w:highlight w:val="none"/>
                <w:lang w:val="en-US" w:eastAsia="zh-CN"/>
              </w:rPr>
              <w:t>、颗粒物</w:t>
            </w:r>
            <w:r>
              <w:rPr>
                <w:rFonts w:hint="default" w:ascii="Times New Roman" w:hAnsi="Times New Roman" w:eastAsia="宋体" w:cs="Times New Roman"/>
                <w:color w:val="auto"/>
                <w:kern w:val="0"/>
                <w:sz w:val="24"/>
                <w:szCs w:val="24"/>
                <w:lang w:eastAsia="zh-Hans"/>
              </w:rPr>
              <w:t>源强核算采用</w:t>
            </w:r>
            <w:r>
              <w:rPr>
                <w:rFonts w:hint="eastAsia" w:cs="Times New Roman"/>
                <w:color w:val="auto"/>
                <w:sz w:val="24"/>
                <w:szCs w:val="24"/>
                <w:highlight w:val="none"/>
                <w:lang w:val="en-US" w:eastAsia="zh-CN"/>
              </w:rPr>
              <w:t>《排污许可证申请与核发技术规范 锅炉》（HJ953-2018）中</w:t>
            </w:r>
            <w:r>
              <w:rPr>
                <w:rFonts w:hint="eastAsia" w:ascii="Times New Roman" w:hAnsi="Times New Roman" w:eastAsia="宋体" w:cs="Times New Roman"/>
                <w:color w:val="auto"/>
                <w:kern w:val="0"/>
                <w:sz w:val="24"/>
                <w:szCs w:val="24"/>
                <w:lang w:val="en-US" w:eastAsia="zh-CN"/>
              </w:rPr>
              <w:t>产排污</w:t>
            </w:r>
            <w:r>
              <w:rPr>
                <w:rFonts w:hint="default" w:ascii="Times New Roman" w:hAnsi="Times New Roman" w:eastAsia="宋体" w:cs="Times New Roman"/>
                <w:color w:val="auto"/>
                <w:kern w:val="0"/>
                <w:sz w:val="24"/>
                <w:szCs w:val="24"/>
                <w:lang w:eastAsia="zh-Hans"/>
              </w:rPr>
              <w:t>系数法</w:t>
            </w:r>
            <w:r>
              <w:rPr>
                <w:rFonts w:hint="eastAsia" w:ascii="Times New Roman" w:hAnsi="Times New Roman" w:eastAsia="宋体" w:cs="Times New Roman"/>
                <w:color w:val="auto"/>
                <w:kern w:val="0"/>
                <w:sz w:val="24"/>
                <w:szCs w:val="24"/>
                <w:lang w:eastAsia="zh-CN"/>
              </w:rPr>
              <w:t>（</w:t>
            </w:r>
            <w:r>
              <w:rPr>
                <w:rFonts w:hint="eastAsia" w:ascii="Times New Roman" w:hAnsi="Times New Roman" w:eastAsia="宋体" w:cs="Times New Roman"/>
                <w:color w:val="auto"/>
                <w:kern w:val="0"/>
                <w:sz w:val="24"/>
                <w:szCs w:val="24"/>
                <w:lang w:val="en-US" w:eastAsia="zh-CN"/>
              </w:rPr>
              <w:t>式15</w:t>
            </w:r>
            <w:r>
              <w:rPr>
                <w:rFonts w:hint="eastAsia" w:ascii="Times New Roman" w:hAnsi="Times New Roman" w:eastAsia="宋体" w:cs="Times New Roman"/>
                <w:color w:val="auto"/>
                <w:kern w:val="0"/>
                <w:sz w:val="24"/>
                <w:szCs w:val="24"/>
                <w:lang w:eastAsia="zh-CN"/>
              </w:rPr>
              <w:t>）</w:t>
            </w:r>
            <w:r>
              <w:rPr>
                <w:rFonts w:hint="eastAsia" w:ascii="Times New Roman" w:hAnsi="Times New Roman" w:eastAsia="宋体" w:cs="Times New Roman"/>
                <w:color w:val="auto"/>
                <w:kern w:val="0"/>
                <w:sz w:val="24"/>
                <w:szCs w:val="24"/>
                <w:lang w:val="en-US" w:eastAsia="zh-CN"/>
              </w:rPr>
              <w:t>计算</w:t>
            </w:r>
            <w:r>
              <w:rPr>
                <w:rFonts w:hint="eastAsia" w:ascii="Times New Roman" w:hAnsi="Times New Roman" w:eastAsia="宋体" w:cs="Times New Roman"/>
                <w:color w:val="auto"/>
                <w:kern w:val="0"/>
                <w:sz w:val="24"/>
                <w:szCs w:val="24"/>
                <w:lang w:eastAsia="zh-CN"/>
              </w:rPr>
              <w:t>，</w:t>
            </w:r>
            <w:r>
              <w:rPr>
                <w:rFonts w:hint="eastAsia" w:ascii="Times New Roman" w:hAnsi="Times New Roman" w:eastAsia="宋体" w:cs="Times New Roman"/>
                <w:color w:val="auto"/>
                <w:kern w:val="0"/>
                <w:sz w:val="24"/>
                <w:szCs w:val="24"/>
                <w:lang w:val="en-US" w:eastAsia="zh-CN"/>
              </w:rPr>
              <w:t>产排污</w:t>
            </w:r>
            <w:r>
              <w:rPr>
                <w:rFonts w:hint="default" w:ascii="Times New Roman" w:hAnsi="Times New Roman" w:eastAsia="宋体" w:cs="Times New Roman"/>
                <w:color w:val="auto"/>
                <w:kern w:val="0"/>
                <w:sz w:val="24"/>
                <w:szCs w:val="24"/>
                <w:lang w:eastAsia="zh-Hans"/>
              </w:rPr>
              <w:t>系数采用《排污许可证申请与核发技术规范</w:t>
            </w:r>
            <w:r>
              <w:rPr>
                <w:rFonts w:hint="eastAsia" w:ascii="Times New Roman" w:hAnsi="Times New Roman" w:eastAsia="宋体" w:cs="Times New Roman"/>
                <w:color w:val="auto"/>
                <w:kern w:val="0"/>
                <w:sz w:val="24"/>
                <w:szCs w:val="24"/>
                <w:lang w:val="en-US" w:eastAsia="zh-CN"/>
              </w:rPr>
              <w:t xml:space="preserve"> </w:t>
            </w:r>
            <w:r>
              <w:rPr>
                <w:rFonts w:hint="default" w:ascii="Times New Roman" w:hAnsi="Times New Roman" w:eastAsia="宋体" w:cs="Times New Roman"/>
                <w:color w:val="auto"/>
                <w:kern w:val="0"/>
                <w:sz w:val="24"/>
                <w:szCs w:val="24"/>
                <w:lang w:eastAsia="zh-Hans"/>
              </w:rPr>
              <w:t>锅炉》（HJ953-2018）中附录F中表F.</w:t>
            </w:r>
            <w:r>
              <w:rPr>
                <w:rFonts w:hint="eastAsia" w:ascii="Times New Roman" w:hAnsi="Times New Roman" w:eastAsia="宋体" w:cs="Times New Roman"/>
                <w:color w:val="auto"/>
                <w:kern w:val="0"/>
                <w:sz w:val="24"/>
                <w:szCs w:val="24"/>
                <w:lang w:val="en-US" w:eastAsia="zh-CN"/>
              </w:rPr>
              <w:t>1燃煤</w:t>
            </w:r>
            <w:r>
              <w:rPr>
                <w:rFonts w:hint="default" w:ascii="Times New Roman" w:hAnsi="Times New Roman" w:eastAsia="宋体" w:cs="Times New Roman"/>
                <w:color w:val="auto"/>
                <w:kern w:val="0"/>
                <w:sz w:val="24"/>
                <w:szCs w:val="24"/>
                <w:lang w:eastAsia="zh-Hans"/>
              </w:rPr>
              <w:t>锅炉的废气产排污系数。</w:t>
            </w:r>
          </w:p>
          <w:p w14:paraId="3D036318">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jc w:val="center"/>
              <w:textAlignment w:val="auto"/>
              <w:rPr>
                <w:rFonts w:hint="default" w:ascii="Times New Roman" w:hAnsi="Times New Roman" w:eastAsia="宋体" w:cs="Times New Roman"/>
                <w:color w:val="auto"/>
                <w:kern w:val="0"/>
                <w:sz w:val="24"/>
                <w:szCs w:val="24"/>
                <w:lang w:eastAsia="zh-CN"/>
              </w:rPr>
            </w:pPr>
            <w:r>
              <w:rPr>
                <w:rFonts w:hint="default" w:ascii="Times New Roman" w:hAnsi="Times New Roman" w:eastAsia="宋体" w:cs="Times New Roman"/>
                <w:color w:val="auto"/>
                <w:kern w:val="0"/>
                <w:position w:val="-14"/>
                <w:sz w:val="24"/>
                <w:szCs w:val="24"/>
                <w:lang w:eastAsia="zh-CN"/>
              </w:rPr>
              <w:object>
                <v:shape id="_x0000_i1026" o:spt="75" type="#_x0000_t75" style="height:20pt;width:85pt;" o:ole="t" filled="f" o:preferrelative="t" stroked="f" coordsize="21600,21600">
                  <v:path/>
                  <v:fill on="f" focussize="0,0"/>
                  <v:stroke on="f"/>
                  <v:imagedata r:id="rId13" o:title=""/>
                  <o:lock v:ext="edit" aspectratio="t"/>
                  <w10:wrap type="none"/>
                  <w10:anchorlock/>
                </v:shape>
                <o:OLEObject Type="Embed" ProgID="Equation.KSEE3" ShapeID="_x0000_i1026" DrawAspect="Content" ObjectID="_1468075726" r:id="rId12">
                  <o:LockedField>false</o:LockedField>
                </o:OLEObject>
              </w:object>
            </w:r>
          </w:p>
          <w:p w14:paraId="541EB9AB">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right="0"/>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式中：Ej——核算时段内第j种污染物排放量，t；</w:t>
            </w:r>
          </w:p>
          <w:p w14:paraId="08A22033">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R——核算时段内</w:t>
            </w:r>
            <w:r>
              <w:rPr>
                <w:rFonts w:hint="eastAsia" w:ascii="Times New Roman" w:hAnsi="Times New Roman" w:eastAsia="宋体" w:cs="Times New Roman"/>
                <w:color w:val="auto"/>
                <w:kern w:val="0"/>
                <w:sz w:val="24"/>
                <w:szCs w:val="24"/>
                <w:lang w:val="en-US" w:eastAsia="zh-CN"/>
              </w:rPr>
              <w:t>锅炉</w:t>
            </w:r>
            <w:r>
              <w:rPr>
                <w:rFonts w:hint="default" w:ascii="Times New Roman" w:hAnsi="Times New Roman" w:eastAsia="宋体" w:cs="Times New Roman"/>
                <w:color w:val="auto"/>
                <w:kern w:val="0"/>
                <w:sz w:val="24"/>
                <w:szCs w:val="24"/>
                <w:lang w:val="en-US" w:eastAsia="zh-CN"/>
              </w:rPr>
              <w:t>燃料耗量，t或万m</w:t>
            </w:r>
            <w:r>
              <w:rPr>
                <w:rFonts w:hint="default" w:ascii="Times New Roman" w:hAnsi="Times New Roman" w:eastAsia="宋体" w:cs="Times New Roman"/>
                <w:color w:val="auto"/>
                <w:kern w:val="0"/>
                <w:sz w:val="24"/>
                <w:szCs w:val="24"/>
                <w:vertAlign w:val="superscript"/>
                <w:lang w:val="en-US" w:eastAsia="zh-CN"/>
              </w:rPr>
              <w:t>3</w:t>
            </w:r>
            <w:r>
              <w:rPr>
                <w:rFonts w:hint="default" w:ascii="Times New Roman" w:hAnsi="Times New Roman" w:eastAsia="宋体" w:cs="Times New Roman"/>
                <w:color w:val="auto"/>
                <w:kern w:val="0"/>
                <w:sz w:val="24"/>
                <w:szCs w:val="24"/>
                <w:lang w:val="en-US" w:eastAsia="zh-CN"/>
              </w:rPr>
              <w:t>；</w:t>
            </w:r>
          </w:p>
          <w:p w14:paraId="47F155D4">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βj——</w:t>
            </w:r>
            <w:r>
              <w:rPr>
                <w:rFonts w:hint="eastAsia" w:ascii="Times New Roman" w:hAnsi="Times New Roman" w:eastAsia="宋体" w:cs="Times New Roman"/>
                <w:color w:val="auto"/>
                <w:kern w:val="0"/>
                <w:sz w:val="24"/>
                <w:szCs w:val="24"/>
                <w:lang w:val="en-US" w:eastAsia="zh-CN"/>
              </w:rPr>
              <w:t>第j种污染物产排污系数，kg/t-燃料或kg/</w:t>
            </w:r>
            <w:r>
              <w:rPr>
                <w:rFonts w:hint="default" w:ascii="Times New Roman" w:hAnsi="Times New Roman" w:eastAsia="宋体" w:cs="Times New Roman"/>
                <w:color w:val="auto"/>
                <w:kern w:val="0"/>
                <w:sz w:val="24"/>
                <w:szCs w:val="24"/>
                <w:lang w:val="en-US" w:eastAsia="zh-CN"/>
              </w:rPr>
              <w:t>m</w:t>
            </w:r>
            <w:r>
              <w:rPr>
                <w:rFonts w:hint="default" w:ascii="Times New Roman" w:hAnsi="Times New Roman" w:eastAsia="宋体" w:cs="Times New Roman"/>
                <w:color w:val="auto"/>
                <w:kern w:val="0"/>
                <w:sz w:val="24"/>
                <w:szCs w:val="24"/>
                <w:vertAlign w:val="superscript"/>
                <w:lang w:val="en-US" w:eastAsia="zh-CN"/>
              </w:rPr>
              <w:t>3</w:t>
            </w:r>
            <w:r>
              <w:rPr>
                <w:rFonts w:hint="eastAsia" w:ascii="Times New Roman" w:hAnsi="Times New Roman" w:eastAsia="宋体" w:cs="Times New Roman"/>
                <w:color w:val="auto"/>
                <w:kern w:val="0"/>
                <w:sz w:val="24"/>
                <w:szCs w:val="24"/>
                <w:lang w:val="en-US" w:eastAsia="zh-CN"/>
              </w:rPr>
              <w:t>燃料；</w:t>
            </w:r>
          </w:p>
          <w:p w14:paraId="27974E6A">
            <w:pPr>
              <w:pStyle w:val="16"/>
              <w:keepNext w:val="0"/>
              <w:keepLines w:val="0"/>
              <w:pageBreakBefore w:val="0"/>
              <w:widowControl/>
              <w:kinsoku/>
              <w:wordWrap/>
              <w:overflowPunct/>
              <w:topLinePunct w:val="0"/>
              <w:autoSpaceDE/>
              <w:autoSpaceDN/>
              <w:bidi w:val="0"/>
              <w:adjustRightInd/>
              <w:snapToGrid/>
              <w:spacing w:line="480" w:lineRule="exact"/>
              <w:jc w:val="center"/>
              <w:textAlignment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表4-1  燃煤工业锅炉的废气产排污系数</w:t>
            </w:r>
          </w:p>
          <w:tbl>
            <w:tblPr>
              <w:tblStyle w:val="10"/>
              <w:tblW w:w="4998" w:type="pct"/>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4"/>
              <w:gridCol w:w="426"/>
              <w:gridCol w:w="1349"/>
              <w:gridCol w:w="1584"/>
              <w:gridCol w:w="1662"/>
              <w:gridCol w:w="2488"/>
            </w:tblGrid>
            <w:tr w14:paraId="7F0E81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4" w:type="pct"/>
                  <w:gridSpan w:val="2"/>
                  <w:tcBorders>
                    <w:tl2br w:val="nil"/>
                    <w:tr2bl w:val="nil"/>
                  </w:tcBorders>
                  <w:noWrap w:val="0"/>
                  <w:vAlign w:val="center"/>
                </w:tcPr>
                <w:p w14:paraId="6120439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bCs/>
                      <w:color w:val="auto"/>
                      <w:spacing w:val="4"/>
                      <w:szCs w:val="21"/>
                    </w:rPr>
                  </w:pPr>
                  <w:r>
                    <w:rPr>
                      <w:rFonts w:hint="default" w:ascii="Times New Roman Regular" w:hAnsi="Times New Roman Regular" w:eastAsia="宋体" w:cs="Times New Roman Regular"/>
                      <w:b w:val="0"/>
                      <w:bCs/>
                      <w:color w:val="auto"/>
                      <w:spacing w:val="4"/>
                      <w:szCs w:val="21"/>
                    </w:rPr>
                    <w:t>项目</w:t>
                  </w:r>
                </w:p>
              </w:tc>
              <w:tc>
                <w:tcPr>
                  <w:tcW w:w="856" w:type="pct"/>
                  <w:tcBorders>
                    <w:tl2br w:val="nil"/>
                    <w:tr2bl w:val="nil"/>
                  </w:tcBorders>
                  <w:noWrap w:val="0"/>
                  <w:vAlign w:val="center"/>
                </w:tcPr>
                <w:p w14:paraId="62DD37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bCs/>
                      <w:color w:val="auto"/>
                      <w:spacing w:val="-6"/>
                      <w:szCs w:val="21"/>
                    </w:rPr>
                  </w:pPr>
                  <w:r>
                    <w:rPr>
                      <w:rFonts w:hint="default" w:ascii="Times New Roman Regular" w:hAnsi="Times New Roman Regular" w:eastAsia="宋体" w:cs="Times New Roman Regular"/>
                      <w:b w:val="0"/>
                      <w:bCs/>
                      <w:color w:val="auto"/>
                      <w:spacing w:val="-6"/>
                      <w:szCs w:val="21"/>
                    </w:rPr>
                    <w:t>污染物指标</w:t>
                  </w:r>
                </w:p>
              </w:tc>
              <w:tc>
                <w:tcPr>
                  <w:tcW w:w="1004" w:type="pct"/>
                  <w:tcBorders>
                    <w:tl2br w:val="nil"/>
                    <w:tr2bl w:val="nil"/>
                  </w:tcBorders>
                  <w:noWrap w:val="0"/>
                  <w:vAlign w:val="center"/>
                </w:tcPr>
                <w:p w14:paraId="2D929B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bCs/>
                      <w:color w:val="auto"/>
                      <w:spacing w:val="4"/>
                      <w:szCs w:val="21"/>
                    </w:rPr>
                  </w:pPr>
                  <w:r>
                    <w:rPr>
                      <w:rFonts w:hint="default" w:ascii="Times New Roman Regular" w:hAnsi="Times New Roman Regular" w:eastAsia="宋体" w:cs="Times New Roman Regular"/>
                      <w:b w:val="0"/>
                      <w:bCs/>
                      <w:color w:val="auto"/>
                      <w:spacing w:val="4"/>
                      <w:szCs w:val="21"/>
                    </w:rPr>
                    <w:t>单位</w:t>
                  </w:r>
                </w:p>
              </w:tc>
              <w:tc>
                <w:tcPr>
                  <w:tcW w:w="1053" w:type="pct"/>
                  <w:tcBorders>
                    <w:tl2br w:val="nil"/>
                    <w:tr2bl w:val="nil"/>
                  </w:tcBorders>
                  <w:noWrap w:val="0"/>
                  <w:vAlign w:val="center"/>
                </w:tcPr>
                <w:p w14:paraId="75D095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bCs/>
                      <w:color w:val="auto"/>
                      <w:spacing w:val="-6"/>
                      <w:szCs w:val="21"/>
                    </w:rPr>
                  </w:pPr>
                  <w:r>
                    <w:rPr>
                      <w:rFonts w:hint="default" w:ascii="Times New Roman Regular" w:hAnsi="Times New Roman Regular" w:eastAsia="宋体" w:cs="Times New Roman Regular"/>
                      <w:b w:val="0"/>
                      <w:bCs/>
                      <w:color w:val="auto"/>
                      <w:spacing w:val="-6"/>
                      <w:szCs w:val="21"/>
                    </w:rPr>
                    <w:t>产污系数</w:t>
                  </w:r>
                </w:p>
              </w:tc>
              <w:tc>
                <w:tcPr>
                  <w:tcW w:w="1571" w:type="pct"/>
                  <w:tcBorders>
                    <w:tl2br w:val="nil"/>
                    <w:tr2bl w:val="nil"/>
                  </w:tcBorders>
                  <w:noWrap w:val="0"/>
                  <w:vAlign w:val="center"/>
                </w:tcPr>
                <w:p w14:paraId="234619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bCs/>
                      <w:color w:val="auto"/>
                      <w:spacing w:val="4"/>
                      <w:szCs w:val="21"/>
                      <w:lang w:val="en-US" w:eastAsia="zh-CN"/>
                    </w:rPr>
                  </w:pPr>
                  <w:r>
                    <w:rPr>
                      <w:rFonts w:hint="default" w:ascii="Times New Roman Regular" w:hAnsi="Times New Roman Regular" w:eastAsia="宋体" w:cs="Times New Roman Regular"/>
                      <w:b w:val="0"/>
                      <w:bCs/>
                      <w:color w:val="auto"/>
                      <w:spacing w:val="4"/>
                      <w:szCs w:val="21"/>
                    </w:rPr>
                    <w:t>末端治理技术</w:t>
                  </w:r>
                  <w:r>
                    <w:rPr>
                      <w:rFonts w:hint="eastAsia" w:ascii="Times New Roman Regular" w:hAnsi="Times New Roman Regular" w:eastAsia="宋体" w:cs="Times New Roman Regular"/>
                      <w:b w:val="0"/>
                      <w:bCs/>
                      <w:color w:val="auto"/>
                      <w:spacing w:val="4"/>
                      <w:szCs w:val="21"/>
                      <w:lang w:val="en-US" w:eastAsia="zh-CN"/>
                    </w:rPr>
                    <w:t>名称</w:t>
                  </w:r>
                </w:p>
              </w:tc>
            </w:tr>
            <w:tr w14:paraId="2AA17E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4" w:type="pct"/>
                  <w:vMerge w:val="restart"/>
                  <w:tcBorders>
                    <w:tl2br w:val="nil"/>
                    <w:tr2bl w:val="nil"/>
                  </w:tcBorders>
                  <w:noWrap w:val="0"/>
                  <w:vAlign w:val="center"/>
                </w:tcPr>
                <w:p w14:paraId="5203F8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color w:val="auto"/>
                      <w:spacing w:val="4"/>
                      <w:szCs w:val="21"/>
                      <w:lang w:val="en-US"/>
                    </w:rPr>
                  </w:pPr>
                  <w:r>
                    <w:rPr>
                      <w:rFonts w:hint="eastAsia" w:ascii="Times New Roman Regular" w:hAnsi="Times New Roman Regular" w:cs="Times New Roman Regular"/>
                      <w:b w:val="0"/>
                      <w:color w:val="auto"/>
                      <w:spacing w:val="4"/>
                      <w:szCs w:val="21"/>
                      <w:lang w:val="en-US" w:eastAsia="zh-CN"/>
                    </w:rPr>
                    <w:t>层然炉</w:t>
                  </w:r>
                </w:p>
              </w:tc>
              <w:tc>
                <w:tcPr>
                  <w:tcW w:w="260" w:type="pct"/>
                  <w:vMerge w:val="restart"/>
                  <w:tcBorders>
                    <w:tl2br w:val="nil"/>
                    <w:tr2bl w:val="nil"/>
                  </w:tcBorders>
                  <w:noWrap w:val="0"/>
                  <w:vAlign w:val="center"/>
                </w:tcPr>
                <w:p w14:paraId="63B01B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Regular" w:hAnsi="Times New Roman Regular" w:eastAsia="宋体" w:cs="Times New Roman Regular"/>
                      <w:b w:val="0"/>
                      <w:color w:val="auto"/>
                      <w:spacing w:val="4"/>
                      <w:szCs w:val="21"/>
                      <w:lang w:eastAsia="zh-CN"/>
                    </w:rPr>
                  </w:pPr>
                  <w:r>
                    <w:rPr>
                      <w:rFonts w:hint="eastAsia" w:ascii="Times New Roman Regular" w:hAnsi="Times New Roman Regular" w:eastAsia="宋体" w:cs="Times New Roman Regular"/>
                      <w:b w:val="0"/>
                      <w:snapToGrid w:val="0"/>
                      <w:color w:val="auto"/>
                      <w:szCs w:val="21"/>
                      <w:lang w:val="en-US" w:eastAsia="zh-CN"/>
                    </w:rPr>
                    <w:t>煤</w:t>
                  </w:r>
                </w:p>
              </w:tc>
              <w:tc>
                <w:tcPr>
                  <w:tcW w:w="856" w:type="pct"/>
                  <w:tcBorders>
                    <w:tl2br w:val="nil"/>
                    <w:tr2bl w:val="nil"/>
                  </w:tcBorders>
                  <w:noWrap w:val="0"/>
                  <w:vAlign w:val="center"/>
                </w:tcPr>
                <w:p w14:paraId="2E0EC7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snapToGrid w:val="0"/>
                      <w:color w:val="auto"/>
                      <w:szCs w:val="21"/>
                    </w:rPr>
                  </w:pPr>
                  <w:r>
                    <w:rPr>
                      <w:rFonts w:hint="default" w:ascii="Times New Roman Regular" w:hAnsi="Times New Roman Regular" w:eastAsia="宋体" w:cs="Times New Roman Regular"/>
                      <w:b w:val="0"/>
                      <w:snapToGrid w:val="0"/>
                      <w:color w:val="auto"/>
                      <w:szCs w:val="21"/>
                      <w:lang w:val="en-US" w:eastAsia="zh-CN"/>
                    </w:rPr>
                    <w:t>二氧化硫</w:t>
                  </w:r>
                </w:p>
              </w:tc>
              <w:tc>
                <w:tcPr>
                  <w:tcW w:w="1004" w:type="pct"/>
                  <w:tcBorders>
                    <w:tl2br w:val="nil"/>
                    <w:tr2bl w:val="nil"/>
                  </w:tcBorders>
                  <w:noWrap w:val="0"/>
                  <w:vAlign w:val="center"/>
                </w:tcPr>
                <w:p w14:paraId="5AD4FA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color w:val="auto"/>
                      <w:szCs w:val="21"/>
                    </w:rPr>
                  </w:pPr>
                  <w:r>
                    <w:rPr>
                      <w:rFonts w:hint="eastAsia" w:ascii="Times New Roman Regular" w:hAnsi="Times New Roman Regular" w:eastAsia="宋体" w:cs="Times New Roman Regular"/>
                      <w:b w:val="0"/>
                      <w:snapToGrid w:val="0"/>
                      <w:color w:val="auto"/>
                      <w:szCs w:val="21"/>
                      <w:lang w:val="en-US" w:eastAsia="zh-CN"/>
                    </w:rPr>
                    <w:t>千克</w:t>
                  </w:r>
                  <w:r>
                    <w:rPr>
                      <w:rFonts w:hint="default" w:ascii="Times New Roman Regular" w:hAnsi="Times New Roman Regular" w:eastAsia="宋体" w:cs="Times New Roman Regular"/>
                      <w:b w:val="0"/>
                      <w:snapToGrid w:val="0"/>
                      <w:color w:val="auto"/>
                      <w:szCs w:val="21"/>
                    </w:rPr>
                    <w:t>/</w:t>
                  </w:r>
                  <w:r>
                    <w:rPr>
                      <w:rFonts w:hint="eastAsia" w:ascii="Times New Roman Regular" w:hAnsi="Times New Roman Regular" w:eastAsia="宋体" w:cs="Times New Roman Regular"/>
                      <w:b w:val="0"/>
                      <w:snapToGrid w:val="0"/>
                      <w:color w:val="auto"/>
                      <w:szCs w:val="21"/>
                      <w:lang w:val="en-US" w:eastAsia="zh-CN"/>
                    </w:rPr>
                    <w:t>吨</w:t>
                  </w:r>
                  <w:r>
                    <w:rPr>
                      <w:rFonts w:hint="eastAsia" w:ascii="Times New Roman Regular" w:hAnsi="Times New Roman Regular" w:eastAsia="宋体" w:cs="Times New Roman Regular"/>
                      <w:b w:val="0"/>
                      <w:snapToGrid w:val="0"/>
                      <w:color w:val="auto"/>
                      <w:szCs w:val="21"/>
                      <w:vertAlign w:val="baseline"/>
                      <w:lang w:val="en-US" w:eastAsia="zh-CN"/>
                    </w:rPr>
                    <w:t>-</w:t>
                  </w:r>
                  <w:r>
                    <w:rPr>
                      <w:rFonts w:hint="default" w:ascii="Times New Roman Regular" w:hAnsi="Times New Roman Regular" w:eastAsia="宋体" w:cs="Times New Roman Regular"/>
                      <w:b w:val="0"/>
                      <w:snapToGrid w:val="0"/>
                      <w:color w:val="auto"/>
                      <w:szCs w:val="21"/>
                    </w:rPr>
                    <w:t>原料</w:t>
                  </w:r>
                </w:p>
              </w:tc>
              <w:tc>
                <w:tcPr>
                  <w:tcW w:w="1053" w:type="pct"/>
                  <w:tcBorders>
                    <w:tl2br w:val="nil"/>
                    <w:tr2bl w:val="nil"/>
                  </w:tcBorders>
                  <w:noWrap w:val="0"/>
                  <w:vAlign w:val="center"/>
                </w:tcPr>
                <w:p w14:paraId="367C2025">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16S</w:t>
                  </w:r>
                </w:p>
                <w:p w14:paraId="68FF1086">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（无炉内脱硫）</w:t>
                  </w:r>
                </w:p>
              </w:tc>
              <w:tc>
                <w:tcPr>
                  <w:tcW w:w="1571" w:type="pct"/>
                  <w:vMerge w:val="restart"/>
                  <w:tcBorders>
                    <w:tl2br w:val="nil"/>
                    <w:tr2bl w:val="nil"/>
                  </w:tcBorders>
                  <w:noWrap w:val="0"/>
                  <w:vAlign w:val="center"/>
                </w:tcPr>
                <w:p w14:paraId="5A12FC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color w:val="auto"/>
                      <w:spacing w:val="4"/>
                      <w:kern w:val="2"/>
                      <w:sz w:val="21"/>
                      <w:szCs w:val="21"/>
                      <w:lang w:val="en-US" w:eastAsia="zh-CN" w:bidi="ar-SA"/>
                    </w:rPr>
                  </w:pPr>
                  <w:r>
                    <w:rPr>
                      <w:rFonts w:hint="default" w:ascii="Times New Roman Regular" w:hAnsi="Times New Roman Regular" w:eastAsia="宋体" w:cs="Times New Roman Regular"/>
                      <w:b w:val="0"/>
                      <w:color w:val="auto"/>
                      <w:spacing w:val="4"/>
                      <w:kern w:val="2"/>
                      <w:sz w:val="21"/>
                      <w:szCs w:val="21"/>
                      <w:lang w:val="en-US" w:eastAsia="zh-CN" w:bidi="ar-SA"/>
                    </w:rPr>
                    <w:t>SNCR</w:t>
                  </w:r>
                  <w:r>
                    <w:rPr>
                      <w:rFonts w:hint="eastAsia" w:ascii="Times New Roman Regular" w:hAnsi="Times New Roman Regular" w:eastAsia="宋体" w:cs="Times New Roman Regular"/>
                      <w:b w:val="0"/>
                      <w:color w:val="auto"/>
                      <w:spacing w:val="4"/>
                      <w:kern w:val="2"/>
                      <w:sz w:val="21"/>
                      <w:szCs w:val="21"/>
                      <w:lang w:val="en-US" w:eastAsia="zh-CN" w:bidi="ar-SA"/>
                    </w:rPr>
                    <w:t>+三级吸收塔（2级水+1级碱（钠碱法脱硫））</w:t>
                  </w:r>
                </w:p>
              </w:tc>
            </w:tr>
            <w:tr w14:paraId="64F4B8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4" w:type="pct"/>
                  <w:vMerge w:val="continue"/>
                  <w:tcBorders>
                    <w:tl2br w:val="nil"/>
                    <w:tr2bl w:val="nil"/>
                  </w:tcBorders>
                  <w:noWrap w:val="0"/>
                  <w:vAlign w:val="center"/>
                </w:tcPr>
                <w:p w14:paraId="531D16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color w:val="auto"/>
                      <w:spacing w:val="4"/>
                    </w:rPr>
                  </w:pPr>
                </w:p>
              </w:tc>
              <w:tc>
                <w:tcPr>
                  <w:tcW w:w="260" w:type="pct"/>
                  <w:vMerge w:val="continue"/>
                  <w:tcBorders>
                    <w:tl2br w:val="nil"/>
                    <w:tr2bl w:val="nil"/>
                  </w:tcBorders>
                  <w:noWrap w:val="0"/>
                  <w:vAlign w:val="center"/>
                </w:tcPr>
                <w:p w14:paraId="0AF5EF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snapToGrid w:val="0"/>
                      <w:color w:val="auto"/>
                    </w:rPr>
                  </w:pPr>
                </w:p>
              </w:tc>
              <w:tc>
                <w:tcPr>
                  <w:tcW w:w="856" w:type="pct"/>
                  <w:tcBorders>
                    <w:tl2br w:val="nil"/>
                    <w:tr2bl w:val="nil"/>
                  </w:tcBorders>
                  <w:noWrap w:val="0"/>
                  <w:vAlign w:val="center"/>
                </w:tcPr>
                <w:p w14:paraId="3FDA53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snapToGrid w:val="0"/>
                      <w:color w:val="auto"/>
                      <w:kern w:val="2"/>
                      <w:sz w:val="21"/>
                      <w:szCs w:val="21"/>
                      <w:lang w:val="en-US" w:eastAsia="zh-CN" w:bidi="ar-SA"/>
                    </w:rPr>
                  </w:pPr>
                  <w:r>
                    <w:rPr>
                      <w:rFonts w:hint="default" w:ascii="Times New Roman Regular" w:hAnsi="Times New Roman Regular" w:eastAsia="宋体" w:cs="Times New Roman Regular"/>
                      <w:b w:val="0"/>
                      <w:snapToGrid w:val="0"/>
                      <w:color w:val="auto"/>
                      <w:szCs w:val="21"/>
                    </w:rPr>
                    <w:t>氮氧化物</w:t>
                  </w:r>
                </w:p>
              </w:tc>
              <w:tc>
                <w:tcPr>
                  <w:tcW w:w="1004" w:type="pct"/>
                  <w:tcBorders>
                    <w:tl2br w:val="nil"/>
                    <w:tr2bl w:val="nil"/>
                  </w:tcBorders>
                  <w:noWrap w:val="0"/>
                  <w:vAlign w:val="center"/>
                </w:tcPr>
                <w:p w14:paraId="6EA552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snapToGrid w:val="0"/>
                      <w:color w:val="auto"/>
                      <w:kern w:val="2"/>
                      <w:sz w:val="21"/>
                      <w:szCs w:val="21"/>
                      <w:lang w:val="en-US" w:eastAsia="zh-CN" w:bidi="ar-SA"/>
                    </w:rPr>
                  </w:pPr>
                  <w:r>
                    <w:rPr>
                      <w:rFonts w:hint="eastAsia" w:ascii="Times New Roman Regular" w:hAnsi="Times New Roman Regular" w:eastAsia="宋体" w:cs="Times New Roman Regular"/>
                      <w:b w:val="0"/>
                      <w:snapToGrid w:val="0"/>
                      <w:color w:val="auto"/>
                      <w:szCs w:val="21"/>
                      <w:lang w:val="en-US" w:eastAsia="zh-CN"/>
                    </w:rPr>
                    <w:t>千克</w:t>
                  </w:r>
                  <w:r>
                    <w:rPr>
                      <w:rFonts w:hint="default" w:ascii="Times New Roman Regular" w:hAnsi="Times New Roman Regular" w:eastAsia="宋体" w:cs="Times New Roman Regular"/>
                      <w:b w:val="0"/>
                      <w:snapToGrid w:val="0"/>
                      <w:color w:val="auto"/>
                      <w:szCs w:val="21"/>
                    </w:rPr>
                    <w:t>/</w:t>
                  </w:r>
                  <w:r>
                    <w:rPr>
                      <w:rFonts w:hint="eastAsia" w:ascii="Times New Roman Regular" w:hAnsi="Times New Roman Regular" w:eastAsia="宋体" w:cs="Times New Roman Regular"/>
                      <w:b w:val="0"/>
                      <w:snapToGrid w:val="0"/>
                      <w:color w:val="auto"/>
                      <w:szCs w:val="21"/>
                      <w:lang w:val="en-US" w:eastAsia="zh-CN"/>
                    </w:rPr>
                    <w:t>吨</w:t>
                  </w:r>
                  <w:r>
                    <w:rPr>
                      <w:rFonts w:hint="eastAsia" w:ascii="Times New Roman Regular" w:hAnsi="Times New Roman Regular" w:eastAsia="宋体" w:cs="Times New Roman Regular"/>
                      <w:b w:val="0"/>
                      <w:snapToGrid w:val="0"/>
                      <w:color w:val="auto"/>
                      <w:szCs w:val="21"/>
                      <w:vertAlign w:val="baseline"/>
                      <w:lang w:val="en-US" w:eastAsia="zh-CN"/>
                    </w:rPr>
                    <w:t>-</w:t>
                  </w:r>
                  <w:r>
                    <w:rPr>
                      <w:rFonts w:hint="default" w:ascii="Times New Roman Regular" w:hAnsi="Times New Roman Regular" w:eastAsia="宋体" w:cs="Times New Roman Regular"/>
                      <w:b w:val="0"/>
                      <w:snapToGrid w:val="0"/>
                      <w:color w:val="auto"/>
                      <w:szCs w:val="21"/>
                    </w:rPr>
                    <w:t>原料</w:t>
                  </w:r>
                </w:p>
              </w:tc>
              <w:tc>
                <w:tcPr>
                  <w:tcW w:w="1053" w:type="pct"/>
                  <w:tcBorders>
                    <w:tl2br w:val="nil"/>
                    <w:tr2bl w:val="nil"/>
                  </w:tcBorders>
                  <w:noWrap w:val="0"/>
                  <w:vAlign w:val="center"/>
                </w:tcPr>
                <w:p w14:paraId="261AAC30">
                  <w:pPr>
                    <w:adjustRightInd w:val="0"/>
                    <w:snapToGrid w:val="0"/>
                    <w:jc w:val="center"/>
                    <w:rPr>
                      <w:color w:val="auto"/>
                      <w:szCs w:val="21"/>
                    </w:rPr>
                  </w:pPr>
                  <w:r>
                    <w:rPr>
                      <w:rFonts w:hint="eastAsia"/>
                      <w:color w:val="auto"/>
                      <w:szCs w:val="21"/>
                    </w:rPr>
                    <w:t>2.06</w:t>
                  </w:r>
                </w:p>
                <w:p w14:paraId="170AC6DB">
                  <w:pPr>
                    <w:adjustRightInd w:val="0"/>
                    <w:snapToGrid w:val="0"/>
                    <w:jc w:val="center"/>
                    <w:rPr>
                      <w:rFonts w:hint="default" w:ascii="Times New Roman" w:hAnsi="Times New Roman" w:eastAsia="宋体" w:cs="Times New Roman"/>
                      <w:color w:val="auto"/>
                      <w:kern w:val="2"/>
                      <w:sz w:val="21"/>
                      <w:szCs w:val="21"/>
                      <w:lang w:val="en-US" w:eastAsia="zh-CN" w:bidi="ar-SA"/>
                    </w:rPr>
                  </w:pPr>
                  <w:r>
                    <w:rPr>
                      <w:color w:val="auto"/>
                      <w:szCs w:val="21"/>
                    </w:rPr>
                    <w:t>（低氮燃烧）</w:t>
                  </w:r>
                </w:p>
              </w:tc>
              <w:tc>
                <w:tcPr>
                  <w:tcW w:w="1571" w:type="pct"/>
                  <w:vMerge w:val="continue"/>
                  <w:tcBorders>
                    <w:tl2br w:val="nil"/>
                    <w:tr2bl w:val="nil"/>
                  </w:tcBorders>
                  <w:noWrap w:val="0"/>
                  <w:vAlign w:val="center"/>
                </w:tcPr>
                <w:p w14:paraId="7110DD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color w:val="auto"/>
                      <w:spacing w:val="4"/>
                      <w:kern w:val="2"/>
                      <w:sz w:val="21"/>
                      <w:szCs w:val="21"/>
                      <w:lang w:val="en-US" w:eastAsia="zh-CN" w:bidi="ar-SA"/>
                    </w:rPr>
                  </w:pPr>
                </w:p>
              </w:tc>
            </w:tr>
            <w:tr w14:paraId="644CA3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54" w:type="pct"/>
                  <w:vMerge w:val="continue"/>
                  <w:tcBorders>
                    <w:tl2br w:val="nil"/>
                    <w:tr2bl w:val="nil"/>
                  </w:tcBorders>
                  <w:noWrap w:val="0"/>
                  <w:vAlign w:val="center"/>
                </w:tcPr>
                <w:p w14:paraId="47CE33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color w:val="auto"/>
                      <w:spacing w:val="4"/>
                    </w:rPr>
                  </w:pPr>
                </w:p>
              </w:tc>
              <w:tc>
                <w:tcPr>
                  <w:tcW w:w="260" w:type="pct"/>
                  <w:vMerge w:val="continue"/>
                  <w:tcBorders>
                    <w:tl2br w:val="nil"/>
                    <w:tr2bl w:val="nil"/>
                  </w:tcBorders>
                  <w:noWrap w:val="0"/>
                  <w:vAlign w:val="center"/>
                </w:tcPr>
                <w:p w14:paraId="6A3450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snapToGrid w:val="0"/>
                      <w:color w:val="auto"/>
                    </w:rPr>
                  </w:pPr>
                </w:p>
              </w:tc>
              <w:tc>
                <w:tcPr>
                  <w:tcW w:w="856" w:type="pct"/>
                  <w:tcBorders>
                    <w:tl2br w:val="nil"/>
                    <w:tr2bl w:val="nil"/>
                  </w:tcBorders>
                  <w:noWrap w:val="0"/>
                  <w:vAlign w:val="center"/>
                </w:tcPr>
                <w:p w14:paraId="176C04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snapToGrid w:val="0"/>
                      <w:color w:val="auto"/>
                      <w:szCs w:val="21"/>
                      <w:lang w:val="en-US" w:eastAsia="zh-CN"/>
                    </w:rPr>
                  </w:pPr>
                  <w:r>
                    <w:rPr>
                      <w:rFonts w:hint="default" w:ascii="Times New Roman Regular" w:hAnsi="Times New Roman Regular" w:eastAsia="宋体" w:cs="Times New Roman Regular"/>
                      <w:b w:val="0"/>
                      <w:snapToGrid w:val="0"/>
                      <w:color w:val="auto"/>
                      <w:szCs w:val="21"/>
                      <w:lang w:val="en-US" w:eastAsia="zh-CN"/>
                    </w:rPr>
                    <w:t>颗粒物</w:t>
                  </w:r>
                </w:p>
              </w:tc>
              <w:tc>
                <w:tcPr>
                  <w:tcW w:w="1004" w:type="pct"/>
                  <w:tcBorders>
                    <w:tl2br w:val="nil"/>
                    <w:tr2bl w:val="nil"/>
                  </w:tcBorders>
                  <w:noWrap w:val="0"/>
                  <w:vAlign w:val="center"/>
                </w:tcPr>
                <w:p w14:paraId="223BD5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color w:val="auto"/>
                      <w:kern w:val="2"/>
                      <w:sz w:val="21"/>
                      <w:szCs w:val="21"/>
                      <w:lang w:val="en-US" w:eastAsia="zh-CN" w:bidi="ar-SA"/>
                    </w:rPr>
                  </w:pPr>
                  <w:r>
                    <w:rPr>
                      <w:rFonts w:hint="eastAsia" w:ascii="Times New Roman Regular" w:hAnsi="Times New Roman Regular" w:eastAsia="宋体" w:cs="Times New Roman Regular"/>
                      <w:b w:val="0"/>
                      <w:snapToGrid w:val="0"/>
                      <w:color w:val="auto"/>
                      <w:szCs w:val="21"/>
                      <w:lang w:val="en-US" w:eastAsia="zh-CN"/>
                    </w:rPr>
                    <w:t>千克</w:t>
                  </w:r>
                  <w:r>
                    <w:rPr>
                      <w:rFonts w:hint="default" w:ascii="Times New Roman Regular" w:hAnsi="Times New Roman Regular" w:eastAsia="宋体" w:cs="Times New Roman Regular"/>
                      <w:b w:val="0"/>
                      <w:snapToGrid w:val="0"/>
                      <w:color w:val="auto"/>
                      <w:szCs w:val="21"/>
                    </w:rPr>
                    <w:t>/</w:t>
                  </w:r>
                  <w:r>
                    <w:rPr>
                      <w:rFonts w:hint="eastAsia" w:ascii="Times New Roman Regular" w:hAnsi="Times New Roman Regular" w:eastAsia="宋体" w:cs="Times New Roman Regular"/>
                      <w:b w:val="0"/>
                      <w:snapToGrid w:val="0"/>
                      <w:color w:val="auto"/>
                      <w:szCs w:val="21"/>
                      <w:lang w:val="en-US" w:eastAsia="zh-CN"/>
                    </w:rPr>
                    <w:t>吨</w:t>
                  </w:r>
                  <w:r>
                    <w:rPr>
                      <w:rFonts w:hint="eastAsia" w:ascii="Times New Roman Regular" w:hAnsi="Times New Roman Regular" w:eastAsia="宋体" w:cs="Times New Roman Regular"/>
                      <w:b w:val="0"/>
                      <w:snapToGrid w:val="0"/>
                      <w:color w:val="auto"/>
                      <w:szCs w:val="21"/>
                      <w:vertAlign w:val="baseline"/>
                      <w:lang w:val="en-US" w:eastAsia="zh-CN"/>
                    </w:rPr>
                    <w:t>-</w:t>
                  </w:r>
                  <w:r>
                    <w:rPr>
                      <w:rFonts w:hint="default" w:ascii="Times New Roman Regular" w:hAnsi="Times New Roman Regular" w:eastAsia="宋体" w:cs="Times New Roman Regular"/>
                      <w:b w:val="0"/>
                      <w:snapToGrid w:val="0"/>
                      <w:color w:val="auto"/>
                      <w:szCs w:val="21"/>
                    </w:rPr>
                    <w:t>原料</w:t>
                  </w:r>
                </w:p>
              </w:tc>
              <w:tc>
                <w:tcPr>
                  <w:tcW w:w="1053" w:type="pct"/>
                  <w:tcBorders>
                    <w:tl2br w:val="nil"/>
                    <w:tr2bl w:val="nil"/>
                  </w:tcBorders>
                  <w:noWrap w:val="0"/>
                  <w:vAlign w:val="center"/>
                </w:tcPr>
                <w:p w14:paraId="55D55A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snapToGrid w:val="0"/>
                      <w:color w:val="auto"/>
                      <w:kern w:val="2"/>
                      <w:sz w:val="21"/>
                      <w:szCs w:val="21"/>
                      <w:lang w:val="en-US" w:eastAsia="zh-CN" w:bidi="ar-SA"/>
                    </w:rPr>
                  </w:pPr>
                  <w:r>
                    <w:rPr>
                      <w:rFonts w:hint="eastAsia" w:ascii="Times New Roman Regular" w:hAnsi="Times New Roman Regular" w:eastAsia="宋体" w:cs="Times New Roman Regular"/>
                      <w:b w:val="0"/>
                      <w:snapToGrid w:val="0"/>
                      <w:color w:val="auto"/>
                      <w:kern w:val="2"/>
                      <w:sz w:val="21"/>
                      <w:szCs w:val="21"/>
                      <w:lang w:val="en-US" w:eastAsia="zh-CN" w:bidi="ar-SA"/>
                    </w:rPr>
                    <w:t>1.25A</w:t>
                  </w:r>
                </w:p>
              </w:tc>
              <w:tc>
                <w:tcPr>
                  <w:tcW w:w="1571" w:type="pct"/>
                  <w:vMerge w:val="continue"/>
                  <w:tcBorders>
                    <w:tl2br w:val="nil"/>
                    <w:tr2bl w:val="nil"/>
                  </w:tcBorders>
                  <w:noWrap w:val="0"/>
                  <w:vAlign w:val="center"/>
                </w:tcPr>
                <w:p w14:paraId="5C7280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Regular" w:hAnsi="Times New Roman Regular" w:eastAsia="宋体" w:cs="Times New Roman Regular"/>
                      <w:b w:val="0"/>
                      <w:color w:val="auto"/>
                      <w:spacing w:val="4"/>
                      <w:kern w:val="2"/>
                      <w:sz w:val="21"/>
                      <w:szCs w:val="21"/>
                      <w:lang w:val="en-US" w:eastAsia="zh-CN" w:bidi="ar-SA"/>
                    </w:rPr>
                  </w:pPr>
                </w:p>
              </w:tc>
            </w:tr>
            <w:tr w14:paraId="1143C0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000" w:type="pct"/>
                  <w:gridSpan w:val="6"/>
                  <w:tcBorders>
                    <w:tl2br w:val="nil"/>
                    <w:tr2bl w:val="nil"/>
                  </w:tcBorders>
                  <w:noWrap w:val="0"/>
                  <w:vAlign w:val="center"/>
                </w:tcPr>
                <w:p w14:paraId="2BF4D36E">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snapToGrid w:val="0"/>
                      <w:color w:val="auto"/>
                      <w:szCs w:val="21"/>
                      <w:lang w:val="en-US" w:eastAsia="zh-CN"/>
                    </w:rPr>
                  </w:pPr>
                  <w:r>
                    <w:rPr>
                      <w:rFonts w:hint="eastAsia" w:ascii="Times New Roman" w:hAnsi="Times New Roman" w:eastAsia="宋体"/>
                      <w:snapToGrid w:val="0"/>
                      <w:color w:val="auto"/>
                      <w:szCs w:val="21"/>
                      <w:lang w:val="en-US" w:eastAsia="zh-CN"/>
                    </w:rPr>
                    <w:t>注：</w:t>
                  </w:r>
                  <w:r>
                    <w:rPr>
                      <w:rFonts w:hint="eastAsia" w:ascii="Times New Roman Regular" w:hAnsi="Times New Roman Regular" w:eastAsia="宋体" w:cs="Times New Roman Regular"/>
                      <w:b w:val="0"/>
                      <w:snapToGrid w:val="0"/>
                      <w:color w:val="auto"/>
                      <w:szCs w:val="21"/>
                      <w:lang w:val="en-US" w:eastAsia="zh-CN"/>
                    </w:rPr>
                    <w:t>上</w:t>
                  </w:r>
                  <w:r>
                    <w:rPr>
                      <w:rFonts w:hint="default" w:ascii="Times New Roman Regular" w:hAnsi="Times New Roman Regular" w:eastAsia="宋体" w:cs="Times New Roman Regular"/>
                      <w:b w:val="0"/>
                      <w:snapToGrid w:val="0"/>
                      <w:color w:val="auto"/>
                      <w:szCs w:val="21"/>
                      <w:lang w:val="en-US" w:eastAsia="zh-CN"/>
                    </w:rPr>
                    <w:t>表中二氧化硫的产污系数是以含硫量（S</w:t>
                  </w:r>
                  <w:r>
                    <w:rPr>
                      <w:rFonts w:hint="eastAsia" w:ascii="Times New Roman Regular" w:hAnsi="Times New Roman Regular" w:eastAsia="宋体" w:cs="Times New Roman Regular"/>
                      <w:b w:val="0"/>
                      <w:snapToGrid w:val="0"/>
                      <w:color w:val="auto"/>
                      <w:szCs w:val="21"/>
                      <w:lang w:val="en-US" w:eastAsia="zh-CN"/>
                    </w:rPr>
                    <w:t>%</w:t>
                  </w:r>
                  <w:r>
                    <w:rPr>
                      <w:rFonts w:hint="default" w:ascii="Times New Roman Regular" w:hAnsi="Times New Roman Regular" w:eastAsia="宋体" w:cs="Times New Roman Regular"/>
                      <w:b w:val="0"/>
                      <w:snapToGrid w:val="0"/>
                      <w:color w:val="auto"/>
                      <w:szCs w:val="21"/>
                      <w:lang w:val="en-US" w:eastAsia="zh-CN"/>
                    </w:rPr>
                    <w:t>）的形式表示的，其中含硫量是指</w:t>
                  </w:r>
                  <w:r>
                    <w:rPr>
                      <w:rFonts w:hint="eastAsia" w:ascii="Times New Roman Regular" w:hAnsi="Times New Roman Regular" w:eastAsia="宋体" w:cs="Times New Roman Regular"/>
                      <w:b w:val="0"/>
                      <w:snapToGrid w:val="0"/>
                      <w:color w:val="auto"/>
                      <w:szCs w:val="21"/>
                      <w:lang w:val="en-US" w:eastAsia="zh-CN"/>
                    </w:rPr>
                    <w:t>燃煤收到基硫分含量</w:t>
                  </w:r>
                  <w:r>
                    <w:rPr>
                      <w:rFonts w:hint="default" w:ascii="Times New Roman Regular" w:hAnsi="Times New Roman Regular" w:eastAsia="宋体" w:cs="Times New Roman Regular"/>
                      <w:b w:val="0"/>
                      <w:snapToGrid w:val="0"/>
                      <w:color w:val="auto"/>
                      <w:szCs w:val="21"/>
                      <w:lang w:val="en-US" w:eastAsia="zh-CN"/>
                    </w:rPr>
                    <w:t>，</w:t>
                  </w:r>
                  <w:r>
                    <w:rPr>
                      <w:rFonts w:hint="eastAsia" w:ascii="Times New Roman Regular" w:hAnsi="Times New Roman Regular" w:eastAsia="宋体" w:cs="Times New Roman Regular"/>
                      <w:b w:val="0"/>
                      <w:snapToGrid w:val="0"/>
                      <w:color w:val="auto"/>
                      <w:szCs w:val="21"/>
                      <w:lang w:val="en-US" w:eastAsia="zh-CN"/>
                    </w:rPr>
                    <w:t>以质量百分数的形式表示。颗粒物的产污系数是以含灰量（A%）的形式表示的，其中含灰量（A%）是指燃煤收到基灰分含量，以质量百分数的形式表示。本项目根据煤质化验检验报告取S%：0.25%、A%：6.5%。</w:t>
                  </w:r>
                </w:p>
              </w:tc>
            </w:tr>
          </w:tbl>
          <w:p w14:paraId="1D5F2FB7">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①颗粒物</w:t>
            </w:r>
          </w:p>
          <w:p w14:paraId="1910779B">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燃煤热风炉</w:t>
            </w:r>
            <w:r>
              <w:rPr>
                <w:rFonts w:hint="eastAsia" w:cs="Times New Roman"/>
                <w:color w:val="auto"/>
                <w:sz w:val="24"/>
                <w:szCs w:val="24"/>
                <w:highlight w:val="none"/>
                <w:lang w:val="en-US" w:eastAsia="zh-CN"/>
              </w:rPr>
              <w:t>颗粒物</w:t>
            </w:r>
          </w:p>
          <w:p w14:paraId="1031D28D">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color w:val="auto"/>
                <w:sz w:val="24"/>
                <w:szCs w:val="24"/>
                <w:highlight w:val="none"/>
                <w:lang w:val="en-US" w:eastAsia="zh-CN"/>
              </w:rPr>
              <w:t>E</w:t>
            </w:r>
            <w:r>
              <w:rPr>
                <w:rFonts w:hint="default" w:ascii="Times New Roman" w:hAnsi="Times New Roman" w:cs="Times New Roman"/>
                <w:color w:val="auto"/>
                <w:sz w:val="24"/>
                <w:szCs w:val="24"/>
                <w:highlight w:val="none"/>
                <w:vertAlign w:val="subscript"/>
                <w:lang w:val="en-US" w:eastAsia="zh-CN"/>
              </w:rPr>
              <w:t>j（颗粒物）</w:t>
            </w:r>
            <w:r>
              <w:rPr>
                <w:rFonts w:hint="default" w:ascii="Times New Roman" w:hAnsi="Times New Roman" w:cs="Times New Roman"/>
                <w:color w:val="auto"/>
                <w:sz w:val="24"/>
                <w:szCs w:val="24"/>
                <w:highlight w:val="none"/>
                <w:vertAlign w:val="baseline"/>
                <w:lang w:val="en-US" w:eastAsia="zh-CN"/>
              </w:rPr>
              <w:t>=3000×1.25×6.5×10</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vertAlign w:val="baseline"/>
                <w:lang w:val="en-US" w:eastAsia="zh-CN"/>
              </w:rPr>
              <w:t>=</w:t>
            </w:r>
            <w:r>
              <w:rPr>
                <w:rFonts w:hint="eastAsia" w:cs="Times New Roman"/>
                <w:color w:val="auto"/>
                <w:sz w:val="24"/>
                <w:szCs w:val="24"/>
                <w:highlight w:val="none"/>
                <w:vertAlign w:val="baseline"/>
                <w:lang w:val="en-US" w:eastAsia="zh-CN"/>
              </w:rPr>
              <w:t>24.4</w:t>
            </w:r>
            <w:r>
              <w:rPr>
                <w:rFonts w:hint="eastAsia" w:ascii="Times New Roman" w:hAnsi="Times New Roman" w:eastAsia="宋体" w:cs="Times New Roman"/>
                <w:b w:val="0"/>
                <w:bCs w:val="0"/>
                <w:color w:val="auto"/>
                <w:sz w:val="21"/>
                <w:szCs w:val="21"/>
                <w:vertAlign w:val="baseline"/>
                <w:lang w:val="en-US" w:eastAsia="zh-CN"/>
              </w:rPr>
              <w:t>（t/a）</w:t>
            </w:r>
          </w:p>
          <w:p w14:paraId="69ADC7B2">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经</w:t>
            </w:r>
            <w:r>
              <w:rPr>
                <w:rFonts w:hint="default" w:cs="Times New Roman"/>
                <w:color w:val="auto"/>
                <w:sz w:val="24"/>
                <w:szCs w:val="24"/>
                <w:highlight w:val="none"/>
                <w:lang w:val="en-US" w:eastAsia="zh-CN"/>
              </w:rPr>
              <w:t>喷雾干燥工序</w:t>
            </w:r>
            <w:r>
              <w:rPr>
                <w:rFonts w:hint="eastAsia" w:cs="Times New Roman"/>
                <w:color w:val="auto"/>
                <w:sz w:val="24"/>
                <w:szCs w:val="24"/>
                <w:highlight w:val="none"/>
                <w:lang w:val="en-US" w:eastAsia="zh-CN"/>
              </w:rPr>
              <w:t>粉尘收集装置进行吸收（效率99%），排放量为：</w:t>
            </w:r>
          </w:p>
          <w:p w14:paraId="3BC9F659">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24.4</w:t>
            </w:r>
            <w:r>
              <w:rPr>
                <w:rFonts w:hint="default" w:ascii="Times New Roman" w:hAnsi="Times New Roman" w:cs="Times New Roman"/>
                <w:color w:val="auto"/>
                <w:sz w:val="24"/>
                <w:szCs w:val="24"/>
                <w:highlight w:val="none"/>
                <w:vertAlign w:val="baseline"/>
                <w:lang w:val="en-US" w:eastAsia="zh-CN"/>
              </w:rPr>
              <w:t>×</w:t>
            </w:r>
            <w:r>
              <w:rPr>
                <w:rFonts w:hint="eastAsia"/>
                <w:color w:val="auto"/>
                <w:sz w:val="24"/>
                <w:lang w:val="en-US"/>
              </w:rPr>
              <w:t>（1-99%）</w:t>
            </w:r>
            <w:r>
              <w:rPr>
                <w:rFonts w:hint="eastAsia"/>
                <w:color w:val="auto"/>
                <w:sz w:val="24"/>
                <w:lang w:val="en-US" w:eastAsia="zh-CN"/>
              </w:rPr>
              <w:t>=0.244</w:t>
            </w:r>
            <w:r>
              <w:rPr>
                <w:rFonts w:hint="eastAsia" w:ascii="Times New Roman" w:hAnsi="Times New Roman" w:eastAsia="宋体" w:cs="Times New Roman"/>
                <w:b w:val="0"/>
                <w:bCs w:val="0"/>
                <w:color w:val="auto"/>
                <w:sz w:val="21"/>
                <w:szCs w:val="21"/>
                <w:vertAlign w:val="baseline"/>
                <w:lang w:val="en-US" w:eastAsia="zh-CN"/>
              </w:rPr>
              <w:t>（t/a）</w:t>
            </w:r>
          </w:p>
          <w:p w14:paraId="76DE6D2F">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根据上述计算得知，燃煤</w:t>
            </w:r>
            <w:r>
              <w:rPr>
                <w:rFonts w:hint="eastAsia" w:ascii="Times New Roman" w:hAnsi="Times New Roman" w:eastAsia="宋体" w:cs="Times New Roman"/>
                <w:color w:val="auto"/>
                <w:sz w:val="24"/>
                <w:szCs w:val="24"/>
                <w:highlight w:val="none"/>
                <w:lang w:val="en-US" w:eastAsia="zh-CN"/>
              </w:rPr>
              <w:t>热风炉</w:t>
            </w:r>
            <w:r>
              <w:rPr>
                <w:rFonts w:hint="eastAsia" w:cs="Times New Roman"/>
                <w:color w:val="auto"/>
                <w:sz w:val="24"/>
                <w:szCs w:val="24"/>
                <w:highlight w:val="none"/>
                <w:lang w:val="en-US" w:eastAsia="zh-CN"/>
              </w:rPr>
              <w:t>粉尘最终产生量为</w:t>
            </w:r>
            <w:r>
              <w:rPr>
                <w:rFonts w:hint="eastAsia" w:cs="Times New Roman"/>
                <w:color w:val="auto"/>
                <w:sz w:val="24"/>
                <w:szCs w:val="24"/>
                <w:highlight w:val="none"/>
                <w:vertAlign w:val="baseline"/>
                <w:lang w:val="en-US" w:eastAsia="zh-CN"/>
              </w:rPr>
              <w:t>0.244</w:t>
            </w:r>
            <w:r>
              <w:rPr>
                <w:rFonts w:hint="eastAsia" w:ascii="Times New Roman" w:hAnsi="Times New Roman" w:eastAsia="宋体" w:cs="Times New Roman"/>
                <w:b w:val="0"/>
                <w:bCs w:val="0"/>
                <w:color w:val="auto"/>
                <w:sz w:val="21"/>
                <w:szCs w:val="21"/>
                <w:vertAlign w:val="baseline"/>
                <w:lang w:val="en-US" w:eastAsia="zh-CN"/>
              </w:rPr>
              <w:t>t/a</w:t>
            </w:r>
            <w:r>
              <w:rPr>
                <w:rFonts w:hint="eastAsia" w:cs="Times New Roman"/>
                <w:b w:val="0"/>
                <w:bCs w:val="0"/>
                <w:color w:val="auto"/>
                <w:sz w:val="21"/>
                <w:szCs w:val="21"/>
                <w:vertAlign w:val="baseline"/>
                <w:lang w:val="en-US" w:eastAsia="zh-CN"/>
              </w:rPr>
              <w:t>。</w:t>
            </w:r>
          </w:p>
          <w:p w14:paraId="4DBE0638">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b.喷雾干燥颗粒物</w:t>
            </w:r>
          </w:p>
          <w:p w14:paraId="1FCE66F7">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根据《利用粉煤灰生产聚合氯化铝技改扩建项目环境影响报告书》中喷雾干燥产生的颗粒物计算方式如下：</w:t>
            </w:r>
          </w:p>
          <w:p w14:paraId="15872A16">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液体产品经喷雾干燥工序干燥后98%以上的固体成品物料在分离器下部进入集料仓，剩余不到2%的粉尘及少量盐酸雾</w:t>
            </w:r>
            <w:r>
              <w:rPr>
                <w:rFonts w:hint="eastAsia" w:cs="Times New Roman"/>
                <w:color w:val="auto"/>
                <w:sz w:val="24"/>
                <w:szCs w:val="24"/>
                <w:highlight w:val="none"/>
                <w:lang w:val="en-US" w:eastAsia="zh-CN"/>
              </w:rPr>
              <w:t>，经过粉尘收集装置（布袋除尘器）进行吸收（效率99%），喷雾干燥</w:t>
            </w:r>
            <w:r>
              <w:rPr>
                <w:rFonts w:hint="default" w:cs="Times New Roman"/>
                <w:color w:val="auto"/>
                <w:sz w:val="24"/>
                <w:szCs w:val="24"/>
                <w:highlight w:val="none"/>
                <w:lang w:val="en-US" w:eastAsia="zh-CN"/>
              </w:rPr>
              <w:t>粉尘产生量为</w:t>
            </w:r>
            <w:r>
              <w:rPr>
                <w:rFonts w:hint="eastAsia"/>
                <w:color w:val="auto"/>
                <w:sz w:val="24"/>
                <w:lang w:val="en-US"/>
              </w:rPr>
              <w:t>4.08</w:t>
            </w:r>
            <w:r>
              <w:rPr>
                <w:color w:val="auto"/>
                <w:sz w:val="24"/>
                <w:lang w:val="en-US"/>
              </w:rPr>
              <w:t xml:space="preserve"> t/a</w:t>
            </w:r>
            <w:r>
              <w:rPr>
                <w:rFonts w:hint="eastAsia"/>
                <w:color w:val="auto"/>
                <w:sz w:val="24"/>
                <w:lang w:val="en-US"/>
              </w:rPr>
              <w:t>。</w:t>
            </w:r>
          </w:p>
          <w:p w14:paraId="5BDA5F80">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本项目</w:t>
            </w:r>
            <w:r>
              <w:rPr>
                <w:rFonts w:hint="eastAsia" w:ascii="Times New Roman" w:hAnsi="Times New Roman" w:eastAsia="宋体" w:cs="Times New Roman"/>
                <w:color w:val="auto"/>
                <w:sz w:val="24"/>
                <w:szCs w:val="24"/>
                <w:highlight w:val="none"/>
                <w:lang w:val="en-US" w:eastAsia="zh-CN"/>
              </w:rPr>
              <w:t>燃煤热风炉</w:t>
            </w:r>
            <w:r>
              <w:rPr>
                <w:rFonts w:hint="eastAsia" w:cs="Times New Roman"/>
                <w:color w:val="auto"/>
                <w:sz w:val="24"/>
                <w:szCs w:val="24"/>
                <w:highlight w:val="none"/>
                <w:lang w:val="en-US" w:eastAsia="zh-CN"/>
              </w:rPr>
              <w:t>及喷雾干燥</w:t>
            </w:r>
            <w:r>
              <w:rPr>
                <w:rFonts w:hint="eastAsia" w:ascii="Times New Roman" w:hAnsi="Times New Roman" w:eastAsia="宋体" w:cs="Times New Roman"/>
                <w:color w:val="auto"/>
                <w:sz w:val="24"/>
                <w:szCs w:val="24"/>
                <w:highlight w:val="none"/>
                <w:lang w:val="en-US" w:eastAsia="zh-CN"/>
              </w:rPr>
              <w:t>产生的</w:t>
            </w:r>
            <w:r>
              <w:rPr>
                <w:rFonts w:hint="eastAsia" w:cs="Times New Roman"/>
                <w:color w:val="auto"/>
                <w:sz w:val="24"/>
                <w:szCs w:val="24"/>
                <w:highlight w:val="none"/>
                <w:lang w:val="en-US" w:eastAsia="zh-CN"/>
              </w:rPr>
              <w:t>颗粒物共4.324</w:t>
            </w:r>
            <w:r>
              <w:rPr>
                <w:rFonts w:hint="eastAsia" w:ascii="Times New Roman" w:hAnsi="Times New Roman" w:eastAsia="宋体" w:cs="Times New Roman"/>
                <w:b w:val="0"/>
                <w:bCs w:val="0"/>
                <w:color w:val="auto"/>
                <w:sz w:val="21"/>
                <w:szCs w:val="21"/>
                <w:vertAlign w:val="baseline"/>
                <w:lang w:val="en-US" w:eastAsia="zh-CN"/>
              </w:rPr>
              <w:t>t/a</w:t>
            </w:r>
            <w:r>
              <w:rPr>
                <w:rFonts w:hint="eastAsia" w:cs="Times New Roman"/>
                <w:b w:val="0"/>
                <w:bCs w:val="0"/>
                <w:color w:val="auto"/>
                <w:sz w:val="21"/>
                <w:szCs w:val="21"/>
                <w:vertAlign w:val="baseline"/>
                <w:lang w:val="en-US" w:eastAsia="zh-CN"/>
              </w:rPr>
              <w:t>，</w:t>
            </w:r>
            <w:r>
              <w:rPr>
                <w:rFonts w:hint="eastAsia" w:ascii="Times New Roman" w:hAnsi="Times New Roman" w:eastAsia="宋体" w:cs="Times New Roman"/>
                <w:color w:val="auto"/>
                <w:sz w:val="24"/>
                <w:szCs w:val="24"/>
                <w:highlight w:val="none"/>
                <w:lang w:val="en-US" w:eastAsia="zh-CN"/>
              </w:rPr>
              <w:t>产生浓度为</w:t>
            </w:r>
            <w:r>
              <w:rPr>
                <w:rFonts w:hint="eastAsia" w:cs="Times New Roman"/>
                <w:color w:val="auto"/>
                <w:sz w:val="24"/>
                <w:szCs w:val="24"/>
                <w:highlight w:val="none"/>
                <w:lang w:val="en-US" w:eastAsia="zh-CN"/>
              </w:rPr>
              <w:t>15</w:t>
            </w:r>
            <w:r>
              <w:rPr>
                <w:rFonts w:hint="eastAsia"/>
                <w:color w:val="auto"/>
                <w:sz w:val="24"/>
                <w:lang w:val="en-US"/>
              </w:rPr>
              <w:t>mg/m</w:t>
            </w:r>
            <w:r>
              <w:rPr>
                <w:rFonts w:hint="eastAsia"/>
                <w:color w:val="auto"/>
                <w:sz w:val="24"/>
                <w:vertAlign w:val="superscript"/>
                <w:lang w:val="en-US"/>
              </w:rPr>
              <w:t>3</w:t>
            </w:r>
            <w:r>
              <w:rPr>
                <w:rFonts w:hint="eastAsia"/>
                <w:color w:val="auto"/>
                <w:sz w:val="24"/>
                <w:lang w:val="en-US"/>
              </w:rPr>
              <w:t>，</w:t>
            </w:r>
            <w:r>
              <w:rPr>
                <w:rFonts w:hint="eastAsia" w:cs="Times New Roman"/>
                <w:color w:val="auto"/>
                <w:sz w:val="24"/>
                <w:szCs w:val="24"/>
                <w:highlight w:val="none"/>
                <w:lang w:val="en-US" w:eastAsia="zh-CN"/>
              </w:rPr>
              <w:t>首先经过粉尘收集装置（布袋除尘器）进行吸收（效率99%），再</w:t>
            </w:r>
            <w:r>
              <w:rPr>
                <w:rFonts w:hint="eastAsia" w:ascii="Times New Roman" w:hAnsi="Times New Roman" w:eastAsia="宋体" w:cs="Times New Roman"/>
                <w:color w:val="auto"/>
                <w:sz w:val="24"/>
                <w:szCs w:val="24"/>
                <w:highlight w:val="none"/>
                <w:lang w:val="en-US" w:eastAsia="zh-CN"/>
              </w:rPr>
              <w:t>经</w:t>
            </w:r>
            <w:r>
              <w:rPr>
                <w:rFonts w:hint="default" w:ascii="Times New Roman" w:hAnsi="Times New Roman" w:eastAsia="宋体" w:cs="Times New Roman"/>
                <w:color w:val="auto"/>
                <w:sz w:val="24"/>
                <w:szCs w:val="24"/>
                <w:highlight w:val="none"/>
                <w:lang w:val="en-US" w:eastAsia="zh-CN"/>
              </w:rPr>
              <w:t>三级吸收塔</w:t>
            </w:r>
            <w:r>
              <w:rPr>
                <w:rFonts w:hint="eastAsia"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级</w:t>
            </w:r>
            <w:r>
              <w:rPr>
                <w:rFonts w:hint="eastAsia" w:cs="Times New Roman"/>
                <w:color w:val="auto"/>
                <w:sz w:val="24"/>
                <w:szCs w:val="24"/>
                <w:highlight w:val="none"/>
                <w:lang w:val="en-US" w:eastAsia="zh-CN"/>
              </w:rPr>
              <w:t>水+1级</w:t>
            </w:r>
            <w:r>
              <w:rPr>
                <w:rFonts w:hint="eastAsia"/>
                <w:color w:val="auto"/>
                <w:sz w:val="24"/>
                <w:lang w:val="en-US"/>
              </w:rPr>
              <w:t>碱（除尘效率为99%）</w:t>
            </w:r>
            <w:r>
              <w:rPr>
                <w:rFonts w:hint="eastAsia" w:cs="Times New Roman"/>
                <w:color w:val="auto"/>
                <w:sz w:val="24"/>
                <w:szCs w:val="24"/>
                <w:highlight w:val="none"/>
                <w:lang w:val="en-US" w:eastAsia="zh-CN"/>
              </w:rPr>
              <w:t>处理后，</w:t>
            </w:r>
            <w:r>
              <w:rPr>
                <w:rFonts w:hint="default" w:ascii="Times New Roman" w:hAnsi="Times New Roman" w:eastAsia="宋体" w:cs="Times New Roman"/>
                <w:color w:val="auto"/>
                <w:sz w:val="24"/>
                <w:szCs w:val="24"/>
                <w:highlight w:val="none"/>
                <w:lang w:val="en-US" w:eastAsia="zh-CN"/>
              </w:rPr>
              <w:t>由</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2m高、内径为1.6m的排气筒排放</w:t>
            </w:r>
            <w:r>
              <w:rPr>
                <w:rFonts w:hint="eastAsia" w:cs="Times New Roman"/>
                <w:color w:val="auto"/>
                <w:sz w:val="24"/>
                <w:szCs w:val="24"/>
                <w:highlight w:val="none"/>
                <w:lang w:val="en-US" w:eastAsia="zh-CN"/>
              </w:rPr>
              <w:t>。</w:t>
            </w:r>
          </w:p>
          <w:p w14:paraId="281735EA">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cs="Times New Roman"/>
                <w:color w:val="auto"/>
                <w:sz w:val="24"/>
                <w:szCs w:val="24"/>
                <w:highlight w:val="none"/>
                <w:lang w:val="en-US" w:eastAsia="zh-CN"/>
              </w:rPr>
              <w:t>总颗粒物排放</w:t>
            </w:r>
            <w:r>
              <w:rPr>
                <w:rFonts w:hint="eastAsia"/>
                <w:color w:val="auto"/>
                <w:sz w:val="24"/>
                <w:lang w:val="en-US"/>
              </w:rPr>
              <w:t>量</w:t>
            </w:r>
            <w:r>
              <w:rPr>
                <w:color w:val="auto"/>
                <w:sz w:val="24"/>
                <w:lang w:val="en-US"/>
              </w:rPr>
              <w:t>=</w:t>
            </w:r>
            <w:r>
              <w:rPr>
                <w:rFonts w:hint="eastAsia"/>
                <w:color w:val="auto"/>
                <w:sz w:val="24"/>
                <w:lang w:val="en-US"/>
              </w:rPr>
              <w:t>（</w:t>
            </w:r>
            <w:r>
              <w:rPr>
                <w:rFonts w:hint="eastAsia"/>
                <w:color w:val="auto"/>
                <w:sz w:val="24"/>
                <w:lang w:val="en-US" w:eastAsia="zh-CN"/>
              </w:rPr>
              <w:t>0.244</w:t>
            </w:r>
            <w:r>
              <w:rPr>
                <w:rFonts w:hint="eastAsia"/>
                <w:color w:val="auto"/>
                <w:sz w:val="24"/>
                <w:lang w:val="en-US"/>
              </w:rPr>
              <w:t>+4.08）</w:t>
            </w:r>
            <w:r>
              <w:rPr>
                <w:color w:val="auto"/>
                <w:sz w:val="24"/>
                <w:lang w:val="en-US"/>
              </w:rPr>
              <w:t>×</w:t>
            </w:r>
            <w:r>
              <w:rPr>
                <w:rFonts w:hint="eastAsia"/>
                <w:color w:val="auto"/>
                <w:sz w:val="24"/>
                <w:lang w:val="en-US"/>
              </w:rPr>
              <w:t>（1-99%）</w:t>
            </w:r>
            <w:r>
              <w:rPr>
                <w:color w:val="auto"/>
                <w:sz w:val="24"/>
                <w:lang w:val="en-US"/>
              </w:rPr>
              <w:t>=</w:t>
            </w:r>
            <w:r>
              <w:rPr>
                <w:rFonts w:hint="eastAsia"/>
                <w:color w:val="auto"/>
                <w:sz w:val="24"/>
                <w:lang w:val="en-US" w:eastAsia="zh-CN"/>
              </w:rPr>
              <w:t>0.043</w:t>
            </w:r>
            <w:r>
              <w:rPr>
                <w:rFonts w:hint="eastAsia"/>
                <w:color w:val="auto"/>
                <w:szCs w:val="21"/>
                <w:lang w:val="en-US"/>
              </w:rPr>
              <w:t>（t/a）</w:t>
            </w:r>
          </w:p>
          <w:p w14:paraId="04EA060C">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vertAlign w:val="baseline"/>
                <w:lang w:val="en-US" w:eastAsia="zh-CN"/>
              </w:rPr>
            </w:pPr>
            <w:r>
              <w:rPr>
                <w:rFonts w:hint="eastAsia" w:cs="Times New Roman"/>
                <w:color w:val="auto"/>
                <w:sz w:val="24"/>
                <w:szCs w:val="24"/>
                <w:highlight w:val="none"/>
                <w:lang w:val="en-US" w:eastAsia="zh-CN"/>
              </w:rPr>
              <w:t>根据上述计算结果得知，本项目颗粒物排放量为</w:t>
            </w:r>
            <w:r>
              <w:rPr>
                <w:rFonts w:hint="eastAsia"/>
                <w:color w:val="auto"/>
                <w:sz w:val="24"/>
                <w:lang w:val="en-US" w:eastAsia="zh-CN"/>
              </w:rPr>
              <w:t>0.043</w:t>
            </w:r>
            <w:r>
              <w:rPr>
                <w:rFonts w:hint="eastAsia" w:cs="Times New Roman"/>
                <w:color w:val="auto"/>
                <w:sz w:val="24"/>
                <w:szCs w:val="24"/>
                <w:highlight w:val="none"/>
                <w:lang w:val="en-US" w:eastAsia="zh-CN"/>
              </w:rPr>
              <w:t>t/a，排放速率为0.006kg/h</w:t>
            </w:r>
            <w:r>
              <w:rPr>
                <w:rFonts w:hint="eastAsia"/>
                <w:color w:val="auto"/>
                <w:sz w:val="24"/>
                <w:lang w:val="en-US"/>
              </w:rPr>
              <w:t>，排放浓度为0.</w:t>
            </w:r>
            <w:r>
              <w:rPr>
                <w:rFonts w:hint="eastAsia"/>
                <w:color w:val="auto"/>
                <w:sz w:val="24"/>
                <w:lang w:val="en-US" w:eastAsia="zh-CN"/>
              </w:rPr>
              <w:t>15</w:t>
            </w:r>
            <w:r>
              <w:rPr>
                <w:rFonts w:hint="eastAsia"/>
                <w:color w:val="auto"/>
                <w:sz w:val="24"/>
                <w:lang w:val="en-US"/>
              </w:rPr>
              <w:t>mg/m</w:t>
            </w:r>
            <w:r>
              <w:rPr>
                <w:rFonts w:hint="eastAsia"/>
                <w:color w:val="auto"/>
                <w:sz w:val="24"/>
                <w:vertAlign w:val="superscript"/>
                <w:lang w:val="en-US"/>
              </w:rPr>
              <w:t>3</w:t>
            </w:r>
            <w:r>
              <w:rPr>
                <w:rFonts w:hint="eastAsia"/>
                <w:color w:val="auto"/>
                <w:sz w:val="24"/>
                <w:lang w:val="en-US"/>
              </w:rPr>
              <w:t>，</w:t>
            </w:r>
            <w:r>
              <w:rPr>
                <w:rFonts w:hint="eastAsia" w:cs="Times New Roman"/>
                <w:color w:val="auto"/>
                <w:sz w:val="24"/>
                <w:szCs w:val="24"/>
                <w:highlight w:val="none"/>
                <w:vertAlign w:val="baseline"/>
                <w:lang w:val="en-US" w:eastAsia="zh-CN"/>
              </w:rPr>
              <w:t>满足《无机化学工业污染物排放标准》及修改单（GB 31573-2015）表4大气污染物特别排放限值10</w:t>
            </w:r>
            <w:r>
              <w:rPr>
                <w:rFonts w:hint="eastAsia" w:cs="Times New Roman"/>
                <w:color w:val="auto"/>
                <w:sz w:val="24"/>
                <w:szCs w:val="24"/>
                <w:highlight w:val="none"/>
                <w:lang w:val="en-US" w:eastAsia="zh-CN"/>
              </w:rPr>
              <w:t>mg/m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vertAlign w:val="baseline"/>
                <w:lang w:val="en-US" w:eastAsia="zh-CN"/>
              </w:rPr>
              <w:t>。</w:t>
            </w:r>
          </w:p>
          <w:p w14:paraId="0BC30E68">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③二氧化硫</w:t>
            </w:r>
          </w:p>
          <w:p w14:paraId="39413F26">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E</w:t>
            </w:r>
            <w:r>
              <w:rPr>
                <w:rFonts w:hint="default" w:ascii="Times New Roman" w:hAnsi="Times New Roman" w:cs="Times New Roman"/>
                <w:color w:val="auto"/>
                <w:sz w:val="24"/>
                <w:szCs w:val="24"/>
                <w:highlight w:val="none"/>
                <w:vertAlign w:val="subscript"/>
                <w:lang w:val="en-US" w:eastAsia="zh-CN"/>
              </w:rPr>
              <w:t>j（</w:t>
            </w:r>
            <w:r>
              <w:rPr>
                <w:rFonts w:hint="eastAsia" w:ascii="Times New Roman" w:hAnsi="Times New Roman" w:cs="Times New Roman"/>
                <w:color w:val="auto"/>
                <w:sz w:val="24"/>
                <w:szCs w:val="24"/>
                <w:highlight w:val="none"/>
                <w:vertAlign w:val="subscript"/>
                <w:lang w:val="en-US" w:eastAsia="zh-CN"/>
              </w:rPr>
              <w:t>二氧化硫</w:t>
            </w:r>
            <w:r>
              <w:rPr>
                <w:rFonts w:hint="default" w:ascii="Times New Roman" w:hAnsi="Times New Roman" w:cs="Times New Roman"/>
                <w:color w:val="auto"/>
                <w:sz w:val="24"/>
                <w:szCs w:val="24"/>
                <w:highlight w:val="none"/>
                <w:vertAlign w:val="subscript"/>
                <w:lang w:val="en-US" w:eastAsia="zh-CN"/>
              </w:rPr>
              <w:t>）</w:t>
            </w:r>
            <w:r>
              <w:rPr>
                <w:rFonts w:hint="default" w:ascii="Times New Roman" w:hAnsi="Times New Roman" w:cs="Times New Roman"/>
                <w:color w:val="auto"/>
                <w:sz w:val="24"/>
                <w:szCs w:val="24"/>
                <w:highlight w:val="none"/>
                <w:vertAlign w:val="baseline"/>
                <w:lang w:val="en-US" w:eastAsia="zh-CN"/>
              </w:rPr>
              <w:t>=3000×</w:t>
            </w:r>
            <w:r>
              <w:rPr>
                <w:rFonts w:hint="eastAsia" w:ascii="Times New Roman" w:hAnsi="Times New Roman" w:cs="Times New Roman"/>
                <w:color w:val="auto"/>
                <w:sz w:val="24"/>
                <w:szCs w:val="24"/>
                <w:highlight w:val="none"/>
                <w:vertAlign w:val="baseline"/>
                <w:lang w:val="en-US" w:eastAsia="zh-CN"/>
              </w:rPr>
              <w:t>16</w:t>
            </w:r>
            <w:r>
              <w:rPr>
                <w:rFonts w:hint="default" w:ascii="Times New Roman" w:hAnsi="Times New Roman" w:cs="Times New Roman"/>
                <w:color w:val="auto"/>
                <w:sz w:val="24"/>
                <w:szCs w:val="24"/>
                <w:highlight w:val="none"/>
                <w:vertAlign w:val="baseline"/>
                <w:lang w:val="en-US" w:eastAsia="zh-CN"/>
              </w:rPr>
              <w:t>×</w:t>
            </w:r>
            <w:r>
              <w:rPr>
                <w:rFonts w:hint="eastAsia" w:ascii="Times New Roman" w:hAnsi="Times New Roman" w:cs="Times New Roman"/>
                <w:color w:val="auto"/>
                <w:sz w:val="24"/>
                <w:szCs w:val="24"/>
                <w:highlight w:val="none"/>
                <w:vertAlign w:val="baseline"/>
                <w:lang w:val="en-US" w:eastAsia="zh-CN"/>
              </w:rPr>
              <w:t>0.25</w:t>
            </w:r>
            <w:r>
              <w:rPr>
                <w:rFonts w:hint="default" w:ascii="Times New Roman" w:hAnsi="Times New Roman" w:cs="Times New Roman"/>
                <w:color w:val="auto"/>
                <w:sz w:val="24"/>
                <w:szCs w:val="24"/>
                <w:highlight w:val="none"/>
                <w:vertAlign w:val="baseline"/>
                <w:lang w:val="en-US" w:eastAsia="zh-CN"/>
              </w:rPr>
              <w:t>×</w:t>
            </w:r>
            <w:r>
              <w:rPr>
                <w:rFonts w:hint="eastAsia"/>
                <w:color w:val="auto"/>
                <w:sz w:val="24"/>
                <w:lang w:val="en-US"/>
              </w:rPr>
              <w:t>（1-90%）</w:t>
            </w:r>
            <w:r>
              <w:rPr>
                <w:rFonts w:hint="default" w:ascii="Times New Roman" w:hAnsi="Times New Roman" w:cs="Times New Roman"/>
                <w:color w:val="auto"/>
                <w:sz w:val="24"/>
                <w:szCs w:val="24"/>
                <w:highlight w:val="none"/>
                <w:vertAlign w:val="baseline"/>
                <w:lang w:val="en-US" w:eastAsia="zh-CN"/>
              </w:rPr>
              <w:t>×10</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vertAlign w:val="baseline"/>
                <w:lang w:val="en-US" w:eastAsia="zh-CN"/>
              </w:rPr>
              <w:t>=</w:t>
            </w:r>
            <w:r>
              <w:rPr>
                <w:rFonts w:hint="eastAsia" w:ascii="Times New Roman" w:hAnsi="Times New Roman" w:cs="Times New Roman"/>
                <w:color w:val="auto"/>
                <w:sz w:val="24"/>
                <w:szCs w:val="24"/>
                <w:highlight w:val="none"/>
                <w:vertAlign w:val="baseline"/>
                <w:lang w:val="en-US" w:eastAsia="zh-CN"/>
              </w:rPr>
              <w:t>1.2</w:t>
            </w:r>
            <w:r>
              <w:rPr>
                <w:rFonts w:hint="eastAsia" w:ascii="Times New Roman" w:hAnsi="Times New Roman" w:eastAsia="宋体" w:cs="Times New Roman"/>
                <w:b w:val="0"/>
                <w:bCs w:val="0"/>
                <w:color w:val="auto"/>
                <w:sz w:val="21"/>
                <w:szCs w:val="21"/>
                <w:vertAlign w:val="baseline"/>
                <w:lang w:val="en-US" w:eastAsia="zh-CN"/>
              </w:rPr>
              <w:t>（t/a）</w:t>
            </w:r>
          </w:p>
          <w:p w14:paraId="41BEB7B6">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燃煤热风炉二氧化硫产生量为12t/a，</w:t>
            </w:r>
            <w:r>
              <w:rPr>
                <w:rFonts w:hint="eastAsia" w:ascii="Times New Roman" w:hAnsi="Times New Roman" w:eastAsia="宋体" w:cs="Times New Roman"/>
                <w:color w:val="auto"/>
                <w:sz w:val="24"/>
                <w:szCs w:val="24"/>
                <w:highlight w:val="none"/>
                <w:lang w:val="en-US" w:eastAsia="zh-CN"/>
              </w:rPr>
              <w:t>产生浓度为41.67</w:t>
            </w:r>
            <w:r>
              <w:rPr>
                <w:rFonts w:hint="eastAsia"/>
                <w:color w:val="auto"/>
                <w:sz w:val="24"/>
                <w:lang w:val="en-US"/>
              </w:rPr>
              <w:t>mg/m</w:t>
            </w:r>
            <w:r>
              <w:rPr>
                <w:rFonts w:hint="eastAsia"/>
                <w:color w:val="auto"/>
                <w:sz w:val="24"/>
                <w:vertAlign w:val="superscript"/>
                <w:lang w:val="en-US"/>
              </w:rPr>
              <w:t>3</w:t>
            </w:r>
            <w:r>
              <w:rPr>
                <w:rFonts w:hint="eastAsia"/>
                <w:color w:val="auto"/>
                <w:sz w:val="24"/>
                <w:lang w:val="en-US"/>
              </w:rPr>
              <w:t>，</w:t>
            </w:r>
            <w:r>
              <w:rPr>
                <w:rFonts w:hint="eastAsia" w:ascii="Times New Roman" w:hAnsi="Times New Roman" w:eastAsia="宋体" w:cs="Times New Roman"/>
                <w:color w:val="auto"/>
                <w:sz w:val="24"/>
                <w:szCs w:val="24"/>
                <w:highlight w:val="none"/>
                <w:lang w:val="en-US" w:eastAsia="zh-CN"/>
              </w:rPr>
              <w:t>经</w:t>
            </w:r>
            <w:r>
              <w:rPr>
                <w:rFonts w:hint="default" w:ascii="Times New Roman" w:hAnsi="Times New Roman" w:eastAsia="宋体" w:cs="Times New Roman"/>
                <w:color w:val="auto"/>
                <w:sz w:val="24"/>
                <w:szCs w:val="24"/>
                <w:highlight w:val="none"/>
                <w:lang w:val="en-US" w:eastAsia="zh-CN"/>
              </w:rPr>
              <w:t>三级吸收塔</w:t>
            </w:r>
            <w:r>
              <w:rPr>
                <w:rFonts w:hint="eastAsia"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级</w:t>
            </w:r>
            <w:r>
              <w:rPr>
                <w:rFonts w:hint="eastAsia" w:cs="Times New Roman"/>
                <w:color w:val="auto"/>
                <w:sz w:val="24"/>
                <w:szCs w:val="24"/>
                <w:highlight w:val="none"/>
                <w:lang w:val="en-US" w:eastAsia="zh-CN"/>
              </w:rPr>
              <w:t>水+1级</w:t>
            </w:r>
            <w:r>
              <w:rPr>
                <w:rFonts w:hint="eastAsia" w:ascii="Times New Roman" w:hAnsi="Times New Roman" w:eastAsia="宋体" w:cs="Times New Roman"/>
                <w:color w:val="auto"/>
                <w:sz w:val="24"/>
                <w:szCs w:val="24"/>
                <w:highlight w:val="none"/>
                <w:vertAlign w:val="baseline"/>
                <w:lang w:val="en-US" w:eastAsia="zh-CN"/>
              </w:rPr>
              <w:t>碱（脱硫效率90%）处理</w:t>
            </w:r>
            <w:r>
              <w:rPr>
                <w:rFonts w:hint="eastAsia" w:cs="Times New Roman"/>
                <w:color w:val="auto"/>
                <w:sz w:val="24"/>
                <w:szCs w:val="24"/>
                <w:highlight w:val="none"/>
                <w:lang w:val="en-US" w:eastAsia="zh-CN"/>
              </w:rPr>
              <w:t>后，</w:t>
            </w:r>
            <w:r>
              <w:rPr>
                <w:rFonts w:hint="default" w:ascii="Times New Roman" w:hAnsi="Times New Roman" w:eastAsia="宋体" w:cs="Times New Roman"/>
                <w:color w:val="auto"/>
                <w:sz w:val="24"/>
                <w:szCs w:val="24"/>
                <w:highlight w:val="none"/>
                <w:lang w:val="en-US" w:eastAsia="zh-CN"/>
              </w:rPr>
              <w:t>由</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2m高、内径为1.6m的排气筒排放</w:t>
            </w:r>
            <w:r>
              <w:rPr>
                <w:rFonts w:hint="eastAsia" w:cs="Times New Roman"/>
                <w:color w:val="auto"/>
                <w:sz w:val="24"/>
                <w:szCs w:val="24"/>
                <w:highlight w:val="none"/>
                <w:lang w:val="en-US" w:eastAsia="zh-CN"/>
              </w:rPr>
              <w:t>。燃煤热风炉二氧化硫年排放量为1.2t/a，排放速率为0.17kg/h，排放浓度为4.25mg/m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vertAlign w:val="baseline"/>
                <w:lang w:val="en-US" w:eastAsia="zh-CN"/>
              </w:rPr>
              <w:t>，满足《无机化学工业污染物排放标准》及修改单（GB 31573-2015）表4大气污染物特别排放限值100</w:t>
            </w:r>
            <w:r>
              <w:rPr>
                <w:rFonts w:hint="eastAsia" w:cs="Times New Roman"/>
                <w:color w:val="auto"/>
                <w:sz w:val="24"/>
                <w:szCs w:val="24"/>
                <w:highlight w:val="none"/>
                <w:lang w:val="en-US" w:eastAsia="zh-CN"/>
              </w:rPr>
              <w:t>mg/m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vertAlign w:val="baseline"/>
                <w:lang w:val="en-US" w:eastAsia="zh-CN"/>
              </w:rPr>
              <w:t>。</w:t>
            </w:r>
          </w:p>
          <w:p w14:paraId="7001A978">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③氮氧化物</w:t>
            </w:r>
          </w:p>
          <w:p w14:paraId="63D846CF">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E</w:t>
            </w:r>
            <w:r>
              <w:rPr>
                <w:rFonts w:hint="default" w:ascii="Times New Roman" w:hAnsi="Times New Roman" w:cs="Times New Roman"/>
                <w:color w:val="auto"/>
                <w:sz w:val="24"/>
                <w:szCs w:val="24"/>
                <w:highlight w:val="none"/>
                <w:vertAlign w:val="subscript"/>
                <w:lang w:val="en-US" w:eastAsia="zh-CN"/>
              </w:rPr>
              <w:t>j（氮氧化物）</w:t>
            </w:r>
            <w:r>
              <w:rPr>
                <w:rFonts w:hint="default" w:ascii="Times New Roman" w:hAnsi="Times New Roman" w:cs="Times New Roman"/>
                <w:color w:val="auto"/>
                <w:sz w:val="24"/>
                <w:szCs w:val="24"/>
                <w:highlight w:val="none"/>
                <w:vertAlign w:val="baseline"/>
                <w:lang w:val="en-US" w:eastAsia="zh-CN"/>
              </w:rPr>
              <w:t>=3000</w:t>
            </w:r>
            <w:r>
              <w:rPr>
                <w:color w:val="auto"/>
                <w:sz w:val="24"/>
                <w:lang w:val="en-US"/>
              </w:rPr>
              <w:t>×</w:t>
            </w:r>
            <w:r>
              <w:rPr>
                <w:rFonts w:hint="eastAsia"/>
                <w:color w:val="auto"/>
                <w:sz w:val="24"/>
                <w:lang w:val="en-US"/>
              </w:rPr>
              <w:t>2.06</w:t>
            </w:r>
            <w:r>
              <w:rPr>
                <w:color w:val="auto"/>
                <w:sz w:val="24"/>
                <w:lang w:val="en-US"/>
              </w:rPr>
              <w:t>×</w:t>
            </w:r>
            <w:r>
              <w:rPr>
                <w:rFonts w:hint="eastAsia" w:ascii="Times New Roman" w:hAnsi="Times New Roman" w:cs="Times New Roman"/>
                <w:color w:val="auto"/>
                <w:sz w:val="24"/>
                <w:szCs w:val="24"/>
                <w:highlight w:val="none"/>
                <w:vertAlign w:val="baseline"/>
                <w:lang w:val="en-US" w:eastAsia="zh-CN"/>
              </w:rPr>
              <w:t>（1-30%）</w:t>
            </w:r>
            <w:r>
              <w:rPr>
                <w:rFonts w:hint="default" w:ascii="Times New Roman" w:hAnsi="Times New Roman" w:cs="Times New Roman"/>
                <w:color w:val="auto"/>
                <w:sz w:val="24"/>
                <w:szCs w:val="24"/>
                <w:highlight w:val="none"/>
                <w:vertAlign w:val="baseline"/>
                <w:lang w:val="en-US" w:eastAsia="zh-CN"/>
              </w:rPr>
              <w:t>×10</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vertAlign w:val="baseline"/>
                <w:lang w:val="en-US" w:eastAsia="zh-CN"/>
              </w:rPr>
              <w:t>=</w:t>
            </w:r>
            <w:r>
              <w:rPr>
                <w:rFonts w:hint="eastAsia" w:ascii="Times New Roman" w:hAnsi="Times New Roman" w:cs="Times New Roman"/>
                <w:color w:val="auto"/>
                <w:sz w:val="24"/>
                <w:szCs w:val="24"/>
                <w:highlight w:val="none"/>
                <w:vertAlign w:val="baseline"/>
                <w:lang w:val="en-US" w:eastAsia="zh-CN"/>
              </w:rPr>
              <w:t>4.3</w:t>
            </w:r>
            <w:r>
              <w:rPr>
                <w:rFonts w:hint="eastAsia" w:ascii="Times New Roman" w:hAnsi="Times New Roman" w:eastAsia="宋体" w:cs="Times New Roman"/>
                <w:b w:val="0"/>
                <w:bCs w:val="0"/>
                <w:color w:val="auto"/>
                <w:sz w:val="21"/>
                <w:szCs w:val="21"/>
                <w:vertAlign w:val="baseline"/>
                <w:lang w:val="en-US" w:eastAsia="zh-CN"/>
              </w:rPr>
              <w:t>（t/a）</w:t>
            </w:r>
          </w:p>
          <w:p w14:paraId="260883B9">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燃煤热风炉烟气经低氮燃烧后氮氧化物产生量为6.18t/a，</w:t>
            </w:r>
            <w:r>
              <w:rPr>
                <w:rFonts w:hint="eastAsia" w:ascii="Times New Roman" w:hAnsi="Times New Roman" w:eastAsia="宋体" w:cs="Times New Roman"/>
                <w:color w:val="auto"/>
                <w:sz w:val="24"/>
                <w:szCs w:val="24"/>
                <w:highlight w:val="none"/>
                <w:lang w:val="en-US" w:eastAsia="zh-CN"/>
              </w:rPr>
              <w:t>产生浓度为21.46</w:t>
            </w:r>
            <w:r>
              <w:rPr>
                <w:rFonts w:hint="eastAsia"/>
                <w:color w:val="auto"/>
                <w:sz w:val="24"/>
                <w:lang w:val="en-US"/>
              </w:rPr>
              <w:t>mg/m</w:t>
            </w:r>
            <w:r>
              <w:rPr>
                <w:rFonts w:hint="eastAsia"/>
                <w:color w:val="auto"/>
                <w:sz w:val="24"/>
                <w:vertAlign w:val="superscript"/>
                <w:lang w:val="en-US"/>
              </w:rPr>
              <w:t>3</w:t>
            </w:r>
            <w:r>
              <w:rPr>
                <w:rFonts w:hint="eastAsia"/>
                <w:color w:val="auto"/>
                <w:sz w:val="24"/>
                <w:lang w:val="en-US"/>
              </w:rPr>
              <w:t>，</w:t>
            </w:r>
            <w:r>
              <w:rPr>
                <w:rFonts w:hint="eastAsia" w:ascii="Times New Roman" w:hAnsi="Times New Roman" w:eastAsia="宋体" w:cs="Times New Roman"/>
                <w:color w:val="auto"/>
                <w:sz w:val="24"/>
                <w:szCs w:val="24"/>
                <w:highlight w:val="none"/>
                <w:lang w:val="en-US" w:eastAsia="zh-CN"/>
              </w:rPr>
              <w:t>经</w:t>
            </w:r>
            <w:r>
              <w:rPr>
                <w:rFonts w:hint="default" w:ascii="Times New Roman" w:hAnsi="Times New Roman" w:eastAsia="宋体" w:cs="Times New Roman"/>
                <w:color w:val="auto"/>
                <w:sz w:val="24"/>
                <w:szCs w:val="24"/>
                <w:highlight w:val="none"/>
                <w:lang w:val="en-US" w:eastAsia="zh-CN"/>
              </w:rPr>
              <w:t>SNCR</w:t>
            </w:r>
            <w:r>
              <w:rPr>
                <w:rFonts w:hint="eastAsia" w:ascii="Times New Roman" w:hAnsi="Times New Roman" w:eastAsia="宋体" w:cs="Times New Roman"/>
                <w:color w:val="auto"/>
                <w:sz w:val="24"/>
                <w:szCs w:val="24"/>
                <w:highlight w:val="none"/>
                <w:vertAlign w:val="baseline"/>
                <w:lang w:val="en-US" w:eastAsia="zh-CN"/>
              </w:rPr>
              <w:t>处理</w:t>
            </w:r>
            <w:r>
              <w:rPr>
                <w:rFonts w:hint="eastAsia" w:cs="Times New Roman"/>
                <w:color w:val="auto"/>
                <w:sz w:val="24"/>
                <w:szCs w:val="24"/>
                <w:highlight w:val="none"/>
                <w:lang w:val="en-US" w:eastAsia="zh-CN"/>
              </w:rPr>
              <w:t>后，</w:t>
            </w:r>
            <w:r>
              <w:rPr>
                <w:rFonts w:hint="default" w:ascii="Times New Roman" w:hAnsi="Times New Roman" w:eastAsia="宋体" w:cs="Times New Roman"/>
                <w:color w:val="auto"/>
                <w:sz w:val="24"/>
                <w:szCs w:val="24"/>
                <w:highlight w:val="none"/>
                <w:lang w:val="en-US" w:eastAsia="zh-CN"/>
              </w:rPr>
              <w:t>由三级吸收塔</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2m高、内径为1.6m的排气筒排放</w:t>
            </w:r>
            <w:r>
              <w:rPr>
                <w:rFonts w:hint="eastAsia" w:cs="Times New Roman"/>
                <w:color w:val="auto"/>
                <w:sz w:val="24"/>
                <w:szCs w:val="24"/>
                <w:highlight w:val="none"/>
                <w:lang w:val="en-US" w:eastAsia="zh-CN"/>
              </w:rPr>
              <w:t>。燃煤热风炉氮氧化物年排放量为4.3t/a，排放速率为0.6kg/h，排放浓度为15mg/m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vertAlign w:val="baseline"/>
                <w:lang w:val="en-US" w:eastAsia="zh-CN"/>
              </w:rPr>
              <w:t>，满足《无机化学工业污染物排放标准》及修改单（GB 31573-2015）表4大气污染物特别排放限值100</w:t>
            </w:r>
            <w:r>
              <w:rPr>
                <w:rFonts w:hint="eastAsia" w:cs="Times New Roman"/>
                <w:color w:val="auto"/>
                <w:sz w:val="24"/>
                <w:szCs w:val="24"/>
                <w:highlight w:val="none"/>
                <w:lang w:val="en-US" w:eastAsia="zh-CN"/>
              </w:rPr>
              <w:t>mg/m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vertAlign w:val="baseline"/>
                <w:lang w:val="en-US" w:eastAsia="zh-CN"/>
              </w:rPr>
              <w:t>。</w:t>
            </w:r>
          </w:p>
          <w:p w14:paraId="6C16295A">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④喷雾干燥HCl</w:t>
            </w:r>
          </w:p>
          <w:p w14:paraId="45032E78">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根据《利用粉煤灰生产聚合氯化铝技改扩建项目环境影响报告书》中喷雾干燥HCl排放情况如下：</w:t>
            </w:r>
          </w:p>
          <w:p w14:paraId="616B794F">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液体产品经喷雾干燥工序干燥后98%以上的固体成品物料在分离器下部进入集料仓，剩余不到2%的粉尘及少量盐酸雾</w:t>
            </w:r>
            <w:r>
              <w:rPr>
                <w:rFonts w:hint="eastAsia" w:cs="Times New Roman"/>
                <w:color w:val="auto"/>
                <w:sz w:val="24"/>
                <w:szCs w:val="24"/>
                <w:highlight w:val="none"/>
                <w:lang w:val="en-US" w:eastAsia="zh-CN"/>
              </w:rPr>
              <w:t>，首先经过粉尘收集装置（布袋除尘器）进行吸收（效率99%），</w:t>
            </w:r>
            <w:r>
              <w:rPr>
                <w:rFonts w:hint="default" w:cs="Times New Roman"/>
                <w:color w:val="auto"/>
                <w:sz w:val="24"/>
                <w:szCs w:val="24"/>
                <w:highlight w:val="none"/>
                <w:lang w:val="en-US" w:eastAsia="zh-CN"/>
              </w:rPr>
              <w:t>盐酸雾</w:t>
            </w:r>
            <w:r>
              <w:rPr>
                <w:rFonts w:hint="eastAsia" w:cs="Times New Roman"/>
                <w:color w:val="auto"/>
                <w:sz w:val="24"/>
                <w:szCs w:val="24"/>
                <w:highlight w:val="none"/>
                <w:lang w:val="en-US" w:eastAsia="zh-CN"/>
              </w:rPr>
              <w:t>产生量</w:t>
            </w:r>
            <w:r>
              <w:rPr>
                <w:rFonts w:hint="default" w:cs="Times New Roman"/>
                <w:color w:val="auto"/>
                <w:sz w:val="24"/>
                <w:szCs w:val="24"/>
                <w:highlight w:val="none"/>
                <w:lang w:val="en-US" w:eastAsia="zh-CN"/>
              </w:rPr>
              <w:t>0.8 t/a</w:t>
            </w:r>
            <w:r>
              <w:rPr>
                <w:rFonts w:hint="eastAsia" w:cs="Times New Roman"/>
                <w:color w:val="auto"/>
                <w:sz w:val="24"/>
                <w:szCs w:val="24"/>
                <w:highlight w:val="none"/>
                <w:lang w:val="en-US" w:eastAsia="zh-CN"/>
              </w:rPr>
              <w:t>。经</w:t>
            </w:r>
            <w:r>
              <w:rPr>
                <w:rFonts w:hint="default" w:cs="Times New Roman"/>
                <w:color w:val="auto"/>
                <w:sz w:val="24"/>
                <w:szCs w:val="24"/>
                <w:highlight w:val="none"/>
                <w:lang w:val="en-US" w:eastAsia="zh-CN"/>
              </w:rPr>
              <w:t>三级吸收塔（二级水+一级碱）对酸雾的处理效率达99%以上。则HCl经过三级吸收塔吸收处理后</w:t>
            </w:r>
            <w:r>
              <w:rPr>
                <w:rFonts w:hint="eastAsia" w:cs="Times New Roman"/>
                <w:color w:val="auto"/>
                <w:sz w:val="24"/>
                <w:szCs w:val="24"/>
                <w:highlight w:val="none"/>
                <w:lang w:val="en-US" w:eastAsia="zh-CN"/>
              </w:rPr>
              <w:t>，</w:t>
            </w:r>
            <w:r>
              <w:rPr>
                <w:rFonts w:hint="default" w:cs="Times New Roman"/>
                <w:color w:val="auto"/>
                <w:sz w:val="24"/>
                <w:szCs w:val="24"/>
                <w:highlight w:val="none"/>
                <w:lang w:val="en-US" w:eastAsia="zh-CN"/>
              </w:rPr>
              <w:t>排放量为0.008t/a，HCl排放浓度为0.</w:t>
            </w:r>
            <w:r>
              <w:rPr>
                <w:rFonts w:hint="eastAsia" w:cs="Times New Roman"/>
                <w:color w:val="auto"/>
                <w:sz w:val="24"/>
                <w:szCs w:val="24"/>
                <w:highlight w:val="none"/>
                <w:lang w:val="en-US" w:eastAsia="zh-CN"/>
              </w:rPr>
              <w:t>025</w:t>
            </w:r>
            <w:r>
              <w:rPr>
                <w:rFonts w:hint="default" w:cs="Times New Roman"/>
                <w:color w:val="auto"/>
                <w:sz w:val="24"/>
                <w:szCs w:val="24"/>
                <w:highlight w:val="none"/>
                <w:lang w:val="en-US" w:eastAsia="zh-CN"/>
              </w:rPr>
              <w:t>mg/m</w:t>
            </w:r>
            <w:r>
              <w:rPr>
                <w:rFonts w:hint="default" w:cs="Times New Roman"/>
                <w:color w:val="auto"/>
                <w:sz w:val="24"/>
                <w:szCs w:val="24"/>
                <w:highlight w:val="none"/>
                <w:vertAlign w:val="superscript"/>
                <w:lang w:val="en-US" w:eastAsia="zh-CN"/>
              </w:rPr>
              <w:t>3</w:t>
            </w:r>
            <w:r>
              <w:rPr>
                <w:rFonts w:hint="default" w:cs="Times New Roman"/>
                <w:color w:val="auto"/>
                <w:sz w:val="24"/>
                <w:szCs w:val="24"/>
                <w:highlight w:val="none"/>
                <w:lang w:val="en-US" w:eastAsia="zh-CN"/>
              </w:rPr>
              <w:t>，满足《无机化学工业污染物排放标准》</w:t>
            </w:r>
            <w:r>
              <w:rPr>
                <w:rFonts w:hint="eastAsia" w:cs="Times New Roman"/>
                <w:color w:val="auto"/>
                <w:sz w:val="24"/>
                <w:szCs w:val="24"/>
                <w:highlight w:val="none"/>
                <w:vertAlign w:val="baseline"/>
                <w:lang w:val="en-US" w:eastAsia="zh-CN"/>
              </w:rPr>
              <w:t>及修改单</w:t>
            </w:r>
            <w:r>
              <w:rPr>
                <w:rFonts w:hint="default" w:cs="Times New Roman"/>
                <w:color w:val="auto"/>
                <w:sz w:val="24"/>
                <w:szCs w:val="24"/>
                <w:highlight w:val="none"/>
                <w:lang w:val="en-US" w:eastAsia="zh-CN"/>
              </w:rPr>
              <w:t>（GB31573-2015）表4大气污染物特别排放标准限值（HCl：20mg/m</w:t>
            </w:r>
            <w:r>
              <w:rPr>
                <w:rFonts w:hint="default" w:cs="Times New Roman"/>
                <w:color w:val="auto"/>
                <w:sz w:val="24"/>
                <w:szCs w:val="24"/>
                <w:highlight w:val="none"/>
                <w:vertAlign w:val="superscript"/>
                <w:lang w:val="en-US" w:eastAsia="zh-CN"/>
              </w:rPr>
              <w:t>3</w:t>
            </w:r>
            <w:r>
              <w:rPr>
                <w:rFonts w:hint="default" w:cs="Times New Roman"/>
                <w:color w:val="auto"/>
                <w:sz w:val="24"/>
                <w:szCs w:val="24"/>
                <w:highlight w:val="none"/>
                <w:lang w:val="en-US" w:eastAsia="zh-CN"/>
              </w:rPr>
              <w:t>）。</w:t>
            </w:r>
          </w:p>
          <w:p w14:paraId="2CB60D37">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3）燃料煤装卸、堆存扬尘</w:t>
            </w:r>
          </w:p>
          <w:p w14:paraId="3BD0489A">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w:t>
            </w:r>
            <w:r>
              <w:rPr>
                <w:rFonts w:hint="eastAsia" w:cs="Times New Roman"/>
                <w:color w:val="auto"/>
                <w:sz w:val="24"/>
                <w:szCs w:val="24"/>
                <w:highlight w:val="none"/>
                <w:lang w:val="en-US" w:eastAsia="zh-CN"/>
              </w:rPr>
              <w:t>燃</w:t>
            </w:r>
            <w:r>
              <w:rPr>
                <w:rFonts w:hint="eastAsia" w:ascii="Times New Roman" w:hAnsi="Times New Roman" w:eastAsia="宋体" w:cs="Times New Roman"/>
                <w:color w:val="auto"/>
                <w:sz w:val="24"/>
                <w:szCs w:val="24"/>
                <w:highlight w:val="none"/>
                <w:lang w:val="en-US" w:eastAsia="zh-CN"/>
              </w:rPr>
              <w:t>煤装卸、堆存引起的扬尘根据《排放源统计调查产排污核算方法和系数手册》附表2工业源固体物料堆场颗粒物核算系数手册，“工业企业固体物料堆存颗粒物包括装卸扬尘和风蚀扬尘”，则原煤装卸、堆存引起的扬尘量如下：</w:t>
            </w:r>
          </w:p>
          <w:p w14:paraId="54420860">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①粉尘产生量</w:t>
            </w:r>
          </w:p>
          <w:p w14:paraId="1C3E5E62">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jc w:val="center"/>
              <w:textAlignment w:val="auto"/>
              <w:rPr>
                <w:color w:val="auto"/>
                <w:position w:val="-14"/>
              </w:rPr>
            </w:pPr>
            <w:r>
              <w:rPr>
                <w:color w:val="auto"/>
                <w:position w:val="-14"/>
              </w:rPr>
              <w:object>
                <v:shape id="_x0000_i1027" o:spt="75" type="#_x0000_t75" style="height:24.55pt;width:266.3pt;" o:ole="t" filled="f" o:preferrelative="t" stroked="f" coordsize="21600,21600">
                  <v:path/>
                  <v:fill on="f" focussize="0,0"/>
                  <v:stroke on="f"/>
                  <v:imagedata r:id="rId15" o:title=""/>
                  <o:lock v:ext="edit" aspectratio="t"/>
                  <w10:wrap type="none"/>
                  <w10:anchorlock/>
                </v:shape>
                <o:OLEObject Type="Embed" ProgID="Equation.3" ShapeID="_x0000_i1027" DrawAspect="Content" ObjectID="_1468075727" r:id="rId14">
                  <o:LockedField>false</o:LockedField>
                </o:OLEObject>
              </w:object>
            </w:r>
          </w:p>
          <w:p w14:paraId="65407E85">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式中：P：指颗粒物的产生量；</w:t>
            </w:r>
          </w:p>
          <w:p w14:paraId="2315BA75">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ZCy：指装卸扬尘产生量（单位：吨）；</w:t>
            </w:r>
          </w:p>
          <w:p w14:paraId="77B4CA6D">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FCy：指风蚀扬尘产生量（单位：吨）；</w:t>
            </w:r>
          </w:p>
          <w:p w14:paraId="247C38FB">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NC：指年物料运载车次（单位：车），项目</w:t>
            </w:r>
            <w:r>
              <w:rPr>
                <w:rFonts w:hint="eastAsia" w:cs="Times New Roman"/>
                <w:color w:val="auto"/>
                <w:sz w:val="24"/>
                <w:szCs w:val="24"/>
                <w:highlight w:val="none"/>
                <w:lang w:val="en-US" w:eastAsia="zh-CN"/>
              </w:rPr>
              <w:t>年消耗燃煤量为3000t/a</w:t>
            </w:r>
            <w:r>
              <w:rPr>
                <w:rFonts w:hint="eastAsia" w:ascii="Times New Roman" w:hAnsi="Times New Roman" w:eastAsia="宋体" w:cs="Times New Roman"/>
                <w:color w:val="auto"/>
                <w:sz w:val="24"/>
                <w:szCs w:val="24"/>
                <w:highlight w:val="none"/>
                <w:lang w:val="en-US" w:eastAsia="zh-CN"/>
              </w:rPr>
              <w:t>，需拉运</w:t>
            </w:r>
            <w:r>
              <w:rPr>
                <w:rFonts w:hint="eastAsia" w:cs="Times New Roman"/>
                <w:color w:val="auto"/>
                <w:sz w:val="24"/>
                <w:szCs w:val="24"/>
                <w:highlight w:val="none"/>
                <w:lang w:val="en-US" w:eastAsia="zh-CN"/>
              </w:rPr>
              <w:t>100</w:t>
            </w:r>
            <w:r>
              <w:rPr>
                <w:rFonts w:hint="eastAsia" w:ascii="Times New Roman" w:hAnsi="Times New Roman" w:eastAsia="宋体" w:cs="Times New Roman"/>
                <w:color w:val="auto"/>
                <w:sz w:val="24"/>
                <w:szCs w:val="24"/>
                <w:highlight w:val="none"/>
                <w:lang w:val="en-US" w:eastAsia="zh-CN"/>
              </w:rPr>
              <w:t>车次；</w:t>
            </w:r>
          </w:p>
          <w:p w14:paraId="3276C519">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D：指单车平均运载量（单位：吨/车），本项目由货运车拉运煤炭，本次取30t/车；</w:t>
            </w:r>
          </w:p>
          <w:p w14:paraId="3E406593">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（a/b）：指装卸扬尘概化系数（单位：千克/吨），</w:t>
            </w:r>
          </w:p>
          <w:p w14:paraId="7355DC7B">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a指各省风速概化系数，根据附录1，内蒙古自治区累年平均风速2.91m/s，概化系数0.0017。b指物料含水率概化系数，根据附录2，本项目燃煤属于非褐煤，概化系数取0.0054；</w:t>
            </w:r>
          </w:p>
          <w:p w14:paraId="4623751D">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Ef：指堆场风蚀扬尘概化系数，根据附录3，本项目取31.1418（单位：千克/平方米）；</w:t>
            </w:r>
          </w:p>
          <w:p w14:paraId="3BFD746B">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S：指堆场占地面积（单位：平方米），本项目燃煤储存于燃煤储棚，占地面积100m</w:t>
            </w:r>
            <w:r>
              <w:rPr>
                <w:rFonts w:hint="eastAsia" w:ascii="Times New Roman" w:hAnsi="Times New Roman" w:eastAsia="宋体" w:cs="Times New Roman"/>
                <w:color w:val="auto"/>
                <w:sz w:val="24"/>
                <w:szCs w:val="24"/>
                <w:highlight w:val="none"/>
                <w:vertAlign w:val="superscript"/>
                <w:lang w:val="en-US" w:eastAsia="zh-CN"/>
              </w:rPr>
              <w:t>2</w:t>
            </w:r>
            <w:r>
              <w:rPr>
                <w:rFonts w:hint="eastAsia" w:ascii="Times New Roman" w:hAnsi="Times New Roman" w:eastAsia="宋体" w:cs="Times New Roman"/>
                <w:color w:val="auto"/>
                <w:sz w:val="24"/>
                <w:szCs w:val="24"/>
                <w:highlight w:val="none"/>
                <w:lang w:val="en-US" w:eastAsia="zh-CN"/>
              </w:rPr>
              <w:t>。</w:t>
            </w:r>
          </w:p>
          <w:p w14:paraId="138F9153">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P=ZCy+FCy={</w:t>
            </w:r>
            <w:r>
              <w:rPr>
                <w:rFonts w:hint="eastAsia" w:cs="Times New Roman"/>
                <w:color w:val="auto"/>
                <w:sz w:val="24"/>
                <w:szCs w:val="24"/>
                <w:highlight w:val="none"/>
                <w:lang w:val="en-US" w:eastAsia="zh-CN"/>
              </w:rPr>
              <w:t>100</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lang w:val="en-US" w:eastAsia="zh-CN"/>
              </w:rPr>
              <w:t>×（0.0017/0.0054）+2×31.1418×</w:t>
            </w:r>
            <w:r>
              <w:rPr>
                <w:rFonts w:hint="eastAsia" w:ascii="Times New Roman" w:hAnsi="Times New Roman" w:cs="Times New Roman"/>
                <w:color w:val="auto"/>
                <w:sz w:val="24"/>
                <w:szCs w:val="24"/>
                <w:highlight w:val="none"/>
                <w:lang w:val="en-US" w:eastAsia="zh-CN"/>
              </w:rPr>
              <w:t>100</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vertAlign w:val="superscript"/>
                <w:lang w:val="en-US" w:eastAsia="zh-CN"/>
              </w:rPr>
              <w:t>-3</w:t>
            </w:r>
          </w:p>
          <w:p w14:paraId="2ABD8E4B">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720" w:firstLineChars="3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P=7.16t/a</w:t>
            </w:r>
          </w:p>
          <w:p w14:paraId="7BEF8176">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②粉尘排放量</w:t>
            </w:r>
          </w:p>
          <w:p w14:paraId="708F0C9A">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20" w:firstLineChars="200"/>
              <w:jc w:val="center"/>
              <w:textAlignment w:val="auto"/>
              <w:rPr>
                <w:rFonts w:hint="eastAsia" w:ascii="Times New Roman" w:hAnsi="Times New Roman" w:eastAsia="宋体" w:cs="Times New Roman"/>
                <w:color w:val="auto"/>
                <w:sz w:val="24"/>
                <w:szCs w:val="24"/>
                <w:highlight w:val="none"/>
                <w:lang w:val="en-US" w:eastAsia="zh-CN"/>
              </w:rPr>
            </w:pPr>
            <w:r>
              <w:rPr>
                <w:rFonts w:hint="eastAsia"/>
                <w:color w:val="auto"/>
                <w:position w:val="-12"/>
              </w:rPr>
              <w:object>
                <v:shape id="_x0000_i1028" o:spt="75" type="#_x0000_t75" style="height:18pt;width:124.5pt;" o:ole="t" filled="f" o:preferrelative="t" stroked="f" coordsize="21600,21600">
                  <v:path/>
                  <v:fill on="f" focussize="0,0"/>
                  <v:stroke on="f" joinstyle="miter"/>
                  <v:imagedata r:id="rId17" o:title=""/>
                  <o:lock v:ext="edit" aspectratio="t"/>
                  <w10:wrap type="none"/>
                  <w10:anchorlock/>
                </v:shape>
                <o:OLEObject Type="Embed" ProgID="Equation.3" ShapeID="_x0000_i1028" DrawAspect="Content" ObjectID="_1468075728" r:id="rId16">
                  <o:LockedField>false</o:LockedField>
                </o:OLEObject>
              </w:object>
            </w:r>
          </w:p>
          <w:p w14:paraId="3DA2C174">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式中：P：指颗粒物的产生量；</w:t>
            </w:r>
          </w:p>
          <w:p w14:paraId="3A27A836">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Uc：指颗粒物的排放量（单位：吨）；</w:t>
            </w:r>
          </w:p>
          <w:p w14:paraId="4A278357">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Cm：指颗粒物控制措施控制效率（单位：%），</w:t>
            </w:r>
            <w:r>
              <w:rPr>
                <w:rFonts w:hint="eastAsia" w:cs="Times New Roman"/>
                <w:color w:val="auto"/>
                <w:sz w:val="24"/>
                <w:szCs w:val="24"/>
                <w:highlight w:val="none"/>
                <w:lang w:val="en-US" w:eastAsia="zh-CN"/>
              </w:rPr>
              <w:t>根据</w:t>
            </w:r>
            <w:r>
              <w:rPr>
                <w:rFonts w:hint="eastAsia" w:ascii="Times New Roman" w:hAnsi="Times New Roman" w:eastAsia="宋体" w:cs="Times New Roman"/>
                <w:color w:val="auto"/>
                <w:sz w:val="24"/>
                <w:szCs w:val="24"/>
                <w:highlight w:val="none"/>
                <w:lang w:val="en-US" w:eastAsia="zh-CN"/>
              </w:rPr>
              <w:t>附录</w:t>
            </w:r>
            <w:r>
              <w:rPr>
                <w:rFonts w:hint="eastAsia"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本项目燃煤储棚采用雾炮车洒水抑尘，粉尘</w:t>
            </w:r>
            <w:r>
              <w:rPr>
                <w:rFonts w:hint="eastAsia" w:ascii="Times New Roman" w:hAnsi="Times New Roman" w:eastAsia="宋体" w:cs="Times New Roman"/>
                <w:color w:val="auto"/>
                <w:sz w:val="24"/>
                <w:szCs w:val="24"/>
                <w:highlight w:val="none"/>
                <w:lang w:val="en-US" w:eastAsia="zh-CN"/>
              </w:rPr>
              <w:t>控制效率为</w:t>
            </w:r>
            <w:r>
              <w:rPr>
                <w:rFonts w:hint="eastAsia" w:cs="Times New Roman"/>
                <w:color w:val="auto"/>
                <w:sz w:val="24"/>
                <w:szCs w:val="24"/>
                <w:highlight w:val="none"/>
                <w:lang w:val="en-US" w:eastAsia="zh-CN"/>
              </w:rPr>
              <w:t>74</w:t>
            </w:r>
            <w:r>
              <w:rPr>
                <w:rFonts w:hint="eastAsia" w:ascii="Times New Roman" w:hAnsi="Times New Roman" w:eastAsia="宋体" w:cs="Times New Roman"/>
                <w:color w:val="auto"/>
                <w:sz w:val="24"/>
                <w:szCs w:val="24"/>
                <w:highlight w:val="none"/>
                <w:lang w:val="en-US" w:eastAsia="zh-CN"/>
              </w:rPr>
              <w:t>%；</w:t>
            </w:r>
          </w:p>
          <w:p w14:paraId="6E302A9B">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Tm：指堆场类型控制效率（单位：%），</w:t>
            </w:r>
            <w:r>
              <w:rPr>
                <w:rFonts w:hint="eastAsia" w:cs="Times New Roman"/>
                <w:color w:val="auto"/>
                <w:sz w:val="24"/>
                <w:szCs w:val="24"/>
                <w:highlight w:val="none"/>
                <w:lang w:val="en-US" w:eastAsia="zh-CN"/>
              </w:rPr>
              <w:t>根据</w:t>
            </w:r>
            <w:r>
              <w:rPr>
                <w:rFonts w:hint="eastAsia" w:ascii="Times New Roman" w:hAnsi="Times New Roman" w:eastAsia="宋体" w:cs="Times New Roman"/>
                <w:color w:val="auto"/>
                <w:sz w:val="24"/>
                <w:szCs w:val="24"/>
                <w:highlight w:val="none"/>
                <w:lang w:val="en-US" w:eastAsia="zh-CN"/>
              </w:rPr>
              <w:t>附录5，本项目设置密闭式厂房，控制效率99%；</w:t>
            </w:r>
          </w:p>
          <w:p w14:paraId="00A941F8">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Uc=</w:t>
            </w:r>
            <w:r>
              <w:rPr>
                <w:rFonts w:hint="default" w:ascii="Times New Roman" w:hAnsi="Times New Roman" w:cs="Times New Roman"/>
                <w:color w:val="auto"/>
                <w:sz w:val="24"/>
                <w:szCs w:val="24"/>
                <w:highlight w:val="none"/>
                <w:lang w:val="en-US" w:eastAsia="zh-CN"/>
              </w:rPr>
              <w:t>7.16</w:t>
            </w: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74</w:t>
            </w:r>
            <w:r>
              <w:rPr>
                <w:rFonts w:hint="default" w:ascii="Times New Roman" w:hAnsi="Times New Roman" w:eastAsia="宋体" w:cs="Times New Roman"/>
                <w:color w:val="auto"/>
                <w:sz w:val="24"/>
                <w:szCs w:val="24"/>
                <w:highlight w:val="none"/>
                <w:lang w:val="en-US" w:eastAsia="zh-CN"/>
              </w:rPr>
              <w:t>%)×(1-99%)=</w:t>
            </w:r>
            <w:r>
              <w:rPr>
                <w:rFonts w:hint="eastAsia" w:ascii="Times New Roman" w:hAnsi="Times New Roman" w:cs="Times New Roman"/>
                <w:color w:val="auto"/>
                <w:sz w:val="24"/>
                <w:szCs w:val="24"/>
                <w:highlight w:val="none"/>
                <w:lang w:val="en-US" w:eastAsia="zh-CN"/>
              </w:rPr>
              <w:t>0.0</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t/a</w:t>
            </w:r>
          </w:p>
          <w:p w14:paraId="25805706">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经计算，本项目原煤装卸、堆存引起的扬尘产生量为</w:t>
            </w:r>
            <w:r>
              <w:rPr>
                <w:rFonts w:hint="eastAsia" w:cs="Times New Roman"/>
                <w:color w:val="auto"/>
                <w:sz w:val="24"/>
                <w:szCs w:val="24"/>
                <w:highlight w:val="none"/>
                <w:lang w:val="en-US" w:eastAsia="zh-CN"/>
              </w:rPr>
              <w:t>7.16</w:t>
            </w:r>
            <w:r>
              <w:rPr>
                <w:rFonts w:hint="eastAsia" w:ascii="Times New Roman" w:hAnsi="Times New Roman" w:eastAsia="宋体" w:cs="Times New Roman"/>
                <w:color w:val="auto"/>
                <w:sz w:val="24"/>
                <w:szCs w:val="24"/>
                <w:highlight w:val="none"/>
                <w:lang w:val="en-US" w:eastAsia="zh-CN"/>
              </w:rPr>
              <w:t>t/a，</w:t>
            </w:r>
            <w:r>
              <w:rPr>
                <w:rFonts w:hint="eastAsia" w:cs="Times New Roman"/>
                <w:color w:val="auto"/>
                <w:sz w:val="24"/>
                <w:szCs w:val="24"/>
                <w:highlight w:val="none"/>
                <w:lang w:val="en-US" w:eastAsia="zh-CN"/>
              </w:rPr>
              <w:t>0.99</w:t>
            </w:r>
            <w:r>
              <w:rPr>
                <w:rFonts w:hint="eastAsia" w:ascii="Times New Roman" w:hAnsi="Times New Roman" w:eastAsia="宋体" w:cs="Times New Roman"/>
                <w:color w:val="auto"/>
                <w:sz w:val="24"/>
                <w:szCs w:val="24"/>
                <w:highlight w:val="none"/>
                <w:lang w:val="en-US" w:eastAsia="zh-CN"/>
              </w:rPr>
              <w:t>kg/h，</w:t>
            </w:r>
            <w:r>
              <w:rPr>
                <w:rFonts w:hint="eastAsia" w:cs="Times New Roman"/>
                <w:color w:val="auto"/>
                <w:sz w:val="24"/>
                <w:szCs w:val="24"/>
                <w:highlight w:val="none"/>
                <w:lang w:val="en-US" w:eastAsia="zh-CN"/>
              </w:rPr>
              <w:t>燃煤堆场于</w:t>
            </w:r>
            <w:r>
              <w:rPr>
                <w:rFonts w:hint="eastAsia" w:ascii="Times New Roman" w:hAnsi="Times New Roman" w:eastAsia="宋体" w:cs="Times New Roman"/>
                <w:color w:val="auto"/>
                <w:sz w:val="24"/>
                <w:szCs w:val="24"/>
                <w:highlight w:val="none"/>
                <w:lang w:val="en-US" w:eastAsia="zh-CN"/>
              </w:rPr>
              <w:t>全封闭车间</w:t>
            </w:r>
            <w:r>
              <w:rPr>
                <w:rFonts w:hint="eastAsia" w:cs="Times New Roman"/>
                <w:color w:val="auto"/>
                <w:sz w:val="24"/>
                <w:szCs w:val="24"/>
                <w:highlight w:val="none"/>
                <w:lang w:val="en-US" w:eastAsia="zh-CN"/>
              </w:rPr>
              <w:t>并洒水抑尘</w:t>
            </w:r>
            <w:r>
              <w:rPr>
                <w:rFonts w:hint="eastAsia" w:ascii="Times New Roman" w:hAnsi="Times New Roman" w:eastAsia="宋体" w:cs="Times New Roman"/>
                <w:color w:val="auto"/>
                <w:sz w:val="24"/>
                <w:szCs w:val="24"/>
                <w:highlight w:val="none"/>
                <w:lang w:val="en-US" w:eastAsia="zh-CN"/>
              </w:rPr>
              <w:t>，最终逸散</w:t>
            </w:r>
            <w:r>
              <w:rPr>
                <w:rFonts w:hint="eastAsia" w:cs="Times New Roman"/>
                <w:color w:val="auto"/>
                <w:sz w:val="24"/>
                <w:szCs w:val="24"/>
                <w:highlight w:val="none"/>
                <w:lang w:val="en-US" w:eastAsia="zh-CN"/>
              </w:rPr>
              <w:t>0.02</w:t>
            </w:r>
            <w:r>
              <w:rPr>
                <w:rFonts w:hint="eastAsia" w:ascii="Times New Roman" w:hAnsi="Times New Roman" w:eastAsia="宋体" w:cs="Times New Roman"/>
                <w:color w:val="auto"/>
                <w:sz w:val="24"/>
                <w:szCs w:val="24"/>
                <w:highlight w:val="none"/>
                <w:lang w:val="en-US" w:eastAsia="zh-CN"/>
              </w:rPr>
              <w:t>t/a，0.</w:t>
            </w:r>
            <w:r>
              <w:rPr>
                <w:rFonts w:hint="eastAsia" w:cs="Times New Roman"/>
                <w:color w:val="auto"/>
                <w:sz w:val="24"/>
                <w:szCs w:val="24"/>
                <w:highlight w:val="none"/>
                <w:lang w:val="en-US" w:eastAsia="zh-CN"/>
              </w:rPr>
              <w:t>003</w:t>
            </w:r>
            <w:r>
              <w:rPr>
                <w:rFonts w:hint="eastAsia" w:ascii="Times New Roman" w:hAnsi="Times New Roman" w:eastAsia="宋体" w:cs="Times New Roman"/>
                <w:color w:val="auto"/>
                <w:sz w:val="24"/>
                <w:szCs w:val="24"/>
                <w:highlight w:val="none"/>
                <w:lang w:val="en-US" w:eastAsia="zh-CN"/>
              </w:rPr>
              <w:t>kg/h。</w:t>
            </w:r>
          </w:p>
          <w:p w14:paraId="04E477E0">
            <w:pPr>
              <w:pStyle w:val="21"/>
              <w:spacing w:line="360" w:lineRule="auto"/>
              <w:ind w:firstLine="480"/>
              <w:rPr>
                <w:rFonts w:hint="default" w:eastAsia="宋体"/>
                <w:color w:val="auto"/>
                <w:sz w:val="24"/>
                <w:lang w:val="en-US" w:eastAsia="zh-CN"/>
              </w:rPr>
            </w:pPr>
            <w:r>
              <w:rPr>
                <w:rFonts w:hint="eastAsia"/>
                <w:color w:val="auto"/>
                <w:sz w:val="24"/>
                <w:lang w:val="en-US"/>
              </w:rPr>
              <w:t>4）热风炉灰渣</w:t>
            </w:r>
            <w:r>
              <w:rPr>
                <w:rFonts w:hint="eastAsia" w:cs="Times New Roman"/>
                <w:color w:val="auto"/>
                <w:sz w:val="24"/>
                <w:szCs w:val="24"/>
                <w:highlight w:val="none"/>
                <w:lang w:val="en-US" w:eastAsia="zh-CN"/>
              </w:rPr>
              <w:t>装卸、堆存扬尘</w:t>
            </w:r>
          </w:p>
          <w:p w14:paraId="79849E5C">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①粉尘产生量</w:t>
            </w:r>
          </w:p>
          <w:p w14:paraId="775502F7">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jc w:val="center"/>
              <w:textAlignment w:val="auto"/>
              <w:rPr>
                <w:color w:val="auto"/>
                <w:position w:val="-14"/>
              </w:rPr>
            </w:pPr>
            <w:r>
              <w:rPr>
                <w:color w:val="auto"/>
                <w:position w:val="-14"/>
              </w:rPr>
              <w:object>
                <v:shape id="_x0000_i1029" o:spt="75" type="#_x0000_t75" style="height:24.55pt;width:266.3pt;" o:ole="t" filled="f" o:preferrelative="t" stroked="f" coordsize="21600,21600">
                  <v:path/>
                  <v:fill on="f" focussize="0,0"/>
                  <v:stroke on="f"/>
                  <v:imagedata r:id="rId15" o:title=""/>
                  <o:lock v:ext="edit" aspectratio="t"/>
                  <w10:wrap type="none"/>
                  <w10:anchorlock/>
                </v:shape>
                <o:OLEObject Type="Embed" ProgID="Equation.3" ShapeID="_x0000_i1029" DrawAspect="Content" ObjectID="_1468075729" r:id="rId18">
                  <o:LockedField>false</o:LockedField>
                </o:OLEObject>
              </w:object>
            </w:r>
          </w:p>
          <w:p w14:paraId="02272BC7">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式中：P：指颗粒物的产生量；</w:t>
            </w:r>
          </w:p>
          <w:p w14:paraId="703546F1">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ZCy：指装卸扬尘产生量（单位：吨）；</w:t>
            </w:r>
          </w:p>
          <w:p w14:paraId="64900514">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FCy：指风蚀扬尘产生量（单位：吨）；</w:t>
            </w:r>
          </w:p>
          <w:p w14:paraId="7EE24489">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NC：指年物料运载车次（单位：车），项目</w:t>
            </w:r>
            <w:r>
              <w:rPr>
                <w:rFonts w:hint="eastAsia" w:cs="Times New Roman"/>
                <w:color w:val="auto"/>
                <w:sz w:val="24"/>
                <w:szCs w:val="24"/>
                <w:highlight w:val="none"/>
                <w:lang w:val="en-US" w:eastAsia="zh-CN"/>
              </w:rPr>
              <w:t>年堆存、清运灰渣为121.88t/a</w:t>
            </w:r>
            <w:r>
              <w:rPr>
                <w:rFonts w:hint="eastAsia" w:ascii="Times New Roman" w:hAnsi="Times New Roman" w:eastAsia="宋体" w:cs="Times New Roman"/>
                <w:color w:val="auto"/>
                <w:sz w:val="24"/>
                <w:szCs w:val="24"/>
                <w:highlight w:val="none"/>
                <w:lang w:val="en-US" w:eastAsia="zh-CN"/>
              </w:rPr>
              <w:t>，需拉运</w:t>
            </w:r>
            <w:r>
              <w:rPr>
                <w:rFonts w:hint="eastAsia" w:cs="Times New Roman"/>
                <w:color w:val="auto"/>
                <w:sz w:val="24"/>
                <w:szCs w:val="24"/>
                <w:highlight w:val="none"/>
                <w:lang w:val="en-US" w:eastAsia="zh-CN"/>
              </w:rPr>
              <w:t>13</w:t>
            </w:r>
            <w:r>
              <w:rPr>
                <w:rFonts w:hint="eastAsia" w:ascii="Times New Roman" w:hAnsi="Times New Roman" w:eastAsia="宋体" w:cs="Times New Roman"/>
                <w:color w:val="auto"/>
                <w:sz w:val="24"/>
                <w:szCs w:val="24"/>
                <w:highlight w:val="none"/>
                <w:lang w:val="en-US" w:eastAsia="zh-CN"/>
              </w:rPr>
              <w:t>车次；</w:t>
            </w:r>
          </w:p>
          <w:p w14:paraId="29F89227">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D：指单车平均运载量（单位：吨/车），本次取</w:t>
            </w:r>
            <w:r>
              <w:rPr>
                <w:rFonts w:hint="eastAsia"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0t/车；</w:t>
            </w:r>
          </w:p>
          <w:p w14:paraId="72E8DD20">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（a/b）：指装卸扬尘概化系数（单位：千克/吨），</w:t>
            </w:r>
          </w:p>
          <w:p w14:paraId="3E40F232">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a指各省风速概化系数，根据附录1，内蒙古自治区累年平均风速2.91m/s，概化系数0.0017。b指物料含水率概化系数，根据附录2，本项目燃煤属于非褐煤，概化系数取0.00</w:t>
            </w:r>
            <w:r>
              <w:rPr>
                <w:rFonts w:hint="eastAsia" w:eastAsia="宋体" w:cs="Times New Roman"/>
                <w:color w:val="auto"/>
                <w:sz w:val="24"/>
                <w:szCs w:val="24"/>
                <w:highlight w:val="none"/>
                <w:lang w:val="en-US" w:eastAsia="zh-CN"/>
              </w:rPr>
              <w:t>05</w:t>
            </w:r>
            <w:r>
              <w:rPr>
                <w:rFonts w:hint="eastAsia" w:ascii="Times New Roman" w:hAnsi="Times New Roman" w:eastAsia="宋体" w:cs="Times New Roman"/>
                <w:color w:val="auto"/>
                <w:sz w:val="24"/>
                <w:szCs w:val="24"/>
                <w:highlight w:val="none"/>
                <w:lang w:val="en-US" w:eastAsia="zh-CN"/>
              </w:rPr>
              <w:t>；</w:t>
            </w:r>
          </w:p>
          <w:p w14:paraId="7ED5D5AF">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Ef：指堆场风蚀扬尘概化系数，根据附录3，本项目取</w:t>
            </w:r>
            <w:r>
              <w:rPr>
                <w:rFonts w:hint="eastAsia" w:eastAsia="宋体" w:cs="Times New Roman"/>
                <w:color w:val="auto"/>
                <w:sz w:val="24"/>
                <w:szCs w:val="24"/>
                <w:highlight w:val="none"/>
                <w:lang w:val="en-US" w:eastAsia="zh-CN"/>
              </w:rPr>
              <w:t>46.1652</w:t>
            </w:r>
            <w:r>
              <w:rPr>
                <w:rFonts w:hint="eastAsia" w:ascii="Times New Roman" w:hAnsi="Times New Roman" w:eastAsia="宋体" w:cs="Times New Roman"/>
                <w:color w:val="auto"/>
                <w:sz w:val="24"/>
                <w:szCs w:val="24"/>
                <w:highlight w:val="none"/>
                <w:lang w:val="en-US" w:eastAsia="zh-CN"/>
              </w:rPr>
              <w:t>（单位：千克/平方米）；</w:t>
            </w:r>
          </w:p>
          <w:p w14:paraId="72EC0539">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S：指堆场占地面积（单位：平方米），本项目</w:t>
            </w:r>
            <w:r>
              <w:rPr>
                <w:rFonts w:hint="eastAsia" w:eastAsia="宋体" w:cs="Times New Roman"/>
                <w:color w:val="auto"/>
                <w:sz w:val="24"/>
                <w:szCs w:val="24"/>
                <w:highlight w:val="none"/>
                <w:lang w:val="en-US" w:eastAsia="zh-CN"/>
              </w:rPr>
              <w:t>灰渣</w:t>
            </w:r>
            <w:r>
              <w:rPr>
                <w:rFonts w:hint="eastAsia" w:ascii="Times New Roman" w:hAnsi="Times New Roman" w:eastAsia="宋体" w:cs="Times New Roman"/>
                <w:color w:val="auto"/>
                <w:sz w:val="24"/>
                <w:szCs w:val="24"/>
                <w:highlight w:val="none"/>
                <w:lang w:val="en-US" w:eastAsia="zh-CN"/>
              </w:rPr>
              <w:t>储存于灰渣储棚，占地面积</w:t>
            </w:r>
            <w:r>
              <w:rPr>
                <w:rFonts w:hint="eastAsia" w:eastAsia="宋体" w:cs="Times New Roman"/>
                <w:color w:val="auto"/>
                <w:sz w:val="24"/>
                <w:szCs w:val="24"/>
                <w:highlight w:val="none"/>
                <w:lang w:val="en-US" w:eastAsia="zh-CN"/>
              </w:rPr>
              <w:t>40</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2</w:t>
            </w:r>
            <w:r>
              <w:rPr>
                <w:rFonts w:hint="eastAsia" w:ascii="Times New Roman" w:hAnsi="Times New Roman" w:eastAsia="宋体" w:cs="Times New Roman"/>
                <w:color w:val="auto"/>
                <w:sz w:val="24"/>
                <w:szCs w:val="24"/>
                <w:highlight w:val="none"/>
                <w:lang w:val="en-US" w:eastAsia="zh-CN"/>
              </w:rPr>
              <w:t>。</w:t>
            </w:r>
          </w:p>
          <w:p w14:paraId="59E0B2DB">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P=ZCy+FCy={</w:t>
            </w:r>
            <w:r>
              <w:rPr>
                <w:rFonts w:hint="eastAsia" w:cs="Times New Roman"/>
                <w:color w:val="auto"/>
                <w:sz w:val="24"/>
                <w:szCs w:val="24"/>
                <w:highlight w:val="none"/>
                <w:lang w:val="en-US" w:eastAsia="zh-CN"/>
              </w:rPr>
              <w:t>13</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lang w:val="en-US" w:eastAsia="zh-CN"/>
              </w:rPr>
              <w:t>×（0.0017/0.00</w:t>
            </w:r>
            <w:r>
              <w:rPr>
                <w:rFonts w:hint="eastAsia" w:eastAsia="宋体" w:cs="Times New Roman"/>
                <w:color w:val="auto"/>
                <w:sz w:val="24"/>
                <w:szCs w:val="24"/>
                <w:highlight w:val="none"/>
                <w:lang w:val="en-US" w:eastAsia="zh-CN"/>
              </w:rPr>
              <w:t>05</w:t>
            </w:r>
            <w:r>
              <w:rPr>
                <w:rFonts w:hint="default" w:ascii="Times New Roman" w:hAnsi="Times New Roman" w:eastAsia="宋体" w:cs="Times New Roman"/>
                <w:color w:val="auto"/>
                <w:sz w:val="24"/>
                <w:szCs w:val="24"/>
                <w:highlight w:val="none"/>
                <w:lang w:val="en-US" w:eastAsia="zh-CN"/>
              </w:rPr>
              <w:t>）+2×</w:t>
            </w:r>
            <w:r>
              <w:rPr>
                <w:rFonts w:hint="eastAsia" w:eastAsia="宋体" w:cs="Times New Roman"/>
                <w:color w:val="auto"/>
                <w:sz w:val="24"/>
                <w:szCs w:val="24"/>
                <w:highlight w:val="none"/>
                <w:lang w:val="en-US" w:eastAsia="zh-CN"/>
              </w:rPr>
              <w:t>46.1652</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40</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vertAlign w:val="superscript"/>
                <w:lang w:val="en-US" w:eastAsia="zh-CN"/>
              </w:rPr>
              <w:t>-3</w:t>
            </w:r>
          </w:p>
          <w:p w14:paraId="168D4490">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720" w:firstLineChars="3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P=4.14t/a</w:t>
            </w:r>
          </w:p>
          <w:p w14:paraId="4DC06976">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②粉尘排放量</w:t>
            </w:r>
          </w:p>
          <w:p w14:paraId="04527151">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20" w:firstLineChars="200"/>
              <w:jc w:val="center"/>
              <w:textAlignment w:val="auto"/>
              <w:rPr>
                <w:rFonts w:hint="eastAsia" w:ascii="Times New Roman" w:hAnsi="Times New Roman" w:eastAsia="宋体" w:cs="Times New Roman"/>
                <w:color w:val="auto"/>
                <w:sz w:val="24"/>
                <w:szCs w:val="24"/>
                <w:highlight w:val="none"/>
                <w:lang w:val="en-US" w:eastAsia="zh-CN"/>
              </w:rPr>
            </w:pPr>
            <w:r>
              <w:rPr>
                <w:rFonts w:hint="eastAsia"/>
                <w:color w:val="auto"/>
                <w:position w:val="-12"/>
              </w:rPr>
              <w:object>
                <v:shape id="_x0000_i1030" o:spt="75" type="#_x0000_t75" style="height:18pt;width:124.5pt;" o:ole="t" filled="f" o:preferrelative="t" stroked="f" coordsize="21600,21600">
                  <v:path/>
                  <v:fill on="f" focussize="0,0"/>
                  <v:stroke on="f"/>
                  <v:imagedata r:id="rId17" o:title=""/>
                  <o:lock v:ext="edit" aspectratio="t"/>
                  <w10:wrap type="none"/>
                  <w10:anchorlock/>
                </v:shape>
                <o:OLEObject Type="Embed" ProgID="Equation.3" ShapeID="_x0000_i1030" DrawAspect="Content" ObjectID="_1468075730" r:id="rId19">
                  <o:LockedField>false</o:LockedField>
                </o:OLEObject>
              </w:object>
            </w:r>
          </w:p>
          <w:p w14:paraId="34F57730">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式中：P：指颗粒物的产生量；</w:t>
            </w:r>
          </w:p>
          <w:p w14:paraId="4BD8C1ED">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Uc：指颗粒物的排放量（单位：吨）；</w:t>
            </w:r>
          </w:p>
          <w:p w14:paraId="4BD078E0">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Cm：指颗粒物控制措施控制效率（单位：%），</w:t>
            </w:r>
            <w:r>
              <w:rPr>
                <w:rFonts w:hint="eastAsia" w:cs="Times New Roman"/>
                <w:color w:val="auto"/>
                <w:sz w:val="24"/>
                <w:szCs w:val="24"/>
                <w:highlight w:val="none"/>
                <w:lang w:val="en-US" w:eastAsia="zh-CN"/>
              </w:rPr>
              <w:t>根据</w:t>
            </w:r>
            <w:r>
              <w:rPr>
                <w:rFonts w:hint="eastAsia" w:ascii="Times New Roman" w:hAnsi="Times New Roman" w:eastAsia="宋体" w:cs="Times New Roman"/>
                <w:color w:val="auto"/>
                <w:sz w:val="24"/>
                <w:szCs w:val="24"/>
                <w:highlight w:val="none"/>
                <w:lang w:val="en-US" w:eastAsia="zh-CN"/>
              </w:rPr>
              <w:t>附录</w:t>
            </w:r>
            <w:r>
              <w:rPr>
                <w:rFonts w:hint="eastAsia"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本项目灰渣储棚采用雾炮车洒水抑尘，粉尘</w:t>
            </w:r>
            <w:r>
              <w:rPr>
                <w:rFonts w:hint="eastAsia" w:ascii="Times New Roman" w:hAnsi="Times New Roman" w:eastAsia="宋体" w:cs="Times New Roman"/>
                <w:color w:val="auto"/>
                <w:sz w:val="24"/>
                <w:szCs w:val="24"/>
                <w:highlight w:val="none"/>
                <w:lang w:val="en-US" w:eastAsia="zh-CN"/>
              </w:rPr>
              <w:t>控制效率为</w:t>
            </w:r>
            <w:r>
              <w:rPr>
                <w:rFonts w:hint="eastAsia" w:cs="Times New Roman"/>
                <w:color w:val="auto"/>
                <w:sz w:val="24"/>
                <w:szCs w:val="24"/>
                <w:highlight w:val="none"/>
                <w:lang w:val="en-US" w:eastAsia="zh-CN"/>
              </w:rPr>
              <w:t>74</w:t>
            </w:r>
            <w:r>
              <w:rPr>
                <w:rFonts w:hint="eastAsia" w:ascii="Times New Roman" w:hAnsi="Times New Roman" w:eastAsia="宋体" w:cs="Times New Roman"/>
                <w:color w:val="auto"/>
                <w:sz w:val="24"/>
                <w:szCs w:val="24"/>
                <w:highlight w:val="none"/>
                <w:lang w:val="en-US" w:eastAsia="zh-CN"/>
              </w:rPr>
              <w:t>%；</w:t>
            </w:r>
          </w:p>
          <w:p w14:paraId="38B75B9D">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Tm：指堆场类型控制效率（单位：%），</w:t>
            </w:r>
            <w:r>
              <w:rPr>
                <w:rFonts w:hint="eastAsia" w:cs="Times New Roman"/>
                <w:color w:val="auto"/>
                <w:sz w:val="24"/>
                <w:szCs w:val="24"/>
                <w:highlight w:val="none"/>
                <w:lang w:val="en-US" w:eastAsia="zh-CN"/>
              </w:rPr>
              <w:t>根据</w:t>
            </w:r>
            <w:r>
              <w:rPr>
                <w:rFonts w:hint="eastAsia" w:ascii="Times New Roman" w:hAnsi="Times New Roman" w:eastAsia="宋体" w:cs="Times New Roman"/>
                <w:color w:val="auto"/>
                <w:sz w:val="24"/>
                <w:szCs w:val="24"/>
                <w:highlight w:val="none"/>
                <w:lang w:val="en-US" w:eastAsia="zh-CN"/>
              </w:rPr>
              <w:t>附录5，本项目设置密闭式厂房，控制效率99%；</w:t>
            </w:r>
          </w:p>
          <w:p w14:paraId="1D01DD18">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Uc=</w:t>
            </w:r>
            <w:r>
              <w:rPr>
                <w:rFonts w:hint="eastAsia" w:cs="Times New Roman"/>
                <w:color w:val="auto"/>
                <w:sz w:val="24"/>
                <w:szCs w:val="24"/>
                <w:highlight w:val="none"/>
                <w:lang w:val="en-US" w:eastAsia="zh-CN"/>
              </w:rPr>
              <w:t>4.14</w:t>
            </w: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74</w:t>
            </w:r>
            <w:r>
              <w:rPr>
                <w:rFonts w:hint="default" w:ascii="Times New Roman" w:hAnsi="Times New Roman" w:eastAsia="宋体" w:cs="Times New Roman"/>
                <w:color w:val="auto"/>
                <w:sz w:val="24"/>
                <w:szCs w:val="24"/>
                <w:highlight w:val="none"/>
                <w:lang w:val="en-US" w:eastAsia="zh-CN"/>
              </w:rPr>
              <w:t>%)×(1-99%)=</w:t>
            </w:r>
            <w:r>
              <w:rPr>
                <w:rFonts w:hint="eastAsia" w:ascii="Times New Roman" w:hAnsi="Times New Roman" w:cs="Times New Roman"/>
                <w:color w:val="auto"/>
                <w:sz w:val="24"/>
                <w:szCs w:val="24"/>
                <w:highlight w:val="none"/>
                <w:lang w:val="en-US" w:eastAsia="zh-CN"/>
              </w:rPr>
              <w:t>0.0</w:t>
            </w:r>
            <w:r>
              <w:rPr>
                <w:rFonts w:hint="eastAsia"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t/a</w:t>
            </w:r>
          </w:p>
          <w:p w14:paraId="340FEBAF">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经计算，本项目原煤装卸、堆存引起的扬尘产生量为</w:t>
            </w:r>
            <w:r>
              <w:rPr>
                <w:rFonts w:hint="eastAsia" w:cs="Times New Roman"/>
                <w:color w:val="auto"/>
                <w:sz w:val="24"/>
                <w:szCs w:val="24"/>
                <w:highlight w:val="none"/>
                <w:lang w:val="en-US" w:eastAsia="zh-CN"/>
              </w:rPr>
              <w:t>4.14</w:t>
            </w:r>
            <w:r>
              <w:rPr>
                <w:rFonts w:hint="eastAsia" w:ascii="Times New Roman" w:hAnsi="Times New Roman" w:eastAsia="宋体" w:cs="Times New Roman"/>
                <w:color w:val="auto"/>
                <w:sz w:val="24"/>
                <w:szCs w:val="24"/>
                <w:highlight w:val="none"/>
                <w:lang w:val="en-US" w:eastAsia="zh-CN"/>
              </w:rPr>
              <w:t>t/a，</w:t>
            </w:r>
            <w:r>
              <w:rPr>
                <w:rFonts w:hint="eastAsia" w:cs="Times New Roman"/>
                <w:color w:val="auto"/>
                <w:sz w:val="24"/>
                <w:szCs w:val="24"/>
                <w:highlight w:val="none"/>
                <w:lang w:val="en-US" w:eastAsia="zh-CN"/>
              </w:rPr>
              <w:t>0.58</w:t>
            </w:r>
            <w:r>
              <w:rPr>
                <w:rFonts w:hint="eastAsia" w:ascii="Times New Roman" w:hAnsi="Times New Roman" w:eastAsia="宋体" w:cs="Times New Roman"/>
                <w:color w:val="auto"/>
                <w:sz w:val="24"/>
                <w:szCs w:val="24"/>
                <w:highlight w:val="none"/>
                <w:lang w:val="en-US" w:eastAsia="zh-CN"/>
              </w:rPr>
              <w:t>kg/h，</w:t>
            </w:r>
            <w:r>
              <w:rPr>
                <w:rFonts w:hint="eastAsia" w:cs="Times New Roman"/>
                <w:color w:val="auto"/>
                <w:sz w:val="24"/>
                <w:szCs w:val="24"/>
                <w:highlight w:val="none"/>
                <w:lang w:val="en-US" w:eastAsia="zh-CN"/>
              </w:rPr>
              <w:t>燃煤堆场于</w:t>
            </w:r>
            <w:r>
              <w:rPr>
                <w:rFonts w:hint="eastAsia" w:ascii="Times New Roman" w:hAnsi="Times New Roman" w:eastAsia="宋体" w:cs="Times New Roman"/>
                <w:color w:val="auto"/>
                <w:sz w:val="24"/>
                <w:szCs w:val="24"/>
                <w:highlight w:val="none"/>
                <w:lang w:val="en-US" w:eastAsia="zh-CN"/>
              </w:rPr>
              <w:t>全封闭车间</w:t>
            </w:r>
            <w:r>
              <w:rPr>
                <w:rFonts w:hint="eastAsia" w:cs="Times New Roman"/>
                <w:color w:val="auto"/>
                <w:sz w:val="24"/>
                <w:szCs w:val="24"/>
                <w:highlight w:val="none"/>
                <w:lang w:val="en-US" w:eastAsia="zh-CN"/>
              </w:rPr>
              <w:t>并洒水抑尘</w:t>
            </w:r>
            <w:r>
              <w:rPr>
                <w:rFonts w:hint="eastAsia" w:ascii="Times New Roman" w:hAnsi="Times New Roman" w:eastAsia="宋体" w:cs="Times New Roman"/>
                <w:color w:val="auto"/>
                <w:sz w:val="24"/>
                <w:szCs w:val="24"/>
                <w:highlight w:val="none"/>
                <w:lang w:val="en-US" w:eastAsia="zh-CN"/>
              </w:rPr>
              <w:t>，最终逸散</w:t>
            </w:r>
            <w:r>
              <w:rPr>
                <w:rFonts w:hint="eastAsia" w:cs="Times New Roman"/>
                <w:color w:val="auto"/>
                <w:sz w:val="24"/>
                <w:szCs w:val="24"/>
                <w:highlight w:val="none"/>
                <w:lang w:val="en-US" w:eastAsia="zh-CN"/>
              </w:rPr>
              <w:t>0.01</w:t>
            </w:r>
            <w:r>
              <w:rPr>
                <w:rFonts w:hint="eastAsia" w:ascii="Times New Roman" w:hAnsi="Times New Roman" w:eastAsia="宋体" w:cs="Times New Roman"/>
                <w:color w:val="auto"/>
                <w:sz w:val="24"/>
                <w:szCs w:val="24"/>
                <w:highlight w:val="none"/>
                <w:lang w:val="en-US" w:eastAsia="zh-CN"/>
              </w:rPr>
              <w:t>t/a，0.</w:t>
            </w:r>
            <w:r>
              <w:rPr>
                <w:rFonts w:hint="eastAsia" w:cs="Times New Roman"/>
                <w:color w:val="auto"/>
                <w:sz w:val="24"/>
                <w:szCs w:val="24"/>
                <w:highlight w:val="none"/>
                <w:lang w:val="en-US" w:eastAsia="zh-CN"/>
              </w:rPr>
              <w:t>001</w:t>
            </w:r>
            <w:r>
              <w:rPr>
                <w:rFonts w:hint="eastAsia" w:ascii="Times New Roman" w:hAnsi="Times New Roman" w:eastAsia="宋体" w:cs="Times New Roman"/>
                <w:color w:val="auto"/>
                <w:sz w:val="24"/>
                <w:szCs w:val="24"/>
                <w:highlight w:val="none"/>
                <w:lang w:val="en-US" w:eastAsia="zh-CN"/>
              </w:rPr>
              <w:t>kg/h。</w:t>
            </w:r>
          </w:p>
          <w:p w14:paraId="28F49FA3">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color w:val="auto"/>
                <w:sz w:val="24"/>
                <w:lang w:val="en-US"/>
              </w:rPr>
            </w:pPr>
            <w:r>
              <w:rPr>
                <w:rFonts w:hint="eastAsia"/>
                <w:color w:val="auto"/>
                <w:sz w:val="24"/>
                <w:lang w:val="en-US"/>
              </w:rPr>
              <w:t>5）现有焦炉煤气热风炉烟气产生情况</w:t>
            </w:r>
          </w:p>
          <w:p w14:paraId="14D8BB00">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本次热源技改项目新建一台高洁净直接式燃煤热风炉，为喷雾干燥工段提供热</w:t>
            </w:r>
            <w:r>
              <w:rPr>
                <w:rFonts w:hint="eastAsia" w:cs="Times New Roman"/>
                <w:color w:val="auto"/>
                <w:sz w:val="24"/>
                <w:szCs w:val="24"/>
                <w:highlight w:val="none"/>
                <w:lang w:val="en-US" w:eastAsia="zh-CN"/>
              </w:rPr>
              <w:t>源</w:t>
            </w:r>
            <w:r>
              <w:rPr>
                <w:rFonts w:hint="eastAsia" w:ascii="Times New Roman" w:hAnsi="Times New Roman" w:eastAsia="宋体" w:cs="Times New Roman"/>
                <w:color w:val="auto"/>
                <w:sz w:val="24"/>
                <w:szCs w:val="24"/>
                <w:highlight w:val="none"/>
                <w:lang w:val="en-US" w:eastAsia="zh-CN"/>
              </w:rPr>
              <w:t>，保留</w:t>
            </w:r>
            <w:r>
              <w:rPr>
                <w:rFonts w:hint="eastAsia" w:cs="Times New Roman"/>
                <w:color w:val="auto"/>
                <w:sz w:val="24"/>
                <w:szCs w:val="24"/>
                <w:highlight w:val="none"/>
                <w:lang w:val="en-US" w:eastAsia="zh-CN"/>
              </w:rPr>
              <w:t>现</w:t>
            </w:r>
            <w:r>
              <w:rPr>
                <w:rFonts w:hint="eastAsia" w:ascii="Times New Roman" w:hAnsi="Times New Roman" w:eastAsia="宋体" w:cs="Times New Roman"/>
                <w:color w:val="auto"/>
                <w:sz w:val="24"/>
                <w:szCs w:val="24"/>
                <w:highlight w:val="none"/>
                <w:lang w:val="en-US" w:eastAsia="zh-CN"/>
              </w:rPr>
              <w:t>有喷雾干燥塔热风炉（焦炉煤气），作为备用热源。根据《利用粉煤灰生产聚合氯化铝技改扩建项目环境影响评价报告书》，现有焦炉煤气热风炉产生的烟气净化后直接接触物料，烟气与喷雾干燥产生的废气</w:t>
            </w:r>
            <w:r>
              <w:rPr>
                <w:rFonts w:hint="eastAsia" w:cs="Times New Roman"/>
                <w:color w:val="auto"/>
                <w:sz w:val="24"/>
                <w:szCs w:val="24"/>
                <w:highlight w:val="none"/>
                <w:lang w:val="en-US" w:eastAsia="zh-CN"/>
              </w:rPr>
              <w:t>经过粉尘收集装置进行吸收（效率99%）后，</w:t>
            </w:r>
            <w:r>
              <w:rPr>
                <w:rFonts w:hint="eastAsia" w:ascii="Times New Roman" w:hAnsi="Times New Roman" w:eastAsia="宋体" w:cs="Times New Roman"/>
                <w:color w:val="auto"/>
                <w:sz w:val="24"/>
                <w:szCs w:val="24"/>
                <w:highlight w:val="none"/>
                <w:lang w:val="en-US" w:eastAsia="zh-CN"/>
              </w:rPr>
              <w:t>一并进入三级吸收塔处理后排放。</w:t>
            </w:r>
          </w:p>
          <w:p w14:paraId="2E474771">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现有三级吸收塔、焦炉煤气热风炉烟气排放情况详见下表：</w:t>
            </w:r>
          </w:p>
          <w:p w14:paraId="41B94436">
            <w:pPr>
              <w:pStyle w:val="16"/>
              <w:keepNext w:val="0"/>
              <w:keepLines w:val="0"/>
              <w:pageBreakBefore w:val="0"/>
              <w:widowControl/>
              <w:kinsoku/>
              <w:wordWrap/>
              <w:overflowPunct/>
              <w:topLinePunct w:val="0"/>
              <w:autoSpaceDE/>
              <w:autoSpaceDN/>
              <w:bidi w:val="0"/>
              <w:adjustRightInd/>
              <w:snapToGrid/>
              <w:spacing w:line="480" w:lineRule="exact"/>
              <w:jc w:val="center"/>
              <w:textAlignment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表4-2  </w:t>
            </w:r>
            <w:r>
              <w:rPr>
                <w:rFonts w:hint="eastAsia" w:ascii="Times New Roman" w:hAnsi="Times New Roman" w:eastAsia="宋体" w:cs="Times New Roman"/>
                <w:color w:val="auto"/>
                <w:sz w:val="24"/>
                <w:szCs w:val="24"/>
                <w:highlight w:val="none"/>
                <w:lang w:val="en-US" w:eastAsia="zh-CN"/>
              </w:rPr>
              <w:t>现有三级吸收塔、焦炉煤气热风炉</w:t>
            </w:r>
            <w:r>
              <w:rPr>
                <w:rFonts w:hint="eastAsia" w:ascii="Times New Roman" w:hAnsi="Times New Roman" w:eastAsia="宋体" w:cs="Times New Roman"/>
                <w:color w:val="auto"/>
                <w:sz w:val="24"/>
                <w:szCs w:val="24"/>
                <w:lang w:val="en-US" w:eastAsia="zh-CN"/>
              </w:rPr>
              <w:t>烟气排放情况</w:t>
            </w:r>
          </w:p>
          <w:tbl>
            <w:tblPr>
              <w:tblStyle w:val="10"/>
              <w:tblW w:w="4955" w:type="pct"/>
              <w:tblInd w:w="1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04"/>
              <w:gridCol w:w="1441"/>
              <w:gridCol w:w="1674"/>
              <w:gridCol w:w="1824"/>
              <w:gridCol w:w="1831"/>
            </w:tblGrid>
            <w:tr w14:paraId="32F140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1" w:hRule="atLeast"/>
              </w:trPr>
              <w:tc>
                <w:tcPr>
                  <w:tcW w:w="701" w:type="pct"/>
                  <w:vMerge w:val="restart"/>
                  <w:tcBorders>
                    <w:tl2br w:val="nil"/>
                    <w:tr2bl w:val="nil"/>
                  </w:tcBorders>
                  <w:shd w:val="clear" w:color="auto" w:fill="auto"/>
                  <w:vAlign w:val="center"/>
                </w:tcPr>
                <w:p w14:paraId="776D0EED">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污染源</w:t>
                  </w:r>
                </w:p>
              </w:tc>
              <w:tc>
                <w:tcPr>
                  <w:tcW w:w="915" w:type="pct"/>
                  <w:vMerge w:val="restart"/>
                  <w:tcBorders>
                    <w:tl2br w:val="nil"/>
                    <w:tr2bl w:val="nil"/>
                  </w:tcBorders>
                  <w:shd w:val="clear" w:color="auto" w:fill="auto"/>
                  <w:vAlign w:val="center"/>
                </w:tcPr>
                <w:p w14:paraId="1A207B31">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主要污染物</w:t>
                  </w:r>
                </w:p>
              </w:tc>
              <w:tc>
                <w:tcPr>
                  <w:tcW w:w="3383" w:type="pct"/>
                  <w:gridSpan w:val="3"/>
                  <w:tcBorders>
                    <w:tl2br w:val="nil"/>
                    <w:tr2bl w:val="nil"/>
                  </w:tcBorders>
                  <w:shd w:val="clear" w:color="auto" w:fill="auto"/>
                  <w:vAlign w:val="center"/>
                </w:tcPr>
                <w:p w14:paraId="351C4227">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排放量</w:t>
                  </w:r>
                </w:p>
              </w:tc>
            </w:tr>
            <w:tr w14:paraId="52E876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4" w:hRule="atLeast"/>
              </w:trPr>
              <w:tc>
                <w:tcPr>
                  <w:tcW w:w="701" w:type="pct"/>
                  <w:vMerge w:val="continue"/>
                  <w:tcBorders>
                    <w:tl2br w:val="nil"/>
                    <w:tr2bl w:val="nil"/>
                  </w:tcBorders>
                  <w:vAlign w:val="center"/>
                </w:tcPr>
                <w:p w14:paraId="5FDC5DF6">
                  <w:pPr>
                    <w:jc w:val="center"/>
                    <w:rPr>
                      <w:rFonts w:ascii="Times New Roman" w:hAnsi="Times New Roman" w:cs="Times New Roman"/>
                      <w:color w:val="auto"/>
                      <w:sz w:val="21"/>
                      <w:szCs w:val="21"/>
                      <w:lang w:bidi="ar-SA"/>
                    </w:rPr>
                  </w:pPr>
                </w:p>
              </w:tc>
              <w:tc>
                <w:tcPr>
                  <w:tcW w:w="915" w:type="pct"/>
                  <w:vMerge w:val="continue"/>
                  <w:tcBorders>
                    <w:tl2br w:val="nil"/>
                    <w:tr2bl w:val="nil"/>
                  </w:tcBorders>
                  <w:vAlign w:val="center"/>
                </w:tcPr>
                <w:p w14:paraId="3D5CB4B0">
                  <w:pPr>
                    <w:jc w:val="center"/>
                    <w:rPr>
                      <w:rFonts w:ascii="Times New Roman" w:hAnsi="Times New Roman" w:cs="Times New Roman"/>
                      <w:color w:val="auto"/>
                      <w:sz w:val="21"/>
                      <w:szCs w:val="21"/>
                      <w:lang w:bidi="ar-SA"/>
                    </w:rPr>
                  </w:pPr>
                </w:p>
              </w:tc>
              <w:tc>
                <w:tcPr>
                  <w:tcW w:w="1063" w:type="pct"/>
                  <w:tcBorders>
                    <w:tl2br w:val="nil"/>
                    <w:tr2bl w:val="nil"/>
                  </w:tcBorders>
                  <w:shd w:val="clear" w:color="auto" w:fill="auto"/>
                  <w:vAlign w:val="center"/>
                </w:tcPr>
                <w:p w14:paraId="5DCA1330">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mg/m</w:t>
                  </w:r>
                  <w:r>
                    <w:rPr>
                      <w:rFonts w:ascii="Times New Roman" w:hAnsi="Times New Roman" w:cs="Times New Roman"/>
                      <w:color w:val="auto"/>
                      <w:sz w:val="21"/>
                      <w:szCs w:val="21"/>
                      <w:vertAlign w:val="superscript"/>
                      <w:lang w:bidi="ar-SA"/>
                    </w:rPr>
                    <w:t>3</w:t>
                  </w:r>
                </w:p>
              </w:tc>
              <w:tc>
                <w:tcPr>
                  <w:tcW w:w="1158" w:type="pct"/>
                  <w:tcBorders>
                    <w:tl2br w:val="nil"/>
                    <w:tr2bl w:val="nil"/>
                  </w:tcBorders>
                  <w:shd w:val="clear" w:color="auto" w:fill="auto"/>
                  <w:vAlign w:val="center"/>
                </w:tcPr>
                <w:p w14:paraId="481830B6">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kg/h</w:t>
                  </w:r>
                </w:p>
              </w:tc>
              <w:tc>
                <w:tcPr>
                  <w:tcW w:w="1161" w:type="pct"/>
                  <w:tcBorders>
                    <w:tl2br w:val="nil"/>
                    <w:tr2bl w:val="nil"/>
                  </w:tcBorders>
                  <w:shd w:val="clear" w:color="auto" w:fill="auto"/>
                  <w:vAlign w:val="center"/>
                </w:tcPr>
                <w:p w14:paraId="6892F640">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t/a</w:t>
                  </w:r>
                </w:p>
              </w:tc>
            </w:tr>
            <w:tr w14:paraId="767049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01" w:type="pct"/>
                  <w:vMerge w:val="restart"/>
                  <w:tcBorders>
                    <w:tl2br w:val="nil"/>
                    <w:tr2bl w:val="nil"/>
                  </w:tcBorders>
                  <w:vAlign w:val="center"/>
                </w:tcPr>
                <w:p w14:paraId="16A019B9">
                  <w:pPr>
                    <w:jc w:val="center"/>
                    <w:rPr>
                      <w:rFonts w:ascii="Times New Roman" w:hAnsi="Times New Roman" w:cs="Times New Roman"/>
                      <w:color w:val="auto"/>
                      <w:sz w:val="21"/>
                      <w:szCs w:val="21"/>
                      <w:lang w:bidi="ar-SA"/>
                    </w:rPr>
                  </w:pPr>
                  <w:r>
                    <w:rPr>
                      <w:rFonts w:hint="eastAsia" w:ascii="Times New Roman" w:hAnsi="Times New Roman" w:eastAsia="宋体" w:cs="Times New Roman"/>
                      <w:color w:val="auto"/>
                      <w:sz w:val="24"/>
                      <w:szCs w:val="24"/>
                      <w:highlight w:val="none"/>
                      <w:lang w:val="en-US" w:eastAsia="zh-CN"/>
                    </w:rPr>
                    <w:t>三级吸收塔</w:t>
                  </w:r>
                </w:p>
              </w:tc>
              <w:tc>
                <w:tcPr>
                  <w:tcW w:w="915" w:type="pct"/>
                  <w:tcBorders>
                    <w:tl2br w:val="nil"/>
                    <w:tr2bl w:val="nil"/>
                  </w:tcBorders>
                  <w:vAlign w:val="center"/>
                </w:tcPr>
                <w:p w14:paraId="0DF8DC7B">
                  <w:pPr>
                    <w:jc w:val="center"/>
                    <w:rPr>
                      <w:rFonts w:ascii="Times New Roman" w:hAnsi="Times New Roman" w:cs="Times New Roman"/>
                      <w:color w:val="auto"/>
                      <w:sz w:val="21"/>
                      <w:szCs w:val="21"/>
                      <w:lang w:bidi="ar-SA"/>
                    </w:rPr>
                  </w:pPr>
                  <w:r>
                    <w:rPr>
                      <w:rFonts w:hint="eastAsia" w:ascii="Times New Roman" w:hAnsi="Times New Roman" w:cs="Times New Roman"/>
                      <w:color w:val="auto"/>
                      <w:sz w:val="21"/>
                      <w:szCs w:val="21"/>
                      <w:lang w:bidi="ar-SA"/>
                    </w:rPr>
                    <w:t>HCl</w:t>
                  </w:r>
                </w:p>
              </w:tc>
              <w:tc>
                <w:tcPr>
                  <w:tcW w:w="1063" w:type="pct"/>
                  <w:tcBorders>
                    <w:tl2br w:val="nil"/>
                    <w:tr2bl w:val="nil"/>
                  </w:tcBorders>
                  <w:shd w:val="clear" w:color="auto" w:fill="auto"/>
                  <w:vAlign w:val="center"/>
                </w:tcPr>
                <w:p w14:paraId="5FBA9D24">
                  <w:pPr>
                    <w:jc w:val="center"/>
                    <w:rPr>
                      <w:rFonts w:ascii="Times New Roman" w:hAnsi="Times New Roman" w:cs="Times New Roman"/>
                      <w:color w:val="auto"/>
                      <w:sz w:val="21"/>
                      <w:szCs w:val="21"/>
                      <w:lang w:bidi="ar-SA"/>
                    </w:rPr>
                  </w:pPr>
                  <w:r>
                    <w:rPr>
                      <w:rFonts w:hint="eastAsia" w:ascii="Times New Roman" w:hAnsi="Times New Roman" w:cs="Times New Roman"/>
                      <w:color w:val="auto"/>
                      <w:sz w:val="21"/>
                      <w:szCs w:val="21"/>
                      <w:lang w:bidi="ar-SA"/>
                    </w:rPr>
                    <w:t>0.046</w:t>
                  </w:r>
                </w:p>
              </w:tc>
              <w:tc>
                <w:tcPr>
                  <w:tcW w:w="1158" w:type="pct"/>
                  <w:tcBorders>
                    <w:tl2br w:val="nil"/>
                    <w:tr2bl w:val="nil"/>
                  </w:tcBorders>
                  <w:shd w:val="clear" w:color="auto" w:fill="auto"/>
                  <w:vAlign w:val="center"/>
                </w:tcPr>
                <w:p w14:paraId="6047C357">
                  <w:pPr>
                    <w:jc w:val="center"/>
                    <w:rPr>
                      <w:rFonts w:hint="eastAsia" w:ascii="Times New Roman" w:hAnsi="Times New Roman" w:eastAsia="宋体" w:cs="Times New Roman"/>
                      <w:color w:val="auto"/>
                      <w:sz w:val="21"/>
                      <w:szCs w:val="21"/>
                      <w:lang w:eastAsia="zh-CN" w:bidi="ar-SA"/>
                    </w:rPr>
                  </w:pPr>
                  <w:r>
                    <w:rPr>
                      <w:rFonts w:hint="eastAsia" w:ascii="Times New Roman" w:hAnsi="Times New Roman" w:cs="Times New Roman"/>
                      <w:color w:val="auto"/>
                      <w:sz w:val="21"/>
                      <w:szCs w:val="21"/>
                      <w:lang w:bidi="ar-SA"/>
                    </w:rPr>
                    <w:t>0.00</w:t>
                  </w:r>
                  <w:r>
                    <w:rPr>
                      <w:rFonts w:hint="eastAsia" w:cs="Times New Roman"/>
                      <w:color w:val="auto"/>
                      <w:sz w:val="21"/>
                      <w:szCs w:val="21"/>
                      <w:lang w:val="en-US" w:eastAsia="zh-CN" w:bidi="ar-SA"/>
                    </w:rPr>
                    <w:t>1</w:t>
                  </w:r>
                </w:p>
              </w:tc>
              <w:tc>
                <w:tcPr>
                  <w:tcW w:w="1161" w:type="pct"/>
                  <w:tcBorders>
                    <w:tl2br w:val="nil"/>
                    <w:tr2bl w:val="nil"/>
                  </w:tcBorders>
                  <w:shd w:val="clear" w:color="auto" w:fill="auto"/>
                  <w:vAlign w:val="center"/>
                </w:tcPr>
                <w:p w14:paraId="51DD21C8">
                  <w:pPr>
                    <w:jc w:val="center"/>
                    <w:rPr>
                      <w:rFonts w:ascii="Times New Roman" w:hAnsi="Times New Roman" w:cs="Times New Roman"/>
                      <w:color w:val="auto"/>
                      <w:sz w:val="21"/>
                      <w:szCs w:val="21"/>
                      <w:lang w:bidi="ar-SA"/>
                    </w:rPr>
                  </w:pPr>
                  <w:r>
                    <w:rPr>
                      <w:rFonts w:hint="eastAsia" w:ascii="Times New Roman" w:hAnsi="Times New Roman" w:cs="Times New Roman"/>
                      <w:color w:val="auto"/>
                      <w:sz w:val="21"/>
                      <w:szCs w:val="21"/>
                      <w:lang w:bidi="ar-SA"/>
                    </w:rPr>
                    <w:t>0.008</w:t>
                  </w:r>
                </w:p>
              </w:tc>
            </w:tr>
            <w:tr w14:paraId="09DBCD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01" w:type="pct"/>
                  <w:vMerge w:val="continue"/>
                  <w:tcBorders>
                    <w:tl2br w:val="nil"/>
                    <w:tr2bl w:val="nil"/>
                  </w:tcBorders>
                  <w:vAlign w:val="center"/>
                </w:tcPr>
                <w:p w14:paraId="506AA940">
                  <w:pPr>
                    <w:jc w:val="center"/>
                    <w:rPr>
                      <w:rFonts w:ascii="Times New Roman" w:hAnsi="Times New Roman" w:cs="Times New Roman"/>
                      <w:color w:val="auto"/>
                      <w:sz w:val="21"/>
                      <w:szCs w:val="21"/>
                      <w:lang w:bidi="ar-SA"/>
                    </w:rPr>
                  </w:pPr>
                </w:p>
              </w:tc>
              <w:tc>
                <w:tcPr>
                  <w:tcW w:w="915" w:type="pct"/>
                  <w:tcBorders>
                    <w:tl2br w:val="nil"/>
                    <w:tr2bl w:val="nil"/>
                  </w:tcBorders>
                  <w:vAlign w:val="center"/>
                </w:tcPr>
                <w:p w14:paraId="43C3D648">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颗粒物</w:t>
                  </w:r>
                </w:p>
              </w:tc>
              <w:tc>
                <w:tcPr>
                  <w:tcW w:w="1063" w:type="pct"/>
                  <w:vMerge w:val="restart"/>
                  <w:tcBorders>
                    <w:tl2br w:val="nil"/>
                    <w:tr2bl w:val="nil"/>
                  </w:tcBorders>
                  <w:shd w:val="clear" w:color="auto" w:fill="auto"/>
                  <w:vAlign w:val="center"/>
                </w:tcPr>
                <w:p w14:paraId="22677717">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0.2</w:t>
                  </w:r>
                  <w:r>
                    <w:rPr>
                      <w:rFonts w:hint="eastAsia" w:cs="Times New Roman"/>
                      <w:color w:val="auto"/>
                      <w:sz w:val="21"/>
                      <w:szCs w:val="21"/>
                      <w:lang w:val="en-US" w:eastAsia="zh-CN" w:bidi="ar-SA"/>
                    </w:rPr>
                    <w:t>4</w:t>
                  </w:r>
                </w:p>
              </w:tc>
              <w:tc>
                <w:tcPr>
                  <w:tcW w:w="1158" w:type="pct"/>
                  <w:vMerge w:val="restart"/>
                  <w:tcBorders>
                    <w:tl2br w:val="nil"/>
                    <w:tr2bl w:val="nil"/>
                  </w:tcBorders>
                  <w:shd w:val="clear" w:color="auto" w:fill="auto"/>
                  <w:vAlign w:val="center"/>
                </w:tcPr>
                <w:p w14:paraId="1DF668EC">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 w:val="21"/>
                      <w:szCs w:val="21"/>
                      <w:lang w:bidi="ar-SA"/>
                    </w:rPr>
                    <w:t>0.00</w:t>
                  </w:r>
                  <w:r>
                    <w:rPr>
                      <w:rFonts w:hint="eastAsia" w:cs="Times New Roman"/>
                      <w:color w:val="auto"/>
                      <w:sz w:val="21"/>
                      <w:szCs w:val="21"/>
                      <w:lang w:val="en-US" w:eastAsia="zh-CN" w:bidi="ar-SA"/>
                    </w:rPr>
                    <w:t>63</w:t>
                  </w:r>
                </w:p>
              </w:tc>
              <w:tc>
                <w:tcPr>
                  <w:tcW w:w="1161" w:type="pct"/>
                  <w:vMerge w:val="restart"/>
                  <w:tcBorders>
                    <w:tl2br w:val="nil"/>
                    <w:tr2bl w:val="nil"/>
                  </w:tcBorders>
                  <w:shd w:val="clear" w:color="auto" w:fill="auto"/>
                  <w:vAlign w:val="center"/>
                </w:tcPr>
                <w:p w14:paraId="5CED43D4">
                  <w:pPr>
                    <w:jc w:val="center"/>
                    <w:rPr>
                      <w:rFonts w:hint="default" w:ascii="Times New Roman" w:hAnsi="Times New Roman" w:cs="Times New Roman"/>
                      <w:color w:val="auto"/>
                      <w:sz w:val="21"/>
                      <w:szCs w:val="21"/>
                      <w:lang w:val="en-US" w:bidi="ar-SA"/>
                    </w:rPr>
                  </w:pPr>
                  <w:r>
                    <w:rPr>
                      <w:rFonts w:hint="eastAsia" w:ascii="Times New Roman" w:hAnsi="Times New Roman" w:cs="Times New Roman"/>
                      <w:color w:val="auto"/>
                      <w:sz w:val="21"/>
                      <w:szCs w:val="21"/>
                      <w:lang w:val="en-US" w:eastAsia="zh-CN" w:bidi="ar-SA"/>
                    </w:rPr>
                    <w:t>0.04</w:t>
                  </w:r>
                  <w:r>
                    <w:rPr>
                      <w:rFonts w:hint="eastAsia" w:cs="Times New Roman"/>
                      <w:color w:val="auto"/>
                      <w:sz w:val="21"/>
                      <w:szCs w:val="21"/>
                      <w:lang w:val="en-US" w:eastAsia="zh-CN" w:bidi="ar-SA"/>
                    </w:rPr>
                    <w:t>1</w:t>
                  </w:r>
                </w:p>
              </w:tc>
            </w:tr>
            <w:tr w14:paraId="0CD22F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701" w:type="pct"/>
                  <w:vMerge w:val="restart"/>
                  <w:tcBorders>
                    <w:tl2br w:val="nil"/>
                    <w:tr2bl w:val="nil"/>
                  </w:tcBorders>
                  <w:shd w:val="clear" w:color="auto" w:fill="auto"/>
                  <w:vAlign w:val="center"/>
                </w:tcPr>
                <w:p w14:paraId="22C881BD">
                  <w:pPr>
                    <w:jc w:val="center"/>
                    <w:rPr>
                      <w:rFonts w:ascii="Times New Roman" w:hAnsi="Times New Roman" w:cs="Times New Roman"/>
                      <w:color w:val="auto"/>
                      <w:sz w:val="21"/>
                      <w:szCs w:val="21"/>
                      <w:lang w:bidi="ar-SA"/>
                    </w:rPr>
                  </w:pPr>
                  <w:r>
                    <w:rPr>
                      <w:rFonts w:ascii="Times New Roman" w:hAnsi="Times New Roman" w:cs="Times New Roman"/>
                      <w:color w:val="auto"/>
                    </w:rPr>
                    <w:t>热风炉</w:t>
                  </w:r>
                </w:p>
              </w:tc>
              <w:tc>
                <w:tcPr>
                  <w:tcW w:w="915" w:type="pct"/>
                  <w:tcBorders>
                    <w:tl2br w:val="nil"/>
                    <w:tr2bl w:val="nil"/>
                  </w:tcBorders>
                  <w:shd w:val="clear" w:color="auto" w:fill="auto"/>
                  <w:vAlign w:val="center"/>
                </w:tcPr>
                <w:p w14:paraId="6C1B5C37">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颗粒物</w:t>
                  </w:r>
                </w:p>
              </w:tc>
              <w:tc>
                <w:tcPr>
                  <w:tcW w:w="1063" w:type="pct"/>
                  <w:vMerge w:val="continue"/>
                  <w:tcBorders>
                    <w:tl2br w:val="nil"/>
                    <w:tr2bl w:val="nil"/>
                  </w:tcBorders>
                  <w:shd w:val="clear" w:color="auto" w:fill="auto"/>
                  <w:vAlign w:val="center"/>
                </w:tcPr>
                <w:p w14:paraId="1B4BAD7B">
                  <w:pPr>
                    <w:jc w:val="center"/>
                    <w:rPr>
                      <w:rFonts w:ascii="Times New Roman" w:hAnsi="Times New Roman" w:cs="Times New Roman"/>
                      <w:color w:val="auto"/>
                      <w:sz w:val="21"/>
                      <w:szCs w:val="21"/>
                      <w:lang w:bidi="ar-SA"/>
                    </w:rPr>
                  </w:pPr>
                </w:p>
              </w:tc>
              <w:tc>
                <w:tcPr>
                  <w:tcW w:w="1158" w:type="pct"/>
                  <w:vMerge w:val="continue"/>
                  <w:tcBorders>
                    <w:tl2br w:val="nil"/>
                    <w:tr2bl w:val="nil"/>
                  </w:tcBorders>
                  <w:shd w:val="clear" w:color="auto" w:fill="auto"/>
                  <w:vAlign w:val="center"/>
                </w:tcPr>
                <w:p w14:paraId="5EA8D6EB">
                  <w:pPr>
                    <w:jc w:val="center"/>
                    <w:rPr>
                      <w:rFonts w:ascii="Times New Roman" w:hAnsi="Times New Roman" w:cs="Times New Roman"/>
                      <w:color w:val="auto"/>
                      <w:sz w:val="21"/>
                      <w:szCs w:val="21"/>
                      <w:lang w:bidi="ar-SA"/>
                    </w:rPr>
                  </w:pPr>
                </w:p>
              </w:tc>
              <w:tc>
                <w:tcPr>
                  <w:tcW w:w="1161" w:type="pct"/>
                  <w:vMerge w:val="continue"/>
                  <w:tcBorders>
                    <w:tl2br w:val="nil"/>
                    <w:tr2bl w:val="nil"/>
                  </w:tcBorders>
                  <w:shd w:val="clear" w:color="auto" w:fill="auto"/>
                  <w:vAlign w:val="center"/>
                </w:tcPr>
                <w:p w14:paraId="340A4F73">
                  <w:pPr>
                    <w:jc w:val="center"/>
                    <w:rPr>
                      <w:rFonts w:ascii="Times New Roman" w:hAnsi="Times New Roman" w:cs="Times New Roman"/>
                      <w:color w:val="auto"/>
                      <w:sz w:val="21"/>
                      <w:szCs w:val="21"/>
                      <w:lang w:bidi="ar-SA"/>
                    </w:rPr>
                  </w:pPr>
                </w:p>
              </w:tc>
            </w:tr>
            <w:tr w14:paraId="158B4E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701" w:type="pct"/>
                  <w:vMerge w:val="continue"/>
                  <w:tcBorders>
                    <w:tl2br w:val="nil"/>
                    <w:tr2bl w:val="nil"/>
                  </w:tcBorders>
                  <w:vAlign w:val="center"/>
                </w:tcPr>
                <w:p w14:paraId="3F745853">
                  <w:pPr>
                    <w:jc w:val="center"/>
                    <w:rPr>
                      <w:rFonts w:ascii="Times New Roman" w:hAnsi="Times New Roman" w:cs="Times New Roman"/>
                      <w:color w:val="auto"/>
                      <w:sz w:val="21"/>
                      <w:szCs w:val="21"/>
                      <w:lang w:bidi="ar-SA"/>
                    </w:rPr>
                  </w:pPr>
                </w:p>
              </w:tc>
              <w:tc>
                <w:tcPr>
                  <w:tcW w:w="915" w:type="pct"/>
                  <w:tcBorders>
                    <w:tl2br w:val="nil"/>
                    <w:tr2bl w:val="nil"/>
                  </w:tcBorders>
                  <w:shd w:val="clear" w:color="auto" w:fill="auto"/>
                  <w:vAlign w:val="center"/>
                </w:tcPr>
                <w:p w14:paraId="2D845381">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SO</w:t>
                  </w:r>
                  <w:r>
                    <w:rPr>
                      <w:rFonts w:ascii="Times New Roman" w:hAnsi="Times New Roman" w:cs="Times New Roman"/>
                      <w:color w:val="auto"/>
                      <w:sz w:val="21"/>
                      <w:szCs w:val="21"/>
                      <w:vertAlign w:val="subscript"/>
                      <w:lang w:bidi="ar-SA"/>
                    </w:rPr>
                    <w:t>2</w:t>
                  </w:r>
                </w:p>
              </w:tc>
              <w:tc>
                <w:tcPr>
                  <w:tcW w:w="1063" w:type="pct"/>
                  <w:tcBorders>
                    <w:tl2br w:val="nil"/>
                    <w:tr2bl w:val="nil"/>
                  </w:tcBorders>
                  <w:shd w:val="clear" w:color="auto" w:fill="auto"/>
                  <w:vAlign w:val="center"/>
                </w:tcPr>
                <w:p w14:paraId="37E4D063">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0.27</w:t>
                  </w:r>
                </w:p>
              </w:tc>
              <w:tc>
                <w:tcPr>
                  <w:tcW w:w="1158" w:type="pct"/>
                  <w:tcBorders>
                    <w:tl2br w:val="nil"/>
                    <w:tr2bl w:val="nil"/>
                  </w:tcBorders>
                  <w:shd w:val="clear" w:color="auto" w:fill="auto"/>
                  <w:vAlign w:val="center"/>
                </w:tcPr>
                <w:p w14:paraId="7F2349ED">
                  <w:pPr>
                    <w:jc w:val="center"/>
                    <w:rPr>
                      <w:rFonts w:hint="eastAsia" w:ascii="Times New Roman" w:hAnsi="Times New Roman" w:eastAsia="宋体" w:cs="Times New Roman"/>
                      <w:color w:val="auto"/>
                      <w:sz w:val="21"/>
                      <w:szCs w:val="21"/>
                      <w:lang w:eastAsia="zh-CN" w:bidi="ar-SA"/>
                    </w:rPr>
                  </w:pPr>
                  <w:r>
                    <w:rPr>
                      <w:rFonts w:ascii="Times New Roman" w:hAnsi="Times New Roman" w:cs="Times New Roman"/>
                      <w:color w:val="auto"/>
                      <w:sz w:val="21"/>
                      <w:szCs w:val="21"/>
                      <w:lang w:bidi="ar-SA"/>
                    </w:rPr>
                    <w:t>0.0</w:t>
                  </w:r>
                  <w:r>
                    <w:rPr>
                      <w:rFonts w:hint="eastAsia" w:cs="Times New Roman"/>
                      <w:color w:val="auto"/>
                      <w:sz w:val="21"/>
                      <w:szCs w:val="21"/>
                      <w:lang w:val="en-US" w:eastAsia="zh-CN" w:bidi="ar-SA"/>
                    </w:rPr>
                    <w:t>07</w:t>
                  </w:r>
                </w:p>
              </w:tc>
              <w:tc>
                <w:tcPr>
                  <w:tcW w:w="1161" w:type="pct"/>
                  <w:tcBorders>
                    <w:tl2br w:val="nil"/>
                    <w:tr2bl w:val="nil"/>
                  </w:tcBorders>
                  <w:shd w:val="clear" w:color="auto" w:fill="auto"/>
                  <w:vAlign w:val="center"/>
                </w:tcPr>
                <w:p w14:paraId="2027852A">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0.0471</w:t>
                  </w:r>
                </w:p>
              </w:tc>
            </w:tr>
            <w:tr w14:paraId="307F32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6" w:hRule="atLeast"/>
              </w:trPr>
              <w:tc>
                <w:tcPr>
                  <w:tcW w:w="701" w:type="pct"/>
                  <w:vMerge w:val="continue"/>
                  <w:tcBorders>
                    <w:tl2br w:val="nil"/>
                    <w:tr2bl w:val="nil"/>
                  </w:tcBorders>
                  <w:vAlign w:val="center"/>
                </w:tcPr>
                <w:p w14:paraId="5D0AEE7B">
                  <w:pPr>
                    <w:jc w:val="center"/>
                    <w:rPr>
                      <w:rFonts w:ascii="Times New Roman" w:hAnsi="Times New Roman" w:cs="Times New Roman"/>
                      <w:color w:val="auto"/>
                      <w:sz w:val="21"/>
                      <w:szCs w:val="21"/>
                      <w:lang w:bidi="ar-SA"/>
                    </w:rPr>
                  </w:pPr>
                </w:p>
              </w:tc>
              <w:tc>
                <w:tcPr>
                  <w:tcW w:w="915" w:type="pct"/>
                  <w:tcBorders>
                    <w:tl2br w:val="nil"/>
                    <w:tr2bl w:val="nil"/>
                  </w:tcBorders>
                  <w:shd w:val="clear" w:color="auto" w:fill="auto"/>
                  <w:vAlign w:val="center"/>
                </w:tcPr>
                <w:p w14:paraId="78C872AF">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NOx</w:t>
                  </w:r>
                </w:p>
              </w:tc>
              <w:tc>
                <w:tcPr>
                  <w:tcW w:w="1063" w:type="pct"/>
                  <w:tcBorders>
                    <w:tl2br w:val="nil"/>
                    <w:tr2bl w:val="nil"/>
                  </w:tcBorders>
                  <w:shd w:val="clear" w:color="auto" w:fill="auto"/>
                  <w:vAlign w:val="center"/>
                </w:tcPr>
                <w:p w14:paraId="098A6285">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12.06</w:t>
                  </w:r>
                </w:p>
              </w:tc>
              <w:tc>
                <w:tcPr>
                  <w:tcW w:w="1158" w:type="pct"/>
                  <w:tcBorders>
                    <w:tl2br w:val="nil"/>
                    <w:tr2bl w:val="nil"/>
                  </w:tcBorders>
                  <w:shd w:val="clear" w:color="auto" w:fill="auto"/>
                  <w:vAlign w:val="center"/>
                </w:tcPr>
                <w:p w14:paraId="25EED8AA">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0.32</w:t>
                  </w:r>
                </w:p>
              </w:tc>
              <w:tc>
                <w:tcPr>
                  <w:tcW w:w="1161" w:type="pct"/>
                  <w:tcBorders>
                    <w:tl2br w:val="nil"/>
                    <w:tr2bl w:val="nil"/>
                  </w:tcBorders>
                  <w:shd w:val="clear" w:color="auto" w:fill="auto"/>
                  <w:vAlign w:val="center"/>
                </w:tcPr>
                <w:p w14:paraId="033FE1D7">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2.09</w:t>
                  </w:r>
                </w:p>
              </w:tc>
            </w:tr>
          </w:tbl>
          <w:p w14:paraId="412E0CA8">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注：</w:t>
            </w:r>
            <w:r>
              <w:rPr>
                <w:rFonts w:hint="eastAsia" w:ascii="Times New Roman" w:hAnsi="Times New Roman" w:eastAsia="宋体" w:cs="Times New Roman"/>
                <w:color w:val="auto"/>
                <w:sz w:val="24"/>
                <w:szCs w:val="24"/>
                <w:highlight w:val="none"/>
                <w:lang w:val="en-US" w:eastAsia="zh-CN"/>
              </w:rPr>
              <w:t>现有三级吸收塔、焦炉煤气热风炉烟气排放数据来源于《利用粉煤灰生产聚合氯化铝技改扩建项目环境影响评价报告书》。</w:t>
            </w:r>
          </w:p>
          <w:p w14:paraId="052F0216">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本</w:t>
            </w:r>
            <w:r>
              <w:rPr>
                <w:rFonts w:hint="eastAsia" w:ascii="Times New Roman" w:hAnsi="Times New Roman" w:eastAsia="宋体" w:cs="Times New Roman"/>
                <w:color w:val="auto"/>
                <w:sz w:val="24"/>
                <w:szCs w:val="24"/>
                <w:highlight w:val="none"/>
                <w:lang w:val="en-US" w:eastAsia="zh-CN"/>
              </w:rPr>
              <w:t>项目废气产生及排放情况见下表。</w:t>
            </w:r>
          </w:p>
          <w:p w14:paraId="4A404B30">
            <w:pPr>
              <w:pStyle w:val="16"/>
              <w:keepNext w:val="0"/>
              <w:keepLines w:val="0"/>
              <w:pageBreakBefore w:val="0"/>
              <w:widowControl/>
              <w:kinsoku/>
              <w:wordWrap/>
              <w:overflowPunct/>
              <w:topLinePunct w:val="0"/>
              <w:autoSpaceDE/>
              <w:autoSpaceDN/>
              <w:bidi w:val="0"/>
              <w:adjustRightInd/>
              <w:snapToGrid/>
              <w:spacing w:line="480" w:lineRule="exact"/>
              <w:jc w:val="center"/>
              <w:textAlignment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表4-3  项目废气产生及排放情况一览表</w:t>
            </w:r>
          </w:p>
          <w:tbl>
            <w:tblPr>
              <w:tblStyle w:val="11"/>
              <w:tblW w:w="7823"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631"/>
              <w:gridCol w:w="569"/>
              <w:gridCol w:w="681"/>
              <w:gridCol w:w="745"/>
              <w:gridCol w:w="1023"/>
              <w:gridCol w:w="1167"/>
              <w:gridCol w:w="783"/>
              <w:gridCol w:w="735"/>
              <w:gridCol w:w="831"/>
            </w:tblGrid>
            <w:tr w14:paraId="68FA9E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658" w:type="dxa"/>
                  <w:vMerge w:val="restart"/>
                  <w:tcBorders>
                    <w:tl2br w:val="nil"/>
                    <w:tr2bl w:val="nil"/>
                  </w:tcBorders>
                  <w:vAlign w:val="center"/>
                </w:tcPr>
                <w:p w14:paraId="637383A7">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污染源名</w:t>
                  </w:r>
                </w:p>
              </w:tc>
              <w:tc>
                <w:tcPr>
                  <w:tcW w:w="631" w:type="dxa"/>
                  <w:vMerge w:val="restart"/>
                  <w:tcBorders>
                    <w:tl2br w:val="nil"/>
                    <w:tr2bl w:val="nil"/>
                  </w:tcBorders>
                  <w:vAlign w:val="center"/>
                </w:tcPr>
                <w:p w14:paraId="1EE8A26D">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污染物</w:t>
                  </w:r>
                </w:p>
              </w:tc>
              <w:tc>
                <w:tcPr>
                  <w:tcW w:w="569" w:type="dxa"/>
                  <w:vMerge w:val="restart"/>
                  <w:tcBorders>
                    <w:tl2br w:val="nil"/>
                    <w:tr2bl w:val="nil"/>
                  </w:tcBorders>
                  <w:vAlign w:val="center"/>
                </w:tcPr>
                <w:p w14:paraId="648DE00B">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排放方式</w:t>
                  </w:r>
                </w:p>
              </w:tc>
              <w:tc>
                <w:tcPr>
                  <w:tcW w:w="681" w:type="dxa"/>
                  <w:vMerge w:val="restart"/>
                  <w:tcBorders>
                    <w:tl2br w:val="nil"/>
                    <w:tr2bl w:val="nil"/>
                  </w:tcBorders>
                  <w:vAlign w:val="center"/>
                </w:tcPr>
                <w:p w14:paraId="674A045E">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风机风量m</w:t>
                  </w:r>
                  <w:r>
                    <w:rPr>
                      <w:rFonts w:hint="eastAsia" w:ascii="Times New Roman" w:hAnsi="Times New Roman" w:eastAsia="宋体" w:cs="Times New Roman"/>
                      <w:color w:val="auto"/>
                      <w:sz w:val="21"/>
                      <w:szCs w:val="21"/>
                      <w:vertAlign w:val="superscript"/>
                      <w:lang w:val="en-US" w:eastAsia="zh-CN" w:bidi="ar-SA"/>
                    </w:rPr>
                    <w:t>3</w:t>
                  </w:r>
                  <w:r>
                    <w:rPr>
                      <w:rFonts w:hint="eastAsia" w:ascii="Times New Roman" w:hAnsi="Times New Roman" w:eastAsia="宋体" w:cs="Times New Roman"/>
                      <w:color w:val="auto"/>
                      <w:sz w:val="21"/>
                      <w:szCs w:val="21"/>
                      <w:lang w:val="en-US" w:eastAsia="zh-CN" w:bidi="ar-SA"/>
                    </w:rPr>
                    <w:t>/h</w:t>
                  </w:r>
                </w:p>
              </w:tc>
              <w:tc>
                <w:tcPr>
                  <w:tcW w:w="745" w:type="dxa"/>
                  <w:vMerge w:val="restart"/>
                  <w:tcBorders>
                    <w:tl2br w:val="nil"/>
                    <w:tr2bl w:val="nil"/>
                  </w:tcBorders>
                  <w:vAlign w:val="center"/>
                </w:tcPr>
                <w:p w14:paraId="27D13E01">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产生量t/a</w:t>
                  </w:r>
                </w:p>
              </w:tc>
              <w:tc>
                <w:tcPr>
                  <w:tcW w:w="1023" w:type="dxa"/>
                  <w:vMerge w:val="restart"/>
                  <w:tcBorders>
                    <w:tl2br w:val="nil"/>
                    <w:tr2bl w:val="nil"/>
                  </w:tcBorders>
                  <w:vAlign w:val="center"/>
                </w:tcPr>
                <w:p w14:paraId="330A17C0">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防治措施</w:t>
                  </w:r>
                </w:p>
              </w:tc>
              <w:tc>
                <w:tcPr>
                  <w:tcW w:w="1167" w:type="dxa"/>
                  <w:vMerge w:val="restart"/>
                  <w:tcBorders>
                    <w:tl2br w:val="nil"/>
                    <w:tr2bl w:val="nil"/>
                  </w:tcBorders>
                  <w:vAlign w:val="center"/>
                </w:tcPr>
                <w:p w14:paraId="64D6ABDE">
                  <w:pPr>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处理效率</w:t>
                  </w:r>
                </w:p>
              </w:tc>
              <w:tc>
                <w:tcPr>
                  <w:tcW w:w="2349" w:type="dxa"/>
                  <w:gridSpan w:val="3"/>
                  <w:tcBorders>
                    <w:tl2br w:val="nil"/>
                    <w:tr2bl w:val="nil"/>
                  </w:tcBorders>
                  <w:vAlign w:val="center"/>
                </w:tcPr>
                <w:p w14:paraId="6AB03E96">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处理后</w:t>
                  </w:r>
                </w:p>
              </w:tc>
            </w:tr>
            <w:tr w14:paraId="561D92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658" w:type="dxa"/>
                  <w:vMerge w:val="continue"/>
                  <w:tcBorders>
                    <w:tl2br w:val="nil"/>
                    <w:tr2bl w:val="nil"/>
                  </w:tcBorders>
                  <w:vAlign w:val="center"/>
                </w:tcPr>
                <w:p w14:paraId="6A326273">
                  <w:pPr>
                    <w:jc w:val="center"/>
                    <w:rPr>
                      <w:color w:val="auto"/>
                      <w:sz w:val="21"/>
                      <w:szCs w:val="21"/>
                    </w:rPr>
                  </w:pPr>
                </w:p>
              </w:tc>
              <w:tc>
                <w:tcPr>
                  <w:tcW w:w="631" w:type="dxa"/>
                  <w:vMerge w:val="continue"/>
                  <w:tcBorders>
                    <w:tl2br w:val="nil"/>
                    <w:tr2bl w:val="nil"/>
                  </w:tcBorders>
                  <w:vAlign w:val="center"/>
                </w:tcPr>
                <w:p w14:paraId="6289C198">
                  <w:pPr>
                    <w:jc w:val="center"/>
                    <w:rPr>
                      <w:color w:val="auto"/>
                      <w:sz w:val="21"/>
                      <w:szCs w:val="21"/>
                    </w:rPr>
                  </w:pPr>
                </w:p>
              </w:tc>
              <w:tc>
                <w:tcPr>
                  <w:tcW w:w="569" w:type="dxa"/>
                  <w:vMerge w:val="continue"/>
                  <w:tcBorders>
                    <w:tl2br w:val="nil"/>
                    <w:tr2bl w:val="nil"/>
                  </w:tcBorders>
                  <w:vAlign w:val="center"/>
                </w:tcPr>
                <w:p w14:paraId="01F5BEB8">
                  <w:pPr>
                    <w:jc w:val="center"/>
                    <w:rPr>
                      <w:color w:val="auto"/>
                      <w:sz w:val="21"/>
                      <w:szCs w:val="21"/>
                    </w:rPr>
                  </w:pPr>
                </w:p>
              </w:tc>
              <w:tc>
                <w:tcPr>
                  <w:tcW w:w="681" w:type="dxa"/>
                  <w:vMerge w:val="continue"/>
                  <w:tcBorders>
                    <w:tl2br w:val="nil"/>
                    <w:tr2bl w:val="nil"/>
                  </w:tcBorders>
                  <w:vAlign w:val="center"/>
                </w:tcPr>
                <w:p w14:paraId="1681370C">
                  <w:pPr>
                    <w:jc w:val="center"/>
                    <w:rPr>
                      <w:color w:val="auto"/>
                      <w:sz w:val="21"/>
                      <w:szCs w:val="21"/>
                    </w:rPr>
                  </w:pPr>
                </w:p>
              </w:tc>
              <w:tc>
                <w:tcPr>
                  <w:tcW w:w="745" w:type="dxa"/>
                  <w:vMerge w:val="continue"/>
                  <w:tcBorders>
                    <w:tl2br w:val="nil"/>
                    <w:tr2bl w:val="nil"/>
                  </w:tcBorders>
                  <w:vAlign w:val="center"/>
                </w:tcPr>
                <w:p w14:paraId="2B72A915">
                  <w:pPr>
                    <w:jc w:val="center"/>
                    <w:rPr>
                      <w:color w:val="auto"/>
                      <w:sz w:val="21"/>
                      <w:szCs w:val="21"/>
                    </w:rPr>
                  </w:pPr>
                </w:p>
              </w:tc>
              <w:tc>
                <w:tcPr>
                  <w:tcW w:w="1023" w:type="dxa"/>
                  <w:vMerge w:val="continue"/>
                  <w:tcBorders>
                    <w:tl2br w:val="nil"/>
                    <w:tr2bl w:val="nil"/>
                  </w:tcBorders>
                  <w:vAlign w:val="center"/>
                </w:tcPr>
                <w:p w14:paraId="31F74DFE">
                  <w:pPr>
                    <w:jc w:val="center"/>
                    <w:rPr>
                      <w:color w:val="auto"/>
                      <w:sz w:val="21"/>
                      <w:szCs w:val="21"/>
                    </w:rPr>
                  </w:pPr>
                </w:p>
              </w:tc>
              <w:tc>
                <w:tcPr>
                  <w:tcW w:w="1167" w:type="dxa"/>
                  <w:vMerge w:val="continue"/>
                  <w:tcBorders>
                    <w:tl2br w:val="nil"/>
                    <w:tr2bl w:val="nil"/>
                  </w:tcBorders>
                  <w:vAlign w:val="center"/>
                </w:tcPr>
                <w:p w14:paraId="0BE5822C">
                  <w:pPr>
                    <w:jc w:val="center"/>
                    <w:rPr>
                      <w:color w:val="auto"/>
                      <w:sz w:val="21"/>
                      <w:szCs w:val="21"/>
                    </w:rPr>
                  </w:pPr>
                </w:p>
              </w:tc>
              <w:tc>
                <w:tcPr>
                  <w:tcW w:w="783" w:type="dxa"/>
                  <w:tcBorders>
                    <w:tl2br w:val="nil"/>
                    <w:tr2bl w:val="nil"/>
                  </w:tcBorders>
                  <w:vAlign w:val="center"/>
                </w:tcPr>
                <w:p w14:paraId="43CBCD97">
                  <w:pPr>
                    <w:jc w:val="center"/>
                    <w:rPr>
                      <w:rFonts w:hint="default"/>
                      <w:color w:val="auto"/>
                      <w:sz w:val="21"/>
                      <w:szCs w:val="21"/>
                      <w:lang w:val="en-US" w:eastAsia="zh-CN"/>
                    </w:rPr>
                  </w:pPr>
                  <w:r>
                    <w:rPr>
                      <w:rFonts w:hint="eastAsia"/>
                      <w:color w:val="auto"/>
                      <w:sz w:val="21"/>
                      <w:szCs w:val="21"/>
                      <w:lang w:val="en-US" w:eastAsia="zh-CN"/>
                    </w:rPr>
                    <w:t>排放浓度mg/m</w:t>
                  </w:r>
                  <w:r>
                    <w:rPr>
                      <w:rFonts w:hint="eastAsia"/>
                      <w:color w:val="auto"/>
                      <w:sz w:val="21"/>
                      <w:szCs w:val="21"/>
                      <w:vertAlign w:val="superscript"/>
                      <w:lang w:val="en-US" w:eastAsia="zh-CN"/>
                    </w:rPr>
                    <w:t>3</w:t>
                  </w:r>
                </w:p>
              </w:tc>
              <w:tc>
                <w:tcPr>
                  <w:tcW w:w="735" w:type="dxa"/>
                  <w:tcBorders>
                    <w:tl2br w:val="nil"/>
                    <w:tr2bl w:val="nil"/>
                  </w:tcBorders>
                  <w:vAlign w:val="center"/>
                </w:tcPr>
                <w:p w14:paraId="52A48C7C">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排放速率kg/h</w:t>
                  </w:r>
                </w:p>
              </w:tc>
              <w:tc>
                <w:tcPr>
                  <w:tcW w:w="831" w:type="dxa"/>
                  <w:tcBorders>
                    <w:tl2br w:val="nil"/>
                    <w:tr2bl w:val="nil"/>
                  </w:tcBorders>
                  <w:vAlign w:val="center"/>
                </w:tcPr>
                <w:p w14:paraId="5C0E3D8F">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排放量t/a</w:t>
                  </w:r>
                </w:p>
              </w:tc>
            </w:tr>
            <w:tr w14:paraId="040826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58" w:type="dxa"/>
                  <w:vMerge w:val="restart"/>
                  <w:tcBorders>
                    <w:tl2br w:val="nil"/>
                    <w:tr2bl w:val="nil"/>
                  </w:tcBorders>
                  <w:vAlign w:val="center"/>
                </w:tcPr>
                <w:p w14:paraId="65E394E1">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燃煤热风炉</w:t>
                  </w:r>
                </w:p>
              </w:tc>
              <w:tc>
                <w:tcPr>
                  <w:tcW w:w="631" w:type="dxa"/>
                  <w:tcBorders>
                    <w:tl2br w:val="nil"/>
                    <w:tr2bl w:val="nil"/>
                  </w:tcBorders>
                  <w:vAlign w:val="center"/>
                </w:tcPr>
                <w:p w14:paraId="4E7B7B0D">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SO</w:t>
                  </w:r>
                  <w:r>
                    <w:rPr>
                      <w:rFonts w:hint="eastAsia" w:ascii="Times New Roman" w:hAnsi="Times New Roman" w:eastAsia="宋体" w:cs="Times New Roman"/>
                      <w:color w:val="auto"/>
                      <w:sz w:val="21"/>
                      <w:szCs w:val="21"/>
                      <w:vertAlign w:val="subscript"/>
                      <w:lang w:val="en-US" w:eastAsia="zh-CN" w:bidi="ar-SA"/>
                    </w:rPr>
                    <w:t>2</w:t>
                  </w:r>
                </w:p>
              </w:tc>
              <w:tc>
                <w:tcPr>
                  <w:tcW w:w="569" w:type="dxa"/>
                  <w:vMerge w:val="restart"/>
                  <w:tcBorders>
                    <w:tl2br w:val="nil"/>
                    <w:tr2bl w:val="nil"/>
                  </w:tcBorders>
                  <w:vAlign w:val="center"/>
                </w:tcPr>
                <w:p w14:paraId="1D3E4CA6">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有组织</w:t>
                  </w:r>
                </w:p>
              </w:tc>
              <w:tc>
                <w:tcPr>
                  <w:tcW w:w="681" w:type="dxa"/>
                  <w:vMerge w:val="restart"/>
                  <w:tcBorders>
                    <w:tl2br w:val="nil"/>
                    <w:tr2bl w:val="nil"/>
                  </w:tcBorders>
                  <w:vAlign w:val="center"/>
                </w:tcPr>
                <w:p w14:paraId="326DE1DD">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4000</w:t>
                  </w:r>
                </w:p>
              </w:tc>
              <w:tc>
                <w:tcPr>
                  <w:tcW w:w="745" w:type="dxa"/>
                  <w:tcBorders>
                    <w:tl2br w:val="nil"/>
                    <w:tr2bl w:val="nil"/>
                  </w:tcBorders>
                  <w:vAlign w:val="center"/>
                </w:tcPr>
                <w:p w14:paraId="7820034A">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12</w:t>
                  </w:r>
                </w:p>
              </w:tc>
              <w:tc>
                <w:tcPr>
                  <w:tcW w:w="1023" w:type="dxa"/>
                  <w:vMerge w:val="restart"/>
                  <w:tcBorders>
                    <w:tl2br w:val="nil"/>
                    <w:tr2bl w:val="nil"/>
                  </w:tcBorders>
                  <w:vAlign w:val="center"/>
                </w:tcPr>
                <w:p w14:paraId="4ED86242">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低氮燃烧</w:t>
                  </w:r>
                  <w:r>
                    <w:rPr>
                      <w:rFonts w:hint="eastAsia"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SNCR脱硝+三级吸收塔（2级水+1级碱（钠碱法脱硫））+</w:t>
                  </w:r>
                  <w:r>
                    <w:rPr>
                      <w:rFonts w:hint="eastAsia" w:cs="Times New Roman"/>
                      <w:color w:val="auto"/>
                      <w:sz w:val="21"/>
                      <w:szCs w:val="21"/>
                      <w:lang w:val="en-US" w:eastAsia="zh-CN" w:bidi="ar-SA"/>
                    </w:rPr>
                    <w:t>3</w:t>
                  </w:r>
                  <w:r>
                    <w:rPr>
                      <w:rFonts w:hint="eastAsia" w:ascii="Times New Roman" w:hAnsi="Times New Roman" w:eastAsia="宋体" w:cs="Times New Roman"/>
                      <w:color w:val="auto"/>
                      <w:sz w:val="21"/>
                      <w:szCs w:val="21"/>
                      <w:lang w:val="en-US" w:eastAsia="zh-CN" w:bidi="ar-SA"/>
                    </w:rPr>
                    <w:t>2m排气筒</w:t>
                  </w:r>
                </w:p>
              </w:tc>
              <w:tc>
                <w:tcPr>
                  <w:tcW w:w="1167" w:type="dxa"/>
                  <w:tcBorders>
                    <w:tl2br w:val="nil"/>
                    <w:tr2bl w:val="nil"/>
                  </w:tcBorders>
                  <w:vAlign w:val="center"/>
                </w:tcPr>
                <w:p w14:paraId="7C70AE44">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90%</w:t>
                  </w:r>
                </w:p>
              </w:tc>
              <w:tc>
                <w:tcPr>
                  <w:tcW w:w="783" w:type="dxa"/>
                  <w:tcBorders>
                    <w:tl2br w:val="nil"/>
                    <w:tr2bl w:val="nil"/>
                  </w:tcBorders>
                  <w:vAlign w:val="center"/>
                </w:tcPr>
                <w:p w14:paraId="189877BC">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4.25</w:t>
                  </w:r>
                </w:p>
              </w:tc>
              <w:tc>
                <w:tcPr>
                  <w:tcW w:w="735" w:type="dxa"/>
                  <w:tcBorders>
                    <w:tl2br w:val="nil"/>
                    <w:tr2bl w:val="nil"/>
                  </w:tcBorders>
                  <w:vAlign w:val="center"/>
                </w:tcPr>
                <w:p w14:paraId="05C2F337">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0.17</w:t>
                  </w:r>
                </w:p>
              </w:tc>
              <w:tc>
                <w:tcPr>
                  <w:tcW w:w="831" w:type="dxa"/>
                  <w:tcBorders>
                    <w:tl2br w:val="nil"/>
                    <w:tr2bl w:val="nil"/>
                  </w:tcBorders>
                  <w:vAlign w:val="center"/>
                </w:tcPr>
                <w:p w14:paraId="701B316D">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1.2</w:t>
                  </w:r>
                </w:p>
              </w:tc>
            </w:tr>
            <w:tr w14:paraId="59F57E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58" w:type="dxa"/>
                  <w:vMerge w:val="continue"/>
                  <w:tcBorders>
                    <w:tl2br w:val="nil"/>
                    <w:tr2bl w:val="nil"/>
                  </w:tcBorders>
                  <w:vAlign w:val="center"/>
                </w:tcPr>
                <w:p w14:paraId="06654709">
                  <w:pPr>
                    <w:jc w:val="center"/>
                    <w:rPr>
                      <w:rFonts w:hint="eastAsia" w:ascii="Times New Roman" w:hAnsi="Times New Roman" w:eastAsia="宋体" w:cs="Times New Roman"/>
                      <w:color w:val="auto"/>
                      <w:sz w:val="21"/>
                      <w:szCs w:val="21"/>
                      <w:lang w:val="en-US" w:eastAsia="zh-CN" w:bidi="ar-SA"/>
                    </w:rPr>
                  </w:pPr>
                </w:p>
              </w:tc>
              <w:tc>
                <w:tcPr>
                  <w:tcW w:w="631" w:type="dxa"/>
                  <w:tcBorders>
                    <w:tl2br w:val="nil"/>
                    <w:tr2bl w:val="nil"/>
                  </w:tcBorders>
                  <w:vAlign w:val="center"/>
                </w:tcPr>
                <w:p w14:paraId="2ED4513E">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NOx</w:t>
                  </w:r>
                </w:p>
              </w:tc>
              <w:tc>
                <w:tcPr>
                  <w:tcW w:w="569" w:type="dxa"/>
                  <w:vMerge w:val="continue"/>
                  <w:tcBorders>
                    <w:tl2br w:val="nil"/>
                    <w:tr2bl w:val="nil"/>
                  </w:tcBorders>
                  <w:vAlign w:val="center"/>
                </w:tcPr>
                <w:p w14:paraId="6C36F6EB">
                  <w:pPr>
                    <w:jc w:val="center"/>
                    <w:rPr>
                      <w:rFonts w:hint="eastAsia" w:ascii="Times New Roman" w:hAnsi="Times New Roman" w:eastAsia="宋体" w:cs="Times New Roman"/>
                      <w:color w:val="auto"/>
                      <w:sz w:val="21"/>
                      <w:szCs w:val="21"/>
                      <w:lang w:val="en-US" w:eastAsia="zh-CN" w:bidi="ar-SA"/>
                    </w:rPr>
                  </w:pPr>
                </w:p>
              </w:tc>
              <w:tc>
                <w:tcPr>
                  <w:tcW w:w="681" w:type="dxa"/>
                  <w:vMerge w:val="continue"/>
                  <w:tcBorders>
                    <w:tl2br w:val="nil"/>
                    <w:tr2bl w:val="nil"/>
                  </w:tcBorders>
                  <w:vAlign w:val="center"/>
                </w:tcPr>
                <w:p w14:paraId="5E7A4251">
                  <w:pPr>
                    <w:jc w:val="center"/>
                    <w:rPr>
                      <w:rFonts w:hint="eastAsia" w:ascii="Times New Roman" w:hAnsi="Times New Roman" w:eastAsia="宋体" w:cs="Times New Roman"/>
                      <w:color w:val="auto"/>
                      <w:sz w:val="21"/>
                      <w:szCs w:val="21"/>
                      <w:lang w:val="en-US" w:eastAsia="zh-CN" w:bidi="ar-SA"/>
                    </w:rPr>
                  </w:pPr>
                </w:p>
              </w:tc>
              <w:tc>
                <w:tcPr>
                  <w:tcW w:w="745" w:type="dxa"/>
                  <w:tcBorders>
                    <w:tl2br w:val="nil"/>
                    <w:tr2bl w:val="nil"/>
                  </w:tcBorders>
                  <w:vAlign w:val="center"/>
                </w:tcPr>
                <w:p w14:paraId="68351955">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6.18</w:t>
                  </w:r>
                </w:p>
              </w:tc>
              <w:tc>
                <w:tcPr>
                  <w:tcW w:w="1023" w:type="dxa"/>
                  <w:vMerge w:val="continue"/>
                  <w:tcBorders>
                    <w:tl2br w:val="nil"/>
                    <w:tr2bl w:val="nil"/>
                  </w:tcBorders>
                  <w:vAlign w:val="center"/>
                </w:tcPr>
                <w:p w14:paraId="5E9B785B">
                  <w:pPr>
                    <w:jc w:val="center"/>
                    <w:rPr>
                      <w:rFonts w:hint="eastAsia" w:ascii="Times New Roman" w:hAnsi="Times New Roman" w:eastAsia="宋体" w:cs="Times New Roman"/>
                      <w:color w:val="auto"/>
                      <w:sz w:val="21"/>
                      <w:szCs w:val="21"/>
                      <w:lang w:val="en-US" w:eastAsia="zh-CN" w:bidi="ar-SA"/>
                    </w:rPr>
                  </w:pPr>
                </w:p>
              </w:tc>
              <w:tc>
                <w:tcPr>
                  <w:tcW w:w="1167" w:type="dxa"/>
                  <w:tcBorders>
                    <w:tl2br w:val="nil"/>
                    <w:tr2bl w:val="nil"/>
                  </w:tcBorders>
                  <w:vAlign w:val="center"/>
                </w:tcPr>
                <w:p w14:paraId="2201282A">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30%</w:t>
                  </w:r>
                </w:p>
              </w:tc>
              <w:tc>
                <w:tcPr>
                  <w:tcW w:w="783" w:type="dxa"/>
                  <w:tcBorders>
                    <w:tl2br w:val="nil"/>
                    <w:tr2bl w:val="nil"/>
                  </w:tcBorders>
                  <w:vAlign w:val="center"/>
                </w:tcPr>
                <w:p w14:paraId="0B732B4C">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15</w:t>
                  </w:r>
                </w:p>
              </w:tc>
              <w:tc>
                <w:tcPr>
                  <w:tcW w:w="735" w:type="dxa"/>
                  <w:tcBorders>
                    <w:tl2br w:val="nil"/>
                    <w:tr2bl w:val="nil"/>
                  </w:tcBorders>
                  <w:vAlign w:val="center"/>
                </w:tcPr>
                <w:p w14:paraId="52BBEEAD">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0.6</w:t>
                  </w:r>
                </w:p>
              </w:tc>
              <w:tc>
                <w:tcPr>
                  <w:tcW w:w="831" w:type="dxa"/>
                  <w:tcBorders>
                    <w:tl2br w:val="nil"/>
                    <w:tr2bl w:val="nil"/>
                  </w:tcBorders>
                  <w:vAlign w:val="center"/>
                </w:tcPr>
                <w:p w14:paraId="7569FC65">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4.3</w:t>
                  </w:r>
                </w:p>
              </w:tc>
            </w:tr>
            <w:tr w14:paraId="51C82B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8" w:type="dxa"/>
                  <w:vMerge w:val="continue"/>
                  <w:tcBorders>
                    <w:tl2br w:val="nil"/>
                    <w:tr2bl w:val="nil"/>
                  </w:tcBorders>
                  <w:vAlign w:val="center"/>
                </w:tcPr>
                <w:p w14:paraId="22C5E2A2">
                  <w:pPr>
                    <w:jc w:val="center"/>
                    <w:rPr>
                      <w:rFonts w:hint="eastAsia" w:ascii="Times New Roman" w:hAnsi="Times New Roman" w:eastAsia="宋体" w:cs="Times New Roman"/>
                      <w:color w:val="auto"/>
                      <w:sz w:val="21"/>
                      <w:szCs w:val="21"/>
                      <w:lang w:val="en-US" w:eastAsia="zh-CN" w:bidi="ar-SA"/>
                    </w:rPr>
                  </w:pPr>
                </w:p>
              </w:tc>
              <w:tc>
                <w:tcPr>
                  <w:tcW w:w="631" w:type="dxa"/>
                  <w:tcBorders>
                    <w:tl2br w:val="nil"/>
                    <w:tr2bl w:val="nil"/>
                  </w:tcBorders>
                  <w:vAlign w:val="center"/>
                </w:tcPr>
                <w:p w14:paraId="50A7E4EF">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颗粒物</w:t>
                  </w:r>
                </w:p>
              </w:tc>
              <w:tc>
                <w:tcPr>
                  <w:tcW w:w="569" w:type="dxa"/>
                  <w:vMerge w:val="continue"/>
                  <w:tcBorders>
                    <w:tl2br w:val="nil"/>
                    <w:tr2bl w:val="nil"/>
                  </w:tcBorders>
                  <w:vAlign w:val="center"/>
                </w:tcPr>
                <w:p w14:paraId="2BB68BBA">
                  <w:pPr>
                    <w:jc w:val="center"/>
                    <w:rPr>
                      <w:rFonts w:hint="eastAsia" w:ascii="Times New Roman" w:hAnsi="Times New Roman" w:eastAsia="宋体" w:cs="Times New Roman"/>
                      <w:color w:val="auto"/>
                      <w:sz w:val="21"/>
                      <w:szCs w:val="21"/>
                      <w:lang w:val="en-US" w:eastAsia="zh-CN" w:bidi="ar-SA"/>
                    </w:rPr>
                  </w:pPr>
                </w:p>
              </w:tc>
              <w:tc>
                <w:tcPr>
                  <w:tcW w:w="681" w:type="dxa"/>
                  <w:vMerge w:val="continue"/>
                  <w:tcBorders>
                    <w:tl2br w:val="nil"/>
                    <w:tr2bl w:val="nil"/>
                  </w:tcBorders>
                  <w:vAlign w:val="center"/>
                </w:tcPr>
                <w:p w14:paraId="39E54EB5">
                  <w:pPr>
                    <w:jc w:val="center"/>
                    <w:rPr>
                      <w:rFonts w:hint="eastAsia" w:ascii="Times New Roman" w:hAnsi="Times New Roman" w:eastAsia="宋体" w:cs="Times New Roman"/>
                      <w:color w:val="auto"/>
                      <w:sz w:val="21"/>
                      <w:szCs w:val="21"/>
                      <w:lang w:val="en-US" w:eastAsia="zh-CN" w:bidi="ar-SA"/>
                    </w:rPr>
                  </w:pPr>
                </w:p>
              </w:tc>
              <w:tc>
                <w:tcPr>
                  <w:tcW w:w="745" w:type="dxa"/>
                  <w:tcBorders>
                    <w:tl2br w:val="nil"/>
                    <w:tr2bl w:val="nil"/>
                  </w:tcBorders>
                  <w:vAlign w:val="center"/>
                </w:tcPr>
                <w:p w14:paraId="04FD3A2D">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0.244</w:t>
                  </w:r>
                </w:p>
              </w:tc>
              <w:tc>
                <w:tcPr>
                  <w:tcW w:w="1023" w:type="dxa"/>
                  <w:vMerge w:val="continue"/>
                  <w:tcBorders>
                    <w:tl2br w:val="nil"/>
                    <w:tr2bl w:val="nil"/>
                  </w:tcBorders>
                  <w:vAlign w:val="center"/>
                </w:tcPr>
                <w:p w14:paraId="6F72F9FE">
                  <w:pPr>
                    <w:jc w:val="center"/>
                    <w:rPr>
                      <w:rFonts w:hint="eastAsia" w:ascii="Times New Roman" w:hAnsi="Times New Roman" w:eastAsia="宋体" w:cs="Times New Roman"/>
                      <w:color w:val="auto"/>
                      <w:sz w:val="21"/>
                      <w:szCs w:val="21"/>
                      <w:lang w:val="en-US" w:eastAsia="zh-CN" w:bidi="ar-SA"/>
                    </w:rPr>
                  </w:pPr>
                </w:p>
              </w:tc>
              <w:tc>
                <w:tcPr>
                  <w:tcW w:w="1167" w:type="dxa"/>
                  <w:vMerge w:val="restart"/>
                  <w:tcBorders>
                    <w:tl2br w:val="nil"/>
                    <w:tr2bl w:val="nil"/>
                  </w:tcBorders>
                  <w:vAlign w:val="center"/>
                </w:tcPr>
                <w:p w14:paraId="1AA93790">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highlight w:val="none"/>
                      <w:lang w:val="en-US" w:eastAsia="zh-CN"/>
                    </w:rPr>
                    <w:t>三级吸收塔</w:t>
                  </w:r>
                  <w:r>
                    <w:rPr>
                      <w:rFonts w:hint="eastAsia"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级</w:t>
                  </w:r>
                  <w:r>
                    <w:rPr>
                      <w:rFonts w:hint="eastAsia" w:cs="Times New Roman"/>
                      <w:color w:val="auto"/>
                      <w:sz w:val="21"/>
                      <w:szCs w:val="21"/>
                      <w:highlight w:val="none"/>
                      <w:lang w:val="en-US" w:eastAsia="zh-CN"/>
                    </w:rPr>
                    <w:t>水+1级碱</w:t>
                  </w:r>
                  <w:r>
                    <w:rPr>
                      <w:rFonts w:hint="default" w:ascii="Times New Roman" w:hAnsi="Times New Roman" w:eastAsia="宋体" w:cs="Times New Roman"/>
                      <w:color w:val="auto"/>
                      <w:sz w:val="21"/>
                      <w:szCs w:val="21"/>
                      <w:highlight w:val="none"/>
                      <w:lang w:val="en-US" w:eastAsia="zh-CN"/>
                    </w:rPr>
                    <w:t>除尘效率</w:t>
                  </w:r>
                  <w:r>
                    <w:rPr>
                      <w:rFonts w:hint="eastAsia" w:ascii="Times New Roman" w:hAnsi="Times New Roman" w:eastAsia="宋体" w:cs="Times New Roman"/>
                      <w:color w:val="auto"/>
                      <w:sz w:val="21"/>
                      <w:szCs w:val="21"/>
                      <w:highlight w:val="none"/>
                      <w:lang w:val="en-US" w:eastAsia="zh-CN"/>
                    </w:rPr>
                    <w:t>为</w:t>
                  </w:r>
                  <w:r>
                    <w:rPr>
                      <w:rFonts w:hint="eastAsia" w:cs="Times New Roman"/>
                      <w:color w:val="auto"/>
                      <w:sz w:val="21"/>
                      <w:szCs w:val="21"/>
                      <w:highlight w:val="none"/>
                      <w:lang w:val="en-US" w:eastAsia="zh-CN"/>
                    </w:rPr>
                    <w:t>99</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lang w:val="en-US" w:eastAsia="zh-CN" w:bidi="ar-SA"/>
                    </w:rPr>
                    <w:t>盐酸雾去除效率为99%</w:t>
                  </w:r>
                </w:p>
              </w:tc>
              <w:tc>
                <w:tcPr>
                  <w:tcW w:w="783" w:type="dxa"/>
                  <w:vMerge w:val="restart"/>
                  <w:tcBorders>
                    <w:tl2br w:val="nil"/>
                    <w:tr2bl w:val="nil"/>
                  </w:tcBorders>
                  <w:vAlign w:val="center"/>
                </w:tcPr>
                <w:p w14:paraId="4DBD140F">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0.15</w:t>
                  </w:r>
                </w:p>
              </w:tc>
              <w:tc>
                <w:tcPr>
                  <w:tcW w:w="735" w:type="dxa"/>
                  <w:vMerge w:val="restart"/>
                  <w:tcBorders>
                    <w:tl2br w:val="nil"/>
                    <w:tr2bl w:val="nil"/>
                  </w:tcBorders>
                  <w:vAlign w:val="center"/>
                </w:tcPr>
                <w:p w14:paraId="14D72748">
                  <w:pPr>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0.0</w:t>
                  </w:r>
                  <w:r>
                    <w:rPr>
                      <w:rFonts w:hint="eastAsia" w:cs="Times New Roman"/>
                      <w:color w:val="auto"/>
                      <w:sz w:val="21"/>
                      <w:szCs w:val="21"/>
                      <w:lang w:val="en-US" w:eastAsia="zh-CN" w:bidi="ar-SA"/>
                    </w:rPr>
                    <w:t>06</w:t>
                  </w:r>
                </w:p>
              </w:tc>
              <w:tc>
                <w:tcPr>
                  <w:tcW w:w="831" w:type="dxa"/>
                  <w:vMerge w:val="restart"/>
                  <w:tcBorders>
                    <w:tl2br w:val="nil"/>
                    <w:tr2bl w:val="nil"/>
                  </w:tcBorders>
                  <w:vAlign w:val="center"/>
                </w:tcPr>
                <w:p w14:paraId="79D279FD">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0.043</w:t>
                  </w:r>
                </w:p>
              </w:tc>
            </w:tr>
            <w:tr w14:paraId="4EFAB8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658" w:type="dxa"/>
                  <w:vMerge w:val="restart"/>
                  <w:tcBorders>
                    <w:tl2br w:val="nil"/>
                    <w:tr2bl w:val="nil"/>
                  </w:tcBorders>
                  <w:vAlign w:val="center"/>
                </w:tcPr>
                <w:p w14:paraId="0446DAE5">
                  <w:pPr>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喷雾干燥</w:t>
                  </w:r>
                </w:p>
              </w:tc>
              <w:tc>
                <w:tcPr>
                  <w:tcW w:w="631" w:type="dxa"/>
                  <w:tcBorders>
                    <w:tl2br w:val="nil"/>
                    <w:tr2bl w:val="nil"/>
                  </w:tcBorders>
                  <w:vAlign w:val="center"/>
                </w:tcPr>
                <w:p w14:paraId="442F9C36">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颗粒物</w:t>
                  </w:r>
                </w:p>
              </w:tc>
              <w:tc>
                <w:tcPr>
                  <w:tcW w:w="569" w:type="dxa"/>
                  <w:vMerge w:val="continue"/>
                  <w:tcBorders>
                    <w:tl2br w:val="nil"/>
                    <w:tr2bl w:val="nil"/>
                  </w:tcBorders>
                  <w:vAlign w:val="center"/>
                </w:tcPr>
                <w:p w14:paraId="755031B4">
                  <w:pPr>
                    <w:jc w:val="center"/>
                    <w:rPr>
                      <w:rFonts w:hint="eastAsia" w:ascii="Times New Roman" w:hAnsi="Times New Roman" w:eastAsia="宋体" w:cs="Times New Roman"/>
                      <w:color w:val="auto"/>
                      <w:sz w:val="21"/>
                      <w:szCs w:val="21"/>
                      <w:lang w:val="en-US" w:eastAsia="zh-CN" w:bidi="ar-SA"/>
                    </w:rPr>
                  </w:pPr>
                </w:p>
              </w:tc>
              <w:tc>
                <w:tcPr>
                  <w:tcW w:w="681" w:type="dxa"/>
                  <w:vMerge w:val="continue"/>
                  <w:tcBorders>
                    <w:tl2br w:val="nil"/>
                    <w:tr2bl w:val="nil"/>
                  </w:tcBorders>
                  <w:vAlign w:val="center"/>
                </w:tcPr>
                <w:p w14:paraId="46440360">
                  <w:pPr>
                    <w:jc w:val="center"/>
                    <w:rPr>
                      <w:rFonts w:hint="eastAsia" w:ascii="Times New Roman" w:hAnsi="Times New Roman" w:eastAsia="宋体" w:cs="Times New Roman"/>
                      <w:color w:val="auto"/>
                      <w:sz w:val="21"/>
                      <w:szCs w:val="21"/>
                      <w:lang w:val="en-US" w:eastAsia="zh-CN" w:bidi="ar-SA"/>
                    </w:rPr>
                  </w:pPr>
                </w:p>
              </w:tc>
              <w:tc>
                <w:tcPr>
                  <w:tcW w:w="745" w:type="dxa"/>
                  <w:tcBorders>
                    <w:tl2br w:val="nil"/>
                    <w:tr2bl w:val="nil"/>
                  </w:tcBorders>
                  <w:vAlign w:val="center"/>
                </w:tcPr>
                <w:p w14:paraId="01BE1D0C">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4.08</w:t>
                  </w:r>
                </w:p>
              </w:tc>
              <w:tc>
                <w:tcPr>
                  <w:tcW w:w="1023" w:type="dxa"/>
                  <w:vMerge w:val="continue"/>
                  <w:tcBorders>
                    <w:tl2br w:val="nil"/>
                    <w:tr2bl w:val="nil"/>
                  </w:tcBorders>
                  <w:vAlign w:val="center"/>
                </w:tcPr>
                <w:p w14:paraId="49F26BE0">
                  <w:pPr>
                    <w:jc w:val="center"/>
                    <w:rPr>
                      <w:rFonts w:hint="eastAsia" w:ascii="Times New Roman" w:hAnsi="Times New Roman" w:eastAsia="宋体" w:cs="Times New Roman"/>
                      <w:color w:val="auto"/>
                      <w:sz w:val="21"/>
                      <w:szCs w:val="21"/>
                      <w:lang w:val="en-US" w:eastAsia="zh-CN" w:bidi="ar-SA"/>
                    </w:rPr>
                  </w:pPr>
                </w:p>
              </w:tc>
              <w:tc>
                <w:tcPr>
                  <w:tcW w:w="1167" w:type="dxa"/>
                  <w:vMerge w:val="continue"/>
                  <w:tcBorders>
                    <w:tl2br w:val="nil"/>
                    <w:tr2bl w:val="nil"/>
                  </w:tcBorders>
                  <w:vAlign w:val="center"/>
                </w:tcPr>
                <w:p w14:paraId="0C7BA754">
                  <w:pPr>
                    <w:jc w:val="center"/>
                    <w:rPr>
                      <w:rFonts w:hint="eastAsia" w:ascii="Times New Roman" w:hAnsi="Times New Roman" w:eastAsia="宋体" w:cs="Times New Roman"/>
                      <w:color w:val="auto"/>
                      <w:sz w:val="21"/>
                      <w:szCs w:val="21"/>
                      <w:lang w:val="en-US" w:eastAsia="zh-CN" w:bidi="ar-SA"/>
                    </w:rPr>
                  </w:pPr>
                </w:p>
              </w:tc>
              <w:tc>
                <w:tcPr>
                  <w:tcW w:w="783" w:type="dxa"/>
                  <w:vMerge w:val="continue"/>
                  <w:tcBorders>
                    <w:tl2br w:val="nil"/>
                    <w:tr2bl w:val="nil"/>
                  </w:tcBorders>
                  <w:vAlign w:val="center"/>
                </w:tcPr>
                <w:p w14:paraId="20BB2660">
                  <w:pPr>
                    <w:jc w:val="center"/>
                    <w:rPr>
                      <w:rFonts w:hint="default" w:ascii="Times New Roman" w:hAnsi="Times New Roman" w:eastAsia="宋体" w:cs="Times New Roman"/>
                      <w:color w:val="auto"/>
                      <w:sz w:val="21"/>
                      <w:szCs w:val="21"/>
                      <w:lang w:val="en-US" w:eastAsia="zh-CN" w:bidi="ar-SA"/>
                    </w:rPr>
                  </w:pPr>
                </w:p>
              </w:tc>
              <w:tc>
                <w:tcPr>
                  <w:tcW w:w="735" w:type="dxa"/>
                  <w:vMerge w:val="continue"/>
                  <w:tcBorders>
                    <w:tl2br w:val="nil"/>
                    <w:tr2bl w:val="nil"/>
                  </w:tcBorders>
                  <w:vAlign w:val="center"/>
                </w:tcPr>
                <w:p w14:paraId="7504CCC9">
                  <w:pPr>
                    <w:jc w:val="center"/>
                    <w:rPr>
                      <w:rFonts w:hint="default" w:ascii="Times New Roman" w:hAnsi="Times New Roman" w:eastAsia="宋体" w:cs="Times New Roman"/>
                      <w:color w:val="auto"/>
                      <w:sz w:val="21"/>
                      <w:szCs w:val="21"/>
                      <w:lang w:val="en-US" w:eastAsia="zh-CN" w:bidi="ar-SA"/>
                    </w:rPr>
                  </w:pPr>
                </w:p>
              </w:tc>
              <w:tc>
                <w:tcPr>
                  <w:tcW w:w="831" w:type="dxa"/>
                  <w:vMerge w:val="continue"/>
                  <w:tcBorders>
                    <w:tl2br w:val="nil"/>
                    <w:tr2bl w:val="nil"/>
                  </w:tcBorders>
                  <w:vAlign w:val="center"/>
                </w:tcPr>
                <w:p w14:paraId="7289407D">
                  <w:pPr>
                    <w:jc w:val="center"/>
                    <w:rPr>
                      <w:rFonts w:hint="default" w:ascii="Times New Roman" w:hAnsi="Times New Roman" w:eastAsia="宋体" w:cs="Times New Roman"/>
                      <w:color w:val="auto"/>
                      <w:sz w:val="21"/>
                      <w:szCs w:val="21"/>
                      <w:lang w:val="en-US" w:eastAsia="zh-CN" w:bidi="ar-SA"/>
                    </w:rPr>
                  </w:pPr>
                </w:p>
              </w:tc>
            </w:tr>
            <w:tr w14:paraId="5D9E43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658" w:type="dxa"/>
                  <w:vMerge w:val="continue"/>
                  <w:tcBorders>
                    <w:tl2br w:val="nil"/>
                    <w:tr2bl w:val="nil"/>
                  </w:tcBorders>
                  <w:vAlign w:val="center"/>
                </w:tcPr>
                <w:p w14:paraId="2E16F19D">
                  <w:pPr>
                    <w:jc w:val="center"/>
                    <w:rPr>
                      <w:color w:val="auto"/>
                      <w:sz w:val="21"/>
                      <w:szCs w:val="21"/>
                    </w:rPr>
                  </w:pPr>
                </w:p>
              </w:tc>
              <w:tc>
                <w:tcPr>
                  <w:tcW w:w="631" w:type="dxa"/>
                  <w:tcBorders>
                    <w:tl2br w:val="nil"/>
                    <w:tr2bl w:val="nil"/>
                  </w:tcBorders>
                  <w:vAlign w:val="center"/>
                </w:tcPr>
                <w:p w14:paraId="0F0CB067">
                  <w:pPr>
                    <w:jc w:val="center"/>
                    <w:rPr>
                      <w:rFonts w:hint="eastAsia" w:cs="Times New Roman"/>
                      <w:color w:val="auto"/>
                      <w:sz w:val="21"/>
                      <w:szCs w:val="21"/>
                      <w:lang w:val="en-US" w:eastAsia="zh-CN" w:bidi="ar-SA"/>
                    </w:rPr>
                  </w:pPr>
                  <w:r>
                    <w:rPr>
                      <w:rFonts w:hint="eastAsia" w:cs="Times New Roman"/>
                      <w:color w:val="auto"/>
                      <w:sz w:val="21"/>
                      <w:szCs w:val="21"/>
                      <w:lang w:val="en-US" w:eastAsia="zh-CN" w:bidi="ar-SA"/>
                    </w:rPr>
                    <w:t>盐酸雾</w:t>
                  </w:r>
                </w:p>
              </w:tc>
              <w:tc>
                <w:tcPr>
                  <w:tcW w:w="569" w:type="dxa"/>
                  <w:vMerge w:val="continue"/>
                  <w:tcBorders>
                    <w:tl2br w:val="nil"/>
                    <w:tr2bl w:val="nil"/>
                  </w:tcBorders>
                  <w:vAlign w:val="center"/>
                </w:tcPr>
                <w:p w14:paraId="5DD3AECE">
                  <w:pPr>
                    <w:jc w:val="center"/>
                    <w:rPr>
                      <w:rFonts w:hint="eastAsia" w:cs="Times New Roman"/>
                      <w:color w:val="auto"/>
                      <w:sz w:val="21"/>
                      <w:szCs w:val="21"/>
                      <w:lang w:val="en-US" w:eastAsia="zh-CN" w:bidi="ar-SA"/>
                    </w:rPr>
                  </w:pPr>
                </w:p>
              </w:tc>
              <w:tc>
                <w:tcPr>
                  <w:tcW w:w="681" w:type="dxa"/>
                  <w:vMerge w:val="continue"/>
                  <w:tcBorders>
                    <w:tl2br w:val="nil"/>
                    <w:tr2bl w:val="nil"/>
                  </w:tcBorders>
                  <w:vAlign w:val="center"/>
                </w:tcPr>
                <w:p w14:paraId="7B03982E">
                  <w:pPr>
                    <w:jc w:val="center"/>
                    <w:rPr>
                      <w:rFonts w:hint="eastAsia" w:cs="Times New Roman"/>
                      <w:color w:val="auto"/>
                      <w:sz w:val="21"/>
                      <w:szCs w:val="21"/>
                      <w:lang w:val="en-US" w:eastAsia="zh-CN" w:bidi="ar-SA"/>
                    </w:rPr>
                  </w:pPr>
                </w:p>
              </w:tc>
              <w:tc>
                <w:tcPr>
                  <w:tcW w:w="745" w:type="dxa"/>
                  <w:tcBorders>
                    <w:tl2br w:val="nil"/>
                    <w:tr2bl w:val="nil"/>
                  </w:tcBorders>
                  <w:vAlign w:val="center"/>
                </w:tcPr>
                <w:p w14:paraId="79B5FB04">
                  <w:pPr>
                    <w:jc w:val="center"/>
                    <w:rPr>
                      <w:rFonts w:hint="default" w:cs="Times New Roman"/>
                      <w:color w:val="auto"/>
                      <w:sz w:val="21"/>
                      <w:szCs w:val="21"/>
                      <w:lang w:val="en-US" w:eastAsia="zh-CN" w:bidi="ar-SA"/>
                    </w:rPr>
                  </w:pPr>
                  <w:r>
                    <w:rPr>
                      <w:rFonts w:hint="eastAsia" w:cs="Times New Roman"/>
                      <w:color w:val="auto"/>
                      <w:sz w:val="21"/>
                      <w:szCs w:val="21"/>
                      <w:lang w:val="en-US" w:eastAsia="zh-CN" w:bidi="ar-SA"/>
                    </w:rPr>
                    <w:t>0.8</w:t>
                  </w:r>
                </w:p>
              </w:tc>
              <w:tc>
                <w:tcPr>
                  <w:tcW w:w="1023" w:type="dxa"/>
                  <w:vMerge w:val="continue"/>
                  <w:tcBorders>
                    <w:tl2br w:val="nil"/>
                    <w:tr2bl w:val="nil"/>
                  </w:tcBorders>
                  <w:vAlign w:val="center"/>
                </w:tcPr>
                <w:p w14:paraId="4E55926C">
                  <w:pPr>
                    <w:jc w:val="center"/>
                    <w:rPr>
                      <w:rFonts w:hint="eastAsia" w:cs="Times New Roman"/>
                      <w:color w:val="auto"/>
                      <w:sz w:val="21"/>
                      <w:szCs w:val="21"/>
                      <w:lang w:val="en-US" w:eastAsia="zh-CN" w:bidi="ar-SA"/>
                    </w:rPr>
                  </w:pPr>
                </w:p>
              </w:tc>
              <w:tc>
                <w:tcPr>
                  <w:tcW w:w="1167" w:type="dxa"/>
                  <w:vMerge w:val="continue"/>
                  <w:tcBorders>
                    <w:tl2br w:val="nil"/>
                    <w:tr2bl w:val="nil"/>
                  </w:tcBorders>
                  <w:vAlign w:val="center"/>
                </w:tcPr>
                <w:p w14:paraId="6A65ACC7">
                  <w:pPr>
                    <w:jc w:val="center"/>
                    <w:rPr>
                      <w:rFonts w:hint="eastAsia" w:cs="Times New Roman"/>
                      <w:color w:val="auto"/>
                      <w:sz w:val="21"/>
                      <w:szCs w:val="21"/>
                      <w:lang w:val="en-US" w:eastAsia="zh-CN" w:bidi="ar-SA"/>
                    </w:rPr>
                  </w:pPr>
                </w:p>
              </w:tc>
              <w:tc>
                <w:tcPr>
                  <w:tcW w:w="783" w:type="dxa"/>
                  <w:tcBorders>
                    <w:tl2br w:val="nil"/>
                    <w:tr2bl w:val="nil"/>
                  </w:tcBorders>
                  <w:vAlign w:val="center"/>
                </w:tcPr>
                <w:p w14:paraId="38BBC383">
                  <w:pPr>
                    <w:jc w:val="center"/>
                    <w:rPr>
                      <w:rFonts w:hint="default" w:cs="Times New Roman"/>
                      <w:color w:val="auto"/>
                      <w:sz w:val="21"/>
                      <w:szCs w:val="21"/>
                      <w:lang w:val="en-US" w:eastAsia="zh-CN" w:bidi="ar-SA"/>
                    </w:rPr>
                  </w:pPr>
                  <w:r>
                    <w:rPr>
                      <w:rFonts w:hint="eastAsia" w:cs="Times New Roman"/>
                      <w:color w:val="auto"/>
                      <w:sz w:val="21"/>
                      <w:szCs w:val="21"/>
                      <w:lang w:val="en-US" w:eastAsia="zh-CN" w:bidi="ar-SA"/>
                    </w:rPr>
                    <w:t>0.025</w:t>
                  </w:r>
                </w:p>
              </w:tc>
              <w:tc>
                <w:tcPr>
                  <w:tcW w:w="735" w:type="dxa"/>
                  <w:tcBorders>
                    <w:tl2br w:val="nil"/>
                    <w:tr2bl w:val="nil"/>
                  </w:tcBorders>
                  <w:vAlign w:val="center"/>
                </w:tcPr>
                <w:p w14:paraId="636025AA">
                  <w:pPr>
                    <w:jc w:val="center"/>
                    <w:rPr>
                      <w:rFonts w:hint="default" w:cs="Times New Roman"/>
                      <w:color w:val="auto"/>
                      <w:sz w:val="21"/>
                      <w:szCs w:val="21"/>
                      <w:lang w:val="en-US" w:eastAsia="zh-CN" w:bidi="ar-SA"/>
                    </w:rPr>
                  </w:pPr>
                  <w:r>
                    <w:rPr>
                      <w:rFonts w:hint="eastAsia" w:cs="Times New Roman"/>
                      <w:color w:val="auto"/>
                      <w:sz w:val="21"/>
                      <w:szCs w:val="21"/>
                      <w:lang w:val="en-US" w:eastAsia="zh-CN" w:bidi="ar-SA"/>
                    </w:rPr>
                    <w:t>0.001</w:t>
                  </w:r>
                </w:p>
              </w:tc>
              <w:tc>
                <w:tcPr>
                  <w:tcW w:w="831" w:type="dxa"/>
                  <w:tcBorders>
                    <w:tl2br w:val="nil"/>
                    <w:tr2bl w:val="nil"/>
                  </w:tcBorders>
                  <w:vAlign w:val="center"/>
                </w:tcPr>
                <w:p w14:paraId="649F6AD6">
                  <w:pPr>
                    <w:jc w:val="center"/>
                    <w:rPr>
                      <w:rFonts w:hint="eastAsia" w:cs="Times New Roman"/>
                      <w:color w:val="auto"/>
                      <w:sz w:val="21"/>
                      <w:szCs w:val="21"/>
                      <w:lang w:val="en-US" w:eastAsia="zh-CN" w:bidi="ar-SA"/>
                    </w:rPr>
                  </w:pPr>
                  <w:r>
                    <w:rPr>
                      <w:rFonts w:hint="eastAsia" w:cs="Times New Roman"/>
                      <w:color w:val="auto"/>
                      <w:sz w:val="21"/>
                      <w:szCs w:val="21"/>
                      <w:lang w:val="en-US" w:eastAsia="zh-CN" w:bidi="ar-SA"/>
                    </w:rPr>
                    <w:t>0.008</w:t>
                  </w:r>
                </w:p>
              </w:tc>
            </w:tr>
            <w:tr w14:paraId="4C91EE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8" w:type="dxa"/>
                  <w:tcBorders>
                    <w:tl2br w:val="nil"/>
                    <w:tr2bl w:val="nil"/>
                  </w:tcBorders>
                  <w:vAlign w:val="center"/>
                </w:tcPr>
                <w:p w14:paraId="01ED579A">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燃煤储棚</w:t>
                  </w:r>
                </w:p>
              </w:tc>
              <w:tc>
                <w:tcPr>
                  <w:tcW w:w="631" w:type="dxa"/>
                  <w:tcBorders>
                    <w:tl2br w:val="nil"/>
                    <w:tr2bl w:val="nil"/>
                  </w:tcBorders>
                  <w:vAlign w:val="center"/>
                </w:tcPr>
                <w:p w14:paraId="47703EE7">
                  <w:pPr>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颗粒物</w:t>
                  </w:r>
                </w:p>
              </w:tc>
              <w:tc>
                <w:tcPr>
                  <w:tcW w:w="569" w:type="dxa"/>
                  <w:tcBorders>
                    <w:tl2br w:val="nil"/>
                    <w:tr2bl w:val="nil"/>
                  </w:tcBorders>
                  <w:vAlign w:val="center"/>
                </w:tcPr>
                <w:p w14:paraId="4A8B4040">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无组织</w:t>
                  </w:r>
                </w:p>
              </w:tc>
              <w:tc>
                <w:tcPr>
                  <w:tcW w:w="681" w:type="dxa"/>
                  <w:tcBorders>
                    <w:tl2br w:val="nil"/>
                    <w:tr2bl w:val="nil"/>
                  </w:tcBorders>
                  <w:vAlign w:val="center"/>
                </w:tcPr>
                <w:p w14:paraId="0425B8FC">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w:t>
                  </w:r>
                </w:p>
              </w:tc>
              <w:tc>
                <w:tcPr>
                  <w:tcW w:w="745" w:type="dxa"/>
                  <w:tcBorders>
                    <w:tl2br w:val="nil"/>
                    <w:tr2bl w:val="nil"/>
                  </w:tcBorders>
                  <w:vAlign w:val="center"/>
                </w:tcPr>
                <w:p w14:paraId="4840FF9B">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7.16</w:t>
                  </w:r>
                </w:p>
              </w:tc>
              <w:tc>
                <w:tcPr>
                  <w:tcW w:w="1023" w:type="dxa"/>
                  <w:vMerge w:val="restart"/>
                  <w:tcBorders>
                    <w:tl2br w:val="nil"/>
                    <w:tr2bl w:val="nil"/>
                  </w:tcBorders>
                  <w:vAlign w:val="center"/>
                </w:tcPr>
                <w:p w14:paraId="057C3A43">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喷淋+</w:t>
                  </w:r>
                  <w:r>
                    <w:rPr>
                      <w:rFonts w:hint="eastAsia" w:ascii="Times New Roman" w:hAnsi="Times New Roman" w:eastAsia="宋体" w:cs="Times New Roman"/>
                      <w:color w:val="auto"/>
                      <w:sz w:val="21"/>
                      <w:szCs w:val="21"/>
                      <w:lang w:val="en-US" w:eastAsia="zh-CN" w:bidi="ar-SA"/>
                    </w:rPr>
                    <w:t>全封闭</w:t>
                  </w:r>
                </w:p>
              </w:tc>
              <w:tc>
                <w:tcPr>
                  <w:tcW w:w="1167" w:type="dxa"/>
                  <w:tcBorders>
                    <w:tl2br w:val="nil"/>
                    <w:tr2bl w:val="nil"/>
                  </w:tcBorders>
                  <w:vAlign w:val="center"/>
                </w:tcPr>
                <w:p w14:paraId="2E504724">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w:t>
                  </w:r>
                </w:p>
              </w:tc>
              <w:tc>
                <w:tcPr>
                  <w:tcW w:w="783" w:type="dxa"/>
                  <w:tcBorders>
                    <w:tl2br w:val="nil"/>
                    <w:tr2bl w:val="nil"/>
                  </w:tcBorders>
                  <w:vAlign w:val="center"/>
                </w:tcPr>
                <w:p w14:paraId="377CFE54">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w:t>
                  </w:r>
                </w:p>
              </w:tc>
              <w:tc>
                <w:tcPr>
                  <w:tcW w:w="735" w:type="dxa"/>
                  <w:tcBorders>
                    <w:tl2br w:val="nil"/>
                    <w:tr2bl w:val="nil"/>
                  </w:tcBorders>
                  <w:vAlign w:val="center"/>
                </w:tcPr>
                <w:p w14:paraId="57EE73C7">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0.0</w:t>
                  </w:r>
                  <w:r>
                    <w:rPr>
                      <w:rFonts w:hint="eastAsia" w:cs="Times New Roman"/>
                      <w:color w:val="auto"/>
                      <w:sz w:val="21"/>
                      <w:szCs w:val="21"/>
                      <w:lang w:val="en-US" w:eastAsia="zh-CN" w:bidi="ar-SA"/>
                    </w:rPr>
                    <w:t>03</w:t>
                  </w:r>
                </w:p>
              </w:tc>
              <w:tc>
                <w:tcPr>
                  <w:tcW w:w="831" w:type="dxa"/>
                  <w:tcBorders>
                    <w:tl2br w:val="nil"/>
                    <w:tr2bl w:val="nil"/>
                  </w:tcBorders>
                  <w:vAlign w:val="center"/>
                </w:tcPr>
                <w:p w14:paraId="1948832B">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0.0</w:t>
                  </w:r>
                  <w:r>
                    <w:rPr>
                      <w:rFonts w:hint="eastAsia" w:cs="Times New Roman"/>
                      <w:color w:val="auto"/>
                      <w:sz w:val="21"/>
                      <w:szCs w:val="21"/>
                      <w:lang w:val="en-US" w:eastAsia="zh-CN" w:bidi="ar-SA"/>
                    </w:rPr>
                    <w:t>2</w:t>
                  </w:r>
                </w:p>
              </w:tc>
            </w:tr>
            <w:tr w14:paraId="33299C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8" w:type="dxa"/>
                  <w:tcBorders>
                    <w:tl2br w:val="nil"/>
                    <w:tr2bl w:val="nil"/>
                  </w:tcBorders>
                  <w:vAlign w:val="center"/>
                </w:tcPr>
                <w:p w14:paraId="5573773D">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灰渣储棚</w:t>
                  </w:r>
                </w:p>
              </w:tc>
              <w:tc>
                <w:tcPr>
                  <w:tcW w:w="631" w:type="dxa"/>
                  <w:tcBorders>
                    <w:tl2br w:val="nil"/>
                    <w:tr2bl w:val="nil"/>
                  </w:tcBorders>
                  <w:vAlign w:val="center"/>
                </w:tcPr>
                <w:p w14:paraId="316335FA">
                  <w:pPr>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颗粒物</w:t>
                  </w:r>
                </w:p>
              </w:tc>
              <w:tc>
                <w:tcPr>
                  <w:tcW w:w="569" w:type="dxa"/>
                  <w:tcBorders>
                    <w:tl2br w:val="nil"/>
                    <w:tr2bl w:val="nil"/>
                  </w:tcBorders>
                  <w:vAlign w:val="center"/>
                </w:tcPr>
                <w:p w14:paraId="73284E2E">
                  <w:pPr>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无组织</w:t>
                  </w:r>
                </w:p>
              </w:tc>
              <w:tc>
                <w:tcPr>
                  <w:tcW w:w="681" w:type="dxa"/>
                  <w:tcBorders>
                    <w:tl2br w:val="nil"/>
                    <w:tr2bl w:val="nil"/>
                  </w:tcBorders>
                  <w:vAlign w:val="center"/>
                </w:tcPr>
                <w:p w14:paraId="2AC78ABD">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w:t>
                  </w:r>
                </w:p>
              </w:tc>
              <w:tc>
                <w:tcPr>
                  <w:tcW w:w="745" w:type="dxa"/>
                  <w:tcBorders>
                    <w:tl2br w:val="nil"/>
                    <w:tr2bl w:val="nil"/>
                  </w:tcBorders>
                  <w:vAlign w:val="center"/>
                </w:tcPr>
                <w:p w14:paraId="65CF44FE">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4.14</w:t>
                  </w:r>
                </w:p>
              </w:tc>
              <w:tc>
                <w:tcPr>
                  <w:tcW w:w="1023" w:type="dxa"/>
                  <w:vMerge w:val="continue"/>
                  <w:tcBorders>
                    <w:tl2br w:val="nil"/>
                    <w:tr2bl w:val="nil"/>
                  </w:tcBorders>
                  <w:vAlign w:val="center"/>
                </w:tcPr>
                <w:p w14:paraId="53E78A80">
                  <w:pPr>
                    <w:jc w:val="center"/>
                    <w:rPr>
                      <w:rFonts w:hint="default" w:ascii="Times New Roman" w:hAnsi="Times New Roman" w:eastAsia="宋体" w:cs="Times New Roman"/>
                      <w:color w:val="auto"/>
                      <w:sz w:val="21"/>
                      <w:szCs w:val="21"/>
                      <w:lang w:val="en-US" w:eastAsia="zh-CN" w:bidi="ar-SA"/>
                    </w:rPr>
                  </w:pPr>
                </w:p>
              </w:tc>
              <w:tc>
                <w:tcPr>
                  <w:tcW w:w="1167" w:type="dxa"/>
                  <w:tcBorders>
                    <w:tl2br w:val="nil"/>
                    <w:tr2bl w:val="nil"/>
                  </w:tcBorders>
                  <w:vAlign w:val="center"/>
                </w:tcPr>
                <w:p w14:paraId="42E9A48C">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99%</w:t>
                  </w:r>
                </w:p>
              </w:tc>
              <w:tc>
                <w:tcPr>
                  <w:tcW w:w="783" w:type="dxa"/>
                  <w:tcBorders>
                    <w:tl2br w:val="nil"/>
                    <w:tr2bl w:val="nil"/>
                  </w:tcBorders>
                  <w:vAlign w:val="center"/>
                </w:tcPr>
                <w:p w14:paraId="3618BADA">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w:t>
                  </w:r>
                </w:p>
              </w:tc>
              <w:tc>
                <w:tcPr>
                  <w:tcW w:w="735" w:type="dxa"/>
                  <w:tcBorders>
                    <w:tl2br w:val="nil"/>
                    <w:tr2bl w:val="nil"/>
                  </w:tcBorders>
                  <w:vAlign w:val="center"/>
                </w:tcPr>
                <w:p w14:paraId="14CA8B80">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0.001</w:t>
                  </w:r>
                </w:p>
              </w:tc>
              <w:tc>
                <w:tcPr>
                  <w:tcW w:w="831" w:type="dxa"/>
                  <w:tcBorders>
                    <w:tl2br w:val="nil"/>
                    <w:tr2bl w:val="nil"/>
                  </w:tcBorders>
                  <w:vAlign w:val="center"/>
                </w:tcPr>
                <w:p w14:paraId="093B6490">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0.01</w:t>
                  </w:r>
                </w:p>
              </w:tc>
            </w:tr>
          </w:tbl>
          <w:p w14:paraId="25B435C8">
            <w:pPr>
              <w:pStyle w:val="16"/>
              <w:keepNext w:val="0"/>
              <w:keepLines w:val="0"/>
              <w:pageBreakBefore w:val="0"/>
              <w:widowControl/>
              <w:kinsoku/>
              <w:wordWrap/>
              <w:overflowPunct/>
              <w:topLinePunct w:val="0"/>
              <w:autoSpaceDE/>
              <w:autoSpaceDN/>
              <w:bidi w:val="0"/>
              <w:adjustRightInd/>
              <w:snapToGrid/>
              <w:spacing w:line="480" w:lineRule="exact"/>
              <w:jc w:val="center"/>
              <w:textAlignment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表4-4  排污口设置一览表</w:t>
            </w:r>
          </w:p>
          <w:tbl>
            <w:tblPr>
              <w:tblStyle w:val="11"/>
              <w:tblW w:w="779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9"/>
              <w:gridCol w:w="1117"/>
              <w:gridCol w:w="1042"/>
              <w:gridCol w:w="955"/>
              <w:gridCol w:w="800"/>
              <w:gridCol w:w="881"/>
              <w:gridCol w:w="919"/>
              <w:gridCol w:w="1095"/>
            </w:tblGrid>
            <w:tr w14:paraId="450B03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9" w:hRule="atLeast"/>
              </w:trPr>
              <w:tc>
                <w:tcPr>
                  <w:tcW w:w="992" w:type="dxa"/>
                  <w:vMerge w:val="restart"/>
                  <w:tcBorders>
                    <w:tl2br w:val="nil"/>
                    <w:tr2bl w:val="nil"/>
                  </w:tcBorders>
                  <w:vAlign w:val="center"/>
                </w:tcPr>
                <w:p w14:paraId="23966A0F">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排气筒位置</w:t>
                  </w:r>
                </w:p>
              </w:tc>
              <w:tc>
                <w:tcPr>
                  <w:tcW w:w="2160" w:type="dxa"/>
                  <w:gridSpan w:val="2"/>
                  <w:tcBorders>
                    <w:tl2br w:val="nil"/>
                    <w:tr2bl w:val="nil"/>
                  </w:tcBorders>
                  <w:vAlign w:val="center"/>
                </w:tcPr>
                <w:p w14:paraId="5CC55F10">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排气筒底部中心坐标</w:t>
                  </w:r>
                </w:p>
              </w:tc>
              <w:tc>
                <w:tcPr>
                  <w:tcW w:w="956" w:type="dxa"/>
                  <w:vMerge w:val="restart"/>
                  <w:tcBorders>
                    <w:tl2br w:val="nil"/>
                    <w:tr2bl w:val="nil"/>
                  </w:tcBorders>
                  <w:vAlign w:val="center"/>
                </w:tcPr>
                <w:p w14:paraId="5B1A8724">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排气筒底部海拔高度（m）</w:t>
                  </w:r>
                </w:p>
              </w:tc>
              <w:tc>
                <w:tcPr>
                  <w:tcW w:w="2594" w:type="dxa"/>
                  <w:gridSpan w:val="3"/>
                  <w:tcBorders>
                    <w:tl2br w:val="nil"/>
                    <w:tr2bl w:val="nil"/>
                  </w:tcBorders>
                  <w:vAlign w:val="center"/>
                </w:tcPr>
                <w:p w14:paraId="33408755">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排气筒参数</w:t>
                  </w:r>
                </w:p>
              </w:tc>
              <w:tc>
                <w:tcPr>
                  <w:tcW w:w="1096" w:type="dxa"/>
                  <w:vMerge w:val="restart"/>
                  <w:tcBorders>
                    <w:tl2br w:val="nil"/>
                    <w:tr2bl w:val="nil"/>
                  </w:tcBorders>
                  <w:vAlign w:val="center"/>
                </w:tcPr>
                <w:p w14:paraId="461A0F17">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污染物名称</w:t>
                  </w:r>
                </w:p>
              </w:tc>
            </w:tr>
            <w:tr w14:paraId="002398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7" w:hRule="atLeast"/>
              </w:trPr>
              <w:tc>
                <w:tcPr>
                  <w:tcW w:w="992" w:type="dxa"/>
                  <w:vMerge w:val="continue"/>
                  <w:tcBorders>
                    <w:tl2br w:val="nil"/>
                    <w:tr2bl w:val="nil"/>
                  </w:tcBorders>
                  <w:vAlign w:val="center"/>
                </w:tcPr>
                <w:p w14:paraId="2CDCD483">
                  <w:pPr>
                    <w:jc w:val="center"/>
                    <w:rPr>
                      <w:rFonts w:hint="eastAsia" w:ascii="Times New Roman" w:hAnsi="Times New Roman" w:eastAsia="宋体" w:cs="Times New Roman"/>
                      <w:color w:val="auto"/>
                      <w:sz w:val="21"/>
                      <w:szCs w:val="21"/>
                      <w:lang w:val="en-US" w:eastAsia="zh-CN" w:bidi="ar-SA"/>
                    </w:rPr>
                  </w:pPr>
                </w:p>
              </w:tc>
              <w:tc>
                <w:tcPr>
                  <w:tcW w:w="1117" w:type="dxa"/>
                  <w:tcBorders>
                    <w:tl2br w:val="nil"/>
                    <w:tr2bl w:val="nil"/>
                  </w:tcBorders>
                  <w:vAlign w:val="center"/>
                </w:tcPr>
                <w:p w14:paraId="088A068C">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经度</w:t>
                  </w:r>
                </w:p>
              </w:tc>
              <w:tc>
                <w:tcPr>
                  <w:tcW w:w="1043" w:type="dxa"/>
                  <w:tcBorders>
                    <w:tl2br w:val="nil"/>
                    <w:tr2bl w:val="nil"/>
                  </w:tcBorders>
                  <w:vAlign w:val="center"/>
                </w:tcPr>
                <w:p w14:paraId="167442A5">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纬度</w:t>
                  </w:r>
                </w:p>
              </w:tc>
              <w:tc>
                <w:tcPr>
                  <w:tcW w:w="956" w:type="dxa"/>
                  <w:vMerge w:val="continue"/>
                  <w:tcBorders>
                    <w:tl2br w:val="nil"/>
                    <w:tr2bl w:val="nil"/>
                  </w:tcBorders>
                  <w:vAlign w:val="center"/>
                </w:tcPr>
                <w:p w14:paraId="2CAC74F4">
                  <w:pPr>
                    <w:jc w:val="center"/>
                    <w:rPr>
                      <w:rFonts w:hint="eastAsia" w:ascii="Times New Roman" w:hAnsi="Times New Roman" w:eastAsia="宋体" w:cs="Times New Roman"/>
                      <w:color w:val="auto"/>
                      <w:sz w:val="21"/>
                      <w:szCs w:val="21"/>
                      <w:lang w:val="en-US" w:eastAsia="zh-CN" w:bidi="ar-SA"/>
                    </w:rPr>
                  </w:pPr>
                </w:p>
              </w:tc>
              <w:tc>
                <w:tcPr>
                  <w:tcW w:w="794" w:type="dxa"/>
                  <w:tcBorders>
                    <w:tl2br w:val="nil"/>
                    <w:tr2bl w:val="nil"/>
                  </w:tcBorders>
                  <w:vAlign w:val="center"/>
                </w:tcPr>
                <w:p w14:paraId="6750ECE7">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高度（m）</w:t>
                  </w:r>
                </w:p>
              </w:tc>
              <w:tc>
                <w:tcPr>
                  <w:tcW w:w="881" w:type="dxa"/>
                  <w:tcBorders>
                    <w:tl2br w:val="nil"/>
                    <w:tr2bl w:val="nil"/>
                  </w:tcBorders>
                  <w:vAlign w:val="center"/>
                </w:tcPr>
                <w:p w14:paraId="7875ED7A">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内径（m）</w:t>
                  </w:r>
                </w:p>
              </w:tc>
              <w:tc>
                <w:tcPr>
                  <w:tcW w:w="919" w:type="dxa"/>
                  <w:tcBorders>
                    <w:tl2br w:val="nil"/>
                    <w:tr2bl w:val="nil"/>
                  </w:tcBorders>
                  <w:vAlign w:val="center"/>
                </w:tcPr>
                <w:p w14:paraId="67DB82D8">
                  <w:pPr>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温度（℃）</w:t>
                  </w:r>
                </w:p>
              </w:tc>
              <w:tc>
                <w:tcPr>
                  <w:tcW w:w="1096" w:type="dxa"/>
                  <w:vMerge w:val="continue"/>
                  <w:tcBorders>
                    <w:tl2br w:val="nil"/>
                    <w:tr2bl w:val="nil"/>
                  </w:tcBorders>
                  <w:vAlign w:val="center"/>
                </w:tcPr>
                <w:p w14:paraId="2A4E005F">
                  <w:pPr>
                    <w:jc w:val="center"/>
                    <w:rPr>
                      <w:rFonts w:hint="eastAsia" w:ascii="Times New Roman" w:hAnsi="Times New Roman" w:eastAsia="宋体" w:cs="Times New Roman"/>
                      <w:color w:val="auto"/>
                      <w:sz w:val="21"/>
                      <w:szCs w:val="21"/>
                      <w:lang w:val="en-US" w:eastAsia="zh-CN" w:bidi="ar-SA"/>
                    </w:rPr>
                  </w:pPr>
                </w:p>
              </w:tc>
            </w:tr>
            <w:tr w14:paraId="65E9FB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992" w:type="dxa"/>
                  <w:tcBorders>
                    <w:tl2br w:val="nil"/>
                    <w:tr2bl w:val="nil"/>
                  </w:tcBorders>
                  <w:vAlign w:val="center"/>
                </w:tcPr>
                <w:p w14:paraId="76303ABB">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三级吸收塔</w:t>
                  </w:r>
                </w:p>
              </w:tc>
              <w:tc>
                <w:tcPr>
                  <w:tcW w:w="1117" w:type="dxa"/>
                  <w:tcBorders>
                    <w:tl2br w:val="nil"/>
                    <w:tr2bl w:val="nil"/>
                  </w:tcBorders>
                  <w:vAlign w:val="center"/>
                </w:tcPr>
                <w:p w14:paraId="7A774CAC">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106.7856</w:t>
                  </w:r>
                </w:p>
              </w:tc>
              <w:tc>
                <w:tcPr>
                  <w:tcW w:w="1043" w:type="dxa"/>
                  <w:tcBorders>
                    <w:tl2br w:val="nil"/>
                    <w:tr2bl w:val="nil"/>
                  </w:tcBorders>
                  <w:vAlign w:val="center"/>
                </w:tcPr>
                <w:p w14:paraId="556D342F">
                  <w:pPr>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39.8639</w:t>
                  </w:r>
                </w:p>
              </w:tc>
              <w:tc>
                <w:tcPr>
                  <w:tcW w:w="956" w:type="dxa"/>
                  <w:tcBorders>
                    <w:tl2br w:val="nil"/>
                    <w:tr2bl w:val="nil"/>
                  </w:tcBorders>
                  <w:vAlign w:val="center"/>
                </w:tcPr>
                <w:p w14:paraId="4F174CFB">
                  <w:pPr>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1122.9</w:t>
                  </w:r>
                </w:p>
              </w:tc>
              <w:tc>
                <w:tcPr>
                  <w:tcW w:w="794" w:type="dxa"/>
                  <w:tcBorders>
                    <w:tl2br w:val="nil"/>
                    <w:tr2bl w:val="nil"/>
                  </w:tcBorders>
                  <w:vAlign w:val="center"/>
                </w:tcPr>
                <w:p w14:paraId="129680C2">
                  <w:pPr>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3</w:t>
                  </w:r>
                  <w:r>
                    <w:rPr>
                      <w:rFonts w:hint="eastAsia" w:ascii="Times New Roman" w:hAnsi="Times New Roman" w:eastAsia="宋体" w:cs="Times New Roman"/>
                      <w:color w:val="auto"/>
                      <w:sz w:val="21"/>
                      <w:szCs w:val="21"/>
                      <w:lang w:val="en-US" w:eastAsia="zh-CN" w:bidi="ar-SA"/>
                    </w:rPr>
                    <w:t>2</w:t>
                  </w:r>
                </w:p>
              </w:tc>
              <w:tc>
                <w:tcPr>
                  <w:tcW w:w="881" w:type="dxa"/>
                  <w:tcBorders>
                    <w:tl2br w:val="nil"/>
                    <w:tr2bl w:val="nil"/>
                  </w:tcBorders>
                  <w:vAlign w:val="center"/>
                </w:tcPr>
                <w:p w14:paraId="0853E68E">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16</w:t>
                  </w:r>
                </w:p>
              </w:tc>
              <w:tc>
                <w:tcPr>
                  <w:tcW w:w="919" w:type="dxa"/>
                  <w:tcBorders>
                    <w:tl2br w:val="nil"/>
                    <w:tr2bl w:val="nil"/>
                  </w:tcBorders>
                  <w:vAlign w:val="center"/>
                </w:tcPr>
                <w:p w14:paraId="0EF8389C">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45</w:t>
                  </w:r>
                </w:p>
              </w:tc>
              <w:tc>
                <w:tcPr>
                  <w:tcW w:w="1096" w:type="dxa"/>
                  <w:tcBorders>
                    <w:tl2br w:val="nil"/>
                    <w:tr2bl w:val="nil"/>
                  </w:tcBorders>
                  <w:vAlign w:val="center"/>
                </w:tcPr>
                <w:p w14:paraId="348DD675">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颗粒物、SO</w:t>
                  </w:r>
                  <w:r>
                    <w:rPr>
                      <w:rFonts w:hint="eastAsia" w:ascii="Times New Roman" w:hAnsi="Times New Roman" w:eastAsia="宋体" w:cs="Times New Roman"/>
                      <w:color w:val="auto"/>
                      <w:sz w:val="21"/>
                      <w:szCs w:val="21"/>
                      <w:vertAlign w:val="subscript"/>
                      <w:lang w:val="en-US" w:eastAsia="zh-CN" w:bidi="ar-SA"/>
                    </w:rPr>
                    <w:t>2</w:t>
                  </w:r>
                  <w:r>
                    <w:rPr>
                      <w:rFonts w:hint="eastAsia" w:ascii="Times New Roman" w:hAnsi="Times New Roman" w:eastAsia="宋体" w:cs="Times New Roman"/>
                      <w:color w:val="auto"/>
                      <w:sz w:val="21"/>
                      <w:szCs w:val="21"/>
                      <w:vertAlign w:val="baseline"/>
                      <w:lang w:val="en-US" w:eastAsia="zh-CN" w:bidi="ar-SA"/>
                    </w:rPr>
                    <w:t>、</w:t>
                  </w:r>
                  <w:r>
                    <w:rPr>
                      <w:rFonts w:hint="eastAsia" w:ascii="Times New Roman" w:hAnsi="Times New Roman" w:eastAsia="宋体" w:cs="Times New Roman"/>
                      <w:color w:val="auto"/>
                      <w:sz w:val="21"/>
                      <w:szCs w:val="21"/>
                      <w:lang w:val="en-US" w:eastAsia="zh-CN" w:bidi="ar-SA"/>
                    </w:rPr>
                    <w:t>NOx</w:t>
                  </w:r>
                </w:p>
              </w:tc>
            </w:tr>
          </w:tbl>
          <w:p w14:paraId="7311F8B7">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）废气治理措施可行性分析</w:t>
            </w:r>
          </w:p>
          <w:p w14:paraId="3467F7AE">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本项目运营期废气为燃煤热风炉产生的烟气、</w:t>
            </w:r>
            <w:r>
              <w:rPr>
                <w:rFonts w:hint="eastAsia" w:cs="Times New Roman"/>
                <w:color w:val="auto"/>
                <w:sz w:val="24"/>
                <w:szCs w:val="24"/>
                <w:highlight w:val="none"/>
                <w:lang w:val="en-US" w:eastAsia="zh-CN"/>
              </w:rPr>
              <w:t>燃料</w:t>
            </w:r>
            <w:r>
              <w:rPr>
                <w:rFonts w:hint="eastAsia" w:ascii="Times New Roman" w:hAnsi="Times New Roman" w:eastAsia="宋体" w:cs="Times New Roman"/>
                <w:color w:val="auto"/>
                <w:sz w:val="24"/>
                <w:szCs w:val="24"/>
                <w:highlight w:val="none"/>
                <w:lang w:val="en-US" w:eastAsia="zh-CN"/>
              </w:rPr>
              <w:t>煤装卸堆存引起的扬尘、</w:t>
            </w:r>
            <w:r>
              <w:rPr>
                <w:rFonts w:hint="eastAsia" w:cs="Times New Roman"/>
                <w:color w:val="auto"/>
                <w:sz w:val="24"/>
                <w:szCs w:val="24"/>
                <w:highlight w:val="none"/>
                <w:lang w:val="en-US" w:eastAsia="zh-CN"/>
              </w:rPr>
              <w:t>热风炉灰渣</w:t>
            </w:r>
            <w:r>
              <w:rPr>
                <w:rFonts w:hint="eastAsia" w:ascii="Times New Roman" w:hAnsi="Times New Roman" w:eastAsia="宋体" w:cs="Times New Roman"/>
                <w:color w:val="auto"/>
                <w:sz w:val="24"/>
                <w:szCs w:val="24"/>
                <w:highlight w:val="none"/>
                <w:lang w:val="en-US" w:eastAsia="zh-CN"/>
              </w:rPr>
              <w:t>堆存粉尘。燃煤热风炉产生的烟气</w:t>
            </w:r>
            <w:r>
              <w:rPr>
                <w:rFonts w:hint="eastAsia" w:cs="Times New Roman"/>
                <w:color w:val="auto"/>
                <w:sz w:val="24"/>
                <w:szCs w:val="24"/>
                <w:highlight w:val="none"/>
                <w:lang w:val="en-US" w:eastAsia="zh-CN"/>
              </w:rPr>
              <w:t>经低氮燃烧+SNCR脱硝处理后直接接触物料，烟气与喷雾干燥产生的废气一并进入三级吸收塔（2级水+1级碱（钠碱法脱硫））处理后最终经高32m，内径为1.6m排气筒排放</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燃料煤、热风炉灰渣</w:t>
            </w:r>
            <w:r>
              <w:rPr>
                <w:rFonts w:hint="eastAsia" w:ascii="Times New Roman" w:hAnsi="Times New Roman" w:eastAsia="宋体" w:cs="Times New Roman"/>
                <w:color w:val="auto"/>
                <w:sz w:val="24"/>
                <w:szCs w:val="24"/>
                <w:highlight w:val="none"/>
                <w:lang w:val="en-US" w:eastAsia="zh-CN"/>
              </w:rPr>
              <w:t>存放于</w:t>
            </w:r>
            <w:r>
              <w:rPr>
                <w:rFonts w:hint="eastAsia" w:cs="Times New Roman"/>
                <w:color w:val="auto"/>
                <w:sz w:val="24"/>
                <w:szCs w:val="24"/>
                <w:highlight w:val="none"/>
                <w:lang w:val="en-US" w:eastAsia="zh-CN"/>
              </w:rPr>
              <w:t>全</w:t>
            </w:r>
            <w:r>
              <w:rPr>
                <w:rFonts w:hint="eastAsia" w:ascii="Times New Roman" w:hAnsi="Times New Roman" w:eastAsia="宋体" w:cs="Times New Roman"/>
                <w:color w:val="auto"/>
                <w:sz w:val="24"/>
                <w:szCs w:val="24"/>
                <w:highlight w:val="none"/>
                <w:lang w:val="en-US" w:eastAsia="zh-CN"/>
              </w:rPr>
              <w:t>封闭式储棚</w:t>
            </w:r>
            <w:r>
              <w:rPr>
                <w:rFonts w:hint="eastAsia" w:cs="Times New Roman"/>
                <w:color w:val="auto"/>
                <w:sz w:val="24"/>
                <w:szCs w:val="24"/>
                <w:highlight w:val="none"/>
                <w:lang w:val="en-US" w:eastAsia="zh-CN"/>
              </w:rPr>
              <w:t>内</w:t>
            </w:r>
            <w:r>
              <w:rPr>
                <w:rFonts w:hint="eastAsia" w:ascii="Times New Roman" w:hAnsi="Times New Roman" w:eastAsia="宋体" w:cs="Times New Roman"/>
                <w:color w:val="auto"/>
                <w:sz w:val="24"/>
                <w:szCs w:val="24"/>
                <w:highlight w:val="none"/>
                <w:lang w:val="en-US" w:eastAsia="zh-CN"/>
              </w:rPr>
              <w:t>。采取上述防治措施可保证项目排放</w:t>
            </w:r>
            <w:r>
              <w:rPr>
                <w:rFonts w:hint="eastAsia" w:cs="Times New Roman"/>
                <w:color w:val="auto"/>
                <w:sz w:val="24"/>
                <w:szCs w:val="24"/>
                <w:highlight w:val="none"/>
                <w:lang w:val="en-US" w:eastAsia="zh-CN"/>
              </w:rPr>
              <w:t>的废气污染物均</w:t>
            </w:r>
            <w:r>
              <w:rPr>
                <w:rFonts w:hint="eastAsia" w:ascii="Times New Roman" w:hAnsi="Times New Roman" w:eastAsia="宋体" w:cs="Times New Roman"/>
                <w:color w:val="auto"/>
                <w:sz w:val="24"/>
                <w:szCs w:val="24"/>
                <w:highlight w:val="none"/>
                <w:lang w:val="en-US" w:eastAsia="zh-CN"/>
              </w:rPr>
              <w:t>满足《无机化学工业污染物排放标准》</w:t>
            </w:r>
            <w:r>
              <w:rPr>
                <w:rFonts w:hint="eastAsia" w:cs="Times New Roman"/>
                <w:color w:val="auto"/>
                <w:sz w:val="24"/>
                <w:szCs w:val="24"/>
                <w:highlight w:val="none"/>
                <w:vertAlign w:val="baseline"/>
                <w:lang w:val="en-US" w:eastAsia="zh-CN"/>
              </w:rPr>
              <w:t>及修改单</w:t>
            </w:r>
            <w:r>
              <w:rPr>
                <w:rFonts w:hint="eastAsia" w:ascii="Times New Roman" w:hAnsi="Times New Roman" w:eastAsia="宋体" w:cs="Times New Roman"/>
                <w:color w:val="auto"/>
                <w:sz w:val="24"/>
                <w:szCs w:val="24"/>
                <w:highlight w:val="none"/>
                <w:lang w:val="en-US" w:eastAsia="zh-CN"/>
              </w:rPr>
              <w:t>（GB 31573-2015）表4限值要求（SO</w:t>
            </w:r>
            <w:r>
              <w:rPr>
                <w:rFonts w:hint="eastAsia" w:ascii="Times New Roman" w:hAnsi="Times New Roman" w:eastAsia="宋体" w:cs="Times New Roman"/>
                <w:color w:val="auto"/>
                <w:sz w:val="24"/>
                <w:szCs w:val="24"/>
                <w:highlight w:val="none"/>
                <w:vertAlign w:val="subscript"/>
                <w:lang w:val="en-US" w:eastAsia="zh-CN"/>
              </w:rPr>
              <w:t>2</w:t>
            </w:r>
            <w:r>
              <w:rPr>
                <w:rFonts w:hint="eastAsia" w:ascii="Times New Roman" w:hAnsi="Times New Roman" w:eastAsia="宋体" w:cs="Times New Roman"/>
                <w:color w:val="auto"/>
                <w:sz w:val="24"/>
                <w:szCs w:val="24"/>
                <w:highlight w:val="none"/>
                <w:lang w:val="en-US" w:eastAsia="zh-CN"/>
              </w:rPr>
              <w:t>排放浓度100 mg/m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、NOx排放浓度100 mg/m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、颗粒物排放浓度10mg/m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w:t>
            </w:r>
          </w:p>
          <w:p w14:paraId="1C9BD1E8">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综上所述，本项目废气治理措施可行。</w:t>
            </w:r>
          </w:p>
          <w:p w14:paraId="4CE09DF1">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val="en-US" w:eastAsia="zh-CN"/>
              </w:rPr>
              <w:t>）非正常工况</w:t>
            </w:r>
          </w:p>
          <w:p w14:paraId="05215B35">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开停车（工、炉）、设备检修、工艺设备运转异常，导致废气污染物排放量增大，造成非正常排放。发生一般事故时，在设备运行的同时进行抢修，如废气处理系统必须停止运行，则应通知生产车间停止生产。根据各工段污染物的排放量，结合其污染防治措施的有效性，本项目主要预测</w:t>
            </w:r>
            <w:r>
              <w:rPr>
                <w:rFonts w:hint="eastAsia" w:cs="Times New Roman"/>
                <w:color w:val="auto"/>
                <w:sz w:val="24"/>
                <w:szCs w:val="24"/>
                <w:highlight w:val="none"/>
                <w:lang w:val="en-US" w:eastAsia="zh-CN"/>
              </w:rPr>
              <w:t>开停炉和</w:t>
            </w:r>
            <w:r>
              <w:rPr>
                <w:rFonts w:hint="eastAsia" w:ascii="Times New Roman" w:hAnsi="Times New Roman" w:eastAsia="宋体" w:cs="Times New Roman"/>
                <w:color w:val="auto"/>
                <w:sz w:val="24"/>
                <w:szCs w:val="24"/>
                <w:highlight w:val="none"/>
                <w:lang w:val="en-US" w:eastAsia="zh-CN"/>
              </w:rPr>
              <w:t>三级吸收塔排气筒对应“SNCR脱硝</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三级吸收塔”</w:t>
            </w:r>
            <w:r>
              <w:rPr>
                <w:rFonts w:hint="eastAsia" w:cs="Times New Roman"/>
                <w:color w:val="auto"/>
                <w:sz w:val="24"/>
                <w:szCs w:val="24"/>
                <w:highlight w:val="none"/>
                <w:lang w:val="en-US" w:eastAsia="zh-CN"/>
              </w:rPr>
              <w:t>等</w:t>
            </w:r>
            <w:r>
              <w:rPr>
                <w:rFonts w:hint="eastAsia" w:ascii="Times New Roman" w:hAnsi="Times New Roman" w:eastAsia="宋体" w:cs="Times New Roman"/>
                <w:color w:val="auto"/>
                <w:sz w:val="24"/>
                <w:szCs w:val="24"/>
                <w:highlight w:val="none"/>
                <w:lang w:val="en-US" w:eastAsia="zh-CN"/>
              </w:rPr>
              <w:t>装置发生故障，废气处理效率降为0的最恶劣情况下，污染物直接排放对大气环境的影响。</w:t>
            </w:r>
          </w:p>
          <w:p w14:paraId="05B6CD75">
            <w:pPr>
              <w:pStyle w:val="16"/>
              <w:keepNext w:val="0"/>
              <w:keepLines w:val="0"/>
              <w:pageBreakBefore w:val="0"/>
              <w:widowControl/>
              <w:kinsoku/>
              <w:wordWrap/>
              <w:overflowPunct/>
              <w:topLinePunct w:val="0"/>
              <w:autoSpaceDE/>
              <w:autoSpaceDN/>
              <w:bidi w:val="0"/>
              <w:adjustRightInd/>
              <w:snapToGrid/>
              <w:spacing w:line="480" w:lineRule="exact"/>
              <w:jc w:val="center"/>
              <w:textAlignment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表4-5  非正常工况下废气排放情况表</w:t>
            </w:r>
          </w:p>
          <w:tbl>
            <w:tblPr>
              <w:tblStyle w:val="10"/>
              <w:tblW w:w="0" w:type="auto"/>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6"/>
              <w:gridCol w:w="857"/>
              <w:gridCol w:w="1527"/>
              <w:gridCol w:w="776"/>
              <w:gridCol w:w="631"/>
              <w:gridCol w:w="902"/>
              <w:gridCol w:w="734"/>
              <w:gridCol w:w="988"/>
              <w:gridCol w:w="646"/>
            </w:tblGrid>
            <w:tr w14:paraId="380EB1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696" w:type="dxa"/>
                  <w:vMerge w:val="restart"/>
                  <w:tcBorders>
                    <w:tl2br w:val="nil"/>
                    <w:tr2bl w:val="nil"/>
                  </w:tcBorders>
                  <w:noWrap w:val="0"/>
                  <w:vAlign w:val="center"/>
                </w:tcPr>
                <w:p w14:paraId="597D9132">
                  <w:pPr>
                    <w:jc w:val="center"/>
                    <w:rPr>
                      <w:color w:val="auto"/>
                      <w:szCs w:val="21"/>
                    </w:rPr>
                  </w:pPr>
                  <w:r>
                    <w:rPr>
                      <w:color w:val="auto"/>
                      <w:szCs w:val="21"/>
                    </w:rPr>
                    <w:t>污染源</w:t>
                  </w:r>
                </w:p>
              </w:tc>
              <w:tc>
                <w:tcPr>
                  <w:tcW w:w="857" w:type="dxa"/>
                  <w:vMerge w:val="restart"/>
                  <w:tcBorders>
                    <w:tl2br w:val="nil"/>
                    <w:tr2bl w:val="nil"/>
                  </w:tcBorders>
                  <w:noWrap w:val="0"/>
                  <w:vAlign w:val="center"/>
                </w:tcPr>
                <w:p w14:paraId="52FD9563">
                  <w:pPr>
                    <w:jc w:val="center"/>
                    <w:rPr>
                      <w:color w:val="auto"/>
                      <w:szCs w:val="21"/>
                    </w:rPr>
                  </w:pPr>
                  <w:r>
                    <w:rPr>
                      <w:color w:val="auto"/>
                      <w:szCs w:val="21"/>
                    </w:rPr>
                    <w:t>污染物名称</w:t>
                  </w:r>
                </w:p>
              </w:tc>
              <w:tc>
                <w:tcPr>
                  <w:tcW w:w="1527" w:type="dxa"/>
                  <w:vMerge w:val="restart"/>
                  <w:tcBorders>
                    <w:tl2br w:val="nil"/>
                    <w:tr2bl w:val="nil"/>
                  </w:tcBorders>
                  <w:noWrap w:val="0"/>
                  <w:vAlign w:val="center"/>
                </w:tcPr>
                <w:p w14:paraId="4A6E5763">
                  <w:pPr>
                    <w:ind w:left="-105" w:leftChars="-50" w:right="-105" w:rightChars="-50"/>
                    <w:jc w:val="center"/>
                    <w:rPr>
                      <w:color w:val="auto"/>
                      <w:szCs w:val="21"/>
                    </w:rPr>
                  </w:pPr>
                  <w:r>
                    <w:rPr>
                      <w:color w:val="auto"/>
                      <w:szCs w:val="21"/>
                    </w:rPr>
                    <w:t>非正常</w:t>
                  </w:r>
                </w:p>
                <w:p w14:paraId="4B1F5DBB">
                  <w:pPr>
                    <w:ind w:left="-105" w:leftChars="-50" w:right="-105" w:rightChars="-50"/>
                    <w:jc w:val="center"/>
                    <w:rPr>
                      <w:color w:val="auto"/>
                      <w:szCs w:val="21"/>
                    </w:rPr>
                  </w:pPr>
                  <w:r>
                    <w:rPr>
                      <w:color w:val="auto"/>
                      <w:szCs w:val="21"/>
                    </w:rPr>
                    <w:t>排放原因</w:t>
                  </w:r>
                </w:p>
              </w:tc>
              <w:tc>
                <w:tcPr>
                  <w:tcW w:w="3043" w:type="dxa"/>
                  <w:gridSpan w:val="4"/>
                  <w:tcBorders>
                    <w:tl2br w:val="nil"/>
                    <w:tr2bl w:val="nil"/>
                  </w:tcBorders>
                  <w:noWrap w:val="0"/>
                  <w:vAlign w:val="center"/>
                </w:tcPr>
                <w:p w14:paraId="5BA5282F">
                  <w:pPr>
                    <w:jc w:val="center"/>
                    <w:rPr>
                      <w:color w:val="auto"/>
                      <w:szCs w:val="21"/>
                    </w:rPr>
                  </w:pPr>
                  <w:r>
                    <w:rPr>
                      <w:color w:val="auto"/>
                      <w:szCs w:val="21"/>
                    </w:rPr>
                    <w:t>非正常排放状况</w:t>
                  </w:r>
                </w:p>
              </w:tc>
              <w:tc>
                <w:tcPr>
                  <w:tcW w:w="988" w:type="dxa"/>
                  <w:tcBorders>
                    <w:tl2br w:val="nil"/>
                    <w:tr2bl w:val="nil"/>
                  </w:tcBorders>
                  <w:noWrap w:val="0"/>
                  <w:vAlign w:val="center"/>
                </w:tcPr>
                <w:p w14:paraId="41CE5FCB">
                  <w:pPr>
                    <w:jc w:val="center"/>
                    <w:rPr>
                      <w:color w:val="auto"/>
                      <w:szCs w:val="21"/>
                    </w:rPr>
                  </w:pPr>
                  <w:r>
                    <w:rPr>
                      <w:color w:val="auto"/>
                      <w:szCs w:val="21"/>
                    </w:rPr>
                    <w:t>执行标准</w:t>
                  </w:r>
                </w:p>
              </w:tc>
              <w:tc>
                <w:tcPr>
                  <w:tcW w:w="646" w:type="dxa"/>
                  <w:vMerge w:val="restart"/>
                  <w:tcBorders>
                    <w:tl2br w:val="nil"/>
                    <w:tr2bl w:val="nil"/>
                  </w:tcBorders>
                  <w:noWrap w:val="0"/>
                  <w:vAlign w:val="center"/>
                </w:tcPr>
                <w:p w14:paraId="5F61E9C8">
                  <w:pPr>
                    <w:jc w:val="center"/>
                    <w:rPr>
                      <w:color w:val="auto"/>
                      <w:szCs w:val="21"/>
                    </w:rPr>
                  </w:pPr>
                  <w:r>
                    <w:rPr>
                      <w:color w:val="auto"/>
                      <w:szCs w:val="21"/>
                    </w:rPr>
                    <w:t>达标分析</w:t>
                  </w:r>
                </w:p>
              </w:tc>
            </w:tr>
            <w:tr w14:paraId="00BA8C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696" w:type="dxa"/>
                  <w:vMerge w:val="continue"/>
                  <w:tcBorders>
                    <w:tl2br w:val="nil"/>
                    <w:tr2bl w:val="nil"/>
                  </w:tcBorders>
                  <w:noWrap w:val="0"/>
                  <w:vAlign w:val="center"/>
                </w:tcPr>
                <w:p w14:paraId="1AB3899D">
                  <w:pPr>
                    <w:jc w:val="center"/>
                    <w:rPr>
                      <w:color w:val="auto"/>
                      <w:szCs w:val="21"/>
                    </w:rPr>
                  </w:pPr>
                </w:p>
              </w:tc>
              <w:tc>
                <w:tcPr>
                  <w:tcW w:w="857" w:type="dxa"/>
                  <w:vMerge w:val="continue"/>
                  <w:tcBorders>
                    <w:tl2br w:val="nil"/>
                    <w:tr2bl w:val="nil"/>
                  </w:tcBorders>
                  <w:noWrap w:val="0"/>
                  <w:vAlign w:val="center"/>
                </w:tcPr>
                <w:p w14:paraId="67E9B129">
                  <w:pPr>
                    <w:jc w:val="center"/>
                    <w:rPr>
                      <w:color w:val="auto"/>
                      <w:szCs w:val="21"/>
                    </w:rPr>
                  </w:pPr>
                </w:p>
              </w:tc>
              <w:tc>
                <w:tcPr>
                  <w:tcW w:w="1527" w:type="dxa"/>
                  <w:vMerge w:val="continue"/>
                  <w:tcBorders>
                    <w:tl2br w:val="nil"/>
                    <w:tr2bl w:val="nil"/>
                  </w:tcBorders>
                  <w:noWrap w:val="0"/>
                  <w:vAlign w:val="center"/>
                </w:tcPr>
                <w:p w14:paraId="6EB58651">
                  <w:pPr>
                    <w:jc w:val="center"/>
                    <w:rPr>
                      <w:color w:val="auto"/>
                      <w:szCs w:val="21"/>
                    </w:rPr>
                  </w:pPr>
                </w:p>
              </w:tc>
              <w:tc>
                <w:tcPr>
                  <w:tcW w:w="776" w:type="dxa"/>
                  <w:tcBorders>
                    <w:tl2br w:val="nil"/>
                    <w:tr2bl w:val="nil"/>
                  </w:tcBorders>
                  <w:noWrap w:val="0"/>
                  <w:vAlign w:val="center"/>
                </w:tcPr>
                <w:p w14:paraId="1E67A66D">
                  <w:pPr>
                    <w:ind w:left="-105" w:leftChars="-50" w:right="-105" w:rightChars="-50"/>
                    <w:jc w:val="center"/>
                    <w:rPr>
                      <w:color w:val="auto"/>
                      <w:szCs w:val="21"/>
                    </w:rPr>
                  </w:pPr>
                  <w:r>
                    <w:rPr>
                      <w:color w:val="auto"/>
                      <w:szCs w:val="21"/>
                    </w:rPr>
                    <w:t>浓度</w:t>
                  </w:r>
                  <w:r>
                    <w:rPr>
                      <w:color w:val="auto"/>
                    </w:rPr>
                    <w:t>mg/m</w:t>
                  </w:r>
                  <w:r>
                    <w:rPr>
                      <w:color w:val="auto"/>
                      <w:vertAlign w:val="superscript"/>
                    </w:rPr>
                    <w:t>3</w:t>
                  </w:r>
                </w:p>
              </w:tc>
              <w:tc>
                <w:tcPr>
                  <w:tcW w:w="631" w:type="dxa"/>
                  <w:tcBorders>
                    <w:tl2br w:val="nil"/>
                    <w:tr2bl w:val="nil"/>
                  </w:tcBorders>
                  <w:noWrap w:val="0"/>
                  <w:vAlign w:val="center"/>
                </w:tcPr>
                <w:p w14:paraId="32A3687B">
                  <w:pPr>
                    <w:jc w:val="center"/>
                    <w:rPr>
                      <w:color w:val="auto"/>
                      <w:szCs w:val="21"/>
                    </w:rPr>
                  </w:pPr>
                  <w:r>
                    <w:rPr>
                      <w:color w:val="auto"/>
                      <w:szCs w:val="21"/>
                    </w:rPr>
                    <w:t>速率</w:t>
                  </w:r>
                </w:p>
                <w:p w14:paraId="0FC33DFA">
                  <w:pPr>
                    <w:jc w:val="center"/>
                    <w:rPr>
                      <w:color w:val="auto"/>
                      <w:szCs w:val="21"/>
                    </w:rPr>
                  </w:pPr>
                  <w:r>
                    <w:rPr>
                      <w:color w:val="auto"/>
                      <w:szCs w:val="21"/>
                    </w:rPr>
                    <w:t>kg/h</w:t>
                  </w:r>
                </w:p>
              </w:tc>
              <w:tc>
                <w:tcPr>
                  <w:tcW w:w="902" w:type="dxa"/>
                  <w:tcBorders>
                    <w:tl2br w:val="nil"/>
                    <w:tr2bl w:val="nil"/>
                  </w:tcBorders>
                  <w:noWrap w:val="0"/>
                  <w:vAlign w:val="center"/>
                </w:tcPr>
                <w:p w14:paraId="00704D72">
                  <w:pPr>
                    <w:ind w:left="-105" w:leftChars="-50" w:right="-105" w:rightChars="-50"/>
                    <w:jc w:val="center"/>
                    <w:rPr>
                      <w:color w:val="auto"/>
                      <w:szCs w:val="21"/>
                    </w:rPr>
                  </w:pPr>
                  <w:r>
                    <w:rPr>
                      <w:color w:val="auto"/>
                      <w:szCs w:val="21"/>
                    </w:rPr>
                    <w:t>频次及持续时间</w:t>
                  </w:r>
                </w:p>
              </w:tc>
              <w:tc>
                <w:tcPr>
                  <w:tcW w:w="734" w:type="dxa"/>
                  <w:tcBorders>
                    <w:tl2br w:val="nil"/>
                    <w:tr2bl w:val="nil"/>
                  </w:tcBorders>
                  <w:noWrap w:val="0"/>
                  <w:vAlign w:val="center"/>
                </w:tcPr>
                <w:p w14:paraId="05C3D43F">
                  <w:pPr>
                    <w:ind w:left="-105" w:leftChars="-50" w:right="-105" w:rightChars="-50"/>
                    <w:jc w:val="center"/>
                    <w:rPr>
                      <w:color w:val="auto"/>
                      <w:szCs w:val="21"/>
                    </w:rPr>
                  </w:pPr>
                  <w:r>
                    <w:rPr>
                      <w:color w:val="auto"/>
                      <w:szCs w:val="21"/>
                    </w:rPr>
                    <w:t>排放量t/a</w:t>
                  </w:r>
                </w:p>
              </w:tc>
              <w:tc>
                <w:tcPr>
                  <w:tcW w:w="988" w:type="dxa"/>
                  <w:tcBorders>
                    <w:tl2br w:val="nil"/>
                    <w:tr2bl w:val="nil"/>
                  </w:tcBorders>
                  <w:noWrap w:val="0"/>
                  <w:vAlign w:val="center"/>
                </w:tcPr>
                <w:p w14:paraId="44B84E00">
                  <w:pPr>
                    <w:jc w:val="center"/>
                    <w:rPr>
                      <w:color w:val="auto"/>
                      <w:szCs w:val="21"/>
                    </w:rPr>
                  </w:pPr>
                  <w:r>
                    <w:rPr>
                      <w:color w:val="auto"/>
                      <w:szCs w:val="21"/>
                    </w:rPr>
                    <w:t>浓度</w:t>
                  </w:r>
                  <w:r>
                    <w:rPr>
                      <w:color w:val="auto"/>
                    </w:rPr>
                    <w:t>mg/m</w:t>
                  </w:r>
                  <w:r>
                    <w:rPr>
                      <w:color w:val="auto"/>
                      <w:vertAlign w:val="superscript"/>
                    </w:rPr>
                    <w:t>3</w:t>
                  </w:r>
                </w:p>
              </w:tc>
              <w:tc>
                <w:tcPr>
                  <w:tcW w:w="646" w:type="dxa"/>
                  <w:vMerge w:val="continue"/>
                  <w:tcBorders>
                    <w:tl2br w:val="nil"/>
                    <w:tr2bl w:val="nil"/>
                  </w:tcBorders>
                  <w:noWrap w:val="0"/>
                  <w:vAlign w:val="center"/>
                </w:tcPr>
                <w:p w14:paraId="2A2217FF">
                  <w:pPr>
                    <w:ind w:left="-105" w:leftChars="-50" w:right="-105" w:rightChars="-50"/>
                    <w:jc w:val="center"/>
                    <w:rPr>
                      <w:color w:val="auto"/>
                      <w:szCs w:val="21"/>
                    </w:rPr>
                  </w:pPr>
                </w:p>
              </w:tc>
            </w:tr>
            <w:tr w14:paraId="36D901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696" w:type="dxa"/>
                  <w:vMerge w:val="restart"/>
                  <w:tcBorders>
                    <w:tl2br w:val="nil"/>
                    <w:tr2bl w:val="nil"/>
                  </w:tcBorders>
                  <w:noWrap w:val="0"/>
                  <w:vAlign w:val="center"/>
                </w:tcPr>
                <w:p w14:paraId="07FF6B7D">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三级吸收塔排气筒</w:t>
                  </w:r>
                </w:p>
              </w:tc>
              <w:tc>
                <w:tcPr>
                  <w:tcW w:w="857" w:type="dxa"/>
                  <w:tcBorders>
                    <w:tl2br w:val="nil"/>
                    <w:tr2bl w:val="nil"/>
                  </w:tcBorders>
                  <w:noWrap w:val="0"/>
                  <w:vAlign w:val="center"/>
                </w:tcPr>
                <w:p w14:paraId="18DC8DDA">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颗粒物</w:t>
                  </w:r>
                </w:p>
              </w:tc>
              <w:tc>
                <w:tcPr>
                  <w:tcW w:w="1527" w:type="dxa"/>
                  <w:vMerge w:val="restart"/>
                  <w:tcBorders>
                    <w:tl2br w:val="nil"/>
                    <w:tr2bl w:val="nil"/>
                  </w:tcBorders>
                  <w:noWrap w:val="0"/>
                  <w:vAlign w:val="center"/>
                </w:tcPr>
                <w:p w14:paraId="094DA152">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气体净化装置故障，处理效率为0</w:t>
                  </w:r>
                </w:p>
              </w:tc>
              <w:tc>
                <w:tcPr>
                  <w:tcW w:w="776" w:type="dxa"/>
                  <w:tcBorders>
                    <w:tl2br w:val="nil"/>
                    <w:tr2bl w:val="nil"/>
                  </w:tcBorders>
                  <w:noWrap w:val="0"/>
                  <w:vAlign w:val="center"/>
                </w:tcPr>
                <w:p w14:paraId="73B79E31">
                  <w:pPr>
                    <w:jc w:val="center"/>
                    <w:rPr>
                      <w:rFonts w:hint="default" w:ascii="Times New Roman" w:hAnsi="Times New Roman" w:eastAsia="宋体" w:cs="Times New Roman"/>
                      <w:color w:val="auto"/>
                      <w:szCs w:val="21"/>
                      <w:lang w:val="en-US" w:eastAsia="zh-CN"/>
                    </w:rPr>
                  </w:pPr>
                  <w:r>
                    <w:rPr>
                      <w:rFonts w:hint="eastAsia"/>
                      <w:color w:val="auto"/>
                      <w:szCs w:val="21"/>
                    </w:rPr>
                    <w:t>99</w:t>
                  </w:r>
                </w:p>
              </w:tc>
              <w:tc>
                <w:tcPr>
                  <w:tcW w:w="631" w:type="dxa"/>
                  <w:tcBorders>
                    <w:tl2br w:val="nil"/>
                    <w:tr2bl w:val="nil"/>
                  </w:tcBorders>
                  <w:noWrap w:val="0"/>
                  <w:vAlign w:val="center"/>
                </w:tcPr>
                <w:p w14:paraId="01C3FD3F">
                  <w:pPr>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3.96</w:t>
                  </w:r>
                </w:p>
              </w:tc>
              <w:tc>
                <w:tcPr>
                  <w:tcW w:w="902" w:type="dxa"/>
                  <w:tcBorders>
                    <w:tl2br w:val="nil"/>
                    <w:tr2bl w:val="nil"/>
                  </w:tcBorders>
                  <w:noWrap w:val="0"/>
                  <w:vAlign w:val="center"/>
                </w:tcPr>
                <w:p w14:paraId="6486DB79">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≤2次/a</w:t>
                  </w:r>
                </w:p>
              </w:tc>
              <w:tc>
                <w:tcPr>
                  <w:tcW w:w="734" w:type="dxa"/>
                  <w:tcBorders>
                    <w:tl2br w:val="nil"/>
                    <w:tr2bl w:val="nil"/>
                  </w:tcBorders>
                  <w:noWrap w:val="0"/>
                  <w:vAlign w:val="center"/>
                </w:tcPr>
                <w:p w14:paraId="6092E399">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28.48</w:t>
                  </w:r>
                </w:p>
              </w:tc>
              <w:tc>
                <w:tcPr>
                  <w:tcW w:w="988" w:type="dxa"/>
                  <w:tcBorders>
                    <w:tl2br w:val="nil"/>
                    <w:tr2bl w:val="nil"/>
                  </w:tcBorders>
                  <w:noWrap w:val="0"/>
                  <w:vAlign w:val="center"/>
                </w:tcPr>
                <w:p w14:paraId="35432EF1">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w:t>
                  </w:r>
                </w:p>
              </w:tc>
              <w:tc>
                <w:tcPr>
                  <w:tcW w:w="646" w:type="dxa"/>
                  <w:vMerge w:val="restart"/>
                  <w:tcBorders>
                    <w:tl2br w:val="nil"/>
                    <w:tr2bl w:val="nil"/>
                  </w:tcBorders>
                  <w:noWrap w:val="0"/>
                  <w:vAlign w:val="center"/>
                </w:tcPr>
                <w:p w14:paraId="63457530">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不达标</w:t>
                  </w:r>
                </w:p>
              </w:tc>
            </w:tr>
            <w:tr w14:paraId="0B3517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696" w:type="dxa"/>
                  <w:vMerge w:val="continue"/>
                  <w:tcBorders>
                    <w:tl2br w:val="nil"/>
                    <w:tr2bl w:val="nil"/>
                  </w:tcBorders>
                  <w:noWrap w:val="0"/>
                  <w:vAlign w:val="center"/>
                </w:tcPr>
                <w:p w14:paraId="7F01E436">
                  <w:pPr>
                    <w:jc w:val="center"/>
                    <w:rPr>
                      <w:rFonts w:ascii="Times New Roman" w:hAnsi="Times New Roman" w:eastAsia="宋体" w:cs="Times New Roman"/>
                      <w:color w:val="auto"/>
                      <w:szCs w:val="21"/>
                    </w:rPr>
                  </w:pPr>
                </w:p>
              </w:tc>
              <w:tc>
                <w:tcPr>
                  <w:tcW w:w="857" w:type="dxa"/>
                  <w:tcBorders>
                    <w:tl2br w:val="nil"/>
                    <w:tr2bl w:val="nil"/>
                  </w:tcBorders>
                  <w:noWrap w:val="0"/>
                  <w:vAlign w:val="center"/>
                </w:tcPr>
                <w:p w14:paraId="7F36F226">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SO</w:t>
                  </w:r>
                  <w:r>
                    <w:rPr>
                      <w:rFonts w:hint="eastAsia" w:ascii="Times New Roman" w:hAnsi="Times New Roman" w:eastAsia="宋体" w:cs="Times New Roman"/>
                      <w:color w:val="auto"/>
                      <w:szCs w:val="21"/>
                      <w:vertAlign w:val="subscript"/>
                      <w:lang w:val="en-US" w:eastAsia="zh-CN"/>
                    </w:rPr>
                    <w:t>2</w:t>
                  </w:r>
                </w:p>
              </w:tc>
              <w:tc>
                <w:tcPr>
                  <w:tcW w:w="1527" w:type="dxa"/>
                  <w:vMerge w:val="continue"/>
                  <w:tcBorders>
                    <w:tl2br w:val="nil"/>
                    <w:tr2bl w:val="nil"/>
                  </w:tcBorders>
                  <w:noWrap w:val="0"/>
                  <w:vAlign w:val="center"/>
                </w:tcPr>
                <w:p w14:paraId="376ED6B5">
                  <w:pPr>
                    <w:jc w:val="center"/>
                    <w:rPr>
                      <w:rFonts w:ascii="Times New Roman" w:hAnsi="Times New Roman" w:eastAsia="宋体" w:cs="Times New Roman"/>
                      <w:color w:val="auto"/>
                      <w:szCs w:val="21"/>
                    </w:rPr>
                  </w:pPr>
                </w:p>
              </w:tc>
              <w:tc>
                <w:tcPr>
                  <w:tcW w:w="776" w:type="dxa"/>
                  <w:tcBorders>
                    <w:tl2br w:val="nil"/>
                    <w:tr2bl w:val="nil"/>
                  </w:tcBorders>
                  <w:noWrap w:val="0"/>
                  <w:vAlign w:val="center"/>
                </w:tcPr>
                <w:p w14:paraId="6E208DC8">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41.</w:t>
                  </w:r>
                  <w:r>
                    <w:rPr>
                      <w:rFonts w:hint="eastAsia" w:cs="Times New Roman"/>
                      <w:color w:val="auto"/>
                      <w:szCs w:val="21"/>
                      <w:lang w:val="en-US" w:eastAsia="zh-CN"/>
                    </w:rPr>
                    <w:t>8</w:t>
                  </w:r>
                </w:p>
              </w:tc>
              <w:tc>
                <w:tcPr>
                  <w:tcW w:w="631" w:type="dxa"/>
                  <w:tcBorders>
                    <w:tl2br w:val="nil"/>
                    <w:tr2bl w:val="nil"/>
                  </w:tcBorders>
                  <w:noWrap w:val="0"/>
                  <w:vAlign w:val="center"/>
                </w:tcPr>
                <w:p w14:paraId="29E0B1D3">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1.67</w:t>
                  </w:r>
                </w:p>
              </w:tc>
              <w:tc>
                <w:tcPr>
                  <w:tcW w:w="902" w:type="dxa"/>
                  <w:vMerge w:val="restart"/>
                  <w:tcBorders>
                    <w:tl2br w:val="nil"/>
                    <w:tr2bl w:val="nil"/>
                  </w:tcBorders>
                  <w:noWrap w:val="0"/>
                  <w:vAlign w:val="center"/>
                </w:tcPr>
                <w:p w14:paraId="68F73CE0">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0.5h/次</w:t>
                  </w:r>
                </w:p>
              </w:tc>
              <w:tc>
                <w:tcPr>
                  <w:tcW w:w="734" w:type="dxa"/>
                  <w:tcBorders>
                    <w:tl2br w:val="nil"/>
                    <w:tr2bl w:val="nil"/>
                  </w:tcBorders>
                  <w:noWrap w:val="0"/>
                  <w:vAlign w:val="center"/>
                </w:tcPr>
                <w:p w14:paraId="66342C14">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12</w:t>
                  </w:r>
                </w:p>
              </w:tc>
              <w:tc>
                <w:tcPr>
                  <w:tcW w:w="988" w:type="dxa"/>
                  <w:tcBorders>
                    <w:tl2br w:val="nil"/>
                    <w:tr2bl w:val="nil"/>
                  </w:tcBorders>
                  <w:noWrap w:val="0"/>
                  <w:vAlign w:val="center"/>
                </w:tcPr>
                <w:p w14:paraId="35FBF664">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100</w:t>
                  </w:r>
                </w:p>
              </w:tc>
              <w:tc>
                <w:tcPr>
                  <w:tcW w:w="646" w:type="dxa"/>
                  <w:vMerge w:val="continue"/>
                  <w:tcBorders>
                    <w:tl2br w:val="nil"/>
                    <w:tr2bl w:val="nil"/>
                  </w:tcBorders>
                  <w:noWrap w:val="0"/>
                  <w:vAlign w:val="center"/>
                </w:tcPr>
                <w:p w14:paraId="14B2F7BC">
                  <w:pPr>
                    <w:jc w:val="center"/>
                    <w:rPr>
                      <w:rFonts w:ascii="Times New Roman" w:hAnsi="Times New Roman" w:eastAsia="宋体" w:cs="Times New Roman"/>
                      <w:color w:val="auto"/>
                      <w:szCs w:val="21"/>
                    </w:rPr>
                  </w:pPr>
                </w:p>
              </w:tc>
            </w:tr>
            <w:tr w14:paraId="7EFADE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696" w:type="dxa"/>
                  <w:vMerge w:val="continue"/>
                  <w:tcBorders>
                    <w:tl2br w:val="nil"/>
                    <w:tr2bl w:val="nil"/>
                  </w:tcBorders>
                  <w:noWrap w:val="0"/>
                  <w:vAlign w:val="center"/>
                </w:tcPr>
                <w:p w14:paraId="3076BC57">
                  <w:pPr>
                    <w:jc w:val="center"/>
                    <w:rPr>
                      <w:color w:val="auto"/>
                    </w:rPr>
                  </w:pPr>
                </w:p>
              </w:tc>
              <w:tc>
                <w:tcPr>
                  <w:tcW w:w="857" w:type="dxa"/>
                  <w:tcBorders>
                    <w:tl2br w:val="nil"/>
                    <w:tr2bl w:val="nil"/>
                  </w:tcBorders>
                  <w:noWrap w:val="0"/>
                  <w:vAlign w:val="center"/>
                </w:tcPr>
                <w:p w14:paraId="29E45037">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NOx</w:t>
                  </w:r>
                </w:p>
              </w:tc>
              <w:tc>
                <w:tcPr>
                  <w:tcW w:w="1527" w:type="dxa"/>
                  <w:vMerge w:val="continue"/>
                  <w:tcBorders>
                    <w:tl2br w:val="nil"/>
                    <w:tr2bl w:val="nil"/>
                  </w:tcBorders>
                  <w:noWrap w:val="0"/>
                  <w:vAlign w:val="center"/>
                </w:tcPr>
                <w:p w14:paraId="025E1A81">
                  <w:pPr>
                    <w:jc w:val="center"/>
                    <w:rPr>
                      <w:rFonts w:ascii="Times New Roman" w:hAnsi="Times New Roman" w:eastAsia="宋体" w:cs="Times New Roman"/>
                      <w:color w:val="auto"/>
                      <w:szCs w:val="21"/>
                    </w:rPr>
                  </w:pPr>
                </w:p>
              </w:tc>
              <w:tc>
                <w:tcPr>
                  <w:tcW w:w="776" w:type="dxa"/>
                  <w:tcBorders>
                    <w:tl2br w:val="nil"/>
                    <w:tr2bl w:val="nil"/>
                  </w:tcBorders>
                  <w:noWrap w:val="0"/>
                  <w:vAlign w:val="center"/>
                </w:tcPr>
                <w:p w14:paraId="427C97B8">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21</w:t>
                  </w:r>
                  <w:r>
                    <w:rPr>
                      <w:rFonts w:hint="eastAsia" w:cs="Times New Roman"/>
                      <w:color w:val="auto"/>
                      <w:szCs w:val="21"/>
                      <w:lang w:val="en-US" w:eastAsia="zh-CN"/>
                    </w:rPr>
                    <w:t>.</w:t>
                  </w:r>
                  <w:r>
                    <w:rPr>
                      <w:rFonts w:hint="eastAsia" w:ascii="Times New Roman" w:hAnsi="Times New Roman" w:eastAsia="宋体" w:cs="Times New Roman"/>
                      <w:color w:val="auto"/>
                      <w:szCs w:val="21"/>
                      <w:lang w:val="en-US" w:eastAsia="zh-CN"/>
                    </w:rPr>
                    <w:t>5</w:t>
                  </w:r>
                </w:p>
              </w:tc>
              <w:tc>
                <w:tcPr>
                  <w:tcW w:w="631" w:type="dxa"/>
                  <w:tcBorders>
                    <w:tl2br w:val="nil"/>
                    <w:tr2bl w:val="nil"/>
                  </w:tcBorders>
                  <w:noWrap w:val="0"/>
                  <w:vAlign w:val="center"/>
                </w:tcPr>
                <w:p w14:paraId="305F4CCE">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0.86</w:t>
                  </w:r>
                </w:p>
              </w:tc>
              <w:tc>
                <w:tcPr>
                  <w:tcW w:w="902" w:type="dxa"/>
                  <w:vMerge w:val="continue"/>
                  <w:tcBorders>
                    <w:tl2br w:val="nil"/>
                    <w:tr2bl w:val="nil"/>
                  </w:tcBorders>
                  <w:noWrap w:val="0"/>
                  <w:vAlign w:val="center"/>
                </w:tcPr>
                <w:p w14:paraId="1C3DCA6B">
                  <w:pPr>
                    <w:jc w:val="center"/>
                    <w:rPr>
                      <w:rFonts w:ascii="Times New Roman" w:hAnsi="Times New Roman" w:eastAsia="宋体" w:cs="Times New Roman"/>
                      <w:color w:val="auto"/>
                      <w:szCs w:val="21"/>
                    </w:rPr>
                  </w:pPr>
                </w:p>
              </w:tc>
              <w:tc>
                <w:tcPr>
                  <w:tcW w:w="734" w:type="dxa"/>
                  <w:tcBorders>
                    <w:tl2br w:val="nil"/>
                    <w:tr2bl w:val="nil"/>
                  </w:tcBorders>
                  <w:noWrap w:val="0"/>
                  <w:vAlign w:val="center"/>
                </w:tcPr>
                <w:p w14:paraId="0ACE0155">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6.18</w:t>
                  </w:r>
                </w:p>
              </w:tc>
              <w:tc>
                <w:tcPr>
                  <w:tcW w:w="988" w:type="dxa"/>
                  <w:tcBorders>
                    <w:tl2br w:val="nil"/>
                    <w:tr2bl w:val="nil"/>
                  </w:tcBorders>
                  <w:noWrap w:val="0"/>
                  <w:vAlign w:val="center"/>
                </w:tcPr>
                <w:p w14:paraId="35B67028">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100</w:t>
                  </w:r>
                </w:p>
              </w:tc>
              <w:tc>
                <w:tcPr>
                  <w:tcW w:w="646" w:type="dxa"/>
                  <w:vMerge w:val="continue"/>
                  <w:tcBorders>
                    <w:tl2br w:val="nil"/>
                    <w:tr2bl w:val="nil"/>
                  </w:tcBorders>
                  <w:noWrap w:val="0"/>
                  <w:vAlign w:val="center"/>
                </w:tcPr>
                <w:p w14:paraId="6FAAC1A8">
                  <w:pPr>
                    <w:jc w:val="center"/>
                    <w:rPr>
                      <w:rFonts w:ascii="Times New Roman" w:hAnsi="Times New Roman" w:eastAsia="宋体" w:cs="Times New Roman"/>
                      <w:color w:val="auto"/>
                      <w:szCs w:val="21"/>
                    </w:rPr>
                  </w:pPr>
                </w:p>
              </w:tc>
            </w:tr>
            <w:tr w14:paraId="256E60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96" w:type="dxa"/>
                  <w:vMerge w:val="restart"/>
                  <w:tcBorders>
                    <w:tl2br w:val="nil"/>
                    <w:tr2bl w:val="nil"/>
                  </w:tcBorders>
                  <w:noWrap w:val="0"/>
                  <w:vAlign w:val="center"/>
                </w:tcPr>
                <w:p w14:paraId="2353218D">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燃煤热风炉排气筒</w:t>
                  </w:r>
                </w:p>
              </w:tc>
              <w:tc>
                <w:tcPr>
                  <w:tcW w:w="857" w:type="dxa"/>
                  <w:tcBorders>
                    <w:tl2br w:val="nil"/>
                    <w:tr2bl w:val="nil"/>
                  </w:tcBorders>
                  <w:noWrap w:val="0"/>
                  <w:vAlign w:val="center"/>
                </w:tcPr>
                <w:p w14:paraId="722F8E76">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颗粒物</w:t>
                  </w:r>
                </w:p>
              </w:tc>
              <w:tc>
                <w:tcPr>
                  <w:tcW w:w="1527" w:type="dxa"/>
                  <w:vMerge w:val="restart"/>
                  <w:tcBorders>
                    <w:tl2br w:val="nil"/>
                    <w:tr2bl w:val="nil"/>
                  </w:tcBorders>
                  <w:noWrap w:val="0"/>
                  <w:vAlign w:val="center"/>
                </w:tcPr>
                <w:p w14:paraId="3641FDAC">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开停炉</w:t>
                  </w:r>
                </w:p>
              </w:tc>
              <w:tc>
                <w:tcPr>
                  <w:tcW w:w="776" w:type="dxa"/>
                  <w:tcBorders>
                    <w:tl2br w:val="nil"/>
                    <w:tr2bl w:val="nil"/>
                  </w:tcBorders>
                  <w:noWrap w:val="0"/>
                  <w:vAlign w:val="center"/>
                </w:tcPr>
                <w:p w14:paraId="384CF4E7">
                  <w:pPr>
                    <w:jc w:val="center"/>
                    <w:rPr>
                      <w:rFonts w:hint="default" w:ascii="Times New Roman" w:hAnsi="Times New Roman" w:eastAsia="宋体" w:cs="Times New Roman"/>
                      <w:color w:val="auto"/>
                      <w:szCs w:val="21"/>
                      <w:lang w:val="en-US"/>
                    </w:rPr>
                  </w:pPr>
                  <w:r>
                    <w:rPr>
                      <w:rFonts w:hint="eastAsia"/>
                      <w:color w:val="auto"/>
                      <w:szCs w:val="21"/>
                    </w:rPr>
                    <w:t>84.5</w:t>
                  </w:r>
                </w:p>
              </w:tc>
              <w:tc>
                <w:tcPr>
                  <w:tcW w:w="631" w:type="dxa"/>
                  <w:tcBorders>
                    <w:tl2br w:val="nil"/>
                    <w:tr2bl w:val="nil"/>
                  </w:tcBorders>
                  <w:noWrap w:val="0"/>
                  <w:vAlign w:val="center"/>
                </w:tcPr>
                <w:p w14:paraId="5782EBC7">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3.38</w:t>
                  </w:r>
                </w:p>
              </w:tc>
              <w:tc>
                <w:tcPr>
                  <w:tcW w:w="902" w:type="dxa"/>
                  <w:vMerge w:val="restart"/>
                  <w:tcBorders>
                    <w:tl2br w:val="nil"/>
                    <w:tr2bl w:val="nil"/>
                  </w:tcBorders>
                  <w:noWrap w:val="0"/>
                  <w:vAlign w:val="center"/>
                </w:tcPr>
                <w:p w14:paraId="544F2C95">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≤2次/a</w:t>
                  </w:r>
                </w:p>
              </w:tc>
              <w:tc>
                <w:tcPr>
                  <w:tcW w:w="734" w:type="dxa"/>
                  <w:tcBorders>
                    <w:tl2br w:val="nil"/>
                    <w:tr2bl w:val="nil"/>
                  </w:tcBorders>
                  <w:noWrap w:val="0"/>
                  <w:vAlign w:val="center"/>
                </w:tcPr>
                <w:p w14:paraId="4CBB7C6F">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24.4</w:t>
                  </w:r>
                </w:p>
              </w:tc>
              <w:tc>
                <w:tcPr>
                  <w:tcW w:w="988" w:type="dxa"/>
                  <w:tcBorders>
                    <w:tl2br w:val="nil"/>
                    <w:tr2bl w:val="nil"/>
                  </w:tcBorders>
                  <w:noWrap w:val="0"/>
                  <w:vAlign w:val="center"/>
                </w:tcPr>
                <w:p w14:paraId="37E6FA3F">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w:t>
                  </w:r>
                </w:p>
              </w:tc>
              <w:tc>
                <w:tcPr>
                  <w:tcW w:w="646" w:type="dxa"/>
                  <w:vMerge w:val="restart"/>
                  <w:tcBorders>
                    <w:tl2br w:val="nil"/>
                    <w:tr2bl w:val="nil"/>
                  </w:tcBorders>
                  <w:noWrap w:val="0"/>
                  <w:vAlign w:val="center"/>
                </w:tcPr>
                <w:p w14:paraId="490999DE">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不达标</w:t>
                  </w:r>
                </w:p>
              </w:tc>
            </w:tr>
            <w:tr w14:paraId="3D9189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96" w:type="dxa"/>
                  <w:vMerge w:val="continue"/>
                  <w:tcBorders>
                    <w:tl2br w:val="nil"/>
                    <w:tr2bl w:val="nil"/>
                  </w:tcBorders>
                  <w:noWrap w:val="0"/>
                  <w:vAlign w:val="center"/>
                </w:tcPr>
                <w:p w14:paraId="11CFD361">
                  <w:pPr>
                    <w:jc w:val="center"/>
                    <w:rPr>
                      <w:color w:val="auto"/>
                    </w:rPr>
                  </w:pPr>
                </w:p>
              </w:tc>
              <w:tc>
                <w:tcPr>
                  <w:tcW w:w="857" w:type="dxa"/>
                  <w:tcBorders>
                    <w:tl2br w:val="nil"/>
                    <w:tr2bl w:val="nil"/>
                  </w:tcBorders>
                  <w:noWrap w:val="0"/>
                  <w:vAlign w:val="center"/>
                </w:tcPr>
                <w:p w14:paraId="4D4C65C1">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SO</w:t>
                  </w:r>
                  <w:r>
                    <w:rPr>
                      <w:rFonts w:hint="eastAsia" w:ascii="Times New Roman" w:hAnsi="Times New Roman" w:eastAsia="宋体" w:cs="Times New Roman"/>
                      <w:color w:val="auto"/>
                      <w:szCs w:val="21"/>
                      <w:vertAlign w:val="subscript"/>
                      <w:lang w:val="en-US" w:eastAsia="zh-CN"/>
                    </w:rPr>
                    <w:t>2</w:t>
                  </w:r>
                </w:p>
              </w:tc>
              <w:tc>
                <w:tcPr>
                  <w:tcW w:w="1527" w:type="dxa"/>
                  <w:vMerge w:val="continue"/>
                  <w:tcBorders>
                    <w:tl2br w:val="nil"/>
                    <w:tr2bl w:val="nil"/>
                  </w:tcBorders>
                  <w:noWrap w:val="0"/>
                  <w:vAlign w:val="center"/>
                </w:tcPr>
                <w:p w14:paraId="0DFE5A4F">
                  <w:pPr>
                    <w:jc w:val="center"/>
                    <w:rPr>
                      <w:rFonts w:ascii="Times New Roman" w:hAnsi="Times New Roman" w:eastAsia="宋体" w:cs="Times New Roman"/>
                      <w:color w:val="auto"/>
                      <w:szCs w:val="21"/>
                    </w:rPr>
                  </w:pPr>
                </w:p>
              </w:tc>
              <w:tc>
                <w:tcPr>
                  <w:tcW w:w="776" w:type="dxa"/>
                  <w:tcBorders>
                    <w:tl2br w:val="nil"/>
                    <w:tr2bl w:val="nil"/>
                  </w:tcBorders>
                  <w:noWrap w:val="0"/>
                  <w:vAlign w:val="center"/>
                </w:tcPr>
                <w:p w14:paraId="36C840F2">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41.</w:t>
                  </w:r>
                  <w:r>
                    <w:rPr>
                      <w:rFonts w:hint="eastAsia" w:cs="Times New Roman"/>
                      <w:color w:val="auto"/>
                      <w:szCs w:val="21"/>
                      <w:lang w:val="en-US" w:eastAsia="zh-CN"/>
                    </w:rPr>
                    <w:t>8</w:t>
                  </w:r>
                </w:p>
              </w:tc>
              <w:tc>
                <w:tcPr>
                  <w:tcW w:w="631" w:type="dxa"/>
                  <w:tcBorders>
                    <w:tl2br w:val="nil"/>
                    <w:tr2bl w:val="nil"/>
                  </w:tcBorders>
                  <w:noWrap w:val="0"/>
                  <w:vAlign w:val="center"/>
                </w:tcPr>
                <w:p w14:paraId="7D4C2574">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1.67</w:t>
                  </w:r>
                </w:p>
              </w:tc>
              <w:tc>
                <w:tcPr>
                  <w:tcW w:w="902" w:type="dxa"/>
                  <w:vMerge w:val="continue"/>
                  <w:tcBorders>
                    <w:tl2br w:val="nil"/>
                    <w:tr2bl w:val="nil"/>
                  </w:tcBorders>
                  <w:noWrap w:val="0"/>
                  <w:vAlign w:val="center"/>
                </w:tcPr>
                <w:p w14:paraId="1872369D">
                  <w:pPr>
                    <w:jc w:val="center"/>
                    <w:rPr>
                      <w:rFonts w:ascii="Times New Roman" w:hAnsi="Times New Roman" w:eastAsia="宋体" w:cs="Times New Roman"/>
                      <w:color w:val="auto"/>
                      <w:szCs w:val="21"/>
                    </w:rPr>
                  </w:pPr>
                </w:p>
              </w:tc>
              <w:tc>
                <w:tcPr>
                  <w:tcW w:w="734" w:type="dxa"/>
                  <w:tcBorders>
                    <w:tl2br w:val="nil"/>
                    <w:tr2bl w:val="nil"/>
                  </w:tcBorders>
                  <w:noWrap w:val="0"/>
                  <w:vAlign w:val="center"/>
                </w:tcPr>
                <w:p w14:paraId="4DA23538">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12</w:t>
                  </w:r>
                </w:p>
              </w:tc>
              <w:tc>
                <w:tcPr>
                  <w:tcW w:w="988" w:type="dxa"/>
                  <w:tcBorders>
                    <w:tl2br w:val="nil"/>
                    <w:tr2bl w:val="nil"/>
                  </w:tcBorders>
                  <w:noWrap w:val="0"/>
                  <w:vAlign w:val="center"/>
                </w:tcPr>
                <w:p w14:paraId="1422CC0B">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100</w:t>
                  </w:r>
                </w:p>
              </w:tc>
              <w:tc>
                <w:tcPr>
                  <w:tcW w:w="646" w:type="dxa"/>
                  <w:vMerge w:val="continue"/>
                  <w:tcBorders>
                    <w:tl2br w:val="nil"/>
                    <w:tr2bl w:val="nil"/>
                  </w:tcBorders>
                  <w:noWrap w:val="0"/>
                  <w:vAlign w:val="center"/>
                </w:tcPr>
                <w:p w14:paraId="5ED89EBA">
                  <w:pPr>
                    <w:jc w:val="center"/>
                    <w:rPr>
                      <w:rFonts w:ascii="Times New Roman" w:hAnsi="Times New Roman" w:eastAsia="宋体" w:cs="Times New Roman"/>
                      <w:color w:val="auto"/>
                      <w:szCs w:val="21"/>
                    </w:rPr>
                  </w:pPr>
                </w:p>
              </w:tc>
            </w:tr>
            <w:tr w14:paraId="69C7B3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96" w:type="dxa"/>
                  <w:vMerge w:val="continue"/>
                  <w:tcBorders>
                    <w:tl2br w:val="nil"/>
                    <w:tr2bl w:val="nil"/>
                  </w:tcBorders>
                  <w:noWrap w:val="0"/>
                  <w:vAlign w:val="center"/>
                </w:tcPr>
                <w:p w14:paraId="4314E0E1">
                  <w:pPr>
                    <w:ind w:left="-105" w:leftChars="-50" w:right="-105" w:rightChars="-50"/>
                    <w:jc w:val="center"/>
                    <w:rPr>
                      <w:color w:val="auto"/>
                    </w:rPr>
                  </w:pPr>
                </w:p>
              </w:tc>
              <w:tc>
                <w:tcPr>
                  <w:tcW w:w="857" w:type="dxa"/>
                  <w:tcBorders>
                    <w:tl2br w:val="nil"/>
                    <w:tr2bl w:val="nil"/>
                  </w:tcBorders>
                  <w:noWrap w:val="0"/>
                  <w:vAlign w:val="center"/>
                </w:tcPr>
                <w:p w14:paraId="08194306">
                  <w:pPr>
                    <w:jc w:val="center"/>
                    <w:rPr>
                      <w:color w:val="auto"/>
                    </w:rPr>
                  </w:pPr>
                  <w:r>
                    <w:rPr>
                      <w:rFonts w:hint="eastAsia" w:ascii="Times New Roman" w:hAnsi="Times New Roman" w:eastAsia="宋体" w:cs="Times New Roman"/>
                      <w:color w:val="auto"/>
                      <w:szCs w:val="21"/>
                      <w:lang w:val="en-US" w:eastAsia="zh-CN"/>
                    </w:rPr>
                    <w:t>NOx</w:t>
                  </w:r>
                </w:p>
              </w:tc>
              <w:tc>
                <w:tcPr>
                  <w:tcW w:w="1527" w:type="dxa"/>
                  <w:vMerge w:val="continue"/>
                  <w:tcBorders>
                    <w:tl2br w:val="nil"/>
                    <w:tr2bl w:val="nil"/>
                  </w:tcBorders>
                  <w:noWrap w:val="0"/>
                  <w:vAlign w:val="center"/>
                </w:tcPr>
                <w:p w14:paraId="76E7357B">
                  <w:pPr>
                    <w:ind w:left="-105" w:leftChars="-50" w:right="-105" w:rightChars="-50"/>
                    <w:jc w:val="center"/>
                    <w:rPr>
                      <w:color w:val="auto"/>
                    </w:rPr>
                  </w:pPr>
                </w:p>
              </w:tc>
              <w:tc>
                <w:tcPr>
                  <w:tcW w:w="776" w:type="dxa"/>
                  <w:tcBorders>
                    <w:tl2br w:val="nil"/>
                    <w:tr2bl w:val="nil"/>
                  </w:tcBorders>
                  <w:noWrap w:val="0"/>
                  <w:vAlign w:val="center"/>
                </w:tcPr>
                <w:p w14:paraId="78752BEF">
                  <w:pPr>
                    <w:jc w:val="center"/>
                    <w:rPr>
                      <w:color w:val="auto"/>
                    </w:rPr>
                  </w:pPr>
                  <w:r>
                    <w:rPr>
                      <w:rFonts w:hint="eastAsia" w:ascii="Times New Roman" w:hAnsi="Times New Roman" w:eastAsia="宋体" w:cs="Times New Roman"/>
                      <w:color w:val="auto"/>
                      <w:szCs w:val="21"/>
                      <w:lang w:val="en-US" w:eastAsia="zh-CN"/>
                    </w:rPr>
                    <w:t>21</w:t>
                  </w:r>
                  <w:r>
                    <w:rPr>
                      <w:rFonts w:hint="eastAsia" w:cs="Times New Roman"/>
                      <w:color w:val="auto"/>
                      <w:szCs w:val="21"/>
                      <w:lang w:val="en-US" w:eastAsia="zh-CN"/>
                    </w:rPr>
                    <w:t>.</w:t>
                  </w:r>
                  <w:r>
                    <w:rPr>
                      <w:rFonts w:hint="eastAsia" w:ascii="Times New Roman" w:hAnsi="Times New Roman" w:eastAsia="宋体" w:cs="Times New Roman"/>
                      <w:color w:val="auto"/>
                      <w:szCs w:val="21"/>
                      <w:lang w:val="en-US" w:eastAsia="zh-CN"/>
                    </w:rPr>
                    <w:t>5</w:t>
                  </w:r>
                </w:p>
              </w:tc>
              <w:tc>
                <w:tcPr>
                  <w:tcW w:w="631" w:type="dxa"/>
                  <w:tcBorders>
                    <w:tl2br w:val="nil"/>
                    <w:tr2bl w:val="nil"/>
                  </w:tcBorders>
                  <w:noWrap w:val="0"/>
                  <w:vAlign w:val="center"/>
                </w:tcPr>
                <w:p w14:paraId="5A63D1E1">
                  <w:pPr>
                    <w:jc w:val="center"/>
                    <w:rPr>
                      <w:color w:val="auto"/>
                    </w:rPr>
                  </w:pPr>
                  <w:r>
                    <w:rPr>
                      <w:rFonts w:hint="eastAsia" w:ascii="Times New Roman" w:hAnsi="Times New Roman" w:eastAsia="宋体" w:cs="Times New Roman"/>
                      <w:color w:val="auto"/>
                      <w:szCs w:val="21"/>
                      <w:lang w:val="en-US" w:eastAsia="zh-CN"/>
                    </w:rPr>
                    <w:t>0.86</w:t>
                  </w:r>
                </w:p>
              </w:tc>
              <w:tc>
                <w:tcPr>
                  <w:tcW w:w="902" w:type="dxa"/>
                  <w:tcBorders>
                    <w:tl2br w:val="nil"/>
                    <w:tr2bl w:val="nil"/>
                  </w:tcBorders>
                  <w:noWrap w:val="0"/>
                  <w:vAlign w:val="center"/>
                </w:tcPr>
                <w:p w14:paraId="0234E976">
                  <w:pPr>
                    <w:ind w:left="-105" w:leftChars="-50" w:right="-105" w:rightChars="-50"/>
                    <w:jc w:val="center"/>
                    <w:rPr>
                      <w:rFonts w:hint="default" w:eastAsia="宋体"/>
                      <w:color w:val="auto"/>
                      <w:szCs w:val="21"/>
                      <w:lang w:val="en-US" w:eastAsia="zh-CN"/>
                    </w:rPr>
                  </w:pPr>
                  <w:r>
                    <w:rPr>
                      <w:rFonts w:hint="eastAsia"/>
                      <w:color w:val="auto"/>
                      <w:szCs w:val="21"/>
                      <w:lang w:val="en-US" w:eastAsia="zh-CN"/>
                    </w:rPr>
                    <w:t>2h/次</w:t>
                  </w:r>
                </w:p>
              </w:tc>
              <w:tc>
                <w:tcPr>
                  <w:tcW w:w="734" w:type="dxa"/>
                  <w:tcBorders>
                    <w:tl2br w:val="nil"/>
                    <w:tr2bl w:val="nil"/>
                  </w:tcBorders>
                  <w:noWrap w:val="0"/>
                  <w:vAlign w:val="center"/>
                </w:tcPr>
                <w:p w14:paraId="4E6C032D">
                  <w:pPr>
                    <w:jc w:val="center"/>
                    <w:rPr>
                      <w:color w:val="auto"/>
                      <w:szCs w:val="21"/>
                    </w:rPr>
                  </w:pPr>
                  <w:r>
                    <w:rPr>
                      <w:rFonts w:hint="eastAsia" w:ascii="Times New Roman" w:hAnsi="Times New Roman" w:eastAsia="宋体" w:cs="Times New Roman"/>
                      <w:color w:val="auto"/>
                      <w:szCs w:val="21"/>
                      <w:lang w:val="en-US" w:eastAsia="zh-CN"/>
                    </w:rPr>
                    <w:t>6.18</w:t>
                  </w:r>
                </w:p>
              </w:tc>
              <w:tc>
                <w:tcPr>
                  <w:tcW w:w="988" w:type="dxa"/>
                  <w:tcBorders>
                    <w:tl2br w:val="nil"/>
                    <w:tr2bl w:val="nil"/>
                  </w:tcBorders>
                  <w:noWrap w:val="0"/>
                  <w:vAlign w:val="center"/>
                </w:tcPr>
                <w:p w14:paraId="7AF949B5">
                  <w:pPr>
                    <w:ind w:left="-105" w:leftChars="-50" w:right="-105" w:rightChars="-50"/>
                    <w:jc w:val="center"/>
                    <w:rPr>
                      <w:rFonts w:hint="default" w:eastAsia="宋体"/>
                      <w:color w:val="auto"/>
                      <w:szCs w:val="21"/>
                      <w:lang w:val="en-US" w:eastAsia="zh-CN"/>
                    </w:rPr>
                  </w:pPr>
                  <w:r>
                    <w:rPr>
                      <w:rFonts w:hint="eastAsia"/>
                      <w:color w:val="auto"/>
                      <w:szCs w:val="21"/>
                      <w:lang w:val="en-US" w:eastAsia="zh-CN"/>
                    </w:rPr>
                    <w:t>100</w:t>
                  </w:r>
                </w:p>
              </w:tc>
              <w:tc>
                <w:tcPr>
                  <w:tcW w:w="646" w:type="dxa"/>
                  <w:vMerge w:val="continue"/>
                  <w:tcBorders>
                    <w:tl2br w:val="nil"/>
                    <w:tr2bl w:val="nil"/>
                  </w:tcBorders>
                  <w:noWrap w:val="0"/>
                  <w:vAlign w:val="center"/>
                </w:tcPr>
                <w:p w14:paraId="672E43F7">
                  <w:pPr>
                    <w:ind w:left="-105" w:leftChars="-50" w:right="-105" w:rightChars="-50"/>
                    <w:jc w:val="center"/>
                    <w:rPr>
                      <w:color w:val="auto"/>
                      <w:szCs w:val="21"/>
                    </w:rPr>
                  </w:pPr>
                </w:p>
              </w:tc>
            </w:tr>
          </w:tbl>
          <w:p w14:paraId="57547D54">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由上表可知，非正常工况下，三级吸收塔排气筒、燃煤热风炉排气筒颗粒物排放浓度超标</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、NOx</w:t>
            </w:r>
            <w:r>
              <w:rPr>
                <w:rFonts w:hint="eastAsia" w:ascii="Times New Roman" w:hAnsi="Times New Roman" w:cs="Times New Roman"/>
                <w:color w:val="auto"/>
                <w:sz w:val="24"/>
                <w:szCs w:val="24"/>
                <w:highlight w:val="none"/>
                <w:lang w:val="en-US" w:eastAsia="zh-CN"/>
              </w:rPr>
              <w:t>排放总量超标</w:t>
            </w:r>
            <w:r>
              <w:rPr>
                <w:rFonts w:hint="eastAsia" w:ascii="Times New Roman" w:hAnsi="Times New Roman" w:eastAsia="宋体" w:cs="Times New Roman"/>
                <w:color w:val="auto"/>
                <w:sz w:val="24"/>
                <w:szCs w:val="24"/>
                <w:highlight w:val="none"/>
                <w:lang w:val="en-US" w:eastAsia="zh-CN"/>
              </w:rPr>
              <w:t>。为防止生产废气非正常工况排放，企业必须加强废气处理设施的管理，定期检修，确保废气处理设施正常运行，在废气处理设备停止运行或出现故障时，产生废气的各工序也必须相应停止生产。为杜绝废气非正常排放，应采取以下措施确保废气达标排放：</w:t>
            </w:r>
          </w:p>
          <w:p w14:paraId="4C497BB2">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①</w:t>
            </w:r>
            <w:r>
              <w:rPr>
                <w:rFonts w:hint="eastAsia" w:ascii="Times New Roman" w:hAnsi="Times New Roman" w:eastAsia="宋体" w:cs="Times New Roman"/>
                <w:color w:val="auto"/>
                <w:sz w:val="24"/>
                <w:szCs w:val="24"/>
                <w:highlight w:val="none"/>
                <w:lang w:val="en-US" w:eastAsia="zh-CN"/>
              </w:rPr>
              <w:t>安排专人负责环保设备的日常维护和管理，每个固定时间检查、汇报情况，及时发现废气处理设备的隐患，确保废气处理系统正常运行；</w:t>
            </w:r>
          </w:p>
          <w:p w14:paraId="1EB9801F">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②</w:t>
            </w:r>
            <w:r>
              <w:rPr>
                <w:rFonts w:hint="eastAsia" w:ascii="Times New Roman" w:hAnsi="Times New Roman" w:eastAsia="宋体" w:cs="Times New Roman"/>
                <w:color w:val="auto"/>
                <w:sz w:val="24"/>
                <w:szCs w:val="24"/>
                <w:highlight w:val="none"/>
                <w:lang w:val="en-US" w:eastAsia="zh-CN"/>
              </w:rPr>
              <w:t xml:space="preserve">建立健全的环保管理机构，对环保管理人员和技术人员进行岗位培训，委托具有专业资质的环境检测单位对项目排放的各类污染物进行定期检测； </w:t>
            </w:r>
          </w:p>
          <w:p w14:paraId="44E78CA1">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③</w:t>
            </w:r>
            <w:r>
              <w:rPr>
                <w:rFonts w:hint="eastAsia" w:ascii="Times New Roman" w:hAnsi="Times New Roman" w:eastAsia="宋体" w:cs="Times New Roman"/>
                <w:color w:val="auto"/>
                <w:sz w:val="24"/>
                <w:szCs w:val="24"/>
                <w:highlight w:val="none"/>
                <w:lang w:val="en-US" w:eastAsia="zh-CN"/>
              </w:rPr>
              <w:t>应定期维护、检修废气净化装置，以保持废气处理装置的净化能力和净</w:t>
            </w:r>
            <w:r>
              <w:rPr>
                <w:rFonts w:hint="eastAsia"/>
                <w:color w:val="auto"/>
                <w:sz w:val="24"/>
                <w:lang w:val="en-US"/>
              </w:rPr>
              <w:t>化容量。</w:t>
            </w:r>
          </w:p>
          <w:p w14:paraId="3DFB0414">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val="en-US" w:eastAsia="zh-CN"/>
              </w:rPr>
              <w:t xml:space="preserve">）大气污染源环境监测计划 </w:t>
            </w:r>
          </w:p>
          <w:p w14:paraId="09AF3635">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w:t>
            </w:r>
            <w:r>
              <w:rPr>
                <w:rFonts w:hint="eastAsia"/>
                <w:color w:val="auto"/>
                <w:sz w:val="24"/>
                <w:lang w:val="en-US"/>
              </w:rPr>
              <w:t xml:space="preserve">《排污许可证申请与核发技术规范 </w:t>
            </w:r>
            <w:r>
              <w:rPr>
                <w:rFonts w:hint="eastAsia"/>
                <w:color w:val="auto"/>
                <w:sz w:val="24"/>
                <w:lang w:val="en-US" w:eastAsia="zh-CN"/>
              </w:rPr>
              <w:t>工业炉窑</w:t>
            </w:r>
            <w:r>
              <w:rPr>
                <w:rFonts w:hint="eastAsia"/>
                <w:color w:val="auto"/>
                <w:sz w:val="24"/>
                <w:lang w:val="en-US"/>
              </w:rPr>
              <w:t>》</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HJ</w:t>
            </w:r>
            <w:r>
              <w:rPr>
                <w:rFonts w:hint="eastAsia" w:cs="Times New Roman"/>
                <w:color w:val="auto"/>
                <w:sz w:val="24"/>
                <w:szCs w:val="24"/>
                <w:highlight w:val="none"/>
                <w:lang w:val="en-US" w:eastAsia="zh-CN"/>
              </w:rPr>
              <w:t>1121-2020</w:t>
            </w:r>
            <w:r>
              <w:rPr>
                <w:rFonts w:hint="eastAsia" w:ascii="Times New Roman" w:hAnsi="Times New Roman" w:eastAsia="宋体" w:cs="Times New Roman"/>
                <w:color w:val="auto"/>
                <w:sz w:val="24"/>
                <w:szCs w:val="24"/>
                <w:highlight w:val="none"/>
                <w:lang w:val="en-US" w:eastAsia="zh-CN"/>
              </w:rPr>
              <w:t>）中的要求，企业应自行进行监测。项目大气污染源环境监测计划见下表4-</w:t>
            </w:r>
            <w:r>
              <w:rPr>
                <w:rFonts w:hint="eastAsia" w:cs="Times New Roman"/>
                <w:color w:val="auto"/>
                <w:sz w:val="24"/>
                <w:szCs w:val="24"/>
                <w:highlight w:val="none"/>
                <w:lang w:val="en-US" w:eastAsia="zh-CN"/>
              </w:rPr>
              <w:t>6</w:t>
            </w:r>
            <w:r>
              <w:rPr>
                <w:rFonts w:hint="eastAsia" w:ascii="Times New Roman" w:hAnsi="Times New Roman" w:eastAsia="宋体" w:cs="Times New Roman"/>
                <w:color w:val="auto"/>
                <w:sz w:val="24"/>
                <w:szCs w:val="24"/>
                <w:highlight w:val="none"/>
                <w:lang w:val="en-US" w:eastAsia="zh-CN"/>
              </w:rPr>
              <w:t xml:space="preserve">。 </w:t>
            </w:r>
          </w:p>
          <w:p w14:paraId="6256AA62">
            <w:pPr>
              <w:pStyle w:val="16"/>
              <w:keepNext w:val="0"/>
              <w:keepLines w:val="0"/>
              <w:pageBreakBefore w:val="0"/>
              <w:widowControl/>
              <w:kinsoku/>
              <w:wordWrap/>
              <w:overflowPunct/>
              <w:topLinePunct w:val="0"/>
              <w:autoSpaceDE/>
              <w:autoSpaceDN/>
              <w:bidi w:val="0"/>
              <w:adjustRightInd/>
              <w:snapToGrid/>
              <w:spacing w:line="480" w:lineRule="exact"/>
              <w:jc w:val="center"/>
              <w:textAlignment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表 </w:t>
            </w:r>
            <w:r>
              <w:rPr>
                <w:rFonts w:hint="default" w:ascii="Times New Roman" w:hAnsi="Times New Roman" w:eastAsia="宋体" w:cs="Times New Roman"/>
                <w:color w:val="auto"/>
                <w:sz w:val="24"/>
                <w:szCs w:val="24"/>
                <w:lang w:val="en-US" w:eastAsia="zh-CN"/>
              </w:rPr>
              <w:t>4-</w:t>
            </w:r>
            <w:r>
              <w:rPr>
                <w:rFonts w:hint="eastAsia" w:eastAsia="宋体" w:cs="Times New Roman"/>
                <w:color w:val="auto"/>
                <w:sz w:val="24"/>
                <w:szCs w:val="24"/>
                <w:lang w:val="en-US" w:eastAsia="zh-CN"/>
              </w:rPr>
              <w:t>6</w:t>
            </w:r>
            <w:r>
              <w:rPr>
                <w:rFonts w:hint="eastAsia" w:ascii="Times New Roman" w:hAnsi="Times New Roman" w:eastAsia="宋体" w:cs="Times New Roman"/>
                <w:color w:val="auto"/>
                <w:sz w:val="24"/>
                <w:szCs w:val="24"/>
                <w:lang w:val="en-US" w:eastAsia="zh-CN"/>
              </w:rPr>
              <w:t xml:space="preserve">  大气污染源监测计划一览表</w:t>
            </w:r>
          </w:p>
          <w:tbl>
            <w:tblPr>
              <w:tblStyle w:val="11"/>
              <w:tblW w:w="794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4"/>
              <w:gridCol w:w="1602"/>
              <w:gridCol w:w="1325"/>
              <w:gridCol w:w="1313"/>
              <w:gridCol w:w="2912"/>
            </w:tblGrid>
            <w:tr w14:paraId="6575F2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4" w:type="dxa"/>
                  <w:tcBorders>
                    <w:tl2br w:val="nil"/>
                    <w:tr2bl w:val="nil"/>
                  </w:tcBorders>
                  <w:noWrap w:val="0"/>
                  <w:vAlign w:val="top"/>
                </w:tcPr>
                <w:p w14:paraId="018912C3">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项目</w:t>
                  </w:r>
                </w:p>
              </w:tc>
              <w:tc>
                <w:tcPr>
                  <w:tcW w:w="1602" w:type="dxa"/>
                  <w:tcBorders>
                    <w:tl2br w:val="nil"/>
                    <w:tr2bl w:val="nil"/>
                  </w:tcBorders>
                  <w:noWrap w:val="0"/>
                  <w:vAlign w:val="top"/>
                </w:tcPr>
                <w:p w14:paraId="577BD7BE">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监测点位</w:t>
                  </w:r>
                </w:p>
              </w:tc>
              <w:tc>
                <w:tcPr>
                  <w:tcW w:w="1325" w:type="dxa"/>
                  <w:tcBorders>
                    <w:tl2br w:val="nil"/>
                    <w:tr2bl w:val="nil"/>
                  </w:tcBorders>
                  <w:noWrap w:val="0"/>
                  <w:vAlign w:val="top"/>
                </w:tcPr>
                <w:p w14:paraId="24C888F1">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监测因子</w:t>
                  </w:r>
                </w:p>
              </w:tc>
              <w:tc>
                <w:tcPr>
                  <w:tcW w:w="1313" w:type="dxa"/>
                  <w:tcBorders>
                    <w:tl2br w:val="nil"/>
                    <w:tr2bl w:val="nil"/>
                  </w:tcBorders>
                  <w:noWrap w:val="0"/>
                  <w:vAlign w:val="top"/>
                </w:tcPr>
                <w:p w14:paraId="22AC7792">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监测频率</w:t>
                  </w:r>
                </w:p>
              </w:tc>
              <w:tc>
                <w:tcPr>
                  <w:tcW w:w="2912" w:type="dxa"/>
                  <w:tcBorders>
                    <w:tl2br w:val="nil"/>
                    <w:tr2bl w:val="nil"/>
                  </w:tcBorders>
                  <w:noWrap w:val="0"/>
                  <w:vAlign w:val="top"/>
                </w:tcPr>
                <w:p w14:paraId="6D5B69F2">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执行标准</w:t>
                  </w:r>
                </w:p>
              </w:tc>
            </w:tr>
            <w:tr w14:paraId="5A7B74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4" w:type="dxa"/>
                  <w:vMerge w:val="restart"/>
                  <w:tcBorders>
                    <w:tl2br w:val="nil"/>
                    <w:tr2bl w:val="nil"/>
                  </w:tcBorders>
                  <w:noWrap w:val="0"/>
                  <w:vAlign w:val="center"/>
                </w:tcPr>
                <w:p w14:paraId="441D4731">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废气</w:t>
                  </w:r>
                </w:p>
              </w:tc>
              <w:tc>
                <w:tcPr>
                  <w:tcW w:w="1602" w:type="dxa"/>
                  <w:vMerge w:val="restart"/>
                  <w:tcBorders>
                    <w:tl2br w:val="nil"/>
                    <w:tr2bl w:val="nil"/>
                  </w:tcBorders>
                  <w:noWrap w:val="0"/>
                  <w:vAlign w:val="center"/>
                </w:tcPr>
                <w:p w14:paraId="27810855">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color w:val="auto"/>
                      <w:szCs w:val="21"/>
                    </w:rPr>
                    <w:t>三级吸收塔排气筒</w:t>
                  </w:r>
                </w:p>
              </w:tc>
              <w:tc>
                <w:tcPr>
                  <w:tcW w:w="1325" w:type="dxa"/>
                  <w:tcBorders>
                    <w:tl2br w:val="nil"/>
                    <w:tr2bl w:val="nil"/>
                  </w:tcBorders>
                  <w:noWrap w:val="0"/>
                  <w:vAlign w:val="center"/>
                </w:tcPr>
                <w:p w14:paraId="7569A7EE">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颗粒物</w:t>
                  </w:r>
                </w:p>
              </w:tc>
              <w:tc>
                <w:tcPr>
                  <w:tcW w:w="1313" w:type="dxa"/>
                  <w:vMerge w:val="restart"/>
                  <w:tcBorders>
                    <w:tl2br w:val="nil"/>
                    <w:tr2bl w:val="nil"/>
                  </w:tcBorders>
                  <w:noWrap w:val="0"/>
                  <w:vAlign w:val="center"/>
                </w:tcPr>
                <w:p w14:paraId="1488CC38">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1次/</w:t>
                  </w:r>
                  <w:r>
                    <w:rPr>
                      <w:rFonts w:hint="eastAsia" w:cs="Times New Roman"/>
                      <w:b w:val="0"/>
                      <w:bCs/>
                      <w:color w:val="auto"/>
                      <w:sz w:val="21"/>
                      <w:szCs w:val="21"/>
                      <w:highlight w:val="none"/>
                      <w:lang w:val="en-US" w:eastAsia="zh-CN"/>
                    </w:rPr>
                    <w:t>年</w:t>
                  </w:r>
                </w:p>
              </w:tc>
              <w:tc>
                <w:tcPr>
                  <w:tcW w:w="2912" w:type="dxa"/>
                  <w:vMerge w:val="restart"/>
                  <w:tcBorders>
                    <w:tl2br w:val="nil"/>
                    <w:tr2bl w:val="nil"/>
                  </w:tcBorders>
                  <w:noWrap w:val="0"/>
                  <w:vAlign w:val="top"/>
                </w:tcPr>
                <w:p w14:paraId="3FCF8BAC">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《无机化学工业污染物排放标准》及修改单（GB 31573-2015）表4大气污染物特别排放限值</w:t>
                  </w:r>
                </w:p>
              </w:tc>
            </w:tr>
            <w:tr w14:paraId="073943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94" w:type="dxa"/>
                  <w:vMerge w:val="continue"/>
                  <w:tcBorders>
                    <w:tl2br w:val="nil"/>
                    <w:tr2bl w:val="nil"/>
                  </w:tcBorders>
                  <w:noWrap w:val="0"/>
                  <w:vAlign w:val="center"/>
                </w:tcPr>
                <w:p w14:paraId="6DB45147">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p>
              </w:tc>
              <w:tc>
                <w:tcPr>
                  <w:tcW w:w="1602" w:type="dxa"/>
                  <w:vMerge w:val="continue"/>
                  <w:tcBorders>
                    <w:tl2br w:val="nil"/>
                    <w:tr2bl w:val="nil"/>
                  </w:tcBorders>
                  <w:noWrap w:val="0"/>
                  <w:vAlign w:val="center"/>
                </w:tcPr>
                <w:p w14:paraId="611056FF">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p>
              </w:tc>
              <w:tc>
                <w:tcPr>
                  <w:tcW w:w="1325" w:type="dxa"/>
                  <w:tcBorders>
                    <w:tl2br w:val="nil"/>
                    <w:tr2bl w:val="nil"/>
                  </w:tcBorders>
                  <w:noWrap w:val="0"/>
                  <w:vAlign w:val="center"/>
                </w:tcPr>
                <w:p w14:paraId="418B1613">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SO</w:t>
                  </w:r>
                  <w:r>
                    <w:rPr>
                      <w:rFonts w:hint="default" w:ascii="Times New Roman" w:hAnsi="Times New Roman" w:eastAsia="宋体" w:cs="Times New Roman"/>
                      <w:b w:val="0"/>
                      <w:bCs/>
                      <w:color w:val="auto"/>
                      <w:sz w:val="21"/>
                      <w:szCs w:val="21"/>
                      <w:highlight w:val="none"/>
                      <w:vertAlign w:val="subscript"/>
                      <w:lang w:val="en-US" w:eastAsia="zh-CN"/>
                    </w:rPr>
                    <w:t>2</w:t>
                  </w:r>
                </w:p>
              </w:tc>
              <w:tc>
                <w:tcPr>
                  <w:tcW w:w="1313" w:type="dxa"/>
                  <w:vMerge w:val="continue"/>
                  <w:tcBorders>
                    <w:tl2br w:val="nil"/>
                    <w:tr2bl w:val="nil"/>
                  </w:tcBorders>
                  <w:noWrap w:val="0"/>
                  <w:vAlign w:val="center"/>
                </w:tcPr>
                <w:p w14:paraId="16E9A3FE">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p>
              </w:tc>
              <w:tc>
                <w:tcPr>
                  <w:tcW w:w="2912" w:type="dxa"/>
                  <w:vMerge w:val="continue"/>
                  <w:tcBorders>
                    <w:tl2br w:val="nil"/>
                    <w:tr2bl w:val="nil"/>
                  </w:tcBorders>
                  <w:noWrap w:val="0"/>
                  <w:vAlign w:val="top"/>
                </w:tcPr>
                <w:p w14:paraId="29A94EA9">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p>
              </w:tc>
            </w:tr>
            <w:tr w14:paraId="19D901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794" w:type="dxa"/>
                  <w:vMerge w:val="continue"/>
                  <w:tcBorders>
                    <w:tl2br w:val="nil"/>
                    <w:tr2bl w:val="nil"/>
                  </w:tcBorders>
                  <w:noWrap w:val="0"/>
                  <w:vAlign w:val="center"/>
                </w:tcPr>
                <w:p w14:paraId="03D6695B">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p>
              </w:tc>
              <w:tc>
                <w:tcPr>
                  <w:tcW w:w="1602" w:type="dxa"/>
                  <w:vMerge w:val="continue"/>
                  <w:tcBorders>
                    <w:tl2br w:val="nil"/>
                    <w:tr2bl w:val="nil"/>
                  </w:tcBorders>
                  <w:noWrap w:val="0"/>
                  <w:vAlign w:val="center"/>
                </w:tcPr>
                <w:p w14:paraId="3AC3DD04">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p>
              </w:tc>
              <w:tc>
                <w:tcPr>
                  <w:tcW w:w="1325" w:type="dxa"/>
                  <w:tcBorders>
                    <w:tl2br w:val="nil"/>
                    <w:tr2bl w:val="nil"/>
                  </w:tcBorders>
                  <w:noWrap w:val="0"/>
                  <w:vAlign w:val="center"/>
                </w:tcPr>
                <w:p w14:paraId="28E02F37">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NOx</w:t>
                  </w:r>
                </w:p>
              </w:tc>
              <w:tc>
                <w:tcPr>
                  <w:tcW w:w="1313" w:type="dxa"/>
                  <w:vMerge w:val="continue"/>
                  <w:tcBorders>
                    <w:tl2br w:val="nil"/>
                    <w:tr2bl w:val="nil"/>
                  </w:tcBorders>
                  <w:noWrap w:val="0"/>
                  <w:vAlign w:val="center"/>
                </w:tcPr>
                <w:p w14:paraId="428E1DA9">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p>
              </w:tc>
              <w:tc>
                <w:tcPr>
                  <w:tcW w:w="2912" w:type="dxa"/>
                  <w:vMerge w:val="continue"/>
                  <w:tcBorders>
                    <w:tl2br w:val="nil"/>
                    <w:tr2bl w:val="nil"/>
                  </w:tcBorders>
                  <w:noWrap w:val="0"/>
                  <w:vAlign w:val="top"/>
                </w:tcPr>
                <w:p w14:paraId="0E5417B8">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p>
              </w:tc>
            </w:tr>
            <w:tr w14:paraId="6411E5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794" w:type="dxa"/>
                  <w:vMerge w:val="continue"/>
                  <w:tcBorders>
                    <w:tl2br w:val="nil"/>
                    <w:tr2bl w:val="nil"/>
                  </w:tcBorders>
                  <w:noWrap w:val="0"/>
                  <w:vAlign w:val="center"/>
                </w:tcPr>
                <w:p w14:paraId="1F6589CF">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color w:val="auto"/>
                    </w:rPr>
                  </w:pPr>
                </w:p>
              </w:tc>
              <w:tc>
                <w:tcPr>
                  <w:tcW w:w="1602" w:type="dxa"/>
                  <w:vMerge w:val="continue"/>
                  <w:tcBorders>
                    <w:tl2br w:val="nil"/>
                    <w:tr2bl w:val="nil"/>
                  </w:tcBorders>
                  <w:noWrap w:val="0"/>
                  <w:vAlign w:val="center"/>
                </w:tcPr>
                <w:p w14:paraId="09B7697C">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color w:val="auto"/>
                    </w:rPr>
                  </w:pPr>
                </w:p>
              </w:tc>
              <w:tc>
                <w:tcPr>
                  <w:tcW w:w="1325" w:type="dxa"/>
                  <w:tcBorders>
                    <w:tl2br w:val="nil"/>
                    <w:tr2bl w:val="nil"/>
                  </w:tcBorders>
                  <w:noWrap w:val="0"/>
                  <w:vAlign w:val="center"/>
                </w:tcPr>
                <w:p w14:paraId="46B81881">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HCl</w:t>
                  </w:r>
                </w:p>
              </w:tc>
              <w:tc>
                <w:tcPr>
                  <w:tcW w:w="1313" w:type="dxa"/>
                  <w:vMerge w:val="continue"/>
                  <w:tcBorders>
                    <w:tl2br w:val="nil"/>
                    <w:tr2bl w:val="nil"/>
                  </w:tcBorders>
                  <w:noWrap w:val="0"/>
                  <w:vAlign w:val="center"/>
                </w:tcPr>
                <w:p w14:paraId="5AB1E37C">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p>
              </w:tc>
              <w:tc>
                <w:tcPr>
                  <w:tcW w:w="2912" w:type="dxa"/>
                  <w:vMerge w:val="continue"/>
                  <w:tcBorders>
                    <w:tl2br w:val="nil"/>
                    <w:tr2bl w:val="nil"/>
                  </w:tcBorders>
                  <w:noWrap w:val="0"/>
                  <w:vAlign w:val="top"/>
                </w:tcPr>
                <w:p w14:paraId="619A2E81">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p>
              </w:tc>
            </w:tr>
            <w:tr w14:paraId="196BE5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4" w:type="dxa"/>
                  <w:vMerge w:val="continue"/>
                  <w:tcBorders>
                    <w:tl2br w:val="nil"/>
                    <w:tr2bl w:val="nil"/>
                  </w:tcBorders>
                  <w:noWrap w:val="0"/>
                  <w:vAlign w:val="center"/>
                </w:tcPr>
                <w:p w14:paraId="660E2FAA">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p>
              </w:tc>
              <w:tc>
                <w:tcPr>
                  <w:tcW w:w="1602" w:type="dxa"/>
                  <w:tcBorders>
                    <w:tl2br w:val="nil"/>
                    <w:tr2bl w:val="nil"/>
                  </w:tcBorders>
                  <w:noWrap w:val="0"/>
                  <w:vAlign w:val="center"/>
                </w:tcPr>
                <w:p w14:paraId="0B89974B">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厂界</w:t>
                  </w:r>
                </w:p>
              </w:tc>
              <w:tc>
                <w:tcPr>
                  <w:tcW w:w="1325" w:type="dxa"/>
                  <w:tcBorders>
                    <w:tl2br w:val="nil"/>
                    <w:tr2bl w:val="nil"/>
                  </w:tcBorders>
                  <w:noWrap w:val="0"/>
                  <w:vAlign w:val="center"/>
                </w:tcPr>
                <w:p w14:paraId="7809A991">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颗粒物</w:t>
                  </w:r>
                </w:p>
              </w:tc>
              <w:tc>
                <w:tcPr>
                  <w:tcW w:w="1313" w:type="dxa"/>
                  <w:tcBorders>
                    <w:tl2br w:val="nil"/>
                    <w:tr2bl w:val="nil"/>
                  </w:tcBorders>
                  <w:noWrap w:val="0"/>
                  <w:vAlign w:val="center"/>
                </w:tcPr>
                <w:p w14:paraId="5C00B989">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1次/</w:t>
                  </w:r>
                  <w:r>
                    <w:rPr>
                      <w:rFonts w:hint="eastAsia" w:cs="Times New Roman"/>
                      <w:b w:val="0"/>
                      <w:bCs/>
                      <w:color w:val="auto"/>
                      <w:sz w:val="21"/>
                      <w:szCs w:val="21"/>
                      <w:highlight w:val="none"/>
                      <w:lang w:val="en-US" w:eastAsia="zh-CN"/>
                    </w:rPr>
                    <w:t>年</w:t>
                  </w:r>
                </w:p>
              </w:tc>
              <w:tc>
                <w:tcPr>
                  <w:tcW w:w="2912" w:type="dxa"/>
                  <w:tcBorders>
                    <w:tl2br w:val="nil"/>
                    <w:tr2bl w:val="nil"/>
                  </w:tcBorders>
                  <w:noWrap w:val="0"/>
                  <w:vAlign w:val="top"/>
                </w:tcPr>
                <w:p w14:paraId="1A00BB09">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《大气污染物综合排放标准》（GB16297-1996）表2中无组织排放监控浓度限值</w:t>
                  </w:r>
                </w:p>
              </w:tc>
            </w:tr>
          </w:tbl>
          <w:p w14:paraId="0034E842">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2、水环境影响分析</w:t>
            </w:r>
          </w:p>
          <w:p w14:paraId="77A2A325">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本项目主要为三级吸收塔废水。</w:t>
            </w:r>
          </w:p>
          <w:p w14:paraId="438527ED">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三级吸收塔废水产生量为20544.46t/a</w:t>
            </w:r>
            <w:r>
              <w:rPr>
                <w:rFonts w:hint="eastAsia" w:ascii="Times New Roman" w:hAnsi="Times New Roman" w:eastAsia="宋体" w:cs="Times New Roman"/>
                <w:color w:val="auto"/>
                <w:sz w:val="24"/>
                <w:szCs w:val="24"/>
                <w:highlight w:val="none"/>
                <w:lang w:val="en-US" w:eastAsia="zh-CN"/>
              </w:rPr>
              <w:t>，收集至回用水池全部回用于聚合氯化铝生产线溶出反应工序，不外排。</w:t>
            </w:r>
          </w:p>
          <w:p w14:paraId="5EC570B5">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三级吸收塔废水</w:t>
            </w:r>
            <w:r>
              <w:rPr>
                <w:rFonts w:hint="eastAsia" w:cs="Times New Roman"/>
                <w:color w:val="auto"/>
                <w:sz w:val="24"/>
                <w:szCs w:val="24"/>
                <w:highlight w:val="none"/>
                <w:lang w:val="en-US" w:eastAsia="zh-CN"/>
              </w:rPr>
              <w:t>污染物主要为硫酸盐、氯化物、SS，</w:t>
            </w:r>
            <w:r>
              <w:rPr>
                <w:rFonts w:hint="eastAsia" w:ascii="Times New Roman" w:hAnsi="Times New Roman" w:eastAsia="宋体" w:cs="Times New Roman"/>
                <w:color w:val="auto"/>
                <w:sz w:val="24"/>
                <w:szCs w:val="24"/>
                <w:highlight w:val="none"/>
                <w:lang w:val="en-US" w:eastAsia="zh-CN"/>
              </w:rPr>
              <w:t>收集至回用水池全部回用于聚合氯化铝生产线溶出反应工序</w:t>
            </w:r>
            <w:r>
              <w:rPr>
                <w:rFonts w:hint="eastAsia" w:cs="Times New Roman"/>
                <w:color w:val="auto"/>
                <w:sz w:val="24"/>
                <w:szCs w:val="24"/>
                <w:highlight w:val="none"/>
                <w:lang w:val="en-US" w:eastAsia="zh-CN"/>
              </w:rPr>
              <w:t>。</w:t>
            </w:r>
            <w:r>
              <w:rPr>
                <w:rFonts w:hint="eastAsia" w:ascii="Times New Roman" w:hAnsi="Times New Roman" w:cs="Times New Roman"/>
                <w:b w:val="0"/>
                <w:bCs w:val="0"/>
                <w:color w:val="auto"/>
                <w:kern w:val="2"/>
                <w:sz w:val="24"/>
                <w:szCs w:val="24"/>
                <w:lang w:val="en-US" w:eastAsia="zh-CN"/>
              </w:rPr>
              <w:t>生产聚合氯化铝所采用的生产工艺为酸溶法，酸法处理粉煤灰的基本原理是用盐酸在一定温度下溶出粉煤灰中的大部分氧化铝（溶出率60%），酸溶后的料浆进行固液分离洗涤，固体部分送园区渣场处理，液体则通过投加添加剂铝酸钙粉聚合反应后得到液体聚合氯化铝，通过喷雾干燥设备烘干后得到固体产品。</w:t>
            </w:r>
            <w:r>
              <w:rPr>
                <w:rFonts w:hint="default" w:ascii="Times New Roman" w:hAnsi="Times New Roman" w:eastAsia="宋体" w:cs="Times New Roman"/>
                <w:color w:val="auto"/>
                <w:sz w:val="24"/>
                <w:szCs w:val="24"/>
                <w:highlight w:val="none"/>
                <w:lang w:val="en-US" w:eastAsia="zh-CN"/>
              </w:rPr>
              <w:t>三级吸收塔废水</w:t>
            </w:r>
            <w:r>
              <w:rPr>
                <w:rFonts w:hint="eastAsia" w:cs="Times New Roman"/>
                <w:color w:val="auto"/>
                <w:sz w:val="24"/>
                <w:szCs w:val="24"/>
                <w:highlight w:val="none"/>
                <w:lang w:val="en-US" w:eastAsia="zh-CN"/>
              </w:rPr>
              <w:t>回用至</w:t>
            </w:r>
            <w:r>
              <w:rPr>
                <w:rFonts w:hint="eastAsia" w:ascii="Times New Roman" w:hAnsi="Times New Roman" w:eastAsia="宋体" w:cs="Times New Roman"/>
                <w:color w:val="auto"/>
                <w:sz w:val="24"/>
                <w:szCs w:val="24"/>
                <w:highlight w:val="none"/>
                <w:lang w:val="en-US" w:eastAsia="zh-CN"/>
              </w:rPr>
              <w:t>溶出反应工序</w:t>
            </w:r>
            <w:r>
              <w:rPr>
                <w:rFonts w:hint="eastAsia" w:cs="Times New Roman"/>
                <w:color w:val="auto"/>
                <w:sz w:val="24"/>
                <w:szCs w:val="24"/>
                <w:highlight w:val="none"/>
                <w:lang w:val="en-US" w:eastAsia="zh-CN"/>
              </w:rPr>
              <w:t>，废水符合溶出反应工序对水质要求。</w:t>
            </w:r>
          </w:p>
          <w:p w14:paraId="34E5D55F">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3、声环境影响分析及保护措施</w:t>
            </w:r>
          </w:p>
          <w:p w14:paraId="20AA8A4C">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（1）源强及防治措施</w:t>
            </w:r>
          </w:p>
          <w:p w14:paraId="04BB7B98">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本项目噪声源主要为热风炉风机、上煤机、三级吸收塔噪声等噪声及车辆运输噪声。设备噪声强度在75-95dB（A）之间。在未采取降噪措施的情况下，对周围环境影响较大。应采取隔声降噪、基础减震、运输车辆禁止鸣笛等措施，以降低噪声污染。</w:t>
            </w:r>
          </w:p>
          <w:p w14:paraId="4A4B1A17">
            <w:pPr>
              <w:pStyle w:val="16"/>
              <w:keepNext w:val="0"/>
              <w:keepLines w:val="0"/>
              <w:pageBreakBefore w:val="0"/>
              <w:widowControl/>
              <w:kinsoku/>
              <w:wordWrap/>
              <w:overflowPunct/>
              <w:topLinePunct w:val="0"/>
              <w:autoSpaceDE/>
              <w:autoSpaceDN/>
              <w:bidi w:val="0"/>
              <w:adjustRightInd/>
              <w:snapToGrid/>
              <w:spacing w:line="480" w:lineRule="exact"/>
              <w:jc w:val="center"/>
              <w:textAlignment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表4-7  项目噪声产生情况及处理措施情况表</w:t>
            </w:r>
          </w:p>
          <w:tbl>
            <w:tblPr>
              <w:tblStyle w:val="10"/>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47"/>
              <w:gridCol w:w="2647"/>
              <w:gridCol w:w="2649"/>
            </w:tblGrid>
            <w:tr w14:paraId="547CB2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top"/>
                </w:tcPr>
                <w:p w14:paraId="4E516CEB">
                  <w:pPr>
                    <w:pStyle w:val="22"/>
                    <w:rPr>
                      <w:color w:val="auto"/>
                    </w:rPr>
                  </w:pPr>
                  <w:r>
                    <w:rPr>
                      <w:color w:val="auto"/>
                    </w:rPr>
                    <w:t>设备名称</w:t>
                  </w:r>
                </w:p>
              </w:tc>
              <w:tc>
                <w:tcPr>
                  <w:tcW w:w="1666" w:type="pct"/>
                  <w:tcBorders>
                    <w:tl2br w:val="nil"/>
                    <w:tr2bl w:val="nil"/>
                  </w:tcBorders>
                  <w:noWrap w:val="0"/>
                  <w:vAlign w:val="top"/>
                </w:tcPr>
                <w:p w14:paraId="18235A52">
                  <w:pPr>
                    <w:pStyle w:val="22"/>
                    <w:rPr>
                      <w:color w:val="auto"/>
                    </w:rPr>
                  </w:pPr>
                  <w:r>
                    <w:rPr>
                      <w:color w:val="auto"/>
                    </w:rPr>
                    <w:t>等效声级dB（A）</w:t>
                  </w:r>
                </w:p>
              </w:tc>
              <w:tc>
                <w:tcPr>
                  <w:tcW w:w="1667" w:type="pct"/>
                  <w:tcBorders>
                    <w:tl2br w:val="nil"/>
                    <w:tr2bl w:val="nil"/>
                  </w:tcBorders>
                  <w:noWrap w:val="0"/>
                  <w:vAlign w:val="top"/>
                </w:tcPr>
                <w:p w14:paraId="164CB37D">
                  <w:pPr>
                    <w:pStyle w:val="22"/>
                    <w:rPr>
                      <w:color w:val="auto"/>
                    </w:rPr>
                  </w:pPr>
                  <w:r>
                    <w:rPr>
                      <w:rFonts w:ascii="Times New Roman" w:hAnsi="Times New Roman" w:cs="Times New Roman"/>
                      <w:color w:val="auto"/>
                      <w:sz w:val="21"/>
                      <w:szCs w:val="21"/>
                    </w:rPr>
                    <w:t>降噪室内措施</w:t>
                  </w:r>
                </w:p>
              </w:tc>
            </w:tr>
            <w:tr w14:paraId="4CDE43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top"/>
                </w:tcPr>
                <w:p w14:paraId="3559ED42">
                  <w:pPr>
                    <w:pStyle w:val="22"/>
                    <w:rPr>
                      <w:rFonts w:hint="eastAsia" w:eastAsia="宋体"/>
                      <w:color w:val="auto"/>
                      <w:lang w:eastAsia="zh-CN"/>
                    </w:rPr>
                  </w:pPr>
                  <w:r>
                    <w:rPr>
                      <w:rFonts w:hint="default" w:ascii="Times New Roman" w:hAnsi="Times New Roman" w:eastAsia="宋体" w:cs="Times New Roman"/>
                      <w:b w:val="0"/>
                      <w:bCs/>
                      <w:color w:val="auto"/>
                      <w:sz w:val="21"/>
                      <w:szCs w:val="21"/>
                      <w:highlight w:val="none"/>
                      <w:lang w:val="en-US" w:eastAsia="zh-CN"/>
                    </w:rPr>
                    <w:t>燃烧鼓风机</w:t>
                  </w:r>
                </w:p>
              </w:tc>
              <w:tc>
                <w:tcPr>
                  <w:tcW w:w="1666" w:type="pct"/>
                  <w:tcBorders>
                    <w:tl2br w:val="nil"/>
                    <w:tr2bl w:val="nil"/>
                  </w:tcBorders>
                  <w:noWrap w:val="0"/>
                  <w:vAlign w:val="top"/>
                </w:tcPr>
                <w:p w14:paraId="064F35C2">
                  <w:pPr>
                    <w:pStyle w:val="22"/>
                    <w:rPr>
                      <w:rFonts w:hint="default" w:eastAsia="宋体"/>
                      <w:color w:val="auto"/>
                      <w:lang w:val="en-US" w:eastAsia="zh-CN"/>
                    </w:rPr>
                  </w:pPr>
                  <w:r>
                    <w:rPr>
                      <w:rFonts w:hint="eastAsia"/>
                      <w:color w:val="auto"/>
                      <w:lang w:val="en-US" w:eastAsia="zh-CN"/>
                    </w:rPr>
                    <w:t>85</w:t>
                  </w:r>
                </w:p>
              </w:tc>
              <w:tc>
                <w:tcPr>
                  <w:tcW w:w="1667" w:type="pct"/>
                  <w:tcBorders>
                    <w:tl2br w:val="nil"/>
                    <w:tr2bl w:val="nil"/>
                  </w:tcBorders>
                  <w:noWrap w:val="0"/>
                  <w:vAlign w:val="top"/>
                </w:tcPr>
                <w:p w14:paraId="72C8075B">
                  <w:pPr>
                    <w:pStyle w:val="22"/>
                    <w:rPr>
                      <w:rFonts w:hint="default" w:eastAsia="宋体"/>
                      <w:color w:val="auto"/>
                      <w:lang w:val="en-US" w:eastAsia="zh-CN"/>
                    </w:rPr>
                  </w:pPr>
                  <w:r>
                    <w:rPr>
                      <w:rFonts w:ascii="Times New Roman" w:hAnsi="Times New Roman" w:cs="Times New Roman"/>
                      <w:color w:val="auto"/>
                      <w:sz w:val="21"/>
                      <w:szCs w:val="21"/>
                    </w:rPr>
                    <w:t>室内安装、基础减震</w:t>
                  </w:r>
                </w:p>
              </w:tc>
            </w:tr>
            <w:tr w14:paraId="45D3F3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top"/>
                </w:tcPr>
                <w:p w14:paraId="0825F57C">
                  <w:pPr>
                    <w:pStyle w:val="22"/>
                    <w:rPr>
                      <w:rFonts w:hint="eastAsia" w:eastAsia="宋体"/>
                      <w:color w:val="auto"/>
                      <w:lang w:val="en-US" w:eastAsia="zh-CN"/>
                    </w:rPr>
                  </w:pPr>
                  <w:r>
                    <w:rPr>
                      <w:rFonts w:hint="eastAsia"/>
                      <w:color w:val="auto"/>
                      <w:lang w:val="en-US" w:eastAsia="zh-CN"/>
                    </w:rPr>
                    <w:t>上煤机</w:t>
                  </w:r>
                </w:p>
              </w:tc>
              <w:tc>
                <w:tcPr>
                  <w:tcW w:w="1666" w:type="pct"/>
                  <w:tcBorders>
                    <w:tl2br w:val="nil"/>
                    <w:tr2bl w:val="nil"/>
                  </w:tcBorders>
                  <w:noWrap w:val="0"/>
                  <w:vAlign w:val="top"/>
                </w:tcPr>
                <w:p w14:paraId="485D103E">
                  <w:pPr>
                    <w:pStyle w:val="22"/>
                    <w:rPr>
                      <w:rFonts w:hint="default" w:eastAsia="宋体"/>
                      <w:color w:val="auto"/>
                      <w:lang w:val="en-US" w:eastAsia="zh-CN"/>
                    </w:rPr>
                  </w:pPr>
                  <w:r>
                    <w:rPr>
                      <w:rFonts w:hint="eastAsia"/>
                      <w:color w:val="auto"/>
                      <w:lang w:val="en-US" w:eastAsia="zh-CN"/>
                    </w:rPr>
                    <w:t>95</w:t>
                  </w:r>
                </w:p>
              </w:tc>
              <w:tc>
                <w:tcPr>
                  <w:tcW w:w="1667" w:type="pct"/>
                  <w:tcBorders>
                    <w:tl2br w:val="nil"/>
                    <w:tr2bl w:val="nil"/>
                  </w:tcBorders>
                  <w:noWrap w:val="0"/>
                  <w:vAlign w:val="top"/>
                </w:tcPr>
                <w:p w14:paraId="1146EED4">
                  <w:pPr>
                    <w:pStyle w:val="22"/>
                    <w:rPr>
                      <w:color w:val="auto"/>
                    </w:rPr>
                  </w:pPr>
                  <w:r>
                    <w:rPr>
                      <w:rFonts w:ascii="Times New Roman" w:hAnsi="Times New Roman" w:cs="Times New Roman"/>
                      <w:color w:val="auto"/>
                      <w:sz w:val="21"/>
                      <w:szCs w:val="21"/>
                    </w:rPr>
                    <w:t>室内安装、基础减震</w:t>
                  </w:r>
                </w:p>
              </w:tc>
            </w:tr>
            <w:tr w14:paraId="52DB17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top"/>
                </w:tcPr>
                <w:p w14:paraId="0647971D">
                  <w:pPr>
                    <w:pStyle w:val="22"/>
                    <w:rPr>
                      <w:rFonts w:hint="eastAsia"/>
                      <w:color w:val="auto"/>
                      <w:lang w:val="en-US" w:eastAsia="zh-CN"/>
                    </w:rPr>
                  </w:pPr>
                  <w:r>
                    <w:rPr>
                      <w:rFonts w:hint="default" w:ascii="Times New Roman" w:hAnsi="Times New Roman" w:eastAsia="宋体" w:cs="Times New Roman"/>
                      <w:b w:val="0"/>
                      <w:bCs/>
                      <w:color w:val="auto"/>
                      <w:sz w:val="21"/>
                      <w:szCs w:val="21"/>
                      <w:highlight w:val="none"/>
                      <w:lang w:val="en-US" w:eastAsia="zh-CN"/>
                    </w:rPr>
                    <w:t>出渣机</w:t>
                  </w:r>
                </w:p>
              </w:tc>
              <w:tc>
                <w:tcPr>
                  <w:tcW w:w="1666" w:type="pct"/>
                  <w:tcBorders>
                    <w:tl2br w:val="nil"/>
                    <w:tr2bl w:val="nil"/>
                  </w:tcBorders>
                  <w:noWrap w:val="0"/>
                  <w:vAlign w:val="top"/>
                </w:tcPr>
                <w:p w14:paraId="7B5B8EB1">
                  <w:pPr>
                    <w:pStyle w:val="22"/>
                    <w:rPr>
                      <w:rFonts w:hint="default"/>
                      <w:color w:val="auto"/>
                      <w:lang w:val="en-US" w:eastAsia="zh-CN"/>
                    </w:rPr>
                  </w:pPr>
                  <w:r>
                    <w:rPr>
                      <w:rFonts w:hint="eastAsia"/>
                      <w:color w:val="auto"/>
                      <w:lang w:val="en-US" w:eastAsia="zh-CN"/>
                    </w:rPr>
                    <w:t>85</w:t>
                  </w:r>
                </w:p>
              </w:tc>
              <w:tc>
                <w:tcPr>
                  <w:tcW w:w="1667" w:type="pct"/>
                  <w:tcBorders>
                    <w:tl2br w:val="nil"/>
                    <w:tr2bl w:val="nil"/>
                  </w:tcBorders>
                  <w:noWrap w:val="0"/>
                  <w:vAlign w:val="top"/>
                </w:tcPr>
                <w:p w14:paraId="35FA5A09">
                  <w:pPr>
                    <w:pStyle w:val="22"/>
                    <w:rPr>
                      <w:rFonts w:ascii="Times New Roman" w:hAnsi="Times New Roman" w:cs="Times New Roman"/>
                      <w:color w:val="auto"/>
                      <w:sz w:val="21"/>
                      <w:szCs w:val="21"/>
                    </w:rPr>
                  </w:pPr>
                  <w:r>
                    <w:rPr>
                      <w:rFonts w:ascii="Times New Roman" w:hAnsi="Times New Roman" w:cs="Times New Roman"/>
                      <w:color w:val="auto"/>
                      <w:sz w:val="21"/>
                      <w:szCs w:val="21"/>
                    </w:rPr>
                    <w:t>室内安装、基础减震</w:t>
                  </w:r>
                </w:p>
              </w:tc>
            </w:tr>
            <w:tr w14:paraId="49B061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top"/>
                </w:tcPr>
                <w:p w14:paraId="13A4B6D2">
                  <w:pPr>
                    <w:pStyle w:val="22"/>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炉排减速机</w:t>
                  </w:r>
                </w:p>
              </w:tc>
              <w:tc>
                <w:tcPr>
                  <w:tcW w:w="1666" w:type="pct"/>
                  <w:tcBorders>
                    <w:tl2br w:val="nil"/>
                    <w:tr2bl w:val="nil"/>
                  </w:tcBorders>
                  <w:noWrap w:val="0"/>
                  <w:vAlign w:val="top"/>
                </w:tcPr>
                <w:p w14:paraId="244A8F8C">
                  <w:pPr>
                    <w:pStyle w:val="22"/>
                    <w:rPr>
                      <w:rFonts w:hint="eastAsia"/>
                      <w:color w:val="auto"/>
                      <w:lang w:val="en-US" w:eastAsia="zh-CN"/>
                    </w:rPr>
                  </w:pPr>
                  <w:r>
                    <w:rPr>
                      <w:rFonts w:hint="eastAsia"/>
                      <w:color w:val="auto"/>
                      <w:lang w:val="en-US" w:eastAsia="zh-CN"/>
                    </w:rPr>
                    <w:t>85</w:t>
                  </w:r>
                </w:p>
              </w:tc>
              <w:tc>
                <w:tcPr>
                  <w:tcW w:w="1667" w:type="pct"/>
                  <w:tcBorders>
                    <w:tl2br w:val="nil"/>
                    <w:tr2bl w:val="nil"/>
                  </w:tcBorders>
                  <w:noWrap w:val="0"/>
                  <w:vAlign w:val="top"/>
                </w:tcPr>
                <w:p w14:paraId="4AD8BE0A">
                  <w:pPr>
                    <w:pStyle w:val="22"/>
                    <w:rPr>
                      <w:rFonts w:ascii="Times New Roman" w:hAnsi="Times New Roman" w:cs="Times New Roman"/>
                      <w:color w:val="auto"/>
                      <w:sz w:val="21"/>
                      <w:szCs w:val="21"/>
                    </w:rPr>
                  </w:pPr>
                  <w:r>
                    <w:rPr>
                      <w:rFonts w:ascii="Times New Roman" w:hAnsi="Times New Roman" w:cs="Times New Roman"/>
                      <w:color w:val="auto"/>
                      <w:sz w:val="21"/>
                      <w:szCs w:val="21"/>
                    </w:rPr>
                    <w:t>室内安装、基础减震</w:t>
                  </w:r>
                </w:p>
              </w:tc>
            </w:tr>
            <w:tr w14:paraId="616FDF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top"/>
                </w:tcPr>
                <w:p w14:paraId="762A27DD">
                  <w:pPr>
                    <w:pStyle w:val="22"/>
                    <w:rPr>
                      <w:rFonts w:hint="default" w:eastAsia="宋体"/>
                      <w:color w:val="auto"/>
                      <w:lang w:val="en-US" w:eastAsia="zh-CN"/>
                    </w:rPr>
                  </w:pPr>
                  <w:r>
                    <w:rPr>
                      <w:rFonts w:hint="eastAsia"/>
                      <w:color w:val="auto"/>
                      <w:lang w:val="en-US" w:eastAsia="zh-CN"/>
                    </w:rPr>
                    <w:t>三级吸收塔</w:t>
                  </w:r>
                </w:p>
              </w:tc>
              <w:tc>
                <w:tcPr>
                  <w:tcW w:w="1666" w:type="pct"/>
                  <w:tcBorders>
                    <w:tl2br w:val="nil"/>
                    <w:tr2bl w:val="nil"/>
                  </w:tcBorders>
                  <w:noWrap w:val="0"/>
                  <w:vAlign w:val="top"/>
                </w:tcPr>
                <w:p w14:paraId="79213C05">
                  <w:pPr>
                    <w:pStyle w:val="22"/>
                    <w:rPr>
                      <w:color w:val="auto"/>
                    </w:rPr>
                  </w:pPr>
                  <w:r>
                    <w:rPr>
                      <w:color w:val="auto"/>
                    </w:rPr>
                    <w:t>85</w:t>
                  </w:r>
                </w:p>
              </w:tc>
              <w:tc>
                <w:tcPr>
                  <w:tcW w:w="1667" w:type="pct"/>
                  <w:tcBorders>
                    <w:tl2br w:val="nil"/>
                    <w:tr2bl w:val="nil"/>
                  </w:tcBorders>
                  <w:noWrap w:val="0"/>
                  <w:vAlign w:val="top"/>
                </w:tcPr>
                <w:p w14:paraId="74A7E3BA">
                  <w:pPr>
                    <w:pStyle w:val="22"/>
                    <w:rPr>
                      <w:rFonts w:hint="default" w:eastAsia="宋体"/>
                      <w:color w:val="auto"/>
                      <w:lang w:val="en-US" w:eastAsia="zh-CN"/>
                    </w:rPr>
                  </w:pPr>
                  <w:r>
                    <w:rPr>
                      <w:rFonts w:ascii="Times New Roman" w:hAnsi="Times New Roman" w:cs="Times New Roman"/>
                      <w:color w:val="auto"/>
                      <w:sz w:val="21"/>
                      <w:szCs w:val="21"/>
                    </w:rPr>
                    <w:t>室内安装、基础减震</w:t>
                  </w:r>
                </w:p>
              </w:tc>
            </w:tr>
            <w:tr w14:paraId="2630E3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top"/>
                </w:tcPr>
                <w:p w14:paraId="7ACD5454">
                  <w:pPr>
                    <w:pStyle w:val="22"/>
                    <w:rPr>
                      <w:rFonts w:hint="default" w:eastAsia="宋体"/>
                      <w:color w:val="auto"/>
                      <w:lang w:val="en-US" w:eastAsia="zh-CN"/>
                    </w:rPr>
                  </w:pPr>
                  <w:r>
                    <w:rPr>
                      <w:rFonts w:hint="eastAsia"/>
                      <w:color w:val="auto"/>
                      <w:lang w:val="en-US" w:eastAsia="zh-CN"/>
                    </w:rPr>
                    <w:t>车辆运输噪声</w:t>
                  </w:r>
                </w:p>
              </w:tc>
              <w:tc>
                <w:tcPr>
                  <w:tcW w:w="1666" w:type="pct"/>
                  <w:tcBorders>
                    <w:tl2br w:val="nil"/>
                    <w:tr2bl w:val="nil"/>
                  </w:tcBorders>
                  <w:noWrap w:val="0"/>
                  <w:vAlign w:val="top"/>
                </w:tcPr>
                <w:p w14:paraId="729BF429">
                  <w:pPr>
                    <w:pStyle w:val="22"/>
                    <w:rPr>
                      <w:rFonts w:hint="eastAsia" w:eastAsia="宋体"/>
                      <w:color w:val="auto"/>
                      <w:lang w:eastAsia="zh-CN"/>
                    </w:rPr>
                  </w:pPr>
                  <w:r>
                    <w:rPr>
                      <w:color w:val="auto"/>
                    </w:rPr>
                    <w:t>7</w:t>
                  </w:r>
                  <w:r>
                    <w:rPr>
                      <w:rFonts w:hint="eastAsia"/>
                      <w:color w:val="auto"/>
                      <w:lang w:val="en-US" w:eastAsia="zh-CN"/>
                    </w:rPr>
                    <w:t>5</w:t>
                  </w:r>
                </w:p>
              </w:tc>
              <w:tc>
                <w:tcPr>
                  <w:tcW w:w="1667" w:type="pct"/>
                  <w:tcBorders>
                    <w:tl2br w:val="nil"/>
                    <w:tr2bl w:val="nil"/>
                  </w:tcBorders>
                  <w:noWrap w:val="0"/>
                  <w:vAlign w:val="top"/>
                </w:tcPr>
                <w:p w14:paraId="03480BBB">
                  <w:pPr>
                    <w:pStyle w:val="22"/>
                    <w:rPr>
                      <w:color w:val="auto"/>
                    </w:rPr>
                  </w:pPr>
                  <w:r>
                    <w:rPr>
                      <w:color w:val="auto"/>
                    </w:rPr>
                    <w:t>物料输送</w:t>
                  </w:r>
                </w:p>
              </w:tc>
            </w:tr>
          </w:tbl>
          <w:p w14:paraId="41A141DF">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（2）声环境预测</w:t>
            </w:r>
          </w:p>
          <w:p w14:paraId="07C5D58C">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工程总平面布置图确定主要噪声源的分布，通过类比、调查监测等方法对项目的主要噪声源进行分析，根据该项目主要噪声源声学参数、声源分布及厂界环境噪声现状监测数据情况，预测厂界噪声达标情况。厂界环境噪声预测结果见表4-8。</w:t>
            </w:r>
          </w:p>
          <w:p w14:paraId="0FDE762B">
            <w:pPr>
              <w:pStyle w:val="16"/>
              <w:keepNext w:val="0"/>
              <w:keepLines w:val="0"/>
              <w:pageBreakBefore w:val="0"/>
              <w:widowControl/>
              <w:kinsoku/>
              <w:wordWrap/>
              <w:overflowPunct/>
              <w:topLinePunct w:val="0"/>
              <w:autoSpaceDE/>
              <w:autoSpaceDN/>
              <w:bidi w:val="0"/>
              <w:adjustRightInd/>
              <w:snapToGrid/>
              <w:spacing w:line="480" w:lineRule="exact"/>
              <w:jc w:val="center"/>
              <w:textAlignment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表4-8  项目运营期噪声预测结果（Leq单位：dB（A））</w:t>
            </w:r>
          </w:p>
          <w:tbl>
            <w:tblPr>
              <w:tblStyle w:val="11"/>
              <w:tblW w:w="78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692"/>
              <w:gridCol w:w="693"/>
              <w:gridCol w:w="1385"/>
              <w:gridCol w:w="692"/>
              <w:gridCol w:w="693"/>
              <w:gridCol w:w="1410"/>
              <w:gridCol w:w="1186"/>
            </w:tblGrid>
            <w:tr w14:paraId="2F61C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1127" w:type="dxa"/>
                  <w:vMerge w:val="restart"/>
                  <w:noWrap w:val="0"/>
                  <w:vAlign w:val="center"/>
                </w:tcPr>
                <w:p w14:paraId="5C8970F5">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eastAsia="宋体" w:cs="宋体"/>
                      <w:b w:val="0"/>
                      <w:bCs w:val="0"/>
                      <w:color w:val="auto"/>
                      <w:lang w:val="en-US" w:eastAsia="zh-CN"/>
                    </w:rPr>
                    <w:t>预测点</w:t>
                  </w:r>
                </w:p>
              </w:tc>
              <w:tc>
                <w:tcPr>
                  <w:tcW w:w="1385" w:type="dxa"/>
                  <w:gridSpan w:val="2"/>
                  <w:noWrap w:val="0"/>
                  <w:vAlign w:val="center"/>
                </w:tcPr>
                <w:p w14:paraId="41AE95A9">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现状值</w:t>
                  </w:r>
                </w:p>
              </w:tc>
              <w:tc>
                <w:tcPr>
                  <w:tcW w:w="1385" w:type="dxa"/>
                  <w:vMerge w:val="restart"/>
                  <w:noWrap w:val="0"/>
                  <w:vAlign w:val="center"/>
                </w:tcPr>
                <w:p w14:paraId="33E38C8C">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firstLine="0" w:firstLineChars="0"/>
                    <w:jc w:val="center"/>
                    <w:textAlignment w:val="baseline"/>
                    <w:rPr>
                      <w:rFonts w:hint="eastAsia" w:ascii="宋体" w:hAnsi="宋体" w:eastAsia="宋体" w:cs="宋体"/>
                      <w:b w:val="0"/>
                      <w:bCs w:val="0"/>
                      <w:color w:val="auto"/>
                      <w:spacing w:val="11"/>
                      <w:kern w:val="2"/>
                      <w:sz w:val="21"/>
                      <w:szCs w:val="24"/>
                      <w:lang w:val="en-US" w:eastAsia="zh-CN" w:bidi="ar-SA"/>
                    </w:rPr>
                  </w:pPr>
                  <w:r>
                    <w:rPr>
                      <w:rFonts w:hint="eastAsia" w:ascii="宋体" w:hAnsi="宋体" w:eastAsia="宋体" w:cs="宋体"/>
                      <w:b w:val="0"/>
                      <w:bCs w:val="0"/>
                      <w:color w:val="auto"/>
                      <w:lang w:val="en-US" w:eastAsia="zh-CN"/>
                    </w:rPr>
                    <w:t>贡献值</w:t>
                  </w:r>
                </w:p>
              </w:tc>
              <w:tc>
                <w:tcPr>
                  <w:tcW w:w="1385" w:type="dxa"/>
                  <w:gridSpan w:val="2"/>
                  <w:noWrap w:val="0"/>
                  <w:vAlign w:val="center"/>
                </w:tcPr>
                <w:p w14:paraId="5BE32ADE">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叠加值</w:t>
                  </w:r>
                </w:p>
              </w:tc>
              <w:tc>
                <w:tcPr>
                  <w:tcW w:w="1410" w:type="dxa"/>
                  <w:vMerge w:val="restart"/>
                  <w:noWrap w:val="0"/>
                  <w:vAlign w:val="center"/>
                </w:tcPr>
                <w:p w14:paraId="5476A48A">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eastAsia="宋体" w:cs="宋体"/>
                      <w:b w:val="0"/>
                      <w:bCs w:val="0"/>
                      <w:color w:val="auto"/>
                      <w:lang w:val="en-US" w:eastAsia="zh-CN"/>
                    </w:rPr>
                    <w:t>标准值</w:t>
                  </w:r>
                </w:p>
              </w:tc>
              <w:tc>
                <w:tcPr>
                  <w:tcW w:w="1186" w:type="dxa"/>
                  <w:vMerge w:val="restart"/>
                  <w:noWrap w:val="0"/>
                  <w:vAlign w:val="center"/>
                </w:tcPr>
                <w:p w14:paraId="5F7CD69D">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eastAsia="宋体" w:cs="宋体"/>
                      <w:b w:val="0"/>
                      <w:bCs w:val="0"/>
                      <w:color w:val="auto"/>
                      <w:lang w:val="en-US" w:eastAsia="zh-CN"/>
                    </w:rPr>
                    <w:t>达标情况</w:t>
                  </w:r>
                </w:p>
              </w:tc>
            </w:tr>
            <w:tr w14:paraId="04A55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1127" w:type="dxa"/>
                  <w:vMerge w:val="continue"/>
                  <w:noWrap w:val="0"/>
                  <w:vAlign w:val="center"/>
                </w:tcPr>
                <w:p w14:paraId="48CE64F8">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color w:val="auto"/>
                    </w:rPr>
                  </w:pPr>
                </w:p>
              </w:tc>
              <w:tc>
                <w:tcPr>
                  <w:tcW w:w="692" w:type="dxa"/>
                  <w:noWrap w:val="0"/>
                  <w:vAlign w:val="center"/>
                </w:tcPr>
                <w:p w14:paraId="10CA689D">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cs="宋体"/>
                      <w:b w:val="0"/>
                      <w:bCs w:val="0"/>
                      <w:color w:val="auto"/>
                      <w:lang w:val="en-US" w:eastAsia="zh-CN"/>
                    </w:rPr>
                  </w:pPr>
                  <w:r>
                    <w:rPr>
                      <w:rFonts w:hint="eastAsia" w:ascii="宋体" w:hAnsi="宋体" w:cs="宋体"/>
                      <w:b w:val="0"/>
                      <w:bCs w:val="0"/>
                      <w:color w:val="auto"/>
                      <w:lang w:val="en-US" w:eastAsia="zh-CN"/>
                    </w:rPr>
                    <w:t>昼</w:t>
                  </w:r>
                </w:p>
              </w:tc>
              <w:tc>
                <w:tcPr>
                  <w:tcW w:w="693" w:type="dxa"/>
                  <w:noWrap w:val="0"/>
                  <w:vAlign w:val="center"/>
                </w:tcPr>
                <w:p w14:paraId="4AFD468D">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cs="宋体"/>
                      <w:b w:val="0"/>
                      <w:bCs w:val="0"/>
                      <w:color w:val="auto"/>
                      <w:lang w:val="en-US" w:eastAsia="zh-CN"/>
                    </w:rPr>
                  </w:pPr>
                  <w:r>
                    <w:rPr>
                      <w:rFonts w:hint="eastAsia" w:ascii="宋体" w:hAnsi="宋体" w:cs="宋体"/>
                      <w:b w:val="0"/>
                      <w:bCs w:val="0"/>
                      <w:color w:val="auto"/>
                      <w:lang w:val="en-US" w:eastAsia="zh-CN"/>
                    </w:rPr>
                    <w:t>夜</w:t>
                  </w:r>
                </w:p>
              </w:tc>
              <w:tc>
                <w:tcPr>
                  <w:tcW w:w="1385" w:type="dxa"/>
                  <w:vMerge w:val="continue"/>
                  <w:noWrap w:val="0"/>
                  <w:vAlign w:val="center"/>
                </w:tcPr>
                <w:p w14:paraId="666A6900">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eastAsia" w:ascii="宋体" w:hAnsi="宋体" w:cs="宋体"/>
                      <w:b w:val="0"/>
                      <w:bCs w:val="0"/>
                      <w:color w:val="auto"/>
                      <w:lang w:val="en-US" w:eastAsia="zh-CN"/>
                    </w:rPr>
                  </w:pPr>
                </w:p>
              </w:tc>
              <w:tc>
                <w:tcPr>
                  <w:tcW w:w="692" w:type="dxa"/>
                  <w:noWrap w:val="0"/>
                  <w:vAlign w:val="center"/>
                </w:tcPr>
                <w:p w14:paraId="07B7168A">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firstLine="0" w:firstLineChars="0"/>
                    <w:jc w:val="center"/>
                    <w:textAlignment w:val="baseline"/>
                    <w:rPr>
                      <w:rFonts w:hint="eastAsia" w:ascii="宋体" w:hAnsi="宋体" w:cs="宋体"/>
                      <w:b w:val="0"/>
                      <w:bCs w:val="0"/>
                      <w:color w:val="auto"/>
                      <w:lang w:val="en-US" w:eastAsia="zh-CN"/>
                    </w:rPr>
                  </w:pPr>
                  <w:r>
                    <w:rPr>
                      <w:rFonts w:hint="eastAsia" w:ascii="宋体" w:hAnsi="宋体" w:cs="宋体"/>
                      <w:b w:val="0"/>
                      <w:bCs w:val="0"/>
                      <w:color w:val="auto"/>
                      <w:lang w:val="en-US" w:eastAsia="zh-CN"/>
                    </w:rPr>
                    <w:t>昼</w:t>
                  </w:r>
                </w:p>
              </w:tc>
              <w:tc>
                <w:tcPr>
                  <w:tcW w:w="693" w:type="dxa"/>
                  <w:noWrap w:val="0"/>
                  <w:vAlign w:val="center"/>
                </w:tcPr>
                <w:p w14:paraId="42C44FFE">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firstLine="0" w:firstLineChars="0"/>
                    <w:jc w:val="center"/>
                    <w:textAlignment w:val="baseline"/>
                    <w:rPr>
                      <w:rFonts w:hint="eastAsia" w:ascii="宋体" w:hAnsi="宋体" w:cs="宋体"/>
                      <w:b w:val="0"/>
                      <w:bCs w:val="0"/>
                      <w:color w:val="auto"/>
                      <w:lang w:val="en-US" w:eastAsia="zh-CN"/>
                    </w:rPr>
                  </w:pPr>
                  <w:r>
                    <w:rPr>
                      <w:rFonts w:hint="eastAsia" w:ascii="宋体" w:hAnsi="宋体" w:cs="宋体"/>
                      <w:b w:val="0"/>
                      <w:bCs w:val="0"/>
                      <w:color w:val="auto"/>
                      <w:lang w:val="en-US" w:eastAsia="zh-CN"/>
                    </w:rPr>
                    <w:t>夜</w:t>
                  </w:r>
                </w:p>
              </w:tc>
              <w:tc>
                <w:tcPr>
                  <w:tcW w:w="1410" w:type="dxa"/>
                  <w:vMerge w:val="continue"/>
                  <w:noWrap w:val="0"/>
                  <w:vAlign w:val="center"/>
                </w:tcPr>
                <w:p w14:paraId="3983E904">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eastAsia" w:ascii="宋体" w:hAnsi="宋体" w:cs="宋体"/>
                      <w:b w:val="0"/>
                      <w:bCs w:val="0"/>
                      <w:color w:val="auto"/>
                      <w:lang w:val="en-US" w:eastAsia="zh-CN"/>
                    </w:rPr>
                  </w:pPr>
                </w:p>
              </w:tc>
              <w:tc>
                <w:tcPr>
                  <w:tcW w:w="1186" w:type="dxa"/>
                  <w:vMerge w:val="continue"/>
                  <w:noWrap w:val="0"/>
                  <w:vAlign w:val="center"/>
                </w:tcPr>
                <w:p w14:paraId="465D1FC8">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eastAsia" w:ascii="宋体" w:hAnsi="宋体" w:cs="宋体"/>
                      <w:b w:val="0"/>
                      <w:bCs w:val="0"/>
                      <w:color w:val="auto"/>
                      <w:lang w:val="en-US" w:eastAsia="zh-CN"/>
                    </w:rPr>
                  </w:pPr>
                </w:p>
              </w:tc>
            </w:tr>
            <w:tr w14:paraId="224F5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1127" w:type="dxa"/>
                  <w:noWrap w:val="0"/>
                  <w:vAlign w:val="center"/>
                </w:tcPr>
                <w:p w14:paraId="7B8142D3">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eastAsia="宋体" w:cs="宋体"/>
                      <w:b w:val="0"/>
                      <w:bCs w:val="0"/>
                      <w:color w:val="auto"/>
                      <w:lang w:val="en-US" w:eastAsia="zh-CN"/>
                    </w:rPr>
                    <w:t>东厂界</w:t>
                  </w:r>
                </w:p>
              </w:tc>
              <w:tc>
                <w:tcPr>
                  <w:tcW w:w="692" w:type="dxa"/>
                  <w:noWrap w:val="0"/>
                  <w:vAlign w:val="center"/>
                </w:tcPr>
                <w:p w14:paraId="1EC46FD6">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54</w:t>
                  </w:r>
                </w:p>
              </w:tc>
              <w:tc>
                <w:tcPr>
                  <w:tcW w:w="693" w:type="dxa"/>
                  <w:noWrap w:val="0"/>
                  <w:vAlign w:val="center"/>
                </w:tcPr>
                <w:p w14:paraId="3D7AA335">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52</w:t>
                  </w:r>
                </w:p>
              </w:tc>
              <w:tc>
                <w:tcPr>
                  <w:tcW w:w="1385" w:type="dxa"/>
                  <w:noWrap w:val="0"/>
                  <w:vAlign w:val="center"/>
                </w:tcPr>
                <w:p w14:paraId="4F927005">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firstLine="0" w:firstLineChars="0"/>
                    <w:jc w:val="center"/>
                    <w:textAlignment w:val="baseline"/>
                    <w:rPr>
                      <w:rFonts w:hint="eastAsia" w:ascii="宋体" w:hAnsi="宋体" w:eastAsia="宋体" w:cs="宋体"/>
                      <w:b w:val="0"/>
                      <w:bCs w:val="0"/>
                      <w:color w:val="auto"/>
                      <w:spacing w:val="11"/>
                      <w:kern w:val="2"/>
                      <w:sz w:val="21"/>
                      <w:szCs w:val="24"/>
                      <w:lang w:val="en-US" w:eastAsia="zh-CN" w:bidi="ar-SA"/>
                    </w:rPr>
                  </w:pPr>
                  <w:r>
                    <w:rPr>
                      <w:rFonts w:hint="eastAsia" w:ascii="宋体" w:hAnsi="宋体" w:eastAsia="宋体" w:cs="宋体"/>
                      <w:b w:val="0"/>
                      <w:bCs w:val="0"/>
                      <w:color w:val="auto"/>
                      <w:lang w:val="en-US" w:eastAsia="zh-CN"/>
                    </w:rPr>
                    <w:t>40.0</w:t>
                  </w:r>
                </w:p>
              </w:tc>
              <w:tc>
                <w:tcPr>
                  <w:tcW w:w="692" w:type="dxa"/>
                  <w:noWrap w:val="0"/>
                  <w:vAlign w:val="center"/>
                </w:tcPr>
                <w:p w14:paraId="740605AD">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54.2</w:t>
                  </w:r>
                </w:p>
              </w:tc>
              <w:tc>
                <w:tcPr>
                  <w:tcW w:w="693" w:type="dxa"/>
                  <w:noWrap w:val="0"/>
                  <w:vAlign w:val="center"/>
                </w:tcPr>
                <w:p w14:paraId="1E967EA8">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52.3</w:t>
                  </w:r>
                </w:p>
              </w:tc>
              <w:tc>
                <w:tcPr>
                  <w:tcW w:w="1410" w:type="dxa"/>
                  <w:vMerge w:val="restart"/>
                  <w:noWrap w:val="0"/>
                  <w:vAlign w:val="center"/>
                </w:tcPr>
                <w:p w14:paraId="4362BFE3">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eastAsia="宋体" w:cs="宋体"/>
                      <w:b w:val="0"/>
                      <w:bCs w:val="0"/>
                      <w:color w:val="auto"/>
                      <w:lang w:val="en-US" w:eastAsia="zh-CN"/>
                    </w:rPr>
                    <w:t>昼6</w:t>
                  </w:r>
                  <w:r>
                    <w:rPr>
                      <w:rFonts w:hint="eastAsia" w:ascii="宋体" w:hAnsi="宋体" w:cs="宋体"/>
                      <w:b w:val="0"/>
                      <w:bCs w:val="0"/>
                      <w:color w:val="auto"/>
                      <w:lang w:val="en-US" w:eastAsia="zh-CN"/>
                    </w:rPr>
                    <w:t>5</w:t>
                  </w:r>
                  <w:r>
                    <w:rPr>
                      <w:rFonts w:hint="eastAsia" w:ascii="宋体" w:hAnsi="宋体" w:eastAsia="宋体" w:cs="宋体"/>
                      <w:b w:val="0"/>
                      <w:bCs w:val="0"/>
                      <w:color w:val="auto"/>
                      <w:lang w:val="en-US" w:eastAsia="zh-CN"/>
                    </w:rPr>
                    <w:t>/夜5</w:t>
                  </w:r>
                  <w:r>
                    <w:rPr>
                      <w:rFonts w:hint="eastAsia" w:ascii="宋体" w:hAnsi="宋体" w:cs="宋体"/>
                      <w:b w:val="0"/>
                      <w:bCs w:val="0"/>
                      <w:color w:val="auto"/>
                      <w:lang w:val="en-US" w:eastAsia="zh-CN"/>
                    </w:rPr>
                    <w:t>5</w:t>
                  </w:r>
                </w:p>
              </w:tc>
              <w:tc>
                <w:tcPr>
                  <w:tcW w:w="1186" w:type="dxa"/>
                  <w:noWrap w:val="0"/>
                  <w:vAlign w:val="center"/>
                </w:tcPr>
                <w:p w14:paraId="33B25258">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eastAsia="宋体" w:cs="宋体"/>
                      <w:b w:val="0"/>
                      <w:bCs w:val="0"/>
                      <w:color w:val="auto"/>
                      <w:lang w:val="en-US" w:eastAsia="zh-CN"/>
                    </w:rPr>
                    <w:t>达标</w:t>
                  </w:r>
                </w:p>
              </w:tc>
            </w:tr>
            <w:tr w14:paraId="4ABC8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1127" w:type="dxa"/>
                  <w:noWrap w:val="0"/>
                  <w:vAlign w:val="center"/>
                </w:tcPr>
                <w:p w14:paraId="617C47C9">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eastAsia="宋体" w:cs="宋体"/>
                      <w:b w:val="0"/>
                      <w:bCs w:val="0"/>
                      <w:color w:val="auto"/>
                      <w:lang w:val="en-US" w:eastAsia="zh-CN"/>
                    </w:rPr>
                    <w:t>南厂界</w:t>
                  </w:r>
                </w:p>
              </w:tc>
              <w:tc>
                <w:tcPr>
                  <w:tcW w:w="692" w:type="dxa"/>
                  <w:noWrap w:val="0"/>
                  <w:vAlign w:val="center"/>
                </w:tcPr>
                <w:p w14:paraId="03C26A35">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52</w:t>
                  </w:r>
                </w:p>
              </w:tc>
              <w:tc>
                <w:tcPr>
                  <w:tcW w:w="693" w:type="dxa"/>
                  <w:noWrap w:val="0"/>
                  <w:vAlign w:val="center"/>
                </w:tcPr>
                <w:p w14:paraId="031009AD">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51</w:t>
                  </w:r>
                </w:p>
              </w:tc>
              <w:tc>
                <w:tcPr>
                  <w:tcW w:w="1385" w:type="dxa"/>
                  <w:noWrap w:val="0"/>
                  <w:vAlign w:val="center"/>
                </w:tcPr>
                <w:p w14:paraId="17A843FA">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firstLine="0" w:firstLineChars="0"/>
                    <w:jc w:val="center"/>
                    <w:textAlignment w:val="baseline"/>
                    <w:rPr>
                      <w:rFonts w:hint="eastAsia" w:ascii="宋体" w:hAnsi="宋体" w:eastAsia="宋体" w:cs="宋体"/>
                      <w:b w:val="0"/>
                      <w:bCs w:val="0"/>
                      <w:color w:val="auto"/>
                      <w:spacing w:val="11"/>
                      <w:kern w:val="2"/>
                      <w:sz w:val="21"/>
                      <w:szCs w:val="24"/>
                      <w:lang w:val="en-US" w:eastAsia="zh-CN" w:bidi="ar-SA"/>
                    </w:rPr>
                  </w:pPr>
                  <w:r>
                    <w:rPr>
                      <w:rFonts w:hint="eastAsia" w:ascii="宋体" w:hAnsi="宋体" w:eastAsia="宋体" w:cs="宋体"/>
                      <w:b w:val="0"/>
                      <w:bCs w:val="0"/>
                      <w:color w:val="auto"/>
                      <w:lang w:val="en-US" w:eastAsia="zh-CN"/>
                    </w:rPr>
                    <w:t>14.8</w:t>
                  </w:r>
                </w:p>
              </w:tc>
              <w:tc>
                <w:tcPr>
                  <w:tcW w:w="692" w:type="dxa"/>
                  <w:noWrap w:val="0"/>
                  <w:vAlign w:val="center"/>
                </w:tcPr>
                <w:p w14:paraId="24F5BD48">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52.0</w:t>
                  </w:r>
                </w:p>
              </w:tc>
              <w:tc>
                <w:tcPr>
                  <w:tcW w:w="693" w:type="dxa"/>
                  <w:noWrap w:val="0"/>
                  <w:vAlign w:val="center"/>
                </w:tcPr>
                <w:p w14:paraId="74B51435">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51.0</w:t>
                  </w:r>
                </w:p>
              </w:tc>
              <w:tc>
                <w:tcPr>
                  <w:tcW w:w="1410" w:type="dxa"/>
                  <w:vMerge w:val="continue"/>
                  <w:noWrap w:val="0"/>
                  <w:vAlign w:val="center"/>
                </w:tcPr>
                <w:p w14:paraId="0028BB8E">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eastAsia" w:ascii="宋体" w:hAnsi="宋体" w:eastAsia="宋体" w:cs="宋体"/>
                      <w:b w:val="0"/>
                      <w:bCs w:val="0"/>
                      <w:color w:val="auto"/>
                      <w:lang w:val="en-US" w:eastAsia="zh-CN"/>
                    </w:rPr>
                  </w:pPr>
                </w:p>
              </w:tc>
              <w:tc>
                <w:tcPr>
                  <w:tcW w:w="1186" w:type="dxa"/>
                  <w:noWrap w:val="0"/>
                  <w:vAlign w:val="center"/>
                </w:tcPr>
                <w:p w14:paraId="251FD3AA">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eastAsia" w:ascii="宋体" w:hAnsi="宋体" w:eastAsia="宋体" w:cs="宋体"/>
                      <w:b w:val="0"/>
                      <w:bCs w:val="0"/>
                      <w:color w:val="auto"/>
                      <w:lang w:val="en-US" w:eastAsia="zh-CN"/>
                    </w:rPr>
                  </w:pPr>
                  <w:r>
                    <w:rPr>
                      <w:rFonts w:hint="eastAsia" w:ascii="宋体" w:hAnsi="宋体" w:eastAsia="宋体" w:cs="宋体"/>
                      <w:b w:val="0"/>
                      <w:bCs w:val="0"/>
                      <w:color w:val="auto"/>
                      <w:lang w:val="en-US" w:eastAsia="zh-CN"/>
                    </w:rPr>
                    <w:t>达标</w:t>
                  </w:r>
                </w:p>
              </w:tc>
            </w:tr>
            <w:tr w14:paraId="61BC3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1127" w:type="dxa"/>
                  <w:noWrap w:val="0"/>
                  <w:vAlign w:val="center"/>
                </w:tcPr>
                <w:p w14:paraId="0F763293">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eastAsia="宋体" w:cs="宋体"/>
                      <w:b w:val="0"/>
                      <w:bCs w:val="0"/>
                      <w:color w:val="auto"/>
                      <w:lang w:val="en-US" w:eastAsia="zh-CN"/>
                    </w:rPr>
                    <w:t>西厂界</w:t>
                  </w:r>
                </w:p>
              </w:tc>
              <w:tc>
                <w:tcPr>
                  <w:tcW w:w="692" w:type="dxa"/>
                  <w:noWrap w:val="0"/>
                  <w:vAlign w:val="center"/>
                </w:tcPr>
                <w:p w14:paraId="6740606B">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51</w:t>
                  </w:r>
                </w:p>
              </w:tc>
              <w:tc>
                <w:tcPr>
                  <w:tcW w:w="693" w:type="dxa"/>
                  <w:noWrap w:val="0"/>
                  <w:vAlign w:val="center"/>
                </w:tcPr>
                <w:p w14:paraId="072E3B6D">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50</w:t>
                  </w:r>
                </w:p>
              </w:tc>
              <w:tc>
                <w:tcPr>
                  <w:tcW w:w="1385" w:type="dxa"/>
                  <w:noWrap w:val="0"/>
                  <w:vAlign w:val="center"/>
                </w:tcPr>
                <w:p w14:paraId="0AB6FE86">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firstLine="0" w:firstLineChars="0"/>
                    <w:jc w:val="center"/>
                    <w:textAlignment w:val="baseline"/>
                    <w:rPr>
                      <w:rFonts w:hint="eastAsia" w:ascii="宋体" w:hAnsi="宋体" w:eastAsia="宋体" w:cs="宋体"/>
                      <w:b w:val="0"/>
                      <w:bCs w:val="0"/>
                      <w:color w:val="auto"/>
                      <w:spacing w:val="11"/>
                      <w:kern w:val="2"/>
                      <w:sz w:val="21"/>
                      <w:szCs w:val="24"/>
                      <w:lang w:val="en-US" w:eastAsia="zh-CN" w:bidi="ar-SA"/>
                    </w:rPr>
                  </w:pPr>
                  <w:r>
                    <w:rPr>
                      <w:rFonts w:hint="eastAsia" w:ascii="宋体" w:hAnsi="宋体" w:eastAsia="宋体" w:cs="宋体"/>
                      <w:b w:val="0"/>
                      <w:bCs w:val="0"/>
                      <w:color w:val="auto"/>
                      <w:lang w:val="en-US" w:eastAsia="zh-CN"/>
                    </w:rPr>
                    <w:t>26.0</w:t>
                  </w:r>
                </w:p>
              </w:tc>
              <w:tc>
                <w:tcPr>
                  <w:tcW w:w="692" w:type="dxa"/>
                  <w:noWrap w:val="0"/>
                  <w:vAlign w:val="center"/>
                </w:tcPr>
                <w:p w14:paraId="0AD477C9">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51.0</w:t>
                  </w:r>
                </w:p>
              </w:tc>
              <w:tc>
                <w:tcPr>
                  <w:tcW w:w="693" w:type="dxa"/>
                  <w:noWrap w:val="0"/>
                  <w:vAlign w:val="center"/>
                </w:tcPr>
                <w:p w14:paraId="23E010FF">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50.0</w:t>
                  </w:r>
                </w:p>
              </w:tc>
              <w:tc>
                <w:tcPr>
                  <w:tcW w:w="1410" w:type="dxa"/>
                  <w:vMerge w:val="continue"/>
                  <w:noWrap w:val="0"/>
                  <w:vAlign w:val="center"/>
                </w:tcPr>
                <w:p w14:paraId="40CE3929">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eastAsia" w:ascii="宋体" w:hAnsi="宋体" w:eastAsia="宋体" w:cs="宋体"/>
                      <w:b w:val="0"/>
                      <w:bCs w:val="0"/>
                      <w:color w:val="auto"/>
                      <w:lang w:val="en-US" w:eastAsia="zh-CN"/>
                    </w:rPr>
                  </w:pPr>
                </w:p>
              </w:tc>
              <w:tc>
                <w:tcPr>
                  <w:tcW w:w="1186" w:type="dxa"/>
                  <w:noWrap w:val="0"/>
                  <w:vAlign w:val="center"/>
                </w:tcPr>
                <w:p w14:paraId="7C417306">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eastAsia" w:ascii="宋体" w:hAnsi="宋体" w:eastAsia="宋体" w:cs="宋体"/>
                      <w:b w:val="0"/>
                      <w:bCs w:val="0"/>
                      <w:color w:val="auto"/>
                      <w:lang w:val="en-US" w:eastAsia="zh-CN"/>
                    </w:rPr>
                  </w:pPr>
                  <w:r>
                    <w:rPr>
                      <w:rFonts w:hint="eastAsia" w:ascii="宋体" w:hAnsi="宋体" w:eastAsia="宋体" w:cs="宋体"/>
                      <w:b w:val="0"/>
                      <w:bCs w:val="0"/>
                      <w:color w:val="auto"/>
                      <w:lang w:val="en-US" w:eastAsia="zh-CN"/>
                    </w:rPr>
                    <w:t>达标</w:t>
                  </w:r>
                </w:p>
              </w:tc>
            </w:tr>
            <w:tr w14:paraId="25905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27" w:type="dxa"/>
                  <w:noWrap w:val="0"/>
                  <w:vAlign w:val="center"/>
                </w:tcPr>
                <w:p w14:paraId="38B4D85B">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eastAsia="宋体" w:cs="宋体"/>
                      <w:b w:val="0"/>
                      <w:bCs w:val="0"/>
                      <w:color w:val="auto"/>
                      <w:lang w:val="en-US" w:eastAsia="zh-CN"/>
                    </w:rPr>
                    <w:t>北厂界</w:t>
                  </w:r>
                </w:p>
              </w:tc>
              <w:tc>
                <w:tcPr>
                  <w:tcW w:w="692" w:type="dxa"/>
                  <w:noWrap w:val="0"/>
                  <w:vAlign w:val="center"/>
                </w:tcPr>
                <w:p w14:paraId="513C8675">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53</w:t>
                  </w:r>
                </w:p>
              </w:tc>
              <w:tc>
                <w:tcPr>
                  <w:tcW w:w="693" w:type="dxa"/>
                  <w:noWrap w:val="0"/>
                  <w:vAlign w:val="center"/>
                </w:tcPr>
                <w:p w14:paraId="0916EDFD">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50</w:t>
                  </w:r>
                </w:p>
              </w:tc>
              <w:tc>
                <w:tcPr>
                  <w:tcW w:w="1385" w:type="dxa"/>
                  <w:noWrap w:val="0"/>
                  <w:vAlign w:val="center"/>
                </w:tcPr>
                <w:p w14:paraId="5230B4BC">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firstLine="0" w:firstLineChars="0"/>
                    <w:jc w:val="center"/>
                    <w:textAlignment w:val="baseline"/>
                    <w:rPr>
                      <w:rFonts w:hint="eastAsia" w:ascii="宋体" w:hAnsi="宋体" w:eastAsia="宋体" w:cs="宋体"/>
                      <w:b w:val="0"/>
                      <w:bCs w:val="0"/>
                      <w:color w:val="auto"/>
                      <w:spacing w:val="11"/>
                      <w:kern w:val="2"/>
                      <w:sz w:val="21"/>
                      <w:szCs w:val="24"/>
                      <w:lang w:val="en-US" w:eastAsia="zh-CN" w:bidi="ar-SA"/>
                    </w:rPr>
                  </w:pPr>
                  <w:r>
                    <w:rPr>
                      <w:rFonts w:hint="eastAsia" w:ascii="宋体" w:hAnsi="宋体" w:eastAsia="宋体" w:cs="宋体"/>
                      <w:b w:val="0"/>
                      <w:bCs w:val="0"/>
                      <w:color w:val="auto"/>
                      <w:lang w:val="en-US" w:eastAsia="zh-CN"/>
                    </w:rPr>
                    <w:t>37.0</w:t>
                  </w:r>
                </w:p>
              </w:tc>
              <w:tc>
                <w:tcPr>
                  <w:tcW w:w="692" w:type="dxa"/>
                  <w:noWrap w:val="0"/>
                  <w:vAlign w:val="center"/>
                </w:tcPr>
                <w:p w14:paraId="1DEFDEC8">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53.1</w:t>
                  </w:r>
                </w:p>
              </w:tc>
              <w:tc>
                <w:tcPr>
                  <w:tcW w:w="693" w:type="dxa"/>
                  <w:noWrap w:val="0"/>
                  <w:vAlign w:val="center"/>
                </w:tcPr>
                <w:p w14:paraId="5F723C67">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default" w:ascii="宋体" w:hAnsi="宋体" w:eastAsia="宋体" w:cs="宋体"/>
                      <w:b w:val="0"/>
                      <w:bCs w:val="0"/>
                      <w:color w:val="auto"/>
                      <w:lang w:val="en-US" w:eastAsia="zh-CN"/>
                    </w:rPr>
                  </w:pPr>
                  <w:r>
                    <w:rPr>
                      <w:rFonts w:hint="eastAsia" w:ascii="宋体" w:hAnsi="宋体" w:cs="宋体"/>
                      <w:b w:val="0"/>
                      <w:bCs w:val="0"/>
                      <w:color w:val="auto"/>
                      <w:lang w:val="en-US" w:eastAsia="zh-CN"/>
                    </w:rPr>
                    <w:t>50.2</w:t>
                  </w:r>
                </w:p>
              </w:tc>
              <w:tc>
                <w:tcPr>
                  <w:tcW w:w="1410" w:type="dxa"/>
                  <w:vMerge w:val="continue"/>
                  <w:noWrap w:val="0"/>
                  <w:vAlign w:val="center"/>
                </w:tcPr>
                <w:p w14:paraId="59EEB7A3">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eastAsia" w:ascii="宋体" w:hAnsi="宋体" w:eastAsia="宋体" w:cs="宋体"/>
                      <w:b w:val="0"/>
                      <w:bCs w:val="0"/>
                      <w:color w:val="auto"/>
                      <w:lang w:val="en-US" w:eastAsia="zh-CN"/>
                    </w:rPr>
                  </w:pPr>
                </w:p>
              </w:tc>
              <w:tc>
                <w:tcPr>
                  <w:tcW w:w="1186" w:type="dxa"/>
                  <w:noWrap w:val="0"/>
                  <w:vAlign w:val="center"/>
                </w:tcPr>
                <w:p w14:paraId="50EBEB8E">
                  <w:pPr>
                    <w:pStyle w:val="20"/>
                    <w:keepNext w:val="0"/>
                    <w:keepLines w:val="0"/>
                    <w:pageBreakBefore w:val="0"/>
                    <w:widowControl w:val="0"/>
                    <w:kinsoku/>
                    <w:wordWrap/>
                    <w:overflowPunct/>
                    <w:topLinePunct w:val="0"/>
                    <w:autoSpaceDE w:val="0"/>
                    <w:autoSpaceDN w:val="0"/>
                    <w:bidi w:val="0"/>
                    <w:adjustRightInd w:val="0"/>
                    <w:snapToGrid/>
                    <w:ind w:left="0" w:leftChars="0" w:right="0" w:rightChars="0"/>
                    <w:jc w:val="center"/>
                    <w:textAlignment w:val="baseline"/>
                    <w:rPr>
                      <w:rFonts w:hint="eastAsia" w:ascii="宋体" w:hAnsi="宋体" w:eastAsia="宋体" w:cs="宋体"/>
                      <w:b w:val="0"/>
                      <w:bCs w:val="0"/>
                      <w:color w:val="auto"/>
                      <w:lang w:val="en-US" w:eastAsia="zh-CN"/>
                    </w:rPr>
                  </w:pPr>
                  <w:r>
                    <w:rPr>
                      <w:rFonts w:hint="eastAsia" w:ascii="宋体" w:hAnsi="宋体" w:eastAsia="宋体" w:cs="宋体"/>
                      <w:b w:val="0"/>
                      <w:bCs w:val="0"/>
                      <w:color w:val="auto"/>
                      <w:lang w:val="en-US" w:eastAsia="zh-CN"/>
                    </w:rPr>
                    <w:t>达标</w:t>
                  </w:r>
                </w:p>
              </w:tc>
            </w:tr>
          </w:tbl>
          <w:p w14:paraId="258B8406">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由预测结果可知，厂界噪声预测值昼间在5</w:t>
            </w:r>
            <w:r>
              <w:rPr>
                <w:rFonts w:hint="eastAsia" w:cs="Times New Roman"/>
                <w:color w:val="auto"/>
                <w:sz w:val="24"/>
                <w:szCs w:val="24"/>
                <w:highlight w:val="none"/>
                <w:lang w:val="en-US" w:eastAsia="zh-CN"/>
              </w:rPr>
              <w:t>4.2</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51.0</w:t>
            </w:r>
            <w:r>
              <w:rPr>
                <w:rFonts w:hint="default" w:ascii="Times New Roman" w:hAnsi="Times New Roman" w:eastAsia="宋体" w:cs="Times New Roman"/>
                <w:color w:val="auto"/>
                <w:sz w:val="24"/>
                <w:szCs w:val="24"/>
                <w:highlight w:val="none"/>
                <w:lang w:val="en-US" w:eastAsia="zh-CN"/>
              </w:rPr>
              <w:t>dB(A)之间，噪声预测值</w:t>
            </w:r>
            <w:r>
              <w:rPr>
                <w:rFonts w:hint="eastAsia" w:cs="Times New Roman"/>
                <w:color w:val="auto"/>
                <w:sz w:val="24"/>
                <w:szCs w:val="24"/>
                <w:highlight w:val="none"/>
                <w:lang w:val="en-US" w:eastAsia="zh-CN"/>
              </w:rPr>
              <w:t>夜</w:t>
            </w:r>
            <w:r>
              <w:rPr>
                <w:rFonts w:hint="default" w:ascii="Times New Roman" w:hAnsi="Times New Roman" w:eastAsia="宋体" w:cs="Times New Roman"/>
                <w:color w:val="auto"/>
                <w:sz w:val="24"/>
                <w:szCs w:val="24"/>
                <w:highlight w:val="none"/>
                <w:lang w:val="en-US" w:eastAsia="zh-CN"/>
              </w:rPr>
              <w:t>间在5</w:t>
            </w:r>
            <w:r>
              <w:rPr>
                <w:rFonts w:hint="eastAsia" w:cs="Times New Roman"/>
                <w:color w:val="auto"/>
                <w:sz w:val="24"/>
                <w:szCs w:val="24"/>
                <w:highlight w:val="none"/>
                <w:lang w:val="en-US" w:eastAsia="zh-CN"/>
              </w:rPr>
              <w:t>2.3</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50.0</w:t>
            </w:r>
            <w:r>
              <w:rPr>
                <w:rFonts w:hint="default" w:ascii="Times New Roman" w:hAnsi="Times New Roman" w:eastAsia="宋体" w:cs="Times New Roman"/>
                <w:color w:val="auto"/>
                <w:sz w:val="24"/>
                <w:szCs w:val="24"/>
                <w:highlight w:val="none"/>
                <w:lang w:val="en-US" w:eastAsia="zh-CN"/>
              </w:rPr>
              <w:t>dB(A)之间</w:t>
            </w:r>
            <w:r>
              <w:rPr>
                <w:rFonts w:hint="eastAsia"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满足《工业企业厂界环境噪声排放标准》（GB12348-2008）</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类标准限值要求，不会对周围声环境产生明显影响。</w:t>
            </w:r>
          </w:p>
          <w:p w14:paraId="08A1D892">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 xml:space="preserve">）跟踪监测计划 </w:t>
            </w:r>
          </w:p>
          <w:p w14:paraId="242EB44A">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根据《排污单位自行监测技术指南 总则》（HJ 819-2017），并结合项目运营期间污染物排放特点，制定本项目的噪声污染源监测计划，建设单位需保证按监测计划实施。监测分析方法按照现行国家部颁标准和有关规定执行。本项目厂界噪声监测</w:t>
            </w:r>
            <w:r>
              <w:rPr>
                <w:rFonts w:hint="eastAsia" w:ascii="Times New Roman" w:hAnsi="Times New Roman" w:eastAsia="宋体" w:cs="Times New Roman"/>
                <w:color w:val="auto"/>
                <w:sz w:val="24"/>
                <w:szCs w:val="24"/>
                <w:highlight w:val="none"/>
                <w:lang w:val="en-US" w:eastAsia="zh-CN"/>
              </w:rPr>
              <w:t>见</w:t>
            </w:r>
            <w:r>
              <w:rPr>
                <w:rFonts w:hint="default" w:ascii="Times New Roman" w:hAnsi="Times New Roman" w:eastAsia="宋体" w:cs="Times New Roman"/>
                <w:color w:val="auto"/>
                <w:sz w:val="24"/>
                <w:szCs w:val="24"/>
                <w:highlight w:val="none"/>
                <w:lang w:val="en-US" w:eastAsia="zh-CN"/>
              </w:rPr>
              <w:t>表4-</w:t>
            </w:r>
            <w:r>
              <w:rPr>
                <w:rFonts w:hint="eastAsia"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val="en-US" w:eastAsia="zh-CN"/>
              </w:rPr>
              <w:t>。</w:t>
            </w:r>
          </w:p>
          <w:p w14:paraId="4A0AE105">
            <w:pPr>
              <w:pStyle w:val="16"/>
              <w:keepNext w:val="0"/>
              <w:keepLines w:val="0"/>
              <w:pageBreakBefore w:val="0"/>
              <w:widowControl/>
              <w:kinsoku/>
              <w:wordWrap/>
              <w:overflowPunct/>
              <w:topLinePunct w:val="0"/>
              <w:autoSpaceDE/>
              <w:autoSpaceDN/>
              <w:bidi w:val="0"/>
              <w:adjustRightInd/>
              <w:snapToGrid/>
              <w:spacing w:line="480" w:lineRule="exact"/>
              <w:jc w:val="center"/>
              <w:textAlignment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表4-</w:t>
            </w:r>
            <w:r>
              <w:rPr>
                <w:rFonts w:hint="eastAsia" w:eastAsia="宋体" w:cs="Times New Roman"/>
                <w:color w:val="auto"/>
                <w:sz w:val="24"/>
                <w:szCs w:val="24"/>
                <w:lang w:val="en-US" w:eastAsia="zh-CN"/>
              </w:rPr>
              <w:t>9</w:t>
            </w:r>
            <w:r>
              <w:rPr>
                <w:rFonts w:hint="eastAsia" w:ascii="Times New Roman" w:hAnsi="Times New Roman" w:eastAsia="宋体" w:cs="Times New Roman"/>
                <w:color w:val="auto"/>
                <w:sz w:val="24"/>
                <w:szCs w:val="24"/>
                <w:lang w:val="en-US" w:eastAsia="zh-CN"/>
              </w:rPr>
              <w:t xml:space="preserve">  噪声跟踪监测计划</w:t>
            </w:r>
          </w:p>
          <w:tbl>
            <w:tblPr>
              <w:tblStyle w:val="1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85"/>
              <w:gridCol w:w="1812"/>
              <w:gridCol w:w="1421"/>
              <w:gridCol w:w="2725"/>
            </w:tblGrid>
            <w:tr w14:paraId="3C66BC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tcBorders>
                    <w:tl2br w:val="nil"/>
                    <w:tr2bl w:val="nil"/>
                  </w:tcBorders>
                  <w:noWrap w:val="0"/>
                  <w:vAlign w:val="center"/>
                </w:tcPr>
                <w:p w14:paraId="49E92EF8">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监测点位</w:t>
                  </w:r>
                </w:p>
              </w:tc>
              <w:tc>
                <w:tcPr>
                  <w:tcW w:w="1140" w:type="pct"/>
                  <w:tcBorders>
                    <w:tl2br w:val="nil"/>
                    <w:tr2bl w:val="nil"/>
                  </w:tcBorders>
                  <w:noWrap w:val="0"/>
                  <w:vAlign w:val="center"/>
                </w:tcPr>
                <w:p w14:paraId="0691B5DF">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监测指标</w:t>
                  </w:r>
                </w:p>
              </w:tc>
              <w:tc>
                <w:tcPr>
                  <w:tcW w:w="894" w:type="pct"/>
                  <w:tcBorders>
                    <w:tl2br w:val="nil"/>
                    <w:tr2bl w:val="nil"/>
                  </w:tcBorders>
                  <w:noWrap w:val="0"/>
                  <w:vAlign w:val="center"/>
                </w:tcPr>
                <w:p w14:paraId="01D93C31">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监测频次</w:t>
                  </w:r>
                </w:p>
              </w:tc>
              <w:tc>
                <w:tcPr>
                  <w:tcW w:w="1715" w:type="pct"/>
                  <w:tcBorders>
                    <w:tl2br w:val="nil"/>
                    <w:tr2bl w:val="nil"/>
                  </w:tcBorders>
                  <w:noWrap w:val="0"/>
                  <w:vAlign w:val="center"/>
                </w:tcPr>
                <w:p w14:paraId="188A3B45">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执行排放标准</w:t>
                  </w:r>
                </w:p>
              </w:tc>
            </w:tr>
            <w:tr w14:paraId="061A56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tcBorders>
                    <w:tl2br w:val="nil"/>
                    <w:tr2bl w:val="nil"/>
                  </w:tcBorders>
                  <w:noWrap w:val="0"/>
                  <w:vAlign w:val="center"/>
                </w:tcPr>
                <w:p w14:paraId="7DD94A11">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厂界外1m</w:t>
                  </w:r>
                </w:p>
              </w:tc>
              <w:tc>
                <w:tcPr>
                  <w:tcW w:w="1140" w:type="pct"/>
                  <w:tcBorders>
                    <w:tl2br w:val="nil"/>
                    <w:tr2bl w:val="nil"/>
                  </w:tcBorders>
                  <w:noWrap w:val="0"/>
                  <w:vAlign w:val="center"/>
                </w:tcPr>
                <w:p w14:paraId="27A787BE">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等效连续A声级</w:t>
                  </w:r>
                </w:p>
              </w:tc>
              <w:tc>
                <w:tcPr>
                  <w:tcW w:w="894" w:type="pct"/>
                  <w:tcBorders>
                    <w:tl2br w:val="nil"/>
                    <w:tr2bl w:val="nil"/>
                  </w:tcBorders>
                  <w:noWrap w:val="0"/>
                  <w:vAlign w:val="center"/>
                </w:tcPr>
                <w:p w14:paraId="15DB9DCD">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1次/季度</w:t>
                  </w:r>
                </w:p>
              </w:tc>
              <w:tc>
                <w:tcPr>
                  <w:tcW w:w="1715" w:type="pct"/>
                  <w:tcBorders>
                    <w:tl2br w:val="nil"/>
                    <w:tr2bl w:val="nil"/>
                  </w:tcBorders>
                  <w:noWrap w:val="0"/>
                  <w:vAlign w:val="center"/>
                </w:tcPr>
                <w:p w14:paraId="0EDCC0FB">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《工业企业厂界环境噪声排放标准》（GB12348－2008）</w:t>
                  </w:r>
                  <w:r>
                    <w:rPr>
                      <w:rFonts w:hint="eastAsia" w:cs="Times New Roman"/>
                      <w:b w:val="0"/>
                      <w:bCs/>
                      <w:color w:val="auto"/>
                      <w:sz w:val="21"/>
                      <w:szCs w:val="21"/>
                      <w:highlight w:val="none"/>
                      <w:lang w:val="en-US" w:eastAsia="zh-CN"/>
                    </w:rPr>
                    <w:t>3</w:t>
                  </w:r>
                  <w:r>
                    <w:rPr>
                      <w:rFonts w:hint="default" w:ascii="Times New Roman" w:hAnsi="Times New Roman" w:eastAsia="宋体" w:cs="Times New Roman"/>
                      <w:b w:val="0"/>
                      <w:bCs/>
                      <w:color w:val="auto"/>
                      <w:sz w:val="21"/>
                      <w:szCs w:val="21"/>
                      <w:highlight w:val="none"/>
                      <w:lang w:val="en-US" w:eastAsia="zh-CN"/>
                    </w:rPr>
                    <w:t>类标准</w:t>
                  </w:r>
                </w:p>
              </w:tc>
            </w:tr>
          </w:tbl>
          <w:p w14:paraId="72609682">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eastAsia"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4</w:t>
            </w:r>
            <w:r>
              <w:rPr>
                <w:rFonts w:hint="eastAsia" w:ascii="Times New Roman" w:hAnsi="Times New Roman" w:eastAsia="宋体" w:cs="Times New Roman"/>
                <w:b/>
                <w:bCs/>
                <w:color w:val="auto"/>
                <w:sz w:val="24"/>
                <w:szCs w:val="24"/>
                <w:highlight w:val="none"/>
                <w:lang w:val="en-US" w:eastAsia="zh-CN"/>
              </w:rPr>
              <w:t>、固体废物影响分析及保护措施</w:t>
            </w:r>
          </w:p>
          <w:p w14:paraId="54012E73">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本项目固体废物主要为</w:t>
            </w:r>
            <w:r>
              <w:rPr>
                <w:rFonts w:hint="eastAsia" w:cs="Times New Roman"/>
                <w:color w:val="auto"/>
                <w:sz w:val="24"/>
                <w:szCs w:val="24"/>
                <w:highlight w:val="none"/>
                <w:lang w:val="en-US" w:eastAsia="zh-CN"/>
              </w:rPr>
              <w:t>燃煤热风炉</w:t>
            </w:r>
            <w:r>
              <w:rPr>
                <w:rFonts w:hint="eastAsia"/>
                <w:color w:val="auto"/>
                <w:sz w:val="24"/>
                <w:lang w:val="en-US"/>
              </w:rPr>
              <w:t>灰渣。</w:t>
            </w:r>
            <w:r>
              <w:rPr>
                <w:rFonts w:hint="eastAsia" w:ascii="Times New Roman" w:hAnsi="Times New Roman" w:eastAsia="宋体" w:cs="Times New Roman"/>
                <w:color w:val="auto"/>
                <w:sz w:val="24"/>
                <w:szCs w:val="24"/>
                <w:highlight w:val="none"/>
                <w:lang w:val="en-US" w:eastAsia="zh-CN"/>
              </w:rPr>
              <w:t xml:space="preserve"> </w:t>
            </w:r>
          </w:p>
          <w:p w14:paraId="3596BB23">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根据环境统计手册，灰</w:t>
            </w:r>
            <w:r>
              <w:rPr>
                <w:rFonts w:hint="eastAsia" w:ascii="Times New Roman" w:hAnsi="Times New Roman" w:eastAsia="宋体" w:cs="Times New Roman"/>
                <w:color w:val="auto"/>
                <w:sz w:val="24"/>
                <w:szCs w:val="24"/>
                <w:highlight w:val="none"/>
                <w:lang w:val="en-US" w:eastAsia="zh-CN"/>
              </w:rPr>
              <w:t>渣产生量</w:t>
            </w:r>
            <w:r>
              <w:rPr>
                <w:rFonts w:hint="eastAsia" w:cs="Times New Roman"/>
                <w:color w:val="auto"/>
                <w:sz w:val="24"/>
                <w:szCs w:val="24"/>
                <w:highlight w:val="none"/>
                <w:lang w:val="en-US" w:eastAsia="zh-CN"/>
              </w:rPr>
              <w:t>的计算方法如下</w:t>
            </w:r>
            <w:r>
              <w:rPr>
                <w:rFonts w:hint="eastAsia" w:ascii="Times New Roman" w:hAnsi="Times New Roman" w:eastAsia="宋体" w:cs="Times New Roman"/>
                <w:color w:val="auto"/>
                <w:sz w:val="24"/>
                <w:szCs w:val="24"/>
                <w:highlight w:val="none"/>
                <w:lang w:val="en-US" w:eastAsia="zh-CN"/>
              </w:rPr>
              <w:t>：</w:t>
            </w:r>
          </w:p>
          <w:p w14:paraId="53D6E812">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Glz=B×A×dlz/（1-Clz）=</w:t>
            </w:r>
            <w:r>
              <w:rPr>
                <w:rFonts w:hint="eastAsia" w:cs="Times New Roman"/>
                <w:color w:val="auto"/>
                <w:sz w:val="24"/>
                <w:szCs w:val="24"/>
                <w:highlight w:val="none"/>
                <w:lang w:val="en-US" w:eastAsia="zh-CN"/>
              </w:rPr>
              <w:t>3000</w:t>
            </w:r>
            <w:r>
              <w:rPr>
                <w:rFonts w:hint="eastAsia" w:ascii="Times New Roman" w:hAnsi="Times New Roman" w:eastAsia="宋体" w:cs="Times New Roman"/>
                <w:color w:val="auto"/>
                <w:sz w:val="24"/>
                <w:szCs w:val="24"/>
                <w:highlight w:val="none"/>
                <w:lang w:val="en-US" w:eastAsia="zh-CN"/>
              </w:rPr>
              <w:t>×6.</w:t>
            </w: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50</w:t>
            </w:r>
            <w:r>
              <w:rPr>
                <w:rFonts w:hint="eastAsia" w:ascii="Times New Roman" w:hAnsi="Times New Roman" w:eastAsia="宋体" w:cs="Times New Roman"/>
                <w:color w:val="auto"/>
                <w:sz w:val="24"/>
                <w:szCs w:val="24"/>
                <w:highlight w:val="none"/>
                <w:lang w:val="en-US" w:eastAsia="zh-CN"/>
              </w:rPr>
              <w:t>%/（1-20%）=</w:t>
            </w:r>
            <w:r>
              <w:rPr>
                <w:rFonts w:hint="eastAsia" w:cs="Times New Roman"/>
                <w:color w:val="auto"/>
                <w:sz w:val="24"/>
                <w:szCs w:val="24"/>
                <w:highlight w:val="none"/>
                <w:lang w:val="en-US" w:eastAsia="zh-CN"/>
              </w:rPr>
              <w:t>121.88</w:t>
            </w:r>
            <w:r>
              <w:rPr>
                <w:rFonts w:hint="eastAsia" w:ascii="Times New Roman" w:hAnsi="Times New Roman" w:eastAsia="宋体" w:cs="Times New Roman"/>
                <w:color w:val="auto"/>
                <w:sz w:val="24"/>
                <w:szCs w:val="24"/>
                <w:highlight w:val="none"/>
                <w:lang w:val="en-US" w:eastAsia="zh-CN"/>
              </w:rPr>
              <w:t>t/a</w:t>
            </w:r>
          </w:p>
          <w:p w14:paraId="712D1071">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式中：Glz——</w:t>
            </w:r>
            <w:r>
              <w:rPr>
                <w:rFonts w:hint="eastAsia" w:cs="Times New Roman"/>
                <w:color w:val="auto"/>
                <w:sz w:val="24"/>
                <w:szCs w:val="24"/>
                <w:highlight w:val="none"/>
                <w:lang w:val="en-US" w:eastAsia="zh-CN"/>
              </w:rPr>
              <w:t>灰</w:t>
            </w:r>
            <w:r>
              <w:rPr>
                <w:rFonts w:hint="eastAsia" w:ascii="Times New Roman" w:hAnsi="Times New Roman" w:eastAsia="宋体" w:cs="Times New Roman"/>
                <w:color w:val="auto"/>
                <w:sz w:val="24"/>
                <w:szCs w:val="24"/>
                <w:highlight w:val="none"/>
                <w:lang w:val="en-US" w:eastAsia="zh-CN"/>
              </w:rPr>
              <w:t>渣产生量，t/a；</w:t>
            </w:r>
          </w:p>
          <w:p w14:paraId="23089A72">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B—耗煤量，t/a；本项目</w:t>
            </w:r>
            <w:r>
              <w:rPr>
                <w:rFonts w:hint="eastAsia" w:cs="Times New Roman"/>
                <w:color w:val="auto"/>
                <w:sz w:val="24"/>
                <w:szCs w:val="24"/>
                <w:highlight w:val="none"/>
                <w:lang w:val="en-US" w:eastAsia="zh-CN"/>
              </w:rPr>
              <w:t>3000</w:t>
            </w:r>
            <w:r>
              <w:rPr>
                <w:rFonts w:hint="eastAsia" w:ascii="Times New Roman" w:hAnsi="Times New Roman" w:eastAsia="宋体" w:cs="Times New Roman"/>
                <w:color w:val="auto"/>
                <w:sz w:val="24"/>
                <w:szCs w:val="24"/>
                <w:highlight w:val="none"/>
                <w:lang w:val="en-US" w:eastAsia="zh-CN"/>
              </w:rPr>
              <w:t>t/a；</w:t>
            </w:r>
          </w:p>
          <w:p w14:paraId="7AFFF2C1">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A——</w:t>
            </w:r>
            <w:r>
              <w:rPr>
                <w:rFonts w:hint="eastAsia" w:cs="Times New Roman"/>
                <w:color w:val="auto"/>
                <w:sz w:val="24"/>
                <w:szCs w:val="24"/>
                <w:highlight w:val="none"/>
                <w:lang w:val="en-US" w:eastAsia="zh-CN"/>
              </w:rPr>
              <w:t>燃煤</w:t>
            </w:r>
            <w:r>
              <w:rPr>
                <w:rFonts w:hint="eastAsia" w:ascii="Times New Roman" w:hAnsi="Times New Roman" w:eastAsia="宋体" w:cs="Times New Roman"/>
                <w:color w:val="auto"/>
                <w:sz w:val="24"/>
                <w:szCs w:val="24"/>
                <w:highlight w:val="none"/>
                <w:lang w:val="en-US" w:eastAsia="zh-CN"/>
              </w:rPr>
              <w:t>的灰分，6.</w:t>
            </w: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w:t>
            </w:r>
          </w:p>
          <w:p w14:paraId="7E9DBCD2">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dlz—-</w:t>
            </w:r>
            <w:r>
              <w:rPr>
                <w:rFonts w:hint="eastAsia" w:cs="Times New Roman"/>
                <w:color w:val="auto"/>
                <w:sz w:val="24"/>
                <w:szCs w:val="24"/>
                <w:highlight w:val="none"/>
                <w:lang w:val="en-US" w:eastAsia="zh-CN"/>
              </w:rPr>
              <w:t>灰渣</w:t>
            </w:r>
            <w:r>
              <w:rPr>
                <w:rFonts w:hint="eastAsia" w:ascii="Times New Roman" w:hAnsi="Times New Roman" w:eastAsia="宋体" w:cs="Times New Roman"/>
                <w:color w:val="auto"/>
                <w:sz w:val="24"/>
                <w:szCs w:val="24"/>
                <w:highlight w:val="none"/>
                <w:lang w:val="en-US" w:eastAsia="zh-CN"/>
              </w:rPr>
              <w:t>中的灰分占燃煤总灰分的百分数，取</w:t>
            </w:r>
            <w:r>
              <w:rPr>
                <w:rFonts w:hint="eastAsia" w:cs="Times New Roman"/>
                <w:color w:val="auto"/>
                <w:sz w:val="24"/>
                <w:szCs w:val="24"/>
                <w:highlight w:val="none"/>
                <w:lang w:val="en-US" w:eastAsia="zh-CN"/>
              </w:rPr>
              <w:t>50</w:t>
            </w:r>
            <w:r>
              <w:rPr>
                <w:rFonts w:hint="eastAsia" w:ascii="Times New Roman" w:hAnsi="Times New Roman" w:eastAsia="宋体" w:cs="Times New Roman"/>
                <w:color w:val="auto"/>
                <w:sz w:val="24"/>
                <w:szCs w:val="24"/>
                <w:highlight w:val="none"/>
                <w:lang w:val="en-US" w:eastAsia="zh-CN"/>
              </w:rPr>
              <w:t>%；</w:t>
            </w:r>
          </w:p>
          <w:p w14:paraId="0A4D1AF4">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1200" w:firstLineChars="5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Clz—-</w:t>
            </w:r>
            <w:r>
              <w:rPr>
                <w:rFonts w:hint="eastAsia" w:cs="Times New Roman"/>
                <w:color w:val="auto"/>
                <w:sz w:val="24"/>
                <w:szCs w:val="24"/>
                <w:highlight w:val="none"/>
                <w:lang w:val="en-US" w:eastAsia="zh-CN"/>
              </w:rPr>
              <w:t>灰渣</w:t>
            </w:r>
            <w:r>
              <w:rPr>
                <w:rFonts w:hint="eastAsia" w:ascii="Times New Roman" w:hAnsi="Times New Roman" w:eastAsia="宋体" w:cs="Times New Roman"/>
                <w:color w:val="auto"/>
                <w:sz w:val="24"/>
                <w:szCs w:val="24"/>
                <w:highlight w:val="none"/>
                <w:lang w:val="en-US" w:eastAsia="zh-CN"/>
              </w:rPr>
              <w:t>可燃物含量，取20%(10-25％）。</w:t>
            </w:r>
          </w:p>
          <w:p w14:paraId="22662086">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本项目加热炉</w:t>
            </w:r>
            <w:r>
              <w:rPr>
                <w:rFonts w:hint="eastAsia" w:cs="Times New Roman"/>
                <w:color w:val="auto"/>
                <w:sz w:val="24"/>
                <w:szCs w:val="24"/>
                <w:highlight w:val="none"/>
                <w:lang w:val="en-US" w:eastAsia="zh-CN"/>
              </w:rPr>
              <w:t>灰渣</w:t>
            </w:r>
            <w:r>
              <w:rPr>
                <w:rFonts w:hint="eastAsia" w:ascii="Times New Roman" w:hAnsi="Times New Roman" w:eastAsia="宋体" w:cs="Times New Roman"/>
                <w:color w:val="auto"/>
                <w:sz w:val="24"/>
                <w:szCs w:val="24"/>
                <w:highlight w:val="none"/>
                <w:lang w:val="en-US" w:eastAsia="zh-CN"/>
              </w:rPr>
              <w:t>量产生量为</w:t>
            </w:r>
            <w:r>
              <w:rPr>
                <w:rFonts w:hint="eastAsia" w:cs="Times New Roman"/>
                <w:color w:val="auto"/>
                <w:sz w:val="24"/>
                <w:szCs w:val="24"/>
                <w:highlight w:val="none"/>
                <w:lang w:val="en-US" w:eastAsia="zh-CN"/>
              </w:rPr>
              <w:t>121.88</w:t>
            </w:r>
            <w:r>
              <w:rPr>
                <w:rFonts w:hint="eastAsia" w:ascii="Times New Roman" w:hAnsi="Times New Roman" w:eastAsia="宋体" w:cs="Times New Roman"/>
                <w:color w:val="auto"/>
                <w:sz w:val="24"/>
                <w:szCs w:val="24"/>
                <w:highlight w:val="none"/>
                <w:lang w:val="en-US" w:eastAsia="zh-CN"/>
              </w:rPr>
              <w:t>t/a，</w:t>
            </w:r>
            <w:r>
              <w:rPr>
                <w:rFonts w:hint="eastAsia" w:cs="Times New Roman"/>
                <w:color w:val="auto"/>
                <w:sz w:val="24"/>
                <w:szCs w:val="24"/>
                <w:highlight w:val="none"/>
                <w:lang w:val="en-US" w:eastAsia="zh-CN"/>
              </w:rPr>
              <w:t>灰渣</w:t>
            </w:r>
            <w:r>
              <w:rPr>
                <w:rFonts w:hint="eastAsia" w:ascii="Times New Roman" w:hAnsi="Times New Roman" w:eastAsia="宋体" w:cs="Times New Roman"/>
                <w:color w:val="auto"/>
                <w:sz w:val="24"/>
                <w:szCs w:val="24"/>
                <w:highlight w:val="none"/>
                <w:lang w:val="en-US" w:eastAsia="zh-CN"/>
              </w:rPr>
              <w:t>暂存于</w:t>
            </w:r>
            <w:r>
              <w:rPr>
                <w:rFonts w:hint="eastAsia" w:cs="Times New Roman"/>
                <w:color w:val="auto"/>
                <w:sz w:val="24"/>
                <w:szCs w:val="24"/>
                <w:highlight w:val="none"/>
                <w:lang w:val="en-US" w:eastAsia="zh-CN"/>
              </w:rPr>
              <w:t>全封闭灰渣棚内</w:t>
            </w:r>
            <w:r>
              <w:rPr>
                <w:rFonts w:hint="eastAsia" w:ascii="Times New Roman" w:hAnsi="Times New Roman" w:eastAsia="宋体" w:cs="Times New Roman"/>
                <w:color w:val="auto"/>
                <w:sz w:val="24"/>
                <w:szCs w:val="24"/>
                <w:highlight w:val="none"/>
                <w:lang w:val="en-US" w:eastAsia="zh-CN"/>
              </w:rPr>
              <w:t>，定期送至园区渣场处理</w:t>
            </w:r>
            <w:r>
              <w:rPr>
                <w:rFonts w:hint="eastAsia" w:cs="Times New Roman"/>
                <w:color w:val="auto"/>
                <w:sz w:val="24"/>
                <w:szCs w:val="24"/>
                <w:highlight w:val="none"/>
                <w:lang w:val="en-US" w:eastAsia="zh-CN"/>
              </w:rPr>
              <w:t>（处理协议见附件），不会对环境产生不良影响。</w:t>
            </w:r>
          </w:p>
          <w:p w14:paraId="27336575">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default"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5、“三本账”</w:t>
            </w:r>
          </w:p>
          <w:p w14:paraId="661EEF8B">
            <w:pPr>
              <w:pStyle w:val="16"/>
              <w:keepNext w:val="0"/>
              <w:keepLines w:val="0"/>
              <w:pageBreakBefore w:val="0"/>
              <w:widowControl/>
              <w:kinsoku/>
              <w:wordWrap/>
              <w:overflowPunct/>
              <w:topLinePunct w:val="0"/>
              <w:autoSpaceDE/>
              <w:autoSpaceDN/>
              <w:bidi w:val="0"/>
              <w:adjustRightInd/>
              <w:snapToGrid/>
              <w:spacing w:line="480" w:lineRule="exact"/>
              <w:jc w:val="center"/>
              <w:textAlignment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表</w:t>
            </w:r>
            <w:r>
              <w:rPr>
                <w:rFonts w:hint="eastAsia" w:eastAsia="宋体" w:cs="Times New Roman"/>
                <w:color w:val="auto"/>
                <w:sz w:val="24"/>
                <w:szCs w:val="24"/>
                <w:lang w:val="en-US" w:eastAsia="zh-CN"/>
              </w:rPr>
              <w:t>4-10  技改</w:t>
            </w:r>
            <w:r>
              <w:rPr>
                <w:rFonts w:hint="eastAsia" w:ascii="Times New Roman" w:hAnsi="Times New Roman" w:eastAsia="宋体" w:cs="Times New Roman"/>
                <w:color w:val="auto"/>
                <w:sz w:val="24"/>
                <w:szCs w:val="24"/>
                <w:lang w:val="en-US" w:eastAsia="zh-CN"/>
              </w:rPr>
              <w:t>项目污染物排放量变化统计表（“三本</w:t>
            </w:r>
            <w:r>
              <w:rPr>
                <w:rFonts w:hint="eastAsia" w:eastAsia="宋体" w:cs="Times New Roman"/>
                <w:color w:val="auto"/>
                <w:sz w:val="24"/>
                <w:szCs w:val="24"/>
                <w:lang w:val="en-US" w:eastAsia="zh-CN"/>
              </w:rPr>
              <w:t>账</w:t>
            </w:r>
            <w:r>
              <w:rPr>
                <w:rFonts w:hint="eastAsia" w:ascii="Times New Roman" w:hAnsi="Times New Roman" w:eastAsia="宋体" w:cs="Times New Roman"/>
                <w:color w:val="auto"/>
                <w:sz w:val="24"/>
                <w:szCs w:val="24"/>
                <w:lang w:val="en-US" w:eastAsia="zh-CN"/>
              </w:rPr>
              <w:t>”）</w:t>
            </w:r>
          </w:p>
          <w:tbl>
            <w:tblPr>
              <w:tblStyle w:val="10"/>
              <w:tblW w:w="5000" w:type="pct"/>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65"/>
              <w:gridCol w:w="1158"/>
              <w:gridCol w:w="1140"/>
              <w:gridCol w:w="1224"/>
              <w:gridCol w:w="1193"/>
              <w:gridCol w:w="1178"/>
              <w:gridCol w:w="1288"/>
            </w:tblGrid>
            <w:tr w14:paraId="0EDE039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2" w:hRule="atLeast"/>
              </w:trPr>
              <w:tc>
                <w:tcPr>
                  <w:tcW w:w="481" w:type="pct"/>
                  <w:vMerge w:val="restart"/>
                  <w:tcBorders>
                    <w:tl2br w:val="nil"/>
                    <w:tr2bl w:val="nil"/>
                  </w:tcBorders>
                  <w:shd w:val="clear" w:color="auto" w:fill="auto"/>
                  <w:vAlign w:val="center"/>
                </w:tcPr>
                <w:p w14:paraId="54856896">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类别</w:t>
                  </w:r>
                </w:p>
              </w:tc>
              <w:tc>
                <w:tcPr>
                  <w:tcW w:w="728" w:type="pct"/>
                  <w:tcBorders>
                    <w:tl2br w:val="nil"/>
                    <w:tr2bl w:val="nil"/>
                  </w:tcBorders>
                  <w:shd w:val="clear" w:color="auto" w:fill="auto"/>
                  <w:vAlign w:val="center"/>
                </w:tcPr>
                <w:p w14:paraId="4C368BB6">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污染物</w:t>
                  </w:r>
                </w:p>
              </w:tc>
              <w:tc>
                <w:tcPr>
                  <w:tcW w:w="717" w:type="pct"/>
                  <w:vMerge w:val="restart"/>
                  <w:tcBorders>
                    <w:tl2br w:val="nil"/>
                    <w:tr2bl w:val="nil"/>
                  </w:tcBorders>
                  <w:shd w:val="clear" w:color="auto" w:fill="auto"/>
                  <w:vAlign w:val="center"/>
                </w:tcPr>
                <w:p w14:paraId="6720216C">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现有工程排放量（t/a）</w:t>
                  </w:r>
                </w:p>
              </w:tc>
              <w:tc>
                <w:tcPr>
                  <w:tcW w:w="770" w:type="pct"/>
                  <w:vMerge w:val="restart"/>
                  <w:tcBorders>
                    <w:tl2br w:val="nil"/>
                    <w:tr2bl w:val="nil"/>
                  </w:tcBorders>
                  <w:shd w:val="clear" w:color="auto" w:fill="auto"/>
                  <w:vAlign w:val="center"/>
                </w:tcPr>
                <w:p w14:paraId="64CD6F38">
                  <w:pPr>
                    <w:jc w:val="center"/>
                    <w:rPr>
                      <w:rFonts w:ascii="Times New Roman" w:hAnsi="Times New Roman" w:cs="Times New Roman"/>
                      <w:color w:val="auto"/>
                      <w:sz w:val="21"/>
                      <w:szCs w:val="21"/>
                      <w:lang w:bidi="ar-SA"/>
                    </w:rPr>
                  </w:pPr>
                  <w:r>
                    <w:rPr>
                      <w:rFonts w:hint="eastAsia" w:ascii="Times New Roman" w:hAnsi="Times New Roman" w:cs="Times New Roman"/>
                      <w:color w:val="auto"/>
                      <w:sz w:val="21"/>
                      <w:szCs w:val="21"/>
                      <w:lang w:val="en-US" w:eastAsia="zh-CN" w:bidi="ar-SA"/>
                    </w:rPr>
                    <w:t>技改</w:t>
                  </w:r>
                  <w:r>
                    <w:rPr>
                      <w:rFonts w:ascii="Times New Roman" w:hAnsi="Times New Roman" w:cs="Times New Roman"/>
                      <w:color w:val="auto"/>
                      <w:sz w:val="21"/>
                      <w:szCs w:val="21"/>
                      <w:lang w:bidi="ar-SA"/>
                    </w:rPr>
                    <w:t>工程新增量（t/a）</w:t>
                  </w:r>
                </w:p>
              </w:tc>
              <w:tc>
                <w:tcPr>
                  <w:tcW w:w="750" w:type="pct"/>
                  <w:vMerge w:val="restart"/>
                  <w:tcBorders>
                    <w:tl2br w:val="nil"/>
                    <w:tr2bl w:val="nil"/>
                  </w:tcBorders>
                  <w:shd w:val="clear" w:color="auto" w:fill="auto"/>
                  <w:vAlign w:val="center"/>
                </w:tcPr>
                <w:p w14:paraId="5A07F602">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以新带老削减量（t/a）</w:t>
                  </w:r>
                </w:p>
              </w:tc>
              <w:tc>
                <w:tcPr>
                  <w:tcW w:w="741" w:type="pct"/>
                  <w:vMerge w:val="restart"/>
                  <w:tcBorders>
                    <w:tl2br w:val="nil"/>
                    <w:tr2bl w:val="nil"/>
                  </w:tcBorders>
                  <w:shd w:val="clear" w:color="auto" w:fill="auto"/>
                  <w:vAlign w:val="center"/>
                </w:tcPr>
                <w:p w14:paraId="1E45E962">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升级改造完成后全厂排放量（t/a）</w:t>
                  </w:r>
                </w:p>
              </w:tc>
              <w:tc>
                <w:tcPr>
                  <w:tcW w:w="810" w:type="pct"/>
                  <w:vMerge w:val="restart"/>
                  <w:tcBorders>
                    <w:tl2br w:val="nil"/>
                    <w:tr2bl w:val="nil"/>
                  </w:tcBorders>
                  <w:shd w:val="clear" w:color="auto" w:fill="auto"/>
                  <w:vAlign w:val="center"/>
                </w:tcPr>
                <w:p w14:paraId="3F22006F">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升级改造前后增减量（t/a）</w:t>
                  </w:r>
                </w:p>
              </w:tc>
            </w:tr>
            <w:tr w14:paraId="56C99E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7" w:hRule="atLeast"/>
              </w:trPr>
              <w:tc>
                <w:tcPr>
                  <w:tcW w:w="481" w:type="pct"/>
                  <w:vMerge w:val="continue"/>
                  <w:tcBorders>
                    <w:tl2br w:val="nil"/>
                    <w:tr2bl w:val="nil"/>
                  </w:tcBorders>
                  <w:vAlign w:val="center"/>
                </w:tcPr>
                <w:p w14:paraId="25219E9F">
                  <w:pPr>
                    <w:jc w:val="center"/>
                    <w:rPr>
                      <w:rFonts w:ascii="Times New Roman" w:hAnsi="Times New Roman" w:cs="Times New Roman"/>
                      <w:color w:val="auto"/>
                      <w:sz w:val="21"/>
                      <w:szCs w:val="21"/>
                      <w:lang w:bidi="ar-SA"/>
                    </w:rPr>
                  </w:pPr>
                </w:p>
              </w:tc>
              <w:tc>
                <w:tcPr>
                  <w:tcW w:w="728" w:type="pct"/>
                  <w:tcBorders>
                    <w:tl2br w:val="nil"/>
                    <w:tr2bl w:val="nil"/>
                  </w:tcBorders>
                  <w:shd w:val="clear" w:color="auto" w:fill="auto"/>
                  <w:vAlign w:val="center"/>
                </w:tcPr>
                <w:p w14:paraId="18AC12CB">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名称</w:t>
                  </w:r>
                </w:p>
              </w:tc>
              <w:tc>
                <w:tcPr>
                  <w:tcW w:w="717" w:type="pct"/>
                  <w:vMerge w:val="continue"/>
                  <w:tcBorders>
                    <w:tl2br w:val="nil"/>
                    <w:tr2bl w:val="nil"/>
                  </w:tcBorders>
                  <w:vAlign w:val="center"/>
                </w:tcPr>
                <w:p w14:paraId="5D38D17F">
                  <w:pPr>
                    <w:jc w:val="center"/>
                    <w:rPr>
                      <w:rFonts w:ascii="Times New Roman" w:hAnsi="Times New Roman" w:cs="Times New Roman"/>
                      <w:color w:val="auto"/>
                      <w:sz w:val="21"/>
                      <w:szCs w:val="21"/>
                      <w:lang w:bidi="ar-SA"/>
                    </w:rPr>
                  </w:pPr>
                </w:p>
              </w:tc>
              <w:tc>
                <w:tcPr>
                  <w:tcW w:w="770" w:type="pct"/>
                  <w:vMerge w:val="continue"/>
                  <w:tcBorders>
                    <w:tl2br w:val="nil"/>
                    <w:tr2bl w:val="nil"/>
                  </w:tcBorders>
                  <w:vAlign w:val="center"/>
                </w:tcPr>
                <w:p w14:paraId="15545A5C">
                  <w:pPr>
                    <w:jc w:val="center"/>
                    <w:rPr>
                      <w:rFonts w:ascii="Times New Roman" w:hAnsi="Times New Roman" w:cs="Times New Roman"/>
                      <w:color w:val="auto"/>
                      <w:sz w:val="21"/>
                      <w:szCs w:val="21"/>
                      <w:lang w:bidi="ar-SA"/>
                    </w:rPr>
                  </w:pPr>
                </w:p>
              </w:tc>
              <w:tc>
                <w:tcPr>
                  <w:tcW w:w="750" w:type="pct"/>
                  <w:vMerge w:val="continue"/>
                  <w:tcBorders>
                    <w:tl2br w:val="nil"/>
                    <w:tr2bl w:val="nil"/>
                  </w:tcBorders>
                  <w:vAlign w:val="center"/>
                </w:tcPr>
                <w:p w14:paraId="529308C5">
                  <w:pPr>
                    <w:jc w:val="center"/>
                    <w:rPr>
                      <w:rFonts w:ascii="Times New Roman" w:hAnsi="Times New Roman" w:cs="Times New Roman"/>
                      <w:color w:val="auto"/>
                      <w:sz w:val="21"/>
                      <w:szCs w:val="21"/>
                      <w:lang w:bidi="ar-SA"/>
                    </w:rPr>
                  </w:pPr>
                </w:p>
              </w:tc>
              <w:tc>
                <w:tcPr>
                  <w:tcW w:w="741" w:type="pct"/>
                  <w:vMerge w:val="continue"/>
                  <w:tcBorders>
                    <w:tl2br w:val="nil"/>
                    <w:tr2bl w:val="nil"/>
                  </w:tcBorders>
                  <w:vAlign w:val="center"/>
                </w:tcPr>
                <w:p w14:paraId="55534CA6">
                  <w:pPr>
                    <w:jc w:val="center"/>
                    <w:rPr>
                      <w:rFonts w:ascii="Times New Roman" w:hAnsi="Times New Roman" w:cs="Times New Roman"/>
                      <w:color w:val="auto"/>
                      <w:sz w:val="21"/>
                      <w:szCs w:val="21"/>
                      <w:lang w:bidi="ar-SA"/>
                    </w:rPr>
                  </w:pPr>
                </w:p>
              </w:tc>
              <w:tc>
                <w:tcPr>
                  <w:tcW w:w="810" w:type="pct"/>
                  <w:vMerge w:val="continue"/>
                  <w:tcBorders>
                    <w:tl2br w:val="nil"/>
                    <w:tr2bl w:val="nil"/>
                  </w:tcBorders>
                  <w:vAlign w:val="center"/>
                </w:tcPr>
                <w:p w14:paraId="05C344C6">
                  <w:pPr>
                    <w:jc w:val="center"/>
                    <w:rPr>
                      <w:rFonts w:ascii="Times New Roman" w:hAnsi="Times New Roman" w:cs="Times New Roman"/>
                      <w:color w:val="auto"/>
                      <w:sz w:val="21"/>
                      <w:szCs w:val="21"/>
                      <w:lang w:bidi="ar-SA"/>
                    </w:rPr>
                  </w:pPr>
                </w:p>
              </w:tc>
            </w:tr>
            <w:tr w14:paraId="5E7964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0" w:hRule="atLeast"/>
              </w:trPr>
              <w:tc>
                <w:tcPr>
                  <w:tcW w:w="481" w:type="pct"/>
                  <w:vMerge w:val="restart"/>
                  <w:tcBorders>
                    <w:tl2br w:val="nil"/>
                    <w:tr2bl w:val="nil"/>
                  </w:tcBorders>
                  <w:shd w:val="clear" w:color="auto" w:fill="auto"/>
                  <w:vAlign w:val="center"/>
                </w:tcPr>
                <w:p w14:paraId="612E7ACC">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废气</w:t>
                  </w:r>
                </w:p>
              </w:tc>
              <w:tc>
                <w:tcPr>
                  <w:tcW w:w="728" w:type="pct"/>
                  <w:tcBorders>
                    <w:tl2br w:val="nil"/>
                    <w:tr2bl w:val="nil"/>
                  </w:tcBorders>
                  <w:shd w:val="clear" w:color="auto" w:fill="auto"/>
                  <w:vAlign w:val="center"/>
                </w:tcPr>
                <w:p w14:paraId="21D72390">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HCl</w:t>
                  </w:r>
                </w:p>
              </w:tc>
              <w:tc>
                <w:tcPr>
                  <w:tcW w:w="717" w:type="pct"/>
                  <w:tcBorders>
                    <w:tl2br w:val="nil"/>
                    <w:tr2bl w:val="nil"/>
                  </w:tcBorders>
                  <w:shd w:val="clear" w:color="auto" w:fill="auto"/>
                  <w:vAlign w:val="center"/>
                </w:tcPr>
                <w:p w14:paraId="67F62F2F">
                  <w:pPr>
                    <w:jc w:val="center"/>
                    <w:rPr>
                      <w:rFonts w:ascii="Times New Roman" w:hAnsi="Times New Roman" w:cs="Times New Roman"/>
                      <w:color w:val="auto"/>
                      <w:sz w:val="21"/>
                      <w:szCs w:val="21"/>
                      <w:lang w:bidi="ar-SA"/>
                    </w:rPr>
                  </w:pPr>
                  <w:r>
                    <w:rPr>
                      <w:rFonts w:hint="eastAsia" w:ascii="Times New Roman" w:hAnsi="Times New Roman" w:cs="Times New Roman"/>
                      <w:color w:val="auto"/>
                      <w:sz w:val="21"/>
                      <w:szCs w:val="21"/>
                      <w:lang w:bidi="ar-SA"/>
                    </w:rPr>
                    <w:t>0.008</w:t>
                  </w:r>
                </w:p>
              </w:tc>
              <w:tc>
                <w:tcPr>
                  <w:tcW w:w="770" w:type="pct"/>
                  <w:tcBorders>
                    <w:tl2br w:val="nil"/>
                    <w:tr2bl w:val="nil"/>
                  </w:tcBorders>
                  <w:shd w:val="clear" w:color="auto" w:fill="auto"/>
                  <w:vAlign w:val="center"/>
                </w:tcPr>
                <w:p w14:paraId="5B9D3424">
                  <w:pPr>
                    <w:jc w:val="center"/>
                    <w:rPr>
                      <w:rFonts w:ascii="Times New Roman" w:hAnsi="Times New Roman" w:cs="Times New Roman"/>
                      <w:color w:val="auto"/>
                      <w:sz w:val="21"/>
                      <w:szCs w:val="21"/>
                      <w:lang w:bidi="ar-SA"/>
                    </w:rPr>
                  </w:pPr>
                  <w:r>
                    <w:rPr>
                      <w:rFonts w:hint="eastAsia" w:ascii="Times New Roman"/>
                      <w:snapToGrid w:val="0"/>
                      <w:color w:val="auto"/>
                      <w:kern w:val="21"/>
                      <w:szCs w:val="21"/>
                    </w:rPr>
                    <w:t>0.008</w:t>
                  </w:r>
                </w:p>
              </w:tc>
              <w:tc>
                <w:tcPr>
                  <w:tcW w:w="750" w:type="pct"/>
                  <w:tcBorders>
                    <w:tl2br w:val="nil"/>
                    <w:tr2bl w:val="nil"/>
                  </w:tcBorders>
                  <w:shd w:val="clear" w:color="auto" w:fill="auto"/>
                  <w:vAlign w:val="center"/>
                </w:tcPr>
                <w:p w14:paraId="636A7AB9">
                  <w:pPr>
                    <w:jc w:val="center"/>
                    <w:rPr>
                      <w:rFonts w:ascii="Times New Roman" w:hAnsi="Times New Roman" w:cs="Times New Roman"/>
                      <w:color w:val="auto"/>
                      <w:sz w:val="21"/>
                      <w:szCs w:val="21"/>
                      <w:lang w:bidi="ar-SA"/>
                    </w:rPr>
                  </w:pPr>
                  <w:r>
                    <w:rPr>
                      <w:rFonts w:hint="eastAsia" w:ascii="Times New Roman"/>
                      <w:snapToGrid w:val="0"/>
                      <w:color w:val="auto"/>
                      <w:kern w:val="21"/>
                      <w:szCs w:val="21"/>
                    </w:rPr>
                    <w:t>0.008</w:t>
                  </w:r>
                </w:p>
              </w:tc>
              <w:tc>
                <w:tcPr>
                  <w:tcW w:w="741" w:type="pct"/>
                  <w:tcBorders>
                    <w:tl2br w:val="nil"/>
                    <w:tr2bl w:val="nil"/>
                  </w:tcBorders>
                  <w:shd w:val="clear" w:color="auto" w:fill="auto"/>
                  <w:vAlign w:val="center"/>
                </w:tcPr>
                <w:p w14:paraId="27E01B9A">
                  <w:pPr>
                    <w:jc w:val="center"/>
                    <w:rPr>
                      <w:rFonts w:ascii="Times New Roman" w:hAnsi="Times New Roman" w:cs="Times New Roman"/>
                      <w:color w:val="auto"/>
                      <w:sz w:val="21"/>
                      <w:szCs w:val="21"/>
                      <w:lang w:bidi="ar-SA"/>
                    </w:rPr>
                  </w:pPr>
                  <w:r>
                    <w:rPr>
                      <w:rFonts w:hint="eastAsia" w:ascii="Times New Roman"/>
                      <w:snapToGrid w:val="0"/>
                      <w:color w:val="auto"/>
                      <w:kern w:val="21"/>
                      <w:szCs w:val="21"/>
                    </w:rPr>
                    <w:t>0.008</w:t>
                  </w:r>
                </w:p>
              </w:tc>
              <w:tc>
                <w:tcPr>
                  <w:tcW w:w="810" w:type="pct"/>
                  <w:tcBorders>
                    <w:tl2br w:val="nil"/>
                    <w:tr2bl w:val="nil"/>
                  </w:tcBorders>
                  <w:shd w:val="clear" w:color="auto" w:fill="auto"/>
                  <w:vAlign w:val="center"/>
                </w:tcPr>
                <w:p w14:paraId="616973CF">
                  <w:pPr>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 w:val="21"/>
                      <w:szCs w:val="21"/>
                      <w:lang w:val="en-US" w:eastAsia="zh-CN" w:bidi="ar-SA"/>
                    </w:rPr>
                    <w:t>0</w:t>
                  </w:r>
                </w:p>
              </w:tc>
            </w:tr>
            <w:tr w14:paraId="0CDC75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8" w:hRule="atLeast"/>
              </w:trPr>
              <w:tc>
                <w:tcPr>
                  <w:tcW w:w="481" w:type="pct"/>
                  <w:vMerge w:val="continue"/>
                  <w:tcBorders>
                    <w:tl2br w:val="nil"/>
                    <w:tr2bl w:val="nil"/>
                  </w:tcBorders>
                  <w:vAlign w:val="center"/>
                </w:tcPr>
                <w:p w14:paraId="5325EE34">
                  <w:pPr>
                    <w:jc w:val="center"/>
                    <w:rPr>
                      <w:rFonts w:ascii="Times New Roman" w:hAnsi="Times New Roman" w:cs="Times New Roman"/>
                      <w:color w:val="auto"/>
                      <w:sz w:val="21"/>
                      <w:szCs w:val="21"/>
                      <w:lang w:bidi="ar-SA"/>
                    </w:rPr>
                  </w:pPr>
                </w:p>
              </w:tc>
              <w:tc>
                <w:tcPr>
                  <w:tcW w:w="728" w:type="pct"/>
                  <w:tcBorders>
                    <w:tl2br w:val="nil"/>
                    <w:tr2bl w:val="nil"/>
                  </w:tcBorders>
                  <w:shd w:val="clear" w:color="auto" w:fill="auto"/>
                  <w:vAlign w:val="center"/>
                </w:tcPr>
                <w:p w14:paraId="6AD29DB4">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二氧化硫</w:t>
                  </w:r>
                </w:p>
              </w:tc>
              <w:tc>
                <w:tcPr>
                  <w:tcW w:w="717" w:type="pct"/>
                  <w:tcBorders>
                    <w:tl2br w:val="nil"/>
                    <w:tr2bl w:val="nil"/>
                  </w:tcBorders>
                  <w:shd w:val="clear" w:color="auto" w:fill="auto"/>
                  <w:vAlign w:val="center"/>
                </w:tcPr>
                <w:p w14:paraId="516B5944">
                  <w:pPr>
                    <w:jc w:val="center"/>
                    <w:rPr>
                      <w:rFonts w:ascii="Times New Roman" w:hAnsi="Times New Roman" w:cs="Times New Roman"/>
                      <w:color w:val="auto"/>
                      <w:sz w:val="21"/>
                      <w:szCs w:val="21"/>
                      <w:lang w:bidi="ar-SA"/>
                    </w:rPr>
                  </w:pPr>
                  <w:r>
                    <w:rPr>
                      <w:rFonts w:hint="eastAsia" w:ascii="Times New Roman"/>
                      <w:snapToGrid w:val="0"/>
                      <w:color w:val="auto"/>
                      <w:kern w:val="21"/>
                      <w:szCs w:val="21"/>
                    </w:rPr>
                    <w:t>0.0471</w:t>
                  </w:r>
                </w:p>
              </w:tc>
              <w:tc>
                <w:tcPr>
                  <w:tcW w:w="770" w:type="pct"/>
                  <w:tcBorders>
                    <w:tl2br w:val="nil"/>
                    <w:tr2bl w:val="nil"/>
                  </w:tcBorders>
                  <w:shd w:val="clear" w:color="auto" w:fill="auto"/>
                  <w:vAlign w:val="center"/>
                </w:tcPr>
                <w:p w14:paraId="65086122">
                  <w:pPr>
                    <w:jc w:val="center"/>
                    <w:rPr>
                      <w:rFonts w:ascii="Times New Roman" w:hAnsi="Times New Roman" w:cs="Times New Roman"/>
                      <w:color w:val="auto"/>
                      <w:sz w:val="21"/>
                      <w:szCs w:val="21"/>
                      <w:highlight w:val="yellow"/>
                      <w:lang w:bidi="ar-SA"/>
                    </w:rPr>
                  </w:pPr>
                  <w:r>
                    <w:rPr>
                      <w:rFonts w:hint="eastAsia" w:ascii="Times New Roman"/>
                      <w:snapToGrid w:val="0"/>
                      <w:color w:val="auto"/>
                      <w:kern w:val="21"/>
                      <w:szCs w:val="21"/>
                    </w:rPr>
                    <w:t>1.2</w:t>
                  </w:r>
                </w:p>
              </w:tc>
              <w:tc>
                <w:tcPr>
                  <w:tcW w:w="750" w:type="pct"/>
                  <w:tcBorders>
                    <w:tl2br w:val="nil"/>
                    <w:tr2bl w:val="nil"/>
                  </w:tcBorders>
                  <w:shd w:val="clear" w:color="auto" w:fill="auto"/>
                  <w:vAlign w:val="center"/>
                </w:tcPr>
                <w:p w14:paraId="2BC6F9BA">
                  <w:pPr>
                    <w:jc w:val="center"/>
                    <w:rPr>
                      <w:rFonts w:ascii="Times New Roman" w:hAnsi="Times New Roman" w:cs="Times New Roman"/>
                      <w:color w:val="auto"/>
                      <w:sz w:val="21"/>
                      <w:szCs w:val="21"/>
                      <w:lang w:bidi="ar-SA"/>
                    </w:rPr>
                  </w:pPr>
                  <w:r>
                    <w:rPr>
                      <w:rFonts w:hint="eastAsia" w:ascii="Times New Roman"/>
                      <w:snapToGrid w:val="0"/>
                      <w:color w:val="auto"/>
                      <w:kern w:val="21"/>
                      <w:szCs w:val="21"/>
                    </w:rPr>
                    <w:t>0.0471</w:t>
                  </w:r>
                </w:p>
              </w:tc>
              <w:tc>
                <w:tcPr>
                  <w:tcW w:w="741" w:type="pct"/>
                  <w:tcBorders>
                    <w:tl2br w:val="nil"/>
                    <w:tr2bl w:val="nil"/>
                  </w:tcBorders>
                  <w:shd w:val="clear" w:color="auto" w:fill="auto"/>
                  <w:vAlign w:val="center"/>
                </w:tcPr>
                <w:p w14:paraId="395D37AD">
                  <w:pPr>
                    <w:jc w:val="center"/>
                    <w:rPr>
                      <w:rFonts w:ascii="Times New Roman" w:hAnsi="Times New Roman" w:cs="Times New Roman"/>
                      <w:color w:val="auto"/>
                      <w:sz w:val="21"/>
                      <w:szCs w:val="21"/>
                      <w:lang w:bidi="ar-SA"/>
                    </w:rPr>
                  </w:pPr>
                  <w:r>
                    <w:rPr>
                      <w:rFonts w:hint="eastAsia" w:ascii="Times New Roman"/>
                      <w:snapToGrid w:val="0"/>
                      <w:color w:val="auto"/>
                      <w:kern w:val="21"/>
                      <w:szCs w:val="21"/>
                    </w:rPr>
                    <w:t>1.2</w:t>
                  </w:r>
                </w:p>
              </w:tc>
              <w:tc>
                <w:tcPr>
                  <w:tcW w:w="810" w:type="pct"/>
                  <w:tcBorders>
                    <w:tl2br w:val="nil"/>
                    <w:tr2bl w:val="nil"/>
                  </w:tcBorders>
                  <w:shd w:val="clear" w:color="auto" w:fill="auto"/>
                </w:tcPr>
                <w:p w14:paraId="604C621E">
                  <w:pPr>
                    <w:jc w:val="center"/>
                    <w:rPr>
                      <w:rFonts w:ascii="Times New Roman" w:hAnsi="Times New Roman" w:cs="Times New Roman"/>
                      <w:color w:val="auto"/>
                      <w:sz w:val="21"/>
                      <w:szCs w:val="21"/>
                      <w:lang w:bidi="ar-SA"/>
                    </w:rPr>
                  </w:pPr>
                  <w:r>
                    <w:rPr>
                      <w:rFonts w:hint="eastAsia" w:ascii="Times New Roman"/>
                      <w:snapToGrid w:val="0"/>
                      <w:color w:val="auto"/>
                      <w:kern w:val="21"/>
                      <w:szCs w:val="21"/>
                    </w:rPr>
                    <w:t>+1.1529</w:t>
                  </w:r>
                </w:p>
              </w:tc>
            </w:tr>
            <w:tr w14:paraId="161DA6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8" w:hRule="atLeast"/>
              </w:trPr>
              <w:tc>
                <w:tcPr>
                  <w:tcW w:w="481" w:type="pct"/>
                  <w:vMerge w:val="continue"/>
                  <w:tcBorders>
                    <w:tl2br w:val="nil"/>
                    <w:tr2bl w:val="nil"/>
                  </w:tcBorders>
                  <w:vAlign w:val="center"/>
                </w:tcPr>
                <w:p w14:paraId="75BEBFEC">
                  <w:pPr>
                    <w:jc w:val="center"/>
                    <w:rPr>
                      <w:rFonts w:ascii="Times New Roman" w:hAnsi="Times New Roman" w:cs="Times New Roman"/>
                      <w:color w:val="auto"/>
                      <w:sz w:val="21"/>
                      <w:szCs w:val="21"/>
                      <w:lang w:bidi="ar-SA"/>
                    </w:rPr>
                  </w:pPr>
                </w:p>
              </w:tc>
              <w:tc>
                <w:tcPr>
                  <w:tcW w:w="728" w:type="pct"/>
                  <w:tcBorders>
                    <w:tl2br w:val="nil"/>
                    <w:tr2bl w:val="nil"/>
                  </w:tcBorders>
                  <w:shd w:val="clear" w:color="auto" w:fill="auto"/>
                  <w:vAlign w:val="center"/>
                </w:tcPr>
                <w:p w14:paraId="19BC6A99">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氮氧化物</w:t>
                  </w:r>
                </w:p>
              </w:tc>
              <w:tc>
                <w:tcPr>
                  <w:tcW w:w="717" w:type="pct"/>
                  <w:tcBorders>
                    <w:tl2br w:val="nil"/>
                    <w:tr2bl w:val="nil"/>
                  </w:tcBorders>
                  <w:shd w:val="clear" w:color="auto" w:fill="auto"/>
                  <w:vAlign w:val="center"/>
                </w:tcPr>
                <w:p w14:paraId="5E410A22">
                  <w:pPr>
                    <w:jc w:val="center"/>
                    <w:rPr>
                      <w:rFonts w:ascii="Times New Roman" w:hAnsi="Times New Roman" w:cs="Times New Roman"/>
                      <w:color w:val="auto"/>
                      <w:sz w:val="21"/>
                      <w:szCs w:val="21"/>
                      <w:lang w:bidi="ar-SA"/>
                    </w:rPr>
                  </w:pPr>
                  <w:r>
                    <w:rPr>
                      <w:rFonts w:hint="eastAsia" w:ascii="Times New Roman"/>
                      <w:snapToGrid w:val="0"/>
                      <w:color w:val="auto"/>
                      <w:kern w:val="21"/>
                      <w:szCs w:val="21"/>
                    </w:rPr>
                    <w:t>2.09</w:t>
                  </w:r>
                </w:p>
              </w:tc>
              <w:tc>
                <w:tcPr>
                  <w:tcW w:w="770" w:type="pct"/>
                  <w:tcBorders>
                    <w:tl2br w:val="nil"/>
                    <w:tr2bl w:val="nil"/>
                  </w:tcBorders>
                  <w:shd w:val="clear" w:color="auto" w:fill="auto"/>
                  <w:vAlign w:val="center"/>
                </w:tcPr>
                <w:p w14:paraId="40BE54F2">
                  <w:pPr>
                    <w:jc w:val="center"/>
                    <w:rPr>
                      <w:rFonts w:ascii="Times New Roman" w:hAnsi="Times New Roman" w:cs="Times New Roman"/>
                      <w:color w:val="auto"/>
                      <w:sz w:val="21"/>
                      <w:szCs w:val="21"/>
                      <w:highlight w:val="yellow"/>
                      <w:lang w:bidi="ar-SA"/>
                    </w:rPr>
                  </w:pPr>
                  <w:r>
                    <w:rPr>
                      <w:rFonts w:hint="eastAsia" w:ascii="Times New Roman"/>
                      <w:snapToGrid w:val="0"/>
                      <w:color w:val="auto"/>
                      <w:kern w:val="21"/>
                      <w:szCs w:val="21"/>
                    </w:rPr>
                    <w:t>4.3</w:t>
                  </w:r>
                </w:p>
              </w:tc>
              <w:tc>
                <w:tcPr>
                  <w:tcW w:w="750" w:type="pct"/>
                  <w:tcBorders>
                    <w:tl2br w:val="nil"/>
                    <w:tr2bl w:val="nil"/>
                  </w:tcBorders>
                  <w:shd w:val="clear" w:color="auto" w:fill="auto"/>
                  <w:vAlign w:val="center"/>
                </w:tcPr>
                <w:p w14:paraId="14B68EC2">
                  <w:pPr>
                    <w:jc w:val="center"/>
                    <w:rPr>
                      <w:rFonts w:ascii="Times New Roman" w:hAnsi="Times New Roman" w:cs="Times New Roman"/>
                      <w:color w:val="auto"/>
                      <w:sz w:val="21"/>
                      <w:szCs w:val="21"/>
                      <w:lang w:bidi="ar-SA"/>
                    </w:rPr>
                  </w:pPr>
                  <w:r>
                    <w:rPr>
                      <w:rFonts w:hint="eastAsia" w:ascii="Times New Roman"/>
                      <w:snapToGrid w:val="0"/>
                      <w:color w:val="auto"/>
                      <w:kern w:val="21"/>
                      <w:szCs w:val="21"/>
                    </w:rPr>
                    <w:t>2.09</w:t>
                  </w:r>
                </w:p>
              </w:tc>
              <w:tc>
                <w:tcPr>
                  <w:tcW w:w="741" w:type="pct"/>
                  <w:tcBorders>
                    <w:tl2br w:val="nil"/>
                    <w:tr2bl w:val="nil"/>
                  </w:tcBorders>
                  <w:shd w:val="clear" w:color="auto" w:fill="auto"/>
                  <w:vAlign w:val="center"/>
                </w:tcPr>
                <w:p w14:paraId="39D75C18">
                  <w:pPr>
                    <w:jc w:val="center"/>
                    <w:rPr>
                      <w:rFonts w:ascii="Times New Roman" w:hAnsi="Times New Roman" w:cs="Times New Roman"/>
                      <w:color w:val="auto"/>
                      <w:sz w:val="21"/>
                      <w:szCs w:val="21"/>
                      <w:lang w:bidi="ar-SA"/>
                    </w:rPr>
                  </w:pPr>
                  <w:r>
                    <w:rPr>
                      <w:rFonts w:hint="eastAsia" w:ascii="Times New Roman"/>
                      <w:snapToGrid w:val="0"/>
                      <w:color w:val="auto"/>
                      <w:kern w:val="21"/>
                      <w:szCs w:val="21"/>
                    </w:rPr>
                    <w:t>4.3</w:t>
                  </w:r>
                </w:p>
              </w:tc>
              <w:tc>
                <w:tcPr>
                  <w:tcW w:w="810" w:type="pct"/>
                  <w:tcBorders>
                    <w:tl2br w:val="nil"/>
                    <w:tr2bl w:val="nil"/>
                  </w:tcBorders>
                  <w:shd w:val="clear" w:color="auto" w:fill="auto"/>
                </w:tcPr>
                <w:p w14:paraId="23EC7974">
                  <w:pPr>
                    <w:jc w:val="center"/>
                    <w:rPr>
                      <w:rFonts w:ascii="Times New Roman" w:hAnsi="Times New Roman" w:cs="Times New Roman"/>
                      <w:color w:val="auto"/>
                      <w:sz w:val="21"/>
                      <w:szCs w:val="21"/>
                      <w:lang w:bidi="ar-SA"/>
                    </w:rPr>
                  </w:pPr>
                  <w:r>
                    <w:rPr>
                      <w:rFonts w:hint="eastAsia" w:ascii="Times New Roman"/>
                      <w:snapToGrid w:val="0"/>
                      <w:color w:val="auto"/>
                      <w:kern w:val="21"/>
                      <w:szCs w:val="21"/>
                    </w:rPr>
                    <w:t>+2.21</w:t>
                  </w:r>
                </w:p>
              </w:tc>
            </w:tr>
            <w:tr w14:paraId="5039F7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81" w:type="pct"/>
                  <w:vMerge w:val="continue"/>
                  <w:tcBorders>
                    <w:tl2br w:val="nil"/>
                    <w:tr2bl w:val="nil"/>
                  </w:tcBorders>
                  <w:vAlign w:val="center"/>
                </w:tcPr>
                <w:p w14:paraId="3B82ABA7">
                  <w:pPr>
                    <w:jc w:val="center"/>
                    <w:rPr>
                      <w:rFonts w:ascii="Times New Roman" w:hAnsi="Times New Roman" w:cs="Times New Roman"/>
                      <w:color w:val="auto"/>
                      <w:sz w:val="21"/>
                      <w:szCs w:val="21"/>
                      <w:lang w:bidi="ar-SA"/>
                    </w:rPr>
                  </w:pPr>
                </w:p>
              </w:tc>
              <w:tc>
                <w:tcPr>
                  <w:tcW w:w="728" w:type="pct"/>
                  <w:tcBorders>
                    <w:tl2br w:val="nil"/>
                    <w:tr2bl w:val="nil"/>
                  </w:tcBorders>
                  <w:shd w:val="clear" w:color="auto" w:fill="auto"/>
                  <w:vAlign w:val="center"/>
                </w:tcPr>
                <w:p w14:paraId="715B2283">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颗粒物</w:t>
                  </w:r>
                </w:p>
              </w:tc>
              <w:tc>
                <w:tcPr>
                  <w:tcW w:w="717" w:type="pct"/>
                  <w:tcBorders>
                    <w:tl2br w:val="nil"/>
                    <w:tr2bl w:val="nil"/>
                  </w:tcBorders>
                  <w:shd w:val="clear" w:color="auto" w:fill="auto"/>
                  <w:vAlign w:val="center"/>
                </w:tcPr>
                <w:p w14:paraId="409DDCA1">
                  <w:pPr>
                    <w:jc w:val="center"/>
                    <w:rPr>
                      <w:rFonts w:hint="default" w:ascii="Times New Roman" w:hAnsi="Times New Roman" w:eastAsia="宋体" w:cs="Times New Roman"/>
                      <w:color w:val="auto"/>
                      <w:sz w:val="21"/>
                      <w:szCs w:val="21"/>
                      <w:lang w:val="en-US" w:eastAsia="zh-CN" w:bidi="ar-SA"/>
                    </w:rPr>
                  </w:pPr>
                  <w:r>
                    <w:rPr>
                      <w:rFonts w:hint="eastAsia"/>
                      <w:snapToGrid w:val="0"/>
                      <w:color w:val="auto"/>
                      <w:kern w:val="21"/>
                      <w:szCs w:val="21"/>
                      <w:lang w:val="en-US" w:eastAsia="zh-CN"/>
                    </w:rPr>
                    <w:t>0.041</w:t>
                  </w:r>
                </w:p>
              </w:tc>
              <w:tc>
                <w:tcPr>
                  <w:tcW w:w="770" w:type="pct"/>
                  <w:tcBorders>
                    <w:tl2br w:val="nil"/>
                    <w:tr2bl w:val="nil"/>
                  </w:tcBorders>
                  <w:shd w:val="clear" w:color="auto" w:fill="auto"/>
                  <w:vAlign w:val="center"/>
                </w:tcPr>
                <w:p w14:paraId="2ED05A26">
                  <w:pPr>
                    <w:jc w:val="center"/>
                    <w:rPr>
                      <w:rFonts w:hint="default" w:ascii="Times New Roman" w:hAnsi="Times New Roman" w:eastAsia="宋体" w:cs="Times New Roman"/>
                      <w:color w:val="auto"/>
                      <w:sz w:val="21"/>
                      <w:szCs w:val="21"/>
                      <w:highlight w:val="yellow"/>
                      <w:lang w:val="en-US" w:eastAsia="zh-CN" w:bidi="ar-SA"/>
                    </w:rPr>
                  </w:pPr>
                  <w:r>
                    <w:rPr>
                      <w:rFonts w:hint="eastAsia"/>
                      <w:snapToGrid w:val="0"/>
                      <w:color w:val="auto"/>
                      <w:kern w:val="21"/>
                      <w:szCs w:val="21"/>
                      <w:lang w:val="en-US" w:eastAsia="zh-CN"/>
                    </w:rPr>
                    <w:t>0.043</w:t>
                  </w:r>
                </w:p>
              </w:tc>
              <w:tc>
                <w:tcPr>
                  <w:tcW w:w="750" w:type="pct"/>
                  <w:tcBorders>
                    <w:tl2br w:val="nil"/>
                    <w:tr2bl w:val="nil"/>
                  </w:tcBorders>
                  <w:shd w:val="clear" w:color="auto" w:fill="auto"/>
                  <w:vAlign w:val="center"/>
                </w:tcPr>
                <w:p w14:paraId="62BF6CBC">
                  <w:pPr>
                    <w:jc w:val="center"/>
                    <w:rPr>
                      <w:rFonts w:ascii="Times New Roman" w:hAnsi="Times New Roman" w:cs="Times New Roman"/>
                      <w:color w:val="auto"/>
                      <w:sz w:val="21"/>
                      <w:szCs w:val="21"/>
                      <w:lang w:bidi="ar-SA"/>
                    </w:rPr>
                  </w:pPr>
                  <w:r>
                    <w:rPr>
                      <w:rFonts w:hint="eastAsia"/>
                      <w:snapToGrid w:val="0"/>
                      <w:color w:val="auto"/>
                      <w:kern w:val="21"/>
                      <w:szCs w:val="21"/>
                      <w:lang w:val="en-US" w:eastAsia="zh-CN"/>
                    </w:rPr>
                    <w:t>0.041</w:t>
                  </w:r>
                </w:p>
              </w:tc>
              <w:tc>
                <w:tcPr>
                  <w:tcW w:w="741" w:type="pct"/>
                  <w:tcBorders>
                    <w:tl2br w:val="nil"/>
                    <w:tr2bl w:val="nil"/>
                  </w:tcBorders>
                  <w:shd w:val="clear" w:color="auto" w:fill="auto"/>
                  <w:vAlign w:val="center"/>
                </w:tcPr>
                <w:p w14:paraId="2166A52F">
                  <w:pPr>
                    <w:jc w:val="center"/>
                    <w:rPr>
                      <w:rFonts w:hint="default" w:ascii="Times New Roman" w:hAnsi="Times New Roman" w:eastAsia="宋体" w:cs="Times New Roman"/>
                      <w:color w:val="auto"/>
                      <w:sz w:val="21"/>
                      <w:szCs w:val="21"/>
                      <w:lang w:val="en-US" w:eastAsia="zh-CN" w:bidi="ar-SA"/>
                    </w:rPr>
                  </w:pPr>
                  <w:r>
                    <w:rPr>
                      <w:rFonts w:hint="eastAsia"/>
                      <w:snapToGrid w:val="0"/>
                      <w:color w:val="auto"/>
                      <w:kern w:val="21"/>
                      <w:szCs w:val="21"/>
                      <w:lang w:val="en-US" w:eastAsia="zh-CN"/>
                    </w:rPr>
                    <w:t>0.043</w:t>
                  </w:r>
                </w:p>
              </w:tc>
              <w:tc>
                <w:tcPr>
                  <w:tcW w:w="810" w:type="pct"/>
                  <w:tcBorders>
                    <w:tl2br w:val="nil"/>
                    <w:tr2bl w:val="nil"/>
                  </w:tcBorders>
                  <w:shd w:val="clear" w:color="auto" w:fill="auto"/>
                </w:tcPr>
                <w:p w14:paraId="22A7CA06">
                  <w:pPr>
                    <w:jc w:val="center"/>
                    <w:rPr>
                      <w:rFonts w:hint="default" w:ascii="Times New Roman" w:hAnsi="Times New Roman" w:eastAsia="宋体" w:cs="Times New Roman"/>
                      <w:color w:val="auto"/>
                      <w:sz w:val="21"/>
                      <w:szCs w:val="21"/>
                      <w:lang w:val="en-US" w:eastAsia="zh-CN" w:bidi="ar-SA"/>
                    </w:rPr>
                  </w:pPr>
                  <w:r>
                    <w:rPr>
                      <w:rFonts w:hint="eastAsia" w:ascii="Times New Roman"/>
                      <w:snapToGrid w:val="0"/>
                      <w:color w:val="auto"/>
                      <w:kern w:val="21"/>
                      <w:szCs w:val="21"/>
                    </w:rPr>
                    <w:t>+0.</w:t>
                  </w:r>
                  <w:r>
                    <w:rPr>
                      <w:rFonts w:hint="eastAsia"/>
                      <w:snapToGrid w:val="0"/>
                      <w:color w:val="auto"/>
                      <w:kern w:val="21"/>
                      <w:szCs w:val="21"/>
                      <w:lang w:val="en-US" w:eastAsia="zh-CN"/>
                    </w:rPr>
                    <w:t>002</w:t>
                  </w:r>
                </w:p>
              </w:tc>
            </w:tr>
            <w:tr w14:paraId="5B1A40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209" w:type="pct"/>
                  <w:gridSpan w:val="2"/>
                  <w:tcBorders>
                    <w:tl2br w:val="nil"/>
                    <w:tr2bl w:val="nil"/>
                  </w:tcBorders>
                  <w:shd w:val="clear" w:color="auto" w:fill="auto"/>
                  <w:vAlign w:val="center"/>
                </w:tcPr>
                <w:p w14:paraId="6C2A285D">
                  <w:pPr>
                    <w:jc w:val="center"/>
                    <w:rPr>
                      <w:rFonts w:ascii="Times New Roman" w:hAnsi="Times New Roman" w:cs="Times New Roman"/>
                      <w:color w:val="auto"/>
                      <w:sz w:val="21"/>
                      <w:szCs w:val="21"/>
                    </w:rPr>
                  </w:pPr>
                  <w:r>
                    <w:rPr>
                      <w:rFonts w:ascii="Times New Roman" w:hAnsi="Times New Roman" w:cs="Times New Roman"/>
                      <w:color w:val="auto"/>
                      <w:sz w:val="21"/>
                      <w:szCs w:val="21"/>
                      <w:lang w:bidi="ar-SA"/>
                    </w:rPr>
                    <w:t>废水</w:t>
                  </w:r>
                </w:p>
              </w:tc>
              <w:tc>
                <w:tcPr>
                  <w:tcW w:w="717" w:type="pct"/>
                  <w:tcBorders>
                    <w:tl2br w:val="nil"/>
                    <w:tr2bl w:val="nil"/>
                  </w:tcBorders>
                  <w:shd w:val="clear" w:color="auto" w:fill="auto"/>
                  <w:vAlign w:val="center"/>
                </w:tcPr>
                <w:p w14:paraId="6C158A2B">
                  <w:pPr>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0</w:t>
                  </w:r>
                </w:p>
              </w:tc>
              <w:tc>
                <w:tcPr>
                  <w:tcW w:w="770" w:type="pct"/>
                  <w:tcBorders>
                    <w:tl2br w:val="nil"/>
                    <w:tr2bl w:val="nil"/>
                  </w:tcBorders>
                  <w:shd w:val="clear" w:color="auto" w:fill="auto"/>
                  <w:vAlign w:val="center"/>
                </w:tcPr>
                <w:p w14:paraId="0E456B2E">
                  <w:pPr>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0</w:t>
                  </w:r>
                </w:p>
              </w:tc>
              <w:tc>
                <w:tcPr>
                  <w:tcW w:w="750" w:type="pct"/>
                  <w:tcBorders>
                    <w:tl2br w:val="nil"/>
                    <w:tr2bl w:val="nil"/>
                  </w:tcBorders>
                  <w:shd w:val="clear" w:color="auto" w:fill="auto"/>
                  <w:vAlign w:val="center"/>
                </w:tcPr>
                <w:p w14:paraId="3FA78A02">
                  <w:pPr>
                    <w:jc w:val="center"/>
                    <w:rPr>
                      <w:rFonts w:ascii="Times New Roman" w:hAnsi="Times New Roman" w:cs="Times New Roman"/>
                      <w:color w:val="auto"/>
                      <w:sz w:val="21"/>
                      <w:szCs w:val="21"/>
                    </w:rPr>
                  </w:pPr>
                  <w:r>
                    <w:rPr>
                      <w:rFonts w:ascii="Times New Roman" w:hAnsi="Times New Roman" w:cs="Times New Roman"/>
                      <w:color w:val="auto"/>
                      <w:sz w:val="21"/>
                      <w:szCs w:val="21"/>
                      <w:lang w:bidi="ar-SA"/>
                    </w:rPr>
                    <w:t>——</w:t>
                  </w:r>
                </w:p>
              </w:tc>
              <w:tc>
                <w:tcPr>
                  <w:tcW w:w="741" w:type="pct"/>
                  <w:tcBorders>
                    <w:tl2br w:val="nil"/>
                    <w:tr2bl w:val="nil"/>
                  </w:tcBorders>
                  <w:shd w:val="clear" w:color="auto" w:fill="auto"/>
                  <w:vAlign w:val="center"/>
                </w:tcPr>
                <w:p w14:paraId="05947921">
                  <w:pPr>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0</w:t>
                  </w:r>
                </w:p>
              </w:tc>
              <w:tc>
                <w:tcPr>
                  <w:tcW w:w="810" w:type="pct"/>
                  <w:tcBorders>
                    <w:tl2br w:val="nil"/>
                    <w:tr2bl w:val="nil"/>
                  </w:tcBorders>
                  <w:shd w:val="clear" w:color="auto" w:fill="auto"/>
                  <w:vAlign w:val="center"/>
                </w:tcPr>
                <w:p w14:paraId="4EEC3AAA">
                  <w:pPr>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0</w:t>
                  </w:r>
                </w:p>
              </w:tc>
            </w:tr>
            <w:tr w14:paraId="39F318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8" w:hRule="atLeast"/>
              </w:trPr>
              <w:tc>
                <w:tcPr>
                  <w:tcW w:w="481" w:type="pct"/>
                  <w:tcBorders>
                    <w:tl2br w:val="nil"/>
                    <w:tr2bl w:val="nil"/>
                  </w:tcBorders>
                  <w:shd w:val="clear" w:color="auto" w:fill="auto"/>
                  <w:vAlign w:val="center"/>
                </w:tcPr>
                <w:p w14:paraId="40F6D027">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固体废物</w:t>
                  </w:r>
                </w:p>
              </w:tc>
              <w:tc>
                <w:tcPr>
                  <w:tcW w:w="728" w:type="pct"/>
                  <w:tcBorders>
                    <w:tl2br w:val="nil"/>
                    <w:tr2bl w:val="nil"/>
                  </w:tcBorders>
                  <w:shd w:val="clear" w:color="auto" w:fill="auto"/>
                  <w:vAlign w:val="center"/>
                </w:tcPr>
                <w:p w14:paraId="7DBA810E">
                  <w:pPr>
                    <w:jc w:val="center"/>
                    <w:rPr>
                      <w:rFonts w:ascii="Times New Roman" w:hAnsi="Times New Roman" w:cs="Times New Roman"/>
                      <w:color w:val="auto"/>
                      <w:sz w:val="21"/>
                      <w:szCs w:val="21"/>
                      <w:lang w:bidi="ar-SA"/>
                    </w:rPr>
                  </w:pPr>
                  <w:r>
                    <w:rPr>
                      <w:rFonts w:hint="eastAsia"/>
                      <w:snapToGrid w:val="0"/>
                      <w:color w:val="auto"/>
                      <w:kern w:val="21"/>
                      <w:szCs w:val="21"/>
                    </w:rPr>
                    <w:t>热风炉灰渣</w:t>
                  </w:r>
                </w:p>
              </w:tc>
              <w:tc>
                <w:tcPr>
                  <w:tcW w:w="717" w:type="pct"/>
                  <w:tcBorders>
                    <w:tl2br w:val="nil"/>
                    <w:tr2bl w:val="nil"/>
                  </w:tcBorders>
                  <w:shd w:val="clear" w:color="auto" w:fill="auto"/>
                  <w:vAlign w:val="center"/>
                </w:tcPr>
                <w:p w14:paraId="59D5A200">
                  <w:pPr>
                    <w:jc w:val="center"/>
                    <w:rPr>
                      <w:rFonts w:hint="eastAsia" w:ascii="Times New Roman" w:hAnsi="Times New Roman" w:eastAsia="宋体" w:cs="Times New Roman"/>
                      <w:color w:val="auto"/>
                      <w:sz w:val="21"/>
                      <w:szCs w:val="21"/>
                      <w:lang w:eastAsia="zh-CN" w:bidi="ar-SA"/>
                    </w:rPr>
                  </w:pPr>
                  <w:r>
                    <w:rPr>
                      <w:rFonts w:hint="eastAsia" w:ascii="Times New Roman" w:hAnsi="Times New Roman" w:cs="Times New Roman"/>
                      <w:color w:val="auto"/>
                      <w:sz w:val="21"/>
                      <w:szCs w:val="21"/>
                      <w:lang w:val="en-US" w:eastAsia="zh-CN"/>
                    </w:rPr>
                    <w:t>0</w:t>
                  </w:r>
                </w:p>
              </w:tc>
              <w:tc>
                <w:tcPr>
                  <w:tcW w:w="770" w:type="pct"/>
                  <w:tcBorders>
                    <w:tl2br w:val="nil"/>
                    <w:tr2bl w:val="nil"/>
                  </w:tcBorders>
                  <w:shd w:val="clear" w:color="auto" w:fill="auto"/>
                  <w:vAlign w:val="center"/>
                </w:tcPr>
                <w:p w14:paraId="059A1E6C">
                  <w:pPr>
                    <w:jc w:val="center"/>
                    <w:rPr>
                      <w:rFonts w:ascii="Times New Roman" w:hAnsi="Times New Roman" w:cs="Times New Roman"/>
                      <w:color w:val="auto"/>
                      <w:sz w:val="21"/>
                      <w:szCs w:val="21"/>
                      <w:lang w:bidi="ar-SA"/>
                    </w:rPr>
                  </w:pPr>
                  <w:r>
                    <w:rPr>
                      <w:snapToGrid w:val="0"/>
                      <w:color w:val="auto"/>
                      <w:kern w:val="21"/>
                      <w:szCs w:val="21"/>
                    </w:rPr>
                    <w:t>121.88</w:t>
                  </w:r>
                </w:p>
              </w:tc>
              <w:tc>
                <w:tcPr>
                  <w:tcW w:w="750" w:type="pct"/>
                  <w:tcBorders>
                    <w:tl2br w:val="nil"/>
                    <w:tr2bl w:val="nil"/>
                  </w:tcBorders>
                  <w:shd w:val="clear" w:color="auto" w:fill="auto"/>
                  <w:vAlign w:val="center"/>
                </w:tcPr>
                <w:p w14:paraId="7E0AC3B3">
                  <w:pPr>
                    <w:jc w:val="center"/>
                    <w:rPr>
                      <w:rFonts w:ascii="Times New Roman" w:hAnsi="Times New Roman" w:cs="Times New Roman"/>
                      <w:color w:val="auto"/>
                      <w:sz w:val="21"/>
                      <w:szCs w:val="21"/>
                      <w:lang w:bidi="ar-SA"/>
                    </w:rPr>
                  </w:pPr>
                  <w:r>
                    <w:rPr>
                      <w:rFonts w:ascii="Times New Roman" w:hAnsi="Times New Roman" w:cs="Times New Roman"/>
                      <w:color w:val="auto"/>
                      <w:sz w:val="21"/>
                      <w:szCs w:val="21"/>
                      <w:lang w:bidi="ar-SA"/>
                    </w:rPr>
                    <w:t>——</w:t>
                  </w:r>
                </w:p>
              </w:tc>
              <w:tc>
                <w:tcPr>
                  <w:tcW w:w="741" w:type="pct"/>
                  <w:tcBorders>
                    <w:tl2br w:val="nil"/>
                    <w:tr2bl w:val="nil"/>
                  </w:tcBorders>
                  <w:shd w:val="clear" w:color="auto" w:fill="auto"/>
                  <w:vAlign w:val="center"/>
                </w:tcPr>
                <w:p w14:paraId="24BE2066">
                  <w:pPr>
                    <w:jc w:val="center"/>
                    <w:rPr>
                      <w:rFonts w:ascii="Times New Roman" w:hAnsi="Times New Roman" w:cs="Times New Roman"/>
                      <w:color w:val="auto"/>
                      <w:sz w:val="21"/>
                      <w:szCs w:val="21"/>
                      <w:lang w:bidi="ar-SA"/>
                    </w:rPr>
                  </w:pPr>
                  <w:r>
                    <w:rPr>
                      <w:snapToGrid w:val="0"/>
                      <w:color w:val="auto"/>
                      <w:kern w:val="21"/>
                      <w:szCs w:val="21"/>
                    </w:rPr>
                    <w:t>121.88</w:t>
                  </w:r>
                </w:p>
              </w:tc>
              <w:tc>
                <w:tcPr>
                  <w:tcW w:w="810" w:type="pct"/>
                  <w:tcBorders>
                    <w:tl2br w:val="nil"/>
                    <w:tr2bl w:val="nil"/>
                  </w:tcBorders>
                  <w:shd w:val="clear" w:color="auto" w:fill="auto"/>
                  <w:vAlign w:val="center"/>
                </w:tcPr>
                <w:p w14:paraId="17EF8F78">
                  <w:pPr>
                    <w:jc w:val="center"/>
                    <w:rPr>
                      <w:rFonts w:ascii="Times New Roman" w:hAnsi="Times New Roman" w:cs="Times New Roman"/>
                      <w:color w:val="auto"/>
                      <w:sz w:val="21"/>
                      <w:szCs w:val="21"/>
                      <w:lang w:bidi="ar-SA"/>
                    </w:rPr>
                  </w:pPr>
                  <w:r>
                    <w:rPr>
                      <w:rFonts w:hint="eastAsia" w:ascii="Times New Roman"/>
                      <w:snapToGrid w:val="0"/>
                      <w:color w:val="auto"/>
                      <w:kern w:val="21"/>
                      <w:szCs w:val="21"/>
                    </w:rPr>
                    <w:t>+</w:t>
                  </w:r>
                  <w:r>
                    <w:rPr>
                      <w:snapToGrid w:val="0"/>
                      <w:color w:val="auto"/>
                      <w:kern w:val="21"/>
                      <w:szCs w:val="21"/>
                    </w:rPr>
                    <w:t>121.88</w:t>
                  </w:r>
                </w:p>
              </w:tc>
            </w:tr>
          </w:tbl>
          <w:p w14:paraId="5D6A0F16">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注：现有工程污染物排放量为</w:t>
            </w:r>
            <w:r>
              <w:rPr>
                <w:rFonts w:hint="default" w:ascii="Times New Roman" w:hAnsi="Times New Roman" w:eastAsia="宋体" w:cs="Times New Roman"/>
                <w:color w:val="auto"/>
                <w:sz w:val="21"/>
                <w:szCs w:val="21"/>
                <w:highlight w:val="none"/>
                <w:lang w:val="en-US" w:eastAsia="zh-CN"/>
              </w:rPr>
              <w:t>利用粉煤灰生产聚合氯化铝技改扩建项目一期工程固体聚合氯化铝生产线</w:t>
            </w:r>
            <w:r>
              <w:rPr>
                <w:rFonts w:hint="eastAsia" w:ascii="Times New Roman" w:hAnsi="Times New Roman" w:eastAsia="宋体" w:cs="Times New Roman"/>
                <w:color w:val="auto"/>
                <w:sz w:val="21"/>
                <w:szCs w:val="21"/>
                <w:highlight w:val="none"/>
                <w:lang w:val="en-US" w:eastAsia="zh-CN"/>
              </w:rPr>
              <w:t>污染物排放量。</w:t>
            </w:r>
          </w:p>
          <w:p w14:paraId="1C9C472A">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eastAsia"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6</w:t>
            </w:r>
            <w:r>
              <w:rPr>
                <w:rFonts w:hint="eastAsia" w:ascii="Times New Roman" w:hAnsi="Times New Roman" w:eastAsia="宋体" w:cs="Times New Roman"/>
                <w:b/>
                <w:bCs/>
                <w:color w:val="auto"/>
                <w:sz w:val="24"/>
                <w:szCs w:val="24"/>
                <w:highlight w:val="none"/>
                <w:lang w:val="en-US" w:eastAsia="zh-CN"/>
              </w:rPr>
              <w:t>、环保投资预算</w:t>
            </w:r>
          </w:p>
          <w:p w14:paraId="5C5C2173">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本项目总投资300万元 ，其中环保投资为</w:t>
            </w:r>
            <w:r>
              <w:rPr>
                <w:rFonts w:hint="eastAsia" w:cs="Times New Roman"/>
                <w:color w:val="auto"/>
                <w:sz w:val="24"/>
                <w:szCs w:val="24"/>
                <w:highlight w:val="none"/>
                <w:lang w:val="en-US" w:eastAsia="zh-CN"/>
              </w:rPr>
              <w:t>18</w:t>
            </w:r>
            <w:r>
              <w:rPr>
                <w:rFonts w:hint="eastAsia" w:ascii="Times New Roman" w:hAnsi="Times New Roman" w:eastAsia="宋体" w:cs="Times New Roman"/>
                <w:color w:val="auto"/>
                <w:sz w:val="24"/>
                <w:szCs w:val="24"/>
                <w:highlight w:val="none"/>
                <w:lang w:val="en-US" w:eastAsia="zh-CN"/>
              </w:rPr>
              <w:t>万元，环保投资占总投资的</w:t>
            </w:r>
            <w:r>
              <w:rPr>
                <w:rFonts w:hint="eastAsia" w:cs="Times New Roman"/>
                <w:color w:val="auto"/>
                <w:sz w:val="24"/>
                <w:szCs w:val="24"/>
                <w:highlight w:val="none"/>
                <w:lang w:val="en-US" w:eastAsia="zh-CN"/>
              </w:rPr>
              <w:t>6</w:t>
            </w:r>
            <w:r>
              <w:rPr>
                <w:rFonts w:hint="eastAsia" w:ascii="Times New Roman" w:hAnsi="Times New Roman" w:eastAsia="宋体" w:cs="Times New Roman"/>
                <w:color w:val="auto"/>
                <w:sz w:val="24"/>
                <w:szCs w:val="24"/>
                <w:highlight w:val="none"/>
                <w:lang w:val="en-US" w:eastAsia="zh-CN"/>
              </w:rPr>
              <w:t>%。环保投资估算明细表见下表。</w:t>
            </w:r>
          </w:p>
          <w:p w14:paraId="3E2CEE15">
            <w:pPr>
              <w:pStyle w:val="16"/>
              <w:keepNext w:val="0"/>
              <w:keepLines w:val="0"/>
              <w:pageBreakBefore w:val="0"/>
              <w:widowControl/>
              <w:kinsoku/>
              <w:wordWrap/>
              <w:overflowPunct/>
              <w:topLinePunct w:val="0"/>
              <w:autoSpaceDE/>
              <w:autoSpaceDN/>
              <w:bidi w:val="0"/>
              <w:adjustRightInd/>
              <w:snapToGrid/>
              <w:spacing w:line="480" w:lineRule="exact"/>
              <w:jc w:val="center"/>
              <w:textAlignment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表4-1</w:t>
            </w:r>
            <w:r>
              <w:rPr>
                <w:rFonts w:hint="eastAsia"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 xml:space="preserve">  环保投资一览表</w:t>
            </w:r>
          </w:p>
          <w:tbl>
            <w:tblPr>
              <w:tblStyle w:val="10"/>
              <w:tblpPr w:leftFromText="180" w:rightFromText="180" w:vertAnchor="text" w:horzAnchor="page" w:tblpX="67" w:tblpY="24"/>
              <w:tblOverlap w:val="never"/>
              <w:tblW w:w="5000" w:type="pct"/>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33"/>
              <w:gridCol w:w="5507"/>
              <w:gridCol w:w="1606"/>
            </w:tblGrid>
            <w:tr w14:paraId="4D6E60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5" w:hRule="atLeast"/>
              </w:trPr>
              <w:tc>
                <w:tcPr>
                  <w:tcW w:w="524" w:type="pct"/>
                  <w:tcBorders>
                    <w:tl2br w:val="nil"/>
                    <w:tr2bl w:val="nil"/>
                  </w:tcBorders>
                  <w:noWrap w:val="0"/>
                  <w:vAlign w:val="center"/>
                </w:tcPr>
                <w:p w14:paraId="637EB1DF">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bCs/>
                      <w:color w:val="auto"/>
                      <w:szCs w:val="21"/>
                    </w:rPr>
                    <w:t>项目</w:t>
                  </w:r>
                </w:p>
              </w:tc>
              <w:tc>
                <w:tcPr>
                  <w:tcW w:w="3464" w:type="pct"/>
                  <w:tcBorders>
                    <w:tl2br w:val="nil"/>
                    <w:tr2bl w:val="nil"/>
                  </w:tcBorders>
                  <w:noWrap w:val="0"/>
                  <w:vAlign w:val="center"/>
                </w:tcPr>
                <w:p w14:paraId="0E86069C">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内容</w:t>
                  </w:r>
                </w:p>
              </w:tc>
              <w:tc>
                <w:tcPr>
                  <w:tcW w:w="1010" w:type="pct"/>
                  <w:tcBorders>
                    <w:tl2br w:val="nil"/>
                    <w:tr2bl w:val="nil"/>
                  </w:tcBorders>
                  <w:noWrap w:val="0"/>
                  <w:vAlign w:val="center"/>
                </w:tcPr>
                <w:p w14:paraId="0D84C435">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投资（万元）</w:t>
                  </w:r>
                </w:p>
              </w:tc>
            </w:tr>
            <w:tr w14:paraId="6D36AC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trPr>
              <w:tc>
                <w:tcPr>
                  <w:tcW w:w="524" w:type="pct"/>
                  <w:vMerge w:val="restart"/>
                  <w:tcBorders>
                    <w:tl2br w:val="nil"/>
                    <w:tr2bl w:val="nil"/>
                  </w:tcBorders>
                  <w:noWrap w:val="0"/>
                  <w:vAlign w:val="center"/>
                </w:tcPr>
                <w:p w14:paraId="059EA785">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废气</w:t>
                  </w:r>
                </w:p>
              </w:tc>
              <w:tc>
                <w:tcPr>
                  <w:tcW w:w="3464" w:type="pct"/>
                  <w:tcBorders>
                    <w:tl2br w:val="nil"/>
                    <w:tr2bl w:val="nil"/>
                  </w:tcBorders>
                  <w:noWrap w:val="0"/>
                  <w:vAlign w:val="center"/>
                </w:tcPr>
                <w:p w14:paraId="39A0066D">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全封闭燃煤棚</w:t>
                  </w:r>
                </w:p>
              </w:tc>
              <w:tc>
                <w:tcPr>
                  <w:tcW w:w="1010" w:type="pct"/>
                  <w:tcBorders>
                    <w:tl2br w:val="nil"/>
                    <w:tr2bl w:val="nil"/>
                  </w:tcBorders>
                  <w:noWrap w:val="0"/>
                  <w:vAlign w:val="center"/>
                </w:tcPr>
                <w:p w14:paraId="50E25CD3">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5</w:t>
                  </w:r>
                </w:p>
              </w:tc>
            </w:tr>
            <w:tr w14:paraId="2BEAD9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trPr>
              <w:tc>
                <w:tcPr>
                  <w:tcW w:w="524" w:type="pct"/>
                  <w:vMerge w:val="continue"/>
                  <w:tcBorders>
                    <w:tl2br w:val="nil"/>
                    <w:tr2bl w:val="nil"/>
                  </w:tcBorders>
                  <w:noWrap w:val="0"/>
                  <w:vAlign w:val="center"/>
                </w:tcPr>
                <w:p w14:paraId="352CE98A">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p>
              </w:tc>
              <w:tc>
                <w:tcPr>
                  <w:tcW w:w="3464" w:type="pct"/>
                  <w:tcBorders>
                    <w:tl2br w:val="nil"/>
                    <w:tr2bl w:val="nil"/>
                  </w:tcBorders>
                  <w:noWrap w:val="0"/>
                  <w:vAlign w:val="center"/>
                </w:tcPr>
                <w:p w14:paraId="526A7AC4">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全封闭</w:t>
                  </w:r>
                  <w:r>
                    <w:rPr>
                      <w:rFonts w:hint="eastAsia" w:cs="Times New Roman"/>
                      <w:b w:val="0"/>
                      <w:bCs/>
                      <w:color w:val="auto"/>
                      <w:sz w:val="21"/>
                      <w:szCs w:val="21"/>
                      <w:highlight w:val="none"/>
                      <w:lang w:val="en-US" w:eastAsia="zh-CN"/>
                    </w:rPr>
                    <w:t>灰渣棚</w:t>
                  </w:r>
                </w:p>
              </w:tc>
              <w:tc>
                <w:tcPr>
                  <w:tcW w:w="1010" w:type="pct"/>
                  <w:tcBorders>
                    <w:tl2br w:val="nil"/>
                    <w:tr2bl w:val="nil"/>
                  </w:tcBorders>
                  <w:noWrap w:val="0"/>
                  <w:vAlign w:val="center"/>
                </w:tcPr>
                <w:p w14:paraId="758717D2">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2</w:t>
                  </w:r>
                </w:p>
              </w:tc>
            </w:tr>
            <w:tr w14:paraId="434CDF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trPr>
              <w:tc>
                <w:tcPr>
                  <w:tcW w:w="524" w:type="pct"/>
                  <w:vMerge w:val="continue"/>
                  <w:tcBorders>
                    <w:tl2br w:val="nil"/>
                    <w:tr2bl w:val="nil"/>
                  </w:tcBorders>
                  <w:noWrap w:val="0"/>
                  <w:vAlign w:val="center"/>
                </w:tcPr>
                <w:p w14:paraId="4622AAEA">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p>
              </w:tc>
              <w:tc>
                <w:tcPr>
                  <w:tcW w:w="3464" w:type="pct"/>
                  <w:tcBorders>
                    <w:tl2br w:val="nil"/>
                    <w:tr2bl w:val="nil"/>
                  </w:tcBorders>
                  <w:noWrap w:val="0"/>
                  <w:vAlign w:val="center"/>
                </w:tcPr>
                <w:p w14:paraId="395FF763">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SNCR脱硝</w:t>
                  </w:r>
                </w:p>
              </w:tc>
              <w:tc>
                <w:tcPr>
                  <w:tcW w:w="1010" w:type="pct"/>
                  <w:tcBorders>
                    <w:tl2br w:val="nil"/>
                    <w:tr2bl w:val="nil"/>
                  </w:tcBorders>
                  <w:noWrap w:val="0"/>
                  <w:vAlign w:val="center"/>
                </w:tcPr>
                <w:p w14:paraId="4F181934">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6.5</w:t>
                  </w:r>
                </w:p>
              </w:tc>
            </w:tr>
            <w:tr w14:paraId="2ABC8B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trPr>
              <w:tc>
                <w:tcPr>
                  <w:tcW w:w="524" w:type="pct"/>
                  <w:tcBorders>
                    <w:tl2br w:val="nil"/>
                    <w:tr2bl w:val="nil"/>
                  </w:tcBorders>
                  <w:noWrap w:val="0"/>
                  <w:vAlign w:val="center"/>
                </w:tcPr>
                <w:p w14:paraId="2584F4FD">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噪声</w:t>
                  </w:r>
                </w:p>
              </w:tc>
              <w:tc>
                <w:tcPr>
                  <w:tcW w:w="3464" w:type="pct"/>
                  <w:tcBorders>
                    <w:tl2br w:val="nil"/>
                    <w:tr2bl w:val="nil"/>
                  </w:tcBorders>
                  <w:noWrap w:val="0"/>
                  <w:vAlign w:val="center"/>
                </w:tcPr>
                <w:p w14:paraId="340DEEDE">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cs="Times New Roman"/>
                      <w:color w:val="auto"/>
                      <w:sz w:val="21"/>
                      <w:szCs w:val="21"/>
                      <w:lang w:val="en-US" w:eastAsia="zh-CN"/>
                    </w:rPr>
                    <w:t>厂房隔声</w:t>
                  </w:r>
                  <w:r>
                    <w:rPr>
                      <w:rFonts w:ascii="Times New Roman" w:hAnsi="Times New Roman" w:cs="Times New Roman"/>
                      <w:color w:val="auto"/>
                      <w:sz w:val="21"/>
                      <w:szCs w:val="21"/>
                    </w:rPr>
                    <w:t>、基础减震</w:t>
                  </w:r>
                </w:p>
              </w:tc>
              <w:tc>
                <w:tcPr>
                  <w:tcW w:w="1010" w:type="pct"/>
                  <w:tcBorders>
                    <w:tl2br w:val="nil"/>
                    <w:tr2bl w:val="nil"/>
                  </w:tcBorders>
                  <w:noWrap w:val="0"/>
                  <w:vAlign w:val="center"/>
                </w:tcPr>
                <w:p w14:paraId="65C5AE77">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w:t>
                  </w:r>
                </w:p>
              </w:tc>
            </w:tr>
            <w:tr w14:paraId="6E9C5C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636" w:hRule="atLeast"/>
              </w:trPr>
              <w:tc>
                <w:tcPr>
                  <w:tcW w:w="524" w:type="pct"/>
                  <w:tcBorders>
                    <w:tl2br w:val="nil"/>
                    <w:tr2bl w:val="nil"/>
                  </w:tcBorders>
                  <w:noWrap w:val="0"/>
                  <w:vAlign w:val="center"/>
                </w:tcPr>
                <w:p w14:paraId="6D866E9B">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固体废物</w:t>
                  </w:r>
                </w:p>
              </w:tc>
              <w:tc>
                <w:tcPr>
                  <w:tcW w:w="3464" w:type="pct"/>
                  <w:tcBorders>
                    <w:tl2br w:val="nil"/>
                    <w:tr2bl w:val="nil"/>
                  </w:tcBorders>
                  <w:noWrap w:val="0"/>
                  <w:vAlign w:val="center"/>
                </w:tcPr>
                <w:p w14:paraId="60055D3D">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全封闭</w:t>
                  </w:r>
                  <w:r>
                    <w:rPr>
                      <w:rFonts w:hint="eastAsia" w:cs="Times New Roman"/>
                      <w:b w:val="0"/>
                      <w:bCs/>
                      <w:color w:val="auto"/>
                      <w:sz w:val="21"/>
                      <w:szCs w:val="21"/>
                      <w:highlight w:val="none"/>
                      <w:lang w:val="en-US" w:eastAsia="zh-CN"/>
                    </w:rPr>
                    <w:t>灰渣棚</w:t>
                  </w:r>
                </w:p>
              </w:tc>
              <w:tc>
                <w:tcPr>
                  <w:tcW w:w="1010" w:type="pct"/>
                  <w:tcBorders>
                    <w:tl2br w:val="nil"/>
                    <w:tr2bl w:val="nil"/>
                  </w:tcBorders>
                  <w:noWrap w:val="0"/>
                  <w:vAlign w:val="center"/>
                </w:tcPr>
                <w:p w14:paraId="2026F068">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w:t>
                  </w:r>
                </w:p>
              </w:tc>
            </w:tr>
            <w:tr w14:paraId="01954A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636" w:hRule="atLeast"/>
              </w:trPr>
              <w:tc>
                <w:tcPr>
                  <w:tcW w:w="524" w:type="pct"/>
                  <w:tcBorders>
                    <w:tl2br w:val="nil"/>
                    <w:tr2bl w:val="nil"/>
                  </w:tcBorders>
                  <w:noWrap w:val="0"/>
                  <w:vAlign w:val="center"/>
                </w:tcPr>
                <w:p w14:paraId="467BF0CF">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防渗</w:t>
                  </w:r>
                </w:p>
              </w:tc>
              <w:tc>
                <w:tcPr>
                  <w:tcW w:w="3464" w:type="pct"/>
                  <w:tcBorders>
                    <w:tl2br w:val="nil"/>
                    <w:tr2bl w:val="nil"/>
                  </w:tcBorders>
                  <w:noWrap w:val="0"/>
                  <w:vAlign w:val="center"/>
                </w:tcPr>
                <w:p w14:paraId="5067FAA0">
                  <w:pPr>
                    <w:widowControl w:val="0"/>
                    <w:adjustRightInd w:val="0"/>
                    <w:snapToGrid w:val="0"/>
                    <w:jc w:val="center"/>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cs="Times New Roman"/>
                      <w:color w:val="auto"/>
                      <w:sz w:val="21"/>
                      <w:szCs w:val="21"/>
                    </w:rPr>
                    <w:t>燃煤储棚</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rPr>
                    <w:t>灰渣储棚</w:t>
                  </w:r>
                  <w:r>
                    <w:rPr>
                      <w:rFonts w:ascii="Times New Roman" w:hAnsi="Times New Roman" w:cs="Times New Roman"/>
                      <w:color w:val="auto"/>
                      <w:kern w:val="2"/>
                      <w:sz w:val="21"/>
                      <w:szCs w:val="21"/>
                      <w:lang w:bidi="ar-SA"/>
                    </w:rPr>
                    <w:t>为</w:t>
                  </w:r>
                  <w:r>
                    <w:rPr>
                      <w:rFonts w:hint="eastAsia" w:cs="Times New Roman"/>
                      <w:color w:val="auto"/>
                      <w:kern w:val="2"/>
                      <w:sz w:val="21"/>
                      <w:szCs w:val="21"/>
                      <w:lang w:val="en-US" w:eastAsia="zh-CN" w:bidi="ar-SA"/>
                    </w:rPr>
                    <w:t>一般</w:t>
                  </w:r>
                  <w:r>
                    <w:rPr>
                      <w:rFonts w:ascii="Times New Roman" w:hAnsi="Times New Roman" w:cs="Times New Roman"/>
                      <w:color w:val="auto"/>
                      <w:kern w:val="2"/>
                      <w:sz w:val="21"/>
                      <w:szCs w:val="21"/>
                      <w:lang w:bidi="ar-SA"/>
                    </w:rPr>
                    <w:t>防渗区</w:t>
                  </w:r>
                  <w:r>
                    <w:rPr>
                      <w:rFonts w:hint="eastAsia" w:ascii="Times New Roman" w:hAnsi="Times New Roman" w:cs="Times New Roman"/>
                      <w:color w:val="auto"/>
                      <w:kern w:val="2"/>
                      <w:sz w:val="21"/>
                      <w:szCs w:val="21"/>
                      <w:lang w:eastAsia="zh-CN" w:bidi="ar-SA"/>
                    </w:rPr>
                    <w:t>，地面采取三合土铺底，夯实后，上层铺10～15cm的抗渗水泥硬化</w:t>
                  </w:r>
                  <w:r>
                    <w:rPr>
                      <w:rFonts w:hint="eastAsia" w:cs="Times New Roman"/>
                      <w:color w:val="auto"/>
                      <w:kern w:val="2"/>
                      <w:sz w:val="21"/>
                      <w:szCs w:val="21"/>
                      <w:lang w:eastAsia="zh-CN" w:bidi="ar-SA"/>
                    </w:rPr>
                    <w:t>，</w:t>
                  </w:r>
                  <w:r>
                    <w:rPr>
                      <w:rFonts w:hint="eastAsia" w:ascii="Times New Roman" w:hAnsi="Times New Roman" w:cs="Times New Roman"/>
                      <w:color w:val="auto"/>
                      <w:kern w:val="2"/>
                      <w:sz w:val="21"/>
                      <w:szCs w:val="21"/>
                      <w:lang w:val="en-US" w:eastAsia="zh-CN" w:bidi="ar-SA"/>
                    </w:rPr>
                    <w:t>等效黏土防水层Mb≥6.0m，K≤1.0</w:t>
                  </w:r>
                  <w:r>
                    <w:rPr>
                      <w:rFonts w:ascii="Times New Roman" w:hAnsi="Times New Roman" w:cs="Times New Roman"/>
                      <w:color w:val="auto"/>
                      <w:kern w:val="2"/>
                      <w:sz w:val="21"/>
                      <w:szCs w:val="21"/>
                      <w:lang w:bidi="ar-SA"/>
                    </w:rPr>
                    <w:t>×</w:t>
                  </w:r>
                  <w:r>
                    <w:rPr>
                      <w:rFonts w:hint="eastAsia" w:ascii="Times New Roman" w:hAnsi="Times New Roman" w:cs="Times New Roman"/>
                      <w:color w:val="auto"/>
                      <w:kern w:val="2"/>
                      <w:sz w:val="21"/>
                      <w:szCs w:val="21"/>
                      <w:lang w:val="en-US" w:eastAsia="zh-CN" w:bidi="ar-SA"/>
                    </w:rPr>
                    <w:t>10</w:t>
                  </w:r>
                  <w:r>
                    <w:rPr>
                      <w:rFonts w:hint="eastAsia" w:ascii="Times New Roman" w:hAnsi="Times New Roman" w:cs="Times New Roman"/>
                      <w:color w:val="auto"/>
                      <w:kern w:val="2"/>
                      <w:sz w:val="21"/>
                      <w:szCs w:val="21"/>
                      <w:vertAlign w:val="superscript"/>
                      <w:lang w:val="en-US" w:eastAsia="zh-CN" w:bidi="ar-SA"/>
                    </w:rPr>
                    <w:t>-7</w:t>
                  </w:r>
                  <w:r>
                    <w:rPr>
                      <w:rFonts w:hint="eastAsia" w:ascii="Times New Roman" w:hAnsi="Times New Roman" w:cs="Times New Roman"/>
                      <w:color w:val="auto"/>
                      <w:kern w:val="2"/>
                      <w:sz w:val="21"/>
                      <w:szCs w:val="21"/>
                      <w:lang w:val="en-US" w:eastAsia="zh-CN" w:bidi="ar-SA"/>
                    </w:rPr>
                    <w:t>cm/s</w:t>
                  </w:r>
                  <w:r>
                    <w:rPr>
                      <w:rFonts w:hint="eastAsia" w:cs="Times New Roman"/>
                      <w:color w:val="auto"/>
                      <w:kern w:val="2"/>
                      <w:sz w:val="21"/>
                      <w:szCs w:val="21"/>
                      <w:lang w:val="en-US" w:eastAsia="zh-CN" w:bidi="ar-SA"/>
                    </w:rPr>
                    <w:t>。</w:t>
                  </w:r>
                </w:p>
              </w:tc>
              <w:tc>
                <w:tcPr>
                  <w:tcW w:w="1010" w:type="pct"/>
                  <w:tcBorders>
                    <w:tl2br w:val="nil"/>
                    <w:tr2bl w:val="nil"/>
                  </w:tcBorders>
                  <w:noWrap w:val="0"/>
                  <w:vAlign w:val="center"/>
                </w:tcPr>
                <w:p w14:paraId="0F5ED429">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3.5</w:t>
                  </w:r>
                </w:p>
              </w:tc>
            </w:tr>
            <w:tr w14:paraId="121BDF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84" w:hRule="atLeast"/>
              </w:trPr>
              <w:tc>
                <w:tcPr>
                  <w:tcW w:w="524" w:type="pct"/>
                  <w:tcBorders>
                    <w:tl2br w:val="nil"/>
                    <w:tr2bl w:val="nil"/>
                  </w:tcBorders>
                  <w:noWrap w:val="0"/>
                  <w:vAlign w:val="center"/>
                </w:tcPr>
                <w:p w14:paraId="4DEBA367">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合计</w:t>
                  </w:r>
                </w:p>
              </w:tc>
              <w:tc>
                <w:tcPr>
                  <w:tcW w:w="3464" w:type="pct"/>
                  <w:tcBorders>
                    <w:tl2br w:val="nil"/>
                    <w:tr2bl w:val="nil"/>
                  </w:tcBorders>
                  <w:noWrap w:val="0"/>
                  <w:vAlign w:val="center"/>
                </w:tcPr>
                <w:p w14:paraId="5AD714AF">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w:t>
                  </w:r>
                </w:p>
              </w:tc>
              <w:tc>
                <w:tcPr>
                  <w:tcW w:w="1010" w:type="pct"/>
                  <w:tcBorders>
                    <w:tl2br w:val="nil"/>
                    <w:tr2bl w:val="nil"/>
                  </w:tcBorders>
                  <w:noWrap w:val="0"/>
                  <w:vAlign w:val="center"/>
                </w:tcPr>
                <w:p w14:paraId="74B268B5">
                  <w:pPr>
                    <w:keepNext w:val="0"/>
                    <w:keepLines w:val="0"/>
                    <w:pageBreakBefore w:val="0"/>
                    <w:widowControl w:val="0"/>
                    <w:tabs>
                      <w:tab w:val="left" w:pos="605"/>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18</w:t>
                  </w:r>
                </w:p>
              </w:tc>
            </w:tr>
          </w:tbl>
          <w:p w14:paraId="6DC4F612">
            <w:pPr>
              <w:pStyle w:val="16"/>
              <w:keepNext w:val="0"/>
              <w:keepLines w:val="0"/>
              <w:pageBreakBefore w:val="0"/>
              <w:widowControl/>
              <w:kinsoku/>
              <w:wordWrap/>
              <w:overflowPunct/>
              <w:topLinePunct w:val="0"/>
              <w:autoSpaceDE/>
              <w:autoSpaceDN/>
              <w:bidi w:val="0"/>
              <w:adjustRightInd/>
              <w:snapToGrid/>
              <w:spacing w:line="480" w:lineRule="exact"/>
              <w:jc w:val="center"/>
              <w:textAlignment w:val="center"/>
              <w:rPr>
                <w:rFonts w:hint="eastAsia" w:ascii="Times New Roman" w:hAnsi="Times New Roman" w:eastAsia="宋体" w:cs="Times New Roman"/>
                <w:color w:val="auto"/>
                <w:sz w:val="24"/>
                <w:szCs w:val="24"/>
                <w:lang w:val="en-US" w:eastAsia="zh-CN"/>
              </w:rPr>
            </w:pPr>
          </w:p>
          <w:p w14:paraId="371DCCEA">
            <w:pPr>
              <w:pStyle w:val="16"/>
              <w:keepNext w:val="0"/>
              <w:keepLines w:val="0"/>
              <w:pageBreakBefore w:val="0"/>
              <w:widowControl/>
              <w:kinsoku/>
              <w:wordWrap/>
              <w:overflowPunct/>
              <w:topLinePunct w:val="0"/>
              <w:autoSpaceDE/>
              <w:autoSpaceDN/>
              <w:bidi w:val="0"/>
              <w:adjustRightInd/>
              <w:snapToGrid/>
              <w:spacing w:line="480" w:lineRule="exact"/>
              <w:jc w:val="center"/>
              <w:textAlignment w:val="center"/>
              <w:rPr>
                <w:rFonts w:hint="eastAsia" w:ascii="Times New Roman" w:hAnsi="Times New Roman" w:eastAsia="宋体" w:cs="Times New Roman"/>
                <w:color w:val="auto"/>
                <w:sz w:val="24"/>
                <w:szCs w:val="24"/>
                <w:lang w:val="en-US" w:eastAsia="zh-CN"/>
              </w:rPr>
            </w:pPr>
          </w:p>
          <w:p w14:paraId="69AB547D">
            <w:pPr>
              <w:pStyle w:val="16"/>
              <w:keepNext w:val="0"/>
              <w:keepLines w:val="0"/>
              <w:pageBreakBefore w:val="0"/>
              <w:widowControl/>
              <w:kinsoku/>
              <w:wordWrap/>
              <w:overflowPunct/>
              <w:topLinePunct w:val="0"/>
              <w:autoSpaceDE/>
              <w:autoSpaceDN/>
              <w:bidi w:val="0"/>
              <w:adjustRightInd/>
              <w:snapToGrid/>
              <w:spacing w:line="480" w:lineRule="exact"/>
              <w:jc w:val="center"/>
              <w:textAlignment w:val="center"/>
              <w:rPr>
                <w:rFonts w:hint="eastAsia" w:ascii="Times New Roman" w:hAnsi="Times New Roman" w:eastAsia="宋体" w:cs="Times New Roman"/>
                <w:color w:val="auto"/>
                <w:sz w:val="24"/>
                <w:szCs w:val="24"/>
                <w:lang w:val="en-US" w:eastAsia="zh-CN"/>
              </w:rPr>
            </w:pPr>
          </w:p>
          <w:p w14:paraId="03B91546">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color w:val="auto"/>
                <w:sz w:val="24"/>
                <w:szCs w:val="24"/>
                <w:highlight w:val="none"/>
                <w:lang w:val="en-US" w:eastAsia="zh-CN"/>
              </w:rPr>
            </w:pPr>
          </w:p>
          <w:p w14:paraId="1F00AD69">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color w:val="auto"/>
                <w:sz w:val="24"/>
                <w:szCs w:val="24"/>
                <w:highlight w:val="none"/>
                <w:lang w:val="en-US" w:eastAsia="zh-CN"/>
              </w:rPr>
            </w:pPr>
          </w:p>
          <w:p w14:paraId="050CA663">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color w:val="auto"/>
                <w:sz w:val="24"/>
                <w:szCs w:val="24"/>
                <w:highlight w:val="none"/>
                <w:lang w:val="en-US" w:eastAsia="zh-CN"/>
              </w:rPr>
            </w:pPr>
          </w:p>
          <w:p w14:paraId="56DA5DD2">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color w:val="auto"/>
                <w:sz w:val="24"/>
                <w:szCs w:val="24"/>
                <w:highlight w:val="none"/>
                <w:lang w:val="en-US" w:eastAsia="zh-CN"/>
              </w:rPr>
            </w:pPr>
          </w:p>
          <w:p w14:paraId="49A9FCB6">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color w:val="auto"/>
                <w:sz w:val="24"/>
                <w:szCs w:val="24"/>
                <w:highlight w:val="none"/>
                <w:lang w:val="en-US" w:eastAsia="zh-CN"/>
              </w:rPr>
            </w:pPr>
          </w:p>
          <w:p w14:paraId="6C53D096">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color w:val="auto"/>
                <w:sz w:val="24"/>
                <w:szCs w:val="24"/>
                <w:highlight w:val="none"/>
                <w:lang w:val="en-US" w:eastAsia="zh-CN"/>
              </w:rPr>
            </w:pPr>
          </w:p>
          <w:p w14:paraId="778AAAAB">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color w:val="auto"/>
                <w:sz w:val="24"/>
                <w:szCs w:val="24"/>
                <w:highlight w:val="none"/>
                <w:lang w:val="en-US" w:eastAsia="zh-CN"/>
              </w:rPr>
            </w:pPr>
          </w:p>
          <w:p w14:paraId="4A96631A">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color w:val="auto"/>
                <w:sz w:val="24"/>
                <w:szCs w:val="24"/>
                <w:highlight w:val="none"/>
                <w:lang w:val="en-US" w:eastAsia="zh-CN"/>
              </w:rPr>
            </w:pPr>
          </w:p>
          <w:p w14:paraId="312BE793">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color w:val="auto"/>
                <w:sz w:val="24"/>
                <w:szCs w:val="24"/>
                <w:highlight w:val="none"/>
                <w:lang w:val="en-US" w:eastAsia="zh-CN"/>
              </w:rPr>
            </w:pPr>
          </w:p>
          <w:p w14:paraId="4C52698F">
            <w:pPr>
              <w:pStyle w:val="21"/>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color w:val="auto"/>
                <w:sz w:val="24"/>
                <w:szCs w:val="24"/>
                <w:highlight w:val="none"/>
                <w:lang w:val="en-US" w:eastAsia="zh-CN"/>
              </w:rPr>
            </w:pPr>
          </w:p>
        </w:tc>
      </w:tr>
    </w:tbl>
    <w:p w14:paraId="39D6CD6F">
      <w:pPr>
        <w:rPr>
          <w:rFonts w:hint="eastAsia"/>
          <w:color w:val="auto"/>
          <w:lang w:val="en-US" w:eastAsia="zh-CN"/>
        </w:rPr>
      </w:pPr>
      <w:r>
        <w:rPr>
          <w:rFonts w:hint="eastAsia"/>
          <w:color w:val="auto"/>
          <w:lang w:val="en-US" w:eastAsia="zh-CN"/>
        </w:rPr>
        <w:br w:type="page"/>
      </w:r>
    </w:p>
    <w:p w14:paraId="66C9B6E1">
      <w:pPr>
        <w:pStyle w:val="9"/>
        <w:keepNext w:val="0"/>
        <w:keepLines w:val="0"/>
        <w:pageBreakBefore w:val="0"/>
        <w:widowControl/>
        <w:kinsoku/>
        <w:wordWrap/>
        <w:overflowPunct/>
        <w:topLinePunct w:val="0"/>
        <w:autoSpaceDE/>
        <w:autoSpaceDN/>
        <w:bidi w:val="0"/>
        <w:adjustRightInd/>
        <w:snapToGrid/>
        <w:spacing w:line="480" w:lineRule="exact"/>
        <w:ind w:left="21" w:leftChars="10" w:right="21" w:rightChars="10" w:firstLine="600" w:firstLineChars="200"/>
        <w:jc w:val="center"/>
        <w:textAlignment w:val="center"/>
        <w:outlineLvl w:val="0"/>
        <w:rPr>
          <w:rFonts w:hint="eastAsia" w:ascii="黑体" w:hAnsi="黑体" w:eastAsia="黑体" w:cs="Times New Roman"/>
          <w:snapToGrid w:val="0"/>
          <w:color w:val="auto"/>
          <w:sz w:val="30"/>
          <w:szCs w:val="30"/>
        </w:rPr>
      </w:pPr>
      <w:r>
        <w:rPr>
          <w:rFonts w:hint="eastAsia" w:ascii="黑体" w:hAnsi="黑体" w:eastAsia="黑体" w:cs="Times New Roman"/>
          <w:snapToGrid w:val="0"/>
          <w:color w:val="auto"/>
          <w:sz w:val="30"/>
          <w:szCs w:val="30"/>
        </w:rPr>
        <w:t>五、</w:t>
      </w:r>
      <w:bookmarkStart w:id="2" w:name="_Hlk54167917"/>
      <w:r>
        <w:rPr>
          <w:rFonts w:hint="eastAsia" w:ascii="黑体" w:hAnsi="黑体" w:eastAsia="黑体" w:cs="Times New Roman"/>
          <w:snapToGrid w:val="0"/>
          <w:color w:val="auto"/>
          <w:sz w:val="30"/>
          <w:szCs w:val="30"/>
        </w:rPr>
        <w:t>环境保护措施监督检查清单</w:t>
      </w:r>
      <w:bookmarkEnd w:id="2"/>
    </w:p>
    <w:tbl>
      <w:tblPr>
        <w:tblStyle w:val="10"/>
        <w:tblW w:w="855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54"/>
        <w:gridCol w:w="1568"/>
        <w:gridCol w:w="1666"/>
        <w:gridCol w:w="1713"/>
        <w:gridCol w:w="2357"/>
      </w:tblGrid>
      <w:tr w14:paraId="624C9F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6" w:hRule="atLeast"/>
          <w:jc w:val="center"/>
        </w:trPr>
        <w:tc>
          <w:tcPr>
            <w:tcW w:w="1254" w:type="dxa"/>
            <w:tcBorders>
              <w:tl2br w:val="single" w:color="auto" w:sz="4" w:space="0"/>
            </w:tcBorders>
            <w:noWrap w:val="0"/>
            <w:vAlign w:val="top"/>
          </w:tcPr>
          <w:p w14:paraId="4FE2AFF0">
            <w:pPr>
              <w:pStyle w:val="15"/>
              <w:bidi w:val="0"/>
              <w:jc w:val="right"/>
              <w:rPr>
                <w:rFonts w:hint="eastAsia" w:ascii="宋体" w:hAnsi="宋体" w:eastAsia="宋体" w:cs="宋体"/>
                <w:color w:val="auto"/>
                <w:sz w:val="21"/>
                <w:szCs w:val="21"/>
              </w:rPr>
            </w:pPr>
            <w:r>
              <w:rPr>
                <w:rFonts w:hint="eastAsia" w:ascii="宋体" w:hAnsi="宋体" w:eastAsia="宋体" w:cs="宋体"/>
                <w:color w:val="auto"/>
                <w:sz w:val="21"/>
                <w:szCs w:val="21"/>
              </w:rPr>
              <w:t>内容</w:t>
            </w:r>
          </w:p>
          <w:p w14:paraId="6ABCC3A4">
            <w:pPr>
              <w:pStyle w:val="15"/>
              <w:bidi w:val="0"/>
              <w:jc w:val="left"/>
              <w:rPr>
                <w:rFonts w:hint="eastAsia" w:ascii="宋体" w:hAnsi="宋体" w:eastAsia="宋体" w:cs="宋体"/>
                <w:color w:val="auto"/>
                <w:sz w:val="21"/>
                <w:szCs w:val="21"/>
              </w:rPr>
            </w:pPr>
            <w:r>
              <w:rPr>
                <w:rFonts w:hint="eastAsia" w:ascii="宋体" w:hAnsi="宋体" w:eastAsia="宋体" w:cs="宋体"/>
                <w:color w:val="auto"/>
                <w:sz w:val="21"/>
                <w:szCs w:val="21"/>
              </w:rPr>
              <w:t>要素</w:t>
            </w:r>
          </w:p>
        </w:tc>
        <w:tc>
          <w:tcPr>
            <w:tcW w:w="1568" w:type="dxa"/>
            <w:noWrap w:val="0"/>
            <w:vAlign w:val="center"/>
          </w:tcPr>
          <w:p w14:paraId="4C1C378E">
            <w:pPr>
              <w:pStyle w:val="15"/>
              <w:bidi w:val="0"/>
              <w:rPr>
                <w:rFonts w:hint="eastAsia" w:ascii="宋体" w:hAnsi="宋体" w:eastAsia="宋体" w:cs="宋体"/>
                <w:color w:val="auto"/>
                <w:sz w:val="21"/>
                <w:szCs w:val="21"/>
              </w:rPr>
            </w:pPr>
            <w:r>
              <w:rPr>
                <w:rFonts w:hint="eastAsia" w:ascii="宋体" w:hAnsi="宋体" w:eastAsia="宋体" w:cs="宋体"/>
                <w:color w:val="auto"/>
                <w:sz w:val="21"/>
                <w:szCs w:val="21"/>
              </w:rPr>
              <w:t>排放口(编号、名称)/污染源</w:t>
            </w:r>
          </w:p>
        </w:tc>
        <w:tc>
          <w:tcPr>
            <w:tcW w:w="1666" w:type="dxa"/>
            <w:noWrap w:val="0"/>
            <w:vAlign w:val="center"/>
          </w:tcPr>
          <w:p w14:paraId="3153495A">
            <w:pPr>
              <w:pStyle w:val="15"/>
              <w:bidi w:val="0"/>
              <w:rPr>
                <w:rFonts w:hint="eastAsia" w:ascii="宋体" w:hAnsi="宋体" w:eastAsia="宋体" w:cs="宋体"/>
                <w:color w:val="auto"/>
                <w:sz w:val="21"/>
                <w:szCs w:val="21"/>
              </w:rPr>
            </w:pPr>
            <w:r>
              <w:rPr>
                <w:rFonts w:hint="eastAsia" w:ascii="宋体" w:hAnsi="宋体" w:eastAsia="宋体" w:cs="宋体"/>
                <w:color w:val="auto"/>
                <w:sz w:val="21"/>
                <w:szCs w:val="21"/>
              </w:rPr>
              <w:t>污染物项目</w:t>
            </w:r>
          </w:p>
        </w:tc>
        <w:tc>
          <w:tcPr>
            <w:tcW w:w="1713" w:type="dxa"/>
            <w:noWrap w:val="0"/>
            <w:vAlign w:val="center"/>
          </w:tcPr>
          <w:p w14:paraId="5E5058C8">
            <w:pPr>
              <w:pStyle w:val="15"/>
              <w:bidi w:val="0"/>
              <w:rPr>
                <w:rFonts w:hint="eastAsia" w:ascii="宋体" w:hAnsi="宋体" w:eastAsia="宋体" w:cs="宋体"/>
                <w:color w:val="auto"/>
                <w:sz w:val="21"/>
                <w:szCs w:val="21"/>
              </w:rPr>
            </w:pPr>
            <w:r>
              <w:rPr>
                <w:rFonts w:hint="eastAsia" w:ascii="宋体" w:hAnsi="宋体" w:eastAsia="宋体" w:cs="宋体"/>
                <w:color w:val="auto"/>
                <w:sz w:val="21"/>
                <w:szCs w:val="21"/>
              </w:rPr>
              <w:t>环境保护措施</w:t>
            </w:r>
          </w:p>
        </w:tc>
        <w:tc>
          <w:tcPr>
            <w:tcW w:w="2357" w:type="dxa"/>
            <w:noWrap w:val="0"/>
            <w:vAlign w:val="center"/>
          </w:tcPr>
          <w:p w14:paraId="056A8AC5">
            <w:pPr>
              <w:pStyle w:val="15"/>
              <w:bidi w:val="0"/>
              <w:rPr>
                <w:rFonts w:hint="eastAsia" w:ascii="宋体" w:hAnsi="宋体" w:eastAsia="宋体" w:cs="宋体"/>
                <w:color w:val="auto"/>
                <w:sz w:val="21"/>
                <w:szCs w:val="21"/>
              </w:rPr>
            </w:pPr>
            <w:r>
              <w:rPr>
                <w:rFonts w:hint="eastAsia" w:ascii="宋体" w:hAnsi="宋体" w:eastAsia="宋体" w:cs="宋体"/>
                <w:color w:val="auto"/>
                <w:sz w:val="21"/>
                <w:szCs w:val="21"/>
              </w:rPr>
              <w:t>执行标准</w:t>
            </w:r>
          </w:p>
        </w:tc>
      </w:tr>
      <w:tr w14:paraId="136A33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91" w:hRule="atLeast"/>
          <w:jc w:val="center"/>
        </w:trPr>
        <w:tc>
          <w:tcPr>
            <w:tcW w:w="1254" w:type="dxa"/>
            <w:vMerge w:val="restart"/>
            <w:noWrap w:val="0"/>
            <w:vAlign w:val="center"/>
          </w:tcPr>
          <w:p w14:paraId="6F58D810">
            <w:pPr>
              <w:pStyle w:val="15"/>
              <w:bidi w:val="0"/>
              <w:rPr>
                <w:rFonts w:hint="eastAsia" w:ascii="宋体" w:hAnsi="宋体" w:eastAsia="宋体" w:cs="宋体"/>
                <w:color w:val="auto"/>
                <w:sz w:val="21"/>
                <w:szCs w:val="21"/>
              </w:rPr>
            </w:pPr>
            <w:r>
              <w:rPr>
                <w:rFonts w:hint="eastAsia" w:ascii="宋体" w:hAnsi="宋体" w:eastAsia="宋体" w:cs="宋体"/>
                <w:color w:val="auto"/>
                <w:sz w:val="21"/>
                <w:szCs w:val="21"/>
              </w:rPr>
              <w:t>大气环境</w:t>
            </w:r>
          </w:p>
        </w:tc>
        <w:tc>
          <w:tcPr>
            <w:tcW w:w="1568" w:type="dxa"/>
            <w:noWrap w:val="0"/>
            <w:vAlign w:val="center"/>
          </w:tcPr>
          <w:p w14:paraId="29A6D073">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三级吸收塔排气筒</w:t>
            </w:r>
          </w:p>
        </w:tc>
        <w:tc>
          <w:tcPr>
            <w:tcW w:w="1666" w:type="dxa"/>
            <w:noWrap w:val="0"/>
            <w:vAlign w:val="center"/>
          </w:tcPr>
          <w:p w14:paraId="5AE7268E">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default" w:ascii="宋体" w:hAnsi="宋体" w:eastAsia="宋体" w:cs="宋体"/>
                <w:b w:val="0"/>
                <w:bCs w:val="0"/>
                <w:color w:val="auto"/>
                <w:sz w:val="21"/>
                <w:szCs w:val="21"/>
                <w:lang w:val="en-US" w:eastAsia="zh-CN"/>
              </w:rPr>
            </w:pPr>
            <w:r>
              <w:rPr>
                <w:rFonts w:hint="eastAsia" w:ascii="宋体" w:hAnsi="宋体" w:cs="宋体"/>
                <w:b w:val="0"/>
                <w:bCs w:val="0"/>
                <w:color w:val="auto"/>
                <w:sz w:val="21"/>
                <w:szCs w:val="21"/>
                <w:lang w:val="en-US" w:eastAsia="zh-CN"/>
              </w:rPr>
              <w:t>颗粒物、SO</w:t>
            </w:r>
            <w:r>
              <w:rPr>
                <w:rFonts w:hint="eastAsia" w:ascii="宋体" w:hAnsi="宋体" w:cs="宋体"/>
                <w:b w:val="0"/>
                <w:bCs w:val="0"/>
                <w:color w:val="auto"/>
                <w:sz w:val="21"/>
                <w:szCs w:val="21"/>
                <w:vertAlign w:val="subscript"/>
                <w:lang w:val="en-US" w:eastAsia="zh-CN"/>
              </w:rPr>
              <w:t>2</w:t>
            </w:r>
            <w:r>
              <w:rPr>
                <w:rFonts w:hint="eastAsia" w:ascii="宋体" w:hAnsi="宋体" w:cs="宋体"/>
                <w:b w:val="0"/>
                <w:bCs w:val="0"/>
                <w:color w:val="auto"/>
                <w:sz w:val="21"/>
                <w:szCs w:val="21"/>
                <w:lang w:val="en-US" w:eastAsia="zh-CN"/>
              </w:rPr>
              <w:t>、NOx、HCl</w:t>
            </w:r>
          </w:p>
        </w:tc>
        <w:tc>
          <w:tcPr>
            <w:tcW w:w="1713" w:type="dxa"/>
            <w:noWrap w:val="0"/>
            <w:vAlign w:val="center"/>
          </w:tcPr>
          <w:p w14:paraId="0A9968E5">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default" w:ascii="宋体" w:hAnsi="宋体" w:eastAsia="宋体" w:cs="宋体"/>
                <w:b w:val="0"/>
                <w:bCs w:val="0"/>
                <w:color w:val="auto"/>
                <w:sz w:val="21"/>
                <w:szCs w:val="21"/>
                <w:lang w:val="en-US" w:eastAsia="zh-CN"/>
              </w:rPr>
            </w:pPr>
            <w:r>
              <w:rPr>
                <w:rFonts w:hint="eastAsia" w:ascii="宋体" w:hAnsi="宋体" w:cs="宋体"/>
                <w:b w:val="0"/>
                <w:bCs w:val="0"/>
                <w:color w:val="auto"/>
                <w:sz w:val="21"/>
                <w:szCs w:val="21"/>
                <w:lang w:val="en-US" w:eastAsia="zh-CN"/>
              </w:rPr>
              <w:t>低氮燃烧+</w:t>
            </w:r>
            <w:r>
              <w:rPr>
                <w:rFonts w:hint="default" w:ascii="宋体" w:hAnsi="宋体" w:eastAsia="宋体" w:cs="宋体"/>
                <w:b w:val="0"/>
                <w:bCs w:val="0"/>
                <w:color w:val="auto"/>
                <w:sz w:val="21"/>
                <w:szCs w:val="21"/>
                <w:lang w:val="en-US" w:eastAsia="zh-CN"/>
              </w:rPr>
              <w:t>SNCR</w:t>
            </w:r>
            <w:r>
              <w:rPr>
                <w:rFonts w:hint="eastAsia" w:ascii="宋体" w:hAnsi="宋体" w:cs="宋体"/>
                <w:b w:val="0"/>
                <w:bCs w:val="0"/>
                <w:color w:val="auto"/>
                <w:sz w:val="21"/>
                <w:szCs w:val="21"/>
                <w:lang w:val="en-US" w:eastAsia="zh-CN"/>
              </w:rPr>
              <w:t>（</w:t>
            </w:r>
            <w:r>
              <w:rPr>
                <w:rFonts w:hint="default" w:ascii="宋体" w:hAnsi="宋体" w:eastAsia="宋体" w:cs="宋体"/>
                <w:b w:val="0"/>
                <w:bCs w:val="0"/>
                <w:color w:val="auto"/>
                <w:sz w:val="21"/>
                <w:szCs w:val="21"/>
                <w:lang w:val="en-US" w:eastAsia="zh-CN"/>
              </w:rPr>
              <w:t>脱硝</w:t>
            </w:r>
            <w:r>
              <w:rPr>
                <w:rFonts w:hint="eastAsia" w:ascii="宋体" w:hAnsi="宋体" w:cs="宋体"/>
                <w:b w:val="0"/>
                <w:bCs w:val="0"/>
                <w:color w:val="auto"/>
                <w:sz w:val="21"/>
                <w:szCs w:val="21"/>
                <w:lang w:val="en-US" w:eastAsia="zh-CN"/>
              </w:rPr>
              <w:t>效率30%）</w:t>
            </w:r>
            <w:r>
              <w:rPr>
                <w:rFonts w:hint="default" w:ascii="宋体" w:hAnsi="宋体" w:eastAsia="宋体" w:cs="宋体"/>
                <w:b w:val="0"/>
                <w:bCs w:val="0"/>
                <w:color w:val="auto"/>
                <w:sz w:val="21"/>
                <w:szCs w:val="21"/>
                <w:lang w:val="en-US" w:eastAsia="zh-CN"/>
              </w:rPr>
              <w:t>+三级吸收塔（2级水+1级碱（钠碱法脱硫）除尘效率为99%、盐酸雾去除效率为99%</w:t>
            </w:r>
            <w:r>
              <w:rPr>
                <w:rFonts w:hint="eastAsia" w:ascii="宋体" w:hAnsi="宋体" w:cs="宋体"/>
                <w:b w:val="0"/>
                <w:bCs w:val="0"/>
                <w:color w:val="auto"/>
                <w:sz w:val="21"/>
                <w:szCs w:val="21"/>
                <w:lang w:val="en-US" w:eastAsia="zh-CN"/>
              </w:rPr>
              <w:t>、脱硫效率为90%</w:t>
            </w:r>
            <w:r>
              <w:rPr>
                <w:rFonts w:hint="default" w:ascii="宋体" w:hAnsi="宋体" w:eastAsia="宋体" w:cs="宋体"/>
                <w:b w:val="0"/>
                <w:bCs w:val="0"/>
                <w:color w:val="auto"/>
                <w:sz w:val="21"/>
                <w:szCs w:val="21"/>
                <w:lang w:val="en-US" w:eastAsia="zh-CN"/>
              </w:rPr>
              <w:t>）+</w:t>
            </w:r>
            <w:r>
              <w:rPr>
                <w:rFonts w:hint="eastAsia" w:ascii="宋体" w:hAnsi="宋体" w:cs="宋体"/>
                <w:b w:val="0"/>
                <w:bCs w:val="0"/>
                <w:color w:val="auto"/>
                <w:sz w:val="21"/>
                <w:szCs w:val="21"/>
                <w:lang w:val="en-US" w:eastAsia="zh-CN"/>
              </w:rPr>
              <w:t>3</w:t>
            </w:r>
            <w:r>
              <w:rPr>
                <w:rFonts w:hint="default" w:ascii="宋体" w:hAnsi="宋体" w:eastAsia="宋体" w:cs="宋体"/>
                <w:b w:val="0"/>
                <w:bCs w:val="0"/>
                <w:color w:val="auto"/>
                <w:sz w:val="21"/>
                <w:szCs w:val="21"/>
                <w:lang w:val="en-US" w:eastAsia="zh-CN"/>
              </w:rPr>
              <w:t>2m排气筒</w:t>
            </w:r>
          </w:p>
        </w:tc>
        <w:tc>
          <w:tcPr>
            <w:tcW w:w="2357" w:type="dxa"/>
            <w:noWrap w:val="0"/>
            <w:vAlign w:val="center"/>
          </w:tcPr>
          <w:p w14:paraId="2C93B111">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《无机化学工业污染物排放标准》及修改单（GB 31573-2015）表4限值</w:t>
            </w:r>
            <w:r>
              <w:rPr>
                <w:rFonts w:hint="eastAsia" w:ascii="宋体" w:hAnsi="宋体" w:cs="宋体"/>
                <w:b w:val="0"/>
                <w:bCs w:val="0"/>
                <w:color w:val="auto"/>
                <w:sz w:val="21"/>
                <w:szCs w:val="21"/>
                <w:lang w:val="en-US" w:eastAsia="zh-CN"/>
              </w:rPr>
              <w:t>要求</w:t>
            </w:r>
            <w:r>
              <w:rPr>
                <w:rFonts w:hint="eastAsia" w:ascii="宋体" w:hAnsi="宋体" w:eastAsia="宋体" w:cs="宋体"/>
                <w:b w:val="0"/>
                <w:bCs w:val="0"/>
                <w:color w:val="auto"/>
                <w:sz w:val="21"/>
                <w:szCs w:val="21"/>
                <w:lang w:val="en-US" w:eastAsia="zh-CN"/>
              </w:rPr>
              <w:t xml:space="preserve"> </w:t>
            </w:r>
          </w:p>
        </w:tc>
      </w:tr>
      <w:tr w14:paraId="6C76E4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1254" w:type="dxa"/>
            <w:vMerge w:val="continue"/>
            <w:noWrap w:val="0"/>
            <w:vAlign w:val="center"/>
          </w:tcPr>
          <w:p w14:paraId="507DDBC4">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color w:val="auto"/>
                <w:sz w:val="21"/>
                <w:szCs w:val="21"/>
              </w:rPr>
            </w:pPr>
          </w:p>
        </w:tc>
        <w:tc>
          <w:tcPr>
            <w:tcW w:w="1568" w:type="dxa"/>
            <w:noWrap w:val="0"/>
            <w:vAlign w:val="center"/>
          </w:tcPr>
          <w:p w14:paraId="38EB8C93">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燃煤装卸、堆存扬尘</w:t>
            </w:r>
          </w:p>
        </w:tc>
        <w:tc>
          <w:tcPr>
            <w:tcW w:w="1666" w:type="dxa"/>
            <w:vMerge w:val="restart"/>
            <w:noWrap w:val="0"/>
            <w:vAlign w:val="center"/>
          </w:tcPr>
          <w:p w14:paraId="4DC6580C">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default" w:ascii="宋体" w:hAnsi="宋体" w:eastAsia="宋体" w:cs="宋体"/>
                <w:b w:val="0"/>
                <w:bCs w:val="0"/>
                <w:color w:val="auto"/>
                <w:sz w:val="21"/>
                <w:szCs w:val="21"/>
                <w:lang w:val="en-US" w:eastAsia="zh-CN"/>
              </w:rPr>
            </w:pPr>
            <w:r>
              <w:rPr>
                <w:rFonts w:hint="eastAsia" w:ascii="宋体" w:hAnsi="宋体" w:cs="宋体"/>
                <w:b w:val="0"/>
                <w:bCs w:val="0"/>
                <w:color w:val="auto"/>
                <w:sz w:val="21"/>
                <w:szCs w:val="21"/>
                <w:lang w:val="en-US" w:eastAsia="zh-CN"/>
              </w:rPr>
              <w:t>TSP</w:t>
            </w:r>
          </w:p>
        </w:tc>
        <w:tc>
          <w:tcPr>
            <w:tcW w:w="1713" w:type="dxa"/>
            <w:vMerge w:val="restart"/>
            <w:noWrap w:val="0"/>
            <w:vAlign w:val="center"/>
          </w:tcPr>
          <w:p w14:paraId="19E71F38">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default" w:ascii="宋体" w:hAnsi="宋体" w:eastAsia="宋体" w:cs="宋体"/>
                <w:b w:val="0"/>
                <w:bCs w:val="0"/>
                <w:color w:val="auto"/>
                <w:sz w:val="21"/>
                <w:szCs w:val="21"/>
                <w:lang w:val="en-US" w:eastAsia="zh-CN"/>
              </w:rPr>
            </w:pPr>
            <w:r>
              <w:rPr>
                <w:rFonts w:hint="eastAsia" w:ascii="宋体" w:hAnsi="宋体" w:cs="宋体"/>
                <w:b w:val="0"/>
                <w:bCs w:val="0"/>
                <w:color w:val="auto"/>
                <w:sz w:val="21"/>
                <w:szCs w:val="21"/>
                <w:lang w:val="en-US" w:eastAsia="zh-CN"/>
              </w:rPr>
              <w:t>全封闭储棚</w:t>
            </w:r>
          </w:p>
        </w:tc>
        <w:tc>
          <w:tcPr>
            <w:tcW w:w="2357" w:type="dxa"/>
            <w:vMerge w:val="restart"/>
            <w:noWrap w:val="0"/>
            <w:vAlign w:val="center"/>
          </w:tcPr>
          <w:p w14:paraId="74D3586C">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《大气污染物综合排放标准》（GB16297-1996）表2中无组织排放监控浓度限值</w:t>
            </w:r>
          </w:p>
        </w:tc>
      </w:tr>
      <w:tr w14:paraId="0A863A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1254" w:type="dxa"/>
            <w:vMerge w:val="continue"/>
            <w:noWrap w:val="0"/>
            <w:vAlign w:val="center"/>
          </w:tcPr>
          <w:p w14:paraId="3C9F381C">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color w:val="auto"/>
                <w:sz w:val="21"/>
                <w:szCs w:val="21"/>
              </w:rPr>
            </w:pPr>
          </w:p>
        </w:tc>
        <w:tc>
          <w:tcPr>
            <w:tcW w:w="1568" w:type="dxa"/>
            <w:noWrap w:val="0"/>
            <w:vAlign w:val="center"/>
          </w:tcPr>
          <w:p w14:paraId="3A718944">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default" w:ascii="宋体" w:hAnsi="宋体" w:eastAsia="宋体" w:cs="宋体"/>
                <w:b w:val="0"/>
                <w:bCs w:val="0"/>
                <w:color w:val="auto"/>
                <w:sz w:val="21"/>
                <w:szCs w:val="21"/>
                <w:lang w:val="en-US" w:eastAsia="zh-CN"/>
              </w:rPr>
            </w:pPr>
            <w:r>
              <w:rPr>
                <w:rFonts w:hint="eastAsia" w:ascii="宋体" w:hAnsi="宋体" w:cs="宋体"/>
                <w:b w:val="0"/>
                <w:bCs w:val="0"/>
                <w:color w:val="auto"/>
                <w:sz w:val="21"/>
                <w:szCs w:val="21"/>
                <w:lang w:val="en-US" w:eastAsia="zh-CN"/>
              </w:rPr>
              <w:t>灰渣堆存</w:t>
            </w:r>
          </w:p>
        </w:tc>
        <w:tc>
          <w:tcPr>
            <w:tcW w:w="1666" w:type="dxa"/>
            <w:vMerge w:val="continue"/>
            <w:noWrap w:val="0"/>
            <w:vAlign w:val="center"/>
          </w:tcPr>
          <w:p w14:paraId="13FDF089">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eastAsia" w:ascii="宋体" w:hAnsi="宋体" w:cs="宋体"/>
                <w:b w:val="0"/>
                <w:bCs w:val="0"/>
                <w:color w:val="auto"/>
                <w:sz w:val="21"/>
                <w:szCs w:val="21"/>
                <w:lang w:val="en-US" w:eastAsia="zh-CN"/>
              </w:rPr>
            </w:pPr>
          </w:p>
        </w:tc>
        <w:tc>
          <w:tcPr>
            <w:tcW w:w="1713" w:type="dxa"/>
            <w:vMerge w:val="continue"/>
            <w:noWrap w:val="0"/>
            <w:vAlign w:val="center"/>
          </w:tcPr>
          <w:p w14:paraId="27913CB7">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eastAsia" w:ascii="宋体" w:hAnsi="宋体" w:cs="宋体"/>
                <w:b w:val="0"/>
                <w:bCs w:val="0"/>
                <w:color w:val="auto"/>
                <w:sz w:val="21"/>
                <w:szCs w:val="21"/>
                <w:lang w:val="en-US" w:eastAsia="zh-CN"/>
              </w:rPr>
            </w:pPr>
          </w:p>
        </w:tc>
        <w:tc>
          <w:tcPr>
            <w:tcW w:w="2357" w:type="dxa"/>
            <w:vMerge w:val="continue"/>
            <w:noWrap w:val="0"/>
            <w:vAlign w:val="center"/>
          </w:tcPr>
          <w:p w14:paraId="2CEF565D">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eastAsia" w:ascii="宋体" w:hAnsi="宋体" w:eastAsia="宋体" w:cs="宋体"/>
                <w:b w:val="0"/>
                <w:bCs w:val="0"/>
                <w:color w:val="auto"/>
                <w:sz w:val="21"/>
                <w:szCs w:val="21"/>
                <w:lang w:val="en-US" w:eastAsia="zh-CN"/>
              </w:rPr>
            </w:pPr>
          </w:p>
        </w:tc>
      </w:tr>
      <w:tr w14:paraId="6C47B4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1254" w:type="dxa"/>
            <w:noWrap w:val="0"/>
            <w:vAlign w:val="center"/>
          </w:tcPr>
          <w:p w14:paraId="5F9DE1C2">
            <w:pPr>
              <w:pStyle w:val="15"/>
              <w:bidi w:val="0"/>
              <w:rPr>
                <w:rFonts w:hint="eastAsia" w:ascii="宋体" w:hAnsi="宋体" w:eastAsia="宋体" w:cs="宋体"/>
                <w:color w:val="auto"/>
                <w:sz w:val="21"/>
                <w:szCs w:val="21"/>
              </w:rPr>
            </w:pPr>
            <w:r>
              <w:rPr>
                <w:rFonts w:hint="eastAsia" w:ascii="宋体" w:hAnsi="宋体" w:eastAsia="宋体" w:cs="宋体"/>
                <w:color w:val="auto"/>
                <w:sz w:val="21"/>
                <w:szCs w:val="21"/>
              </w:rPr>
              <w:t>地表水环境</w:t>
            </w:r>
          </w:p>
        </w:tc>
        <w:tc>
          <w:tcPr>
            <w:tcW w:w="7304" w:type="dxa"/>
            <w:gridSpan w:val="4"/>
            <w:noWrap w:val="0"/>
            <w:vAlign w:val="center"/>
          </w:tcPr>
          <w:p w14:paraId="41940394">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default" w:ascii="宋体" w:hAnsi="宋体" w:eastAsia="宋体" w:cs="宋体"/>
                <w:b w:val="0"/>
                <w:bCs w:val="0"/>
                <w:color w:val="auto"/>
                <w:sz w:val="21"/>
                <w:szCs w:val="21"/>
                <w:lang w:val="en-US" w:eastAsia="zh-CN"/>
              </w:rPr>
            </w:pPr>
            <w:r>
              <w:rPr>
                <w:rFonts w:hint="eastAsia" w:ascii="宋体" w:hAnsi="宋体" w:cs="宋体"/>
                <w:b w:val="0"/>
                <w:bCs w:val="0"/>
                <w:color w:val="auto"/>
                <w:sz w:val="21"/>
                <w:szCs w:val="21"/>
                <w:lang w:val="en-US" w:eastAsia="zh-CN"/>
              </w:rPr>
              <w:t>/</w:t>
            </w:r>
          </w:p>
        </w:tc>
      </w:tr>
      <w:tr w14:paraId="2AF7FE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18" w:hRule="atLeast"/>
          <w:jc w:val="center"/>
        </w:trPr>
        <w:tc>
          <w:tcPr>
            <w:tcW w:w="1254" w:type="dxa"/>
            <w:noWrap w:val="0"/>
            <w:vAlign w:val="center"/>
          </w:tcPr>
          <w:p w14:paraId="3EAC2EF1">
            <w:pPr>
              <w:pStyle w:val="15"/>
              <w:bidi w:val="0"/>
              <w:rPr>
                <w:rFonts w:hint="eastAsia" w:ascii="宋体" w:hAnsi="宋体" w:eastAsia="宋体" w:cs="宋体"/>
                <w:color w:val="auto"/>
                <w:sz w:val="21"/>
                <w:szCs w:val="21"/>
              </w:rPr>
            </w:pPr>
            <w:r>
              <w:rPr>
                <w:rFonts w:hint="eastAsia" w:ascii="宋体" w:hAnsi="宋体" w:eastAsia="宋体" w:cs="宋体"/>
                <w:color w:val="auto"/>
                <w:sz w:val="21"/>
                <w:szCs w:val="21"/>
              </w:rPr>
              <w:t>声环境</w:t>
            </w:r>
          </w:p>
        </w:tc>
        <w:tc>
          <w:tcPr>
            <w:tcW w:w="1568" w:type="dxa"/>
            <w:noWrap w:val="0"/>
            <w:vAlign w:val="center"/>
          </w:tcPr>
          <w:p w14:paraId="11B0F9FF">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设备噪声</w:t>
            </w:r>
          </w:p>
        </w:tc>
        <w:tc>
          <w:tcPr>
            <w:tcW w:w="1666" w:type="dxa"/>
            <w:noWrap w:val="0"/>
            <w:vAlign w:val="center"/>
          </w:tcPr>
          <w:p w14:paraId="4C0D9B64">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噪声</w:t>
            </w:r>
          </w:p>
        </w:tc>
        <w:tc>
          <w:tcPr>
            <w:tcW w:w="1713" w:type="dxa"/>
            <w:noWrap w:val="0"/>
            <w:vAlign w:val="center"/>
          </w:tcPr>
          <w:p w14:paraId="26D1D5F9">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采取基础减振、隔声等降噪措施</w:t>
            </w:r>
          </w:p>
        </w:tc>
        <w:tc>
          <w:tcPr>
            <w:tcW w:w="2357" w:type="dxa"/>
            <w:noWrap w:val="0"/>
            <w:vAlign w:val="center"/>
          </w:tcPr>
          <w:p w14:paraId="202553FE">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eastAsia" w:ascii="宋体" w:hAnsi="宋体" w:eastAsia="宋体" w:cs="宋体"/>
                <w:b w:val="0"/>
                <w:bCs w:val="0"/>
                <w:color w:val="auto"/>
                <w:sz w:val="21"/>
                <w:szCs w:val="21"/>
                <w:lang w:val="en-US" w:eastAsia="zh-CN"/>
              </w:rPr>
            </w:pPr>
            <w:r>
              <w:rPr>
                <w:rFonts w:hint="default" w:ascii="宋体" w:hAnsi="宋体" w:eastAsia="宋体" w:cs="宋体"/>
                <w:b w:val="0"/>
                <w:bCs w:val="0"/>
                <w:color w:val="auto"/>
                <w:sz w:val="21"/>
                <w:szCs w:val="21"/>
                <w:lang w:val="en-US" w:eastAsia="zh-CN"/>
              </w:rPr>
              <w:t>《工业企业厂界环境噪声排放标准》（GB12348-2008）</w:t>
            </w:r>
            <w:r>
              <w:rPr>
                <w:rFonts w:hint="eastAsia" w:ascii="宋体" w:hAnsi="宋体" w:cs="宋体"/>
                <w:b w:val="0"/>
                <w:bCs w:val="0"/>
                <w:color w:val="auto"/>
                <w:sz w:val="21"/>
                <w:szCs w:val="21"/>
                <w:lang w:val="en-US" w:eastAsia="zh-CN"/>
              </w:rPr>
              <w:t>3</w:t>
            </w:r>
            <w:r>
              <w:rPr>
                <w:rFonts w:hint="eastAsia" w:ascii="宋体" w:hAnsi="宋体" w:eastAsia="宋体" w:cs="宋体"/>
                <w:b w:val="0"/>
                <w:bCs w:val="0"/>
                <w:color w:val="auto"/>
                <w:sz w:val="21"/>
                <w:szCs w:val="21"/>
                <w:lang w:val="en-US" w:eastAsia="zh-CN"/>
              </w:rPr>
              <w:t>类标准</w:t>
            </w:r>
          </w:p>
        </w:tc>
      </w:tr>
      <w:tr w14:paraId="5DFFA9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8" w:hRule="atLeast"/>
          <w:jc w:val="center"/>
        </w:trPr>
        <w:tc>
          <w:tcPr>
            <w:tcW w:w="1254" w:type="dxa"/>
            <w:noWrap w:val="0"/>
            <w:vAlign w:val="center"/>
          </w:tcPr>
          <w:p w14:paraId="397B8EB7">
            <w:pPr>
              <w:pStyle w:val="15"/>
              <w:bidi w:val="0"/>
              <w:rPr>
                <w:rFonts w:hint="eastAsia" w:ascii="宋体" w:hAnsi="宋体" w:eastAsia="宋体" w:cs="宋体"/>
                <w:color w:val="auto"/>
                <w:sz w:val="21"/>
                <w:szCs w:val="21"/>
              </w:rPr>
            </w:pPr>
            <w:r>
              <w:rPr>
                <w:rFonts w:hint="eastAsia" w:ascii="宋体" w:hAnsi="宋体" w:eastAsia="宋体" w:cs="宋体"/>
                <w:color w:val="auto"/>
                <w:sz w:val="21"/>
                <w:szCs w:val="21"/>
              </w:rPr>
              <w:t>电磁辐射</w:t>
            </w:r>
          </w:p>
        </w:tc>
        <w:tc>
          <w:tcPr>
            <w:tcW w:w="7304" w:type="dxa"/>
            <w:gridSpan w:val="4"/>
            <w:noWrap w:val="0"/>
            <w:vAlign w:val="center"/>
          </w:tcPr>
          <w:p w14:paraId="39DDC60A">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eastAsia" w:ascii="宋体" w:hAnsi="宋体" w:eastAsia="宋体" w:cs="宋体"/>
                <w:b w:val="0"/>
                <w:bCs w:val="0"/>
                <w:color w:val="auto"/>
                <w:sz w:val="21"/>
                <w:szCs w:val="21"/>
                <w:lang w:val="en-US" w:eastAsia="zh-CN"/>
              </w:rPr>
            </w:pPr>
            <w:r>
              <w:rPr>
                <w:rFonts w:hint="eastAsia" w:ascii="宋体" w:hAnsi="宋体" w:cs="宋体"/>
                <w:b w:val="0"/>
                <w:bCs w:val="0"/>
                <w:color w:val="auto"/>
                <w:sz w:val="21"/>
                <w:szCs w:val="21"/>
                <w:lang w:val="en-US" w:eastAsia="zh-CN"/>
              </w:rPr>
              <w:t>/</w:t>
            </w:r>
          </w:p>
        </w:tc>
      </w:tr>
      <w:tr w14:paraId="20C178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78" w:hRule="atLeast"/>
          <w:jc w:val="center"/>
        </w:trPr>
        <w:tc>
          <w:tcPr>
            <w:tcW w:w="1254" w:type="dxa"/>
            <w:noWrap w:val="0"/>
            <w:vAlign w:val="center"/>
          </w:tcPr>
          <w:p w14:paraId="39154D83">
            <w:pPr>
              <w:pStyle w:val="15"/>
              <w:bidi w:val="0"/>
              <w:rPr>
                <w:rFonts w:hint="eastAsia" w:ascii="宋体" w:hAnsi="宋体" w:eastAsia="宋体" w:cs="宋体"/>
                <w:color w:val="auto"/>
                <w:sz w:val="21"/>
                <w:szCs w:val="21"/>
              </w:rPr>
            </w:pPr>
            <w:r>
              <w:rPr>
                <w:rFonts w:hint="eastAsia" w:ascii="宋体" w:hAnsi="宋体" w:eastAsia="宋体" w:cs="宋体"/>
                <w:color w:val="auto"/>
                <w:sz w:val="21"/>
                <w:szCs w:val="21"/>
              </w:rPr>
              <w:t>固体废物</w:t>
            </w:r>
          </w:p>
        </w:tc>
        <w:tc>
          <w:tcPr>
            <w:tcW w:w="7304" w:type="dxa"/>
            <w:gridSpan w:val="4"/>
            <w:noWrap w:val="0"/>
            <w:vAlign w:val="center"/>
          </w:tcPr>
          <w:p w14:paraId="02477987">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jc w:val="both"/>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本项目产生的固体废物主要为</w:t>
            </w:r>
            <w:r>
              <w:rPr>
                <w:rFonts w:hint="eastAsia" w:ascii="宋体" w:hAnsi="宋体" w:cs="宋体"/>
                <w:b w:val="0"/>
                <w:bCs w:val="0"/>
                <w:color w:val="auto"/>
                <w:sz w:val="21"/>
                <w:szCs w:val="21"/>
                <w:lang w:val="en-US" w:eastAsia="zh-CN"/>
              </w:rPr>
              <w:t>燃煤热风炉灰渣</w:t>
            </w:r>
            <w:r>
              <w:rPr>
                <w:rFonts w:hint="eastAsia" w:ascii="宋体" w:hAnsi="宋体" w:eastAsia="宋体" w:cs="宋体"/>
                <w:b w:val="0"/>
                <w:bCs w:val="0"/>
                <w:color w:val="auto"/>
                <w:sz w:val="21"/>
                <w:szCs w:val="21"/>
                <w:lang w:val="en-US" w:eastAsia="zh-CN"/>
              </w:rPr>
              <w:t>。</w:t>
            </w:r>
          </w:p>
          <w:p w14:paraId="447C036A">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jc w:val="both"/>
              <w:textAlignment w:val="auto"/>
              <w:rPr>
                <w:rFonts w:hint="eastAsia" w:ascii="宋体" w:hAnsi="宋体" w:eastAsia="宋体" w:cs="宋体"/>
                <w:b w:val="0"/>
                <w:bCs w:val="0"/>
                <w:color w:val="auto"/>
                <w:sz w:val="21"/>
                <w:szCs w:val="21"/>
                <w:lang w:val="en-US" w:eastAsia="zh-CN"/>
              </w:rPr>
            </w:pPr>
            <w:r>
              <w:rPr>
                <w:rFonts w:hint="eastAsia" w:ascii="宋体" w:hAnsi="宋体" w:cs="宋体"/>
                <w:b w:val="0"/>
                <w:bCs w:val="0"/>
                <w:color w:val="auto"/>
                <w:sz w:val="21"/>
                <w:szCs w:val="21"/>
                <w:lang w:val="en-US" w:eastAsia="zh-CN"/>
              </w:rPr>
              <w:t>灰渣</w:t>
            </w:r>
            <w:r>
              <w:rPr>
                <w:rFonts w:hint="eastAsia" w:ascii="宋体" w:hAnsi="宋体" w:eastAsia="宋体" w:cs="宋体"/>
                <w:b w:val="0"/>
                <w:bCs w:val="0"/>
                <w:color w:val="auto"/>
                <w:sz w:val="21"/>
                <w:szCs w:val="21"/>
                <w:lang w:val="en-US" w:eastAsia="zh-CN"/>
              </w:rPr>
              <w:t>暂存于灰渣封闭灰渣棚内，定期外售综合利用，不外排</w:t>
            </w:r>
            <w:r>
              <w:rPr>
                <w:rFonts w:hint="eastAsia" w:ascii="宋体" w:hAnsi="宋体" w:cs="宋体"/>
                <w:b w:val="0"/>
                <w:bCs w:val="0"/>
                <w:color w:val="auto"/>
                <w:sz w:val="21"/>
                <w:szCs w:val="21"/>
                <w:lang w:val="en-US" w:eastAsia="zh-CN"/>
              </w:rPr>
              <w:t>。</w:t>
            </w:r>
          </w:p>
        </w:tc>
      </w:tr>
      <w:tr w14:paraId="34398B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1254" w:type="dxa"/>
            <w:noWrap w:val="0"/>
            <w:vAlign w:val="center"/>
          </w:tcPr>
          <w:p w14:paraId="247DA351">
            <w:pPr>
              <w:pStyle w:val="15"/>
              <w:bidi w:val="0"/>
              <w:rPr>
                <w:rFonts w:hint="eastAsia" w:ascii="宋体" w:hAnsi="宋体" w:eastAsia="宋体" w:cs="宋体"/>
                <w:color w:val="auto"/>
                <w:sz w:val="21"/>
                <w:szCs w:val="21"/>
              </w:rPr>
            </w:pPr>
            <w:r>
              <w:rPr>
                <w:rFonts w:hint="eastAsia" w:ascii="宋体" w:hAnsi="宋体" w:eastAsia="宋体" w:cs="宋体"/>
                <w:color w:val="auto"/>
                <w:sz w:val="21"/>
                <w:szCs w:val="21"/>
              </w:rPr>
              <w:t>土壤及地下水污染防治措施</w:t>
            </w:r>
          </w:p>
        </w:tc>
        <w:tc>
          <w:tcPr>
            <w:tcW w:w="7304" w:type="dxa"/>
            <w:gridSpan w:val="4"/>
            <w:noWrap w:val="0"/>
            <w:vAlign w:val="center"/>
          </w:tcPr>
          <w:p w14:paraId="3A5E88FE">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jc w:val="center"/>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燃煤储棚、灰渣储棚为一般防渗区，地面采取三合土铺底，夯实后，上层</w:t>
            </w:r>
          </w:p>
          <w:p w14:paraId="628E1CC6">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jc w:val="center"/>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铺10～15cm的抗渗水泥硬化，等效黏土防水层Mb≥6.0m，K≤1.0×10</w:t>
            </w:r>
            <w:r>
              <w:rPr>
                <w:rFonts w:hint="eastAsia" w:ascii="宋体" w:hAnsi="宋体" w:eastAsia="宋体" w:cs="宋体"/>
                <w:b w:val="0"/>
                <w:bCs w:val="0"/>
                <w:color w:val="auto"/>
                <w:sz w:val="21"/>
                <w:szCs w:val="21"/>
                <w:vertAlign w:val="superscript"/>
                <w:lang w:val="en-US" w:eastAsia="zh-CN"/>
              </w:rPr>
              <w:t>-7</w:t>
            </w:r>
            <w:r>
              <w:rPr>
                <w:rFonts w:hint="eastAsia" w:ascii="宋体" w:hAnsi="宋体" w:eastAsia="宋体" w:cs="宋体"/>
                <w:b w:val="0"/>
                <w:bCs w:val="0"/>
                <w:color w:val="auto"/>
                <w:sz w:val="21"/>
                <w:szCs w:val="21"/>
                <w:lang w:val="en-US" w:eastAsia="zh-CN"/>
              </w:rPr>
              <w:t>cm/s</w:t>
            </w:r>
            <w:r>
              <w:rPr>
                <w:rFonts w:hint="eastAsia" w:ascii="宋体" w:hAnsi="宋体" w:cs="宋体"/>
                <w:b w:val="0"/>
                <w:bCs w:val="0"/>
                <w:color w:val="auto"/>
                <w:sz w:val="21"/>
                <w:szCs w:val="21"/>
                <w:lang w:val="en-US" w:eastAsia="zh-CN"/>
              </w:rPr>
              <w:t>。</w:t>
            </w:r>
          </w:p>
        </w:tc>
      </w:tr>
      <w:tr w14:paraId="68E1B5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1254" w:type="dxa"/>
            <w:noWrap w:val="0"/>
            <w:vAlign w:val="center"/>
          </w:tcPr>
          <w:p w14:paraId="1FE612DB">
            <w:pPr>
              <w:pStyle w:val="15"/>
              <w:bidi w:val="0"/>
              <w:rPr>
                <w:rFonts w:hint="eastAsia" w:ascii="宋体" w:hAnsi="宋体" w:eastAsia="宋体" w:cs="宋体"/>
                <w:color w:val="auto"/>
                <w:sz w:val="21"/>
                <w:szCs w:val="21"/>
              </w:rPr>
            </w:pPr>
            <w:r>
              <w:rPr>
                <w:rFonts w:hint="eastAsia" w:ascii="宋体" w:hAnsi="宋体" w:eastAsia="宋体" w:cs="宋体"/>
                <w:color w:val="auto"/>
                <w:sz w:val="21"/>
                <w:szCs w:val="21"/>
              </w:rPr>
              <w:t>生态保护措施</w:t>
            </w:r>
          </w:p>
        </w:tc>
        <w:tc>
          <w:tcPr>
            <w:tcW w:w="7304" w:type="dxa"/>
            <w:gridSpan w:val="4"/>
            <w:noWrap w:val="0"/>
            <w:vAlign w:val="center"/>
          </w:tcPr>
          <w:p w14:paraId="1975B43A">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p>
        </w:tc>
      </w:tr>
      <w:tr w14:paraId="40D5B6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1254" w:type="dxa"/>
            <w:noWrap w:val="0"/>
            <w:vAlign w:val="center"/>
          </w:tcPr>
          <w:p w14:paraId="44EB2FC0">
            <w:pPr>
              <w:pStyle w:val="15"/>
              <w:bidi w:val="0"/>
              <w:rPr>
                <w:rFonts w:hint="eastAsia" w:ascii="宋体" w:hAnsi="宋体" w:eastAsia="宋体" w:cs="宋体"/>
                <w:color w:val="auto"/>
                <w:sz w:val="21"/>
                <w:szCs w:val="21"/>
              </w:rPr>
            </w:pPr>
            <w:r>
              <w:rPr>
                <w:rFonts w:hint="eastAsia" w:ascii="宋体" w:hAnsi="宋体" w:eastAsia="宋体" w:cs="宋体"/>
                <w:color w:val="auto"/>
                <w:sz w:val="21"/>
                <w:szCs w:val="21"/>
              </w:rPr>
              <w:t>环境风险</w:t>
            </w:r>
          </w:p>
          <w:p w14:paraId="1B5A68CB">
            <w:pPr>
              <w:pStyle w:val="15"/>
              <w:bidi w:val="0"/>
              <w:rPr>
                <w:rFonts w:hint="eastAsia" w:ascii="宋体" w:hAnsi="宋体" w:eastAsia="宋体" w:cs="宋体"/>
                <w:color w:val="auto"/>
                <w:sz w:val="21"/>
                <w:szCs w:val="21"/>
              </w:rPr>
            </w:pPr>
            <w:r>
              <w:rPr>
                <w:rFonts w:hint="eastAsia" w:ascii="宋体" w:hAnsi="宋体" w:eastAsia="宋体" w:cs="宋体"/>
                <w:color w:val="auto"/>
                <w:sz w:val="21"/>
                <w:szCs w:val="21"/>
              </w:rPr>
              <w:t>防范措施</w:t>
            </w:r>
          </w:p>
        </w:tc>
        <w:tc>
          <w:tcPr>
            <w:tcW w:w="7304" w:type="dxa"/>
            <w:gridSpan w:val="4"/>
            <w:noWrap w:val="0"/>
            <w:vAlign w:val="center"/>
          </w:tcPr>
          <w:p w14:paraId="6582011D">
            <w:pPr>
              <w:keepNext w:val="0"/>
              <w:keepLines w:val="0"/>
              <w:pageBreakBefore w:val="0"/>
              <w:widowControl w:val="0"/>
              <w:kinsoku/>
              <w:wordWrap/>
              <w:overflowPunct/>
              <w:topLinePunct w:val="0"/>
              <w:autoSpaceDE/>
              <w:autoSpaceDN/>
              <w:bidi w:val="0"/>
              <w:spacing w:line="240" w:lineRule="auto"/>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cs="宋体"/>
                <w:b w:val="0"/>
                <w:bCs w:val="0"/>
                <w:color w:val="auto"/>
                <w:kern w:val="2"/>
                <w:sz w:val="21"/>
                <w:szCs w:val="21"/>
                <w:lang w:val="en-US" w:eastAsia="zh-CN" w:bidi="ar-SA"/>
              </w:rPr>
              <w:t>/</w:t>
            </w:r>
          </w:p>
        </w:tc>
      </w:tr>
      <w:tr w14:paraId="79C834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2" w:hRule="atLeast"/>
          <w:jc w:val="center"/>
        </w:trPr>
        <w:tc>
          <w:tcPr>
            <w:tcW w:w="1254" w:type="dxa"/>
            <w:noWrap w:val="0"/>
            <w:vAlign w:val="center"/>
          </w:tcPr>
          <w:p w14:paraId="06FD96AD">
            <w:pPr>
              <w:pStyle w:val="15"/>
              <w:bidi w:val="0"/>
              <w:rPr>
                <w:rFonts w:hint="eastAsia" w:ascii="宋体" w:hAnsi="宋体" w:eastAsia="宋体" w:cs="宋体"/>
                <w:color w:val="auto"/>
                <w:sz w:val="21"/>
                <w:szCs w:val="21"/>
              </w:rPr>
            </w:pPr>
            <w:r>
              <w:rPr>
                <w:rFonts w:hint="eastAsia" w:ascii="宋体" w:hAnsi="宋体" w:eastAsia="宋体" w:cs="宋体"/>
                <w:color w:val="auto"/>
                <w:sz w:val="21"/>
                <w:szCs w:val="21"/>
              </w:rPr>
              <w:t>其他环境</w:t>
            </w:r>
          </w:p>
          <w:p w14:paraId="0C5AED84">
            <w:pPr>
              <w:pStyle w:val="15"/>
              <w:bidi w:val="0"/>
              <w:rPr>
                <w:rFonts w:hint="eastAsia" w:ascii="宋体" w:hAnsi="宋体" w:eastAsia="宋体" w:cs="宋体"/>
                <w:color w:val="auto"/>
                <w:sz w:val="21"/>
                <w:szCs w:val="21"/>
              </w:rPr>
            </w:pPr>
            <w:r>
              <w:rPr>
                <w:rFonts w:hint="eastAsia" w:ascii="宋体" w:hAnsi="宋体" w:eastAsia="宋体" w:cs="宋体"/>
                <w:color w:val="auto"/>
                <w:sz w:val="21"/>
                <w:szCs w:val="21"/>
              </w:rPr>
              <w:t>管理要求</w:t>
            </w:r>
          </w:p>
        </w:tc>
        <w:tc>
          <w:tcPr>
            <w:tcW w:w="7304" w:type="dxa"/>
            <w:gridSpan w:val="4"/>
            <w:noWrap w:val="0"/>
            <w:vAlign w:val="center"/>
          </w:tcPr>
          <w:p w14:paraId="26BB0C35">
            <w:pPr>
              <w:pStyle w:val="15"/>
              <w:keepNext w:val="0"/>
              <w:keepLines w:val="0"/>
              <w:pageBreakBefore w:val="0"/>
              <w:widowControl w:val="0"/>
              <w:kinsoku/>
              <w:wordWrap/>
              <w:overflowPunct/>
              <w:topLinePunct w:val="0"/>
              <w:autoSpaceDE/>
              <w:autoSpaceDN/>
              <w:bidi w:val="0"/>
              <w:adjustRightInd w:val="0"/>
              <w:snapToGrid w:val="0"/>
              <w:ind w:left="21" w:leftChars="10" w:right="21" w:rightChars="10" w:firstLine="0" w:firstLineChars="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p>
        </w:tc>
      </w:tr>
    </w:tbl>
    <w:p w14:paraId="19080824">
      <w:pPr>
        <w:rPr>
          <w:rFonts w:hint="eastAsia"/>
          <w:color w:val="auto"/>
          <w:lang w:val="en-US" w:eastAsia="zh-CN"/>
        </w:rPr>
      </w:pPr>
      <w:r>
        <w:rPr>
          <w:rFonts w:hint="eastAsia"/>
          <w:color w:val="auto"/>
          <w:lang w:val="en-US" w:eastAsia="zh-CN"/>
        </w:rPr>
        <w:br w:type="page"/>
      </w:r>
    </w:p>
    <w:p w14:paraId="2155FC53">
      <w:pPr>
        <w:pStyle w:val="9"/>
        <w:keepNext w:val="0"/>
        <w:keepLines w:val="0"/>
        <w:pageBreakBefore w:val="0"/>
        <w:widowControl/>
        <w:kinsoku/>
        <w:wordWrap/>
        <w:overflowPunct/>
        <w:topLinePunct w:val="0"/>
        <w:autoSpaceDE/>
        <w:autoSpaceDN/>
        <w:bidi w:val="0"/>
        <w:adjustRightInd/>
        <w:snapToGrid/>
        <w:spacing w:line="480" w:lineRule="exact"/>
        <w:ind w:left="21" w:leftChars="10" w:right="21" w:rightChars="10" w:firstLine="600" w:firstLineChars="200"/>
        <w:jc w:val="center"/>
        <w:textAlignment w:val="center"/>
        <w:outlineLvl w:val="0"/>
        <w:rPr>
          <w:rFonts w:hint="eastAsia" w:ascii="黑体" w:hAnsi="黑体" w:eastAsia="黑体" w:cs="Times New Roman"/>
          <w:snapToGrid w:val="0"/>
          <w:color w:val="auto"/>
          <w:sz w:val="30"/>
          <w:szCs w:val="30"/>
        </w:rPr>
      </w:pPr>
      <w:r>
        <w:rPr>
          <w:rFonts w:hint="eastAsia" w:ascii="黑体" w:hAnsi="黑体" w:eastAsia="黑体" w:cs="Times New Roman"/>
          <w:snapToGrid w:val="0"/>
          <w:color w:val="auto"/>
          <w:sz w:val="30"/>
          <w:szCs w:val="30"/>
        </w:rPr>
        <w:t>六、结论</w:t>
      </w:r>
    </w:p>
    <w:tbl>
      <w:tblPr>
        <w:tblStyle w:val="1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C5B44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14:paraId="2B53E1A7">
            <w:pPr>
              <w:keepNext w:val="0"/>
              <w:keepLines w:val="0"/>
              <w:pageBreakBefore w:val="0"/>
              <w:widowControl w:val="0"/>
              <w:kinsoku/>
              <w:wordWrap/>
              <w:overflowPunct/>
              <w:topLinePunct w:val="0"/>
              <w:autoSpaceDE/>
              <w:autoSpaceDN/>
              <w:bidi w:val="0"/>
              <w:adjustRightInd/>
              <w:snapToGrid/>
              <w:spacing w:line="480" w:lineRule="exact"/>
              <w:ind w:left="21" w:leftChars="10" w:right="21" w:rightChars="10" w:firstLine="480" w:firstLineChars="200"/>
              <w:jc w:val="both"/>
              <w:textAlignment w:val="center"/>
              <w:rPr>
                <w:rFonts w:hint="eastAsia" w:ascii="宋体" w:hAnsi="宋体" w:eastAsia="宋体" w:cs="宋体"/>
                <w:color w:val="auto"/>
                <w:sz w:val="24"/>
              </w:rPr>
            </w:pPr>
            <w:r>
              <w:rPr>
                <w:rFonts w:hint="eastAsia" w:ascii="宋体" w:hAnsi="宋体" w:eastAsia="宋体" w:cs="宋体"/>
                <w:color w:val="auto"/>
                <w:sz w:val="24"/>
              </w:rPr>
              <w:t>综上所述，项目建设符合国家和地方的相关政策，符合“三线一单”生态环境分区管控意见，在各项污染防治措施落实后，污染物均能达标排放。因此，本项目符合环境保护要求，从环境保护角度分析，项目实施可行。</w:t>
            </w:r>
          </w:p>
        </w:tc>
      </w:tr>
    </w:tbl>
    <w:p w14:paraId="3A6EC021">
      <w:pPr>
        <w:pStyle w:val="7"/>
        <w:ind w:left="0" w:leftChars="0" w:firstLine="0" w:firstLineChars="0"/>
        <w:rPr>
          <w:rFonts w:hint="eastAsia"/>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BB0CC8F">
      <w:pPr>
        <w:pStyle w:val="9"/>
        <w:keepNext w:val="0"/>
        <w:keepLines w:val="0"/>
        <w:pageBreakBefore w:val="0"/>
        <w:widowControl/>
        <w:kinsoku/>
        <w:wordWrap/>
        <w:overflowPunct/>
        <w:topLinePunct w:val="0"/>
        <w:autoSpaceDE/>
        <w:autoSpaceDN/>
        <w:bidi w:val="0"/>
        <w:adjustRightInd/>
        <w:snapToGrid/>
        <w:spacing w:line="480" w:lineRule="exact"/>
        <w:ind w:right="21" w:rightChars="10"/>
        <w:jc w:val="both"/>
        <w:textAlignment w:val="center"/>
        <w:outlineLvl w:val="0"/>
        <w:rPr>
          <w:rFonts w:hint="default" w:ascii="黑体" w:hAnsi="黑体" w:eastAsia="黑体" w:cs="Times New Roman"/>
          <w:snapToGrid w:val="0"/>
          <w:color w:val="auto"/>
          <w:sz w:val="30"/>
          <w:szCs w:val="30"/>
        </w:rPr>
      </w:pPr>
      <w:r>
        <w:rPr>
          <w:rFonts w:hint="default" w:ascii="黑体" w:hAnsi="黑体" w:eastAsia="黑体" w:cs="Times New Roman"/>
          <w:snapToGrid w:val="0"/>
          <w:color w:val="auto"/>
          <w:sz w:val="30"/>
          <w:szCs w:val="30"/>
        </w:rPr>
        <w:t>附表</w:t>
      </w:r>
    </w:p>
    <w:p w14:paraId="4FBE5003">
      <w:pPr>
        <w:pStyle w:val="9"/>
        <w:keepNext w:val="0"/>
        <w:keepLines w:val="0"/>
        <w:pageBreakBefore w:val="0"/>
        <w:widowControl/>
        <w:kinsoku/>
        <w:wordWrap/>
        <w:overflowPunct/>
        <w:topLinePunct w:val="0"/>
        <w:autoSpaceDE/>
        <w:autoSpaceDN/>
        <w:bidi w:val="0"/>
        <w:adjustRightInd/>
        <w:snapToGrid/>
        <w:spacing w:line="480" w:lineRule="exact"/>
        <w:ind w:left="21" w:leftChars="10" w:right="21" w:rightChars="10" w:firstLine="964" w:firstLineChars="200"/>
        <w:jc w:val="center"/>
        <w:textAlignment w:val="center"/>
        <w:outlineLvl w:val="0"/>
        <w:rPr>
          <w:rFonts w:hint="default" w:ascii="Times New Roman" w:hAnsi="Times New Roman" w:eastAsia="黑体" w:cs="Times New Roman"/>
          <w:b/>
          <w:bCs/>
          <w:snapToGrid w:val="0"/>
          <w:color w:val="auto"/>
          <w:sz w:val="48"/>
          <w:szCs w:val="48"/>
        </w:rPr>
      </w:pPr>
      <w:r>
        <w:rPr>
          <w:rFonts w:hint="default" w:ascii="Times New Roman" w:hAnsi="Times New Roman" w:eastAsia="黑体" w:cs="Times New Roman"/>
          <w:b/>
          <w:bCs/>
          <w:snapToGrid w:val="0"/>
          <w:color w:val="auto"/>
          <w:sz w:val="48"/>
          <w:szCs w:val="48"/>
        </w:rPr>
        <w:t>建设项目污染物排放量汇总表</w:t>
      </w:r>
    </w:p>
    <w:tbl>
      <w:tblPr>
        <w:tblStyle w:val="10"/>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734"/>
        <w:gridCol w:w="1384"/>
        <w:gridCol w:w="1276"/>
        <w:gridCol w:w="1701"/>
        <w:gridCol w:w="1559"/>
        <w:gridCol w:w="1537"/>
        <w:gridCol w:w="1605"/>
        <w:gridCol w:w="1404"/>
      </w:tblGrid>
      <w:tr w14:paraId="236D4F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1588" w:type="dxa"/>
            <w:tcBorders>
              <w:tl2br w:val="single" w:color="auto" w:sz="4" w:space="0"/>
            </w:tcBorders>
            <w:noWrap w:val="0"/>
            <w:tcMar>
              <w:left w:w="28" w:type="dxa"/>
              <w:right w:w="28" w:type="dxa"/>
            </w:tcMar>
            <w:vAlign w:val="center"/>
          </w:tcPr>
          <w:p w14:paraId="1DE85997">
            <w:pPr>
              <w:pStyle w:val="23"/>
              <w:spacing w:beforeLines="0" w:afterLines="0" w:line="240" w:lineRule="auto"/>
              <w:jc w:val="right"/>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项目</w:t>
            </w:r>
          </w:p>
          <w:p w14:paraId="5AD3001F">
            <w:pPr>
              <w:pStyle w:val="23"/>
              <w:spacing w:beforeLines="0" w:afterLines="0" w:line="240" w:lineRule="auto"/>
              <w:jc w:val="left"/>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分类</w:t>
            </w:r>
          </w:p>
        </w:tc>
        <w:tc>
          <w:tcPr>
            <w:tcW w:w="1734" w:type="dxa"/>
            <w:noWrap w:val="0"/>
            <w:tcMar>
              <w:left w:w="28" w:type="dxa"/>
              <w:right w:w="28" w:type="dxa"/>
            </w:tcMar>
            <w:vAlign w:val="center"/>
          </w:tcPr>
          <w:p w14:paraId="40D8C0A2">
            <w:pPr>
              <w:pStyle w:val="23"/>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污染物名称</w:t>
            </w:r>
          </w:p>
        </w:tc>
        <w:tc>
          <w:tcPr>
            <w:tcW w:w="1384" w:type="dxa"/>
            <w:noWrap w:val="0"/>
            <w:tcMar>
              <w:left w:w="28" w:type="dxa"/>
              <w:right w:w="28" w:type="dxa"/>
            </w:tcMar>
            <w:vAlign w:val="center"/>
          </w:tcPr>
          <w:p w14:paraId="6521CCDB">
            <w:pPr>
              <w:pStyle w:val="23"/>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现有工程</w:t>
            </w:r>
          </w:p>
          <w:p w14:paraId="15CDCC7A">
            <w:pPr>
              <w:pStyle w:val="23"/>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排放量（固体废物产生量）</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kern w:val="2"/>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p>
        </w:tc>
        <w:tc>
          <w:tcPr>
            <w:tcW w:w="1276" w:type="dxa"/>
            <w:noWrap w:val="0"/>
            <w:tcMar>
              <w:left w:w="28" w:type="dxa"/>
              <w:right w:w="28" w:type="dxa"/>
            </w:tcMar>
            <w:vAlign w:val="center"/>
          </w:tcPr>
          <w:p w14:paraId="17821A16">
            <w:pPr>
              <w:pStyle w:val="23"/>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现有工程</w:t>
            </w:r>
          </w:p>
          <w:p w14:paraId="6F6AAFF3">
            <w:pPr>
              <w:pStyle w:val="23"/>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许可排放量</w:t>
            </w:r>
          </w:p>
          <w:p w14:paraId="50DA2B6E">
            <w:pPr>
              <w:pStyle w:val="23"/>
              <w:spacing w:beforeLines="0" w:afterLines="0"/>
              <w:rPr>
                <w:rFonts w:hint="default" w:ascii="Times New Roman" w:hAnsi="Times New Roman" w:eastAsia="宋体" w:cs="Times New Roman"/>
                <w:snapToGrid w:val="0"/>
                <w:color w:val="auto"/>
                <w:spacing w:val="-6"/>
                <w:kern w:val="21"/>
                <w:szCs w:val="21"/>
                <w:highlight w:val="none"/>
              </w:rPr>
            </w:pP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2 \* GB3 \* MERGEFORMAT </w:instrText>
            </w:r>
            <w:r>
              <w:rPr>
                <w:rFonts w:ascii="Times New Roman"/>
                <w:snapToGrid w:val="0"/>
                <w:color w:val="auto"/>
                <w:spacing w:val="-6"/>
                <w:kern w:val="21"/>
                <w:szCs w:val="21"/>
              </w:rPr>
              <w:fldChar w:fldCharType="separate"/>
            </w:r>
            <w:r>
              <w:rPr>
                <w:rFonts w:ascii="Times New Roman"/>
                <w:snapToGrid w:val="0"/>
                <w:color w:val="auto"/>
                <w:spacing w:val="-6"/>
                <w:kern w:val="21"/>
                <w:szCs w:val="21"/>
              </w:rPr>
              <w:t>②</w:t>
            </w:r>
            <w:r>
              <w:rPr>
                <w:rFonts w:ascii="Times New Roman"/>
                <w:snapToGrid w:val="0"/>
                <w:color w:val="auto"/>
                <w:spacing w:val="-6"/>
                <w:kern w:val="21"/>
                <w:szCs w:val="21"/>
              </w:rPr>
              <w:fldChar w:fldCharType="end"/>
            </w:r>
          </w:p>
        </w:tc>
        <w:tc>
          <w:tcPr>
            <w:tcW w:w="1701" w:type="dxa"/>
            <w:noWrap w:val="0"/>
            <w:tcMar>
              <w:left w:w="28" w:type="dxa"/>
              <w:right w:w="28" w:type="dxa"/>
            </w:tcMar>
            <w:vAlign w:val="center"/>
          </w:tcPr>
          <w:p w14:paraId="274638A0">
            <w:pPr>
              <w:pStyle w:val="23"/>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在建工程</w:t>
            </w:r>
          </w:p>
          <w:p w14:paraId="5AC159B5">
            <w:pPr>
              <w:pStyle w:val="23"/>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kern w:val="2"/>
                <w:szCs w:val="21"/>
              </w:rPr>
              <w:t>③</w:t>
            </w:r>
            <w:r>
              <w:rPr>
                <w:rFonts w:ascii="Times New Roman"/>
                <w:snapToGrid w:val="0"/>
                <w:color w:val="auto"/>
                <w:spacing w:val="-6"/>
                <w:kern w:val="21"/>
                <w:szCs w:val="21"/>
              </w:rPr>
              <w:fldChar w:fldCharType="end"/>
            </w:r>
          </w:p>
        </w:tc>
        <w:tc>
          <w:tcPr>
            <w:tcW w:w="1559" w:type="dxa"/>
            <w:noWrap w:val="0"/>
            <w:tcMar>
              <w:left w:w="28" w:type="dxa"/>
              <w:right w:w="28" w:type="dxa"/>
            </w:tcMar>
            <w:vAlign w:val="center"/>
          </w:tcPr>
          <w:p w14:paraId="72A969EC">
            <w:pPr>
              <w:pStyle w:val="23"/>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本项目</w:t>
            </w:r>
          </w:p>
          <w:p w14:paraId="57CCD067">
            <w:pPr>
              <w:pStyle w:val="23"/>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排放量（固体废物产生量）</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kern w:val="2"/>
                <w:szCs w:val="21"/>
                <w:highlight w:val="none"/>
              </w:rPr>
              <w:t>④</w:t>
            </w:r>
            <w:r>
              <w:rPr>
                <w:rFonts w:hint="default" w:ascii="Times New Roman" w:hAnsi="Times New Roman" w:eastAsia="宋体" w:cs="Times New Roman"/>
                <w:snapToGrid w:val="0"/>
                <w:color w:val="auto"/>
                <w:spacing w:val="-6"/>
                <w:kern w:val="21"/>
                <w:szCs w:val="21"/>
                <w:highlight w:val="none"/>
              </w:rPr>
              <w:fldChar w:fldCharType="end"/>
            </w:r>
          </w:p>
        </w:tc>
        <w:tc>
          <w:tcPr>
            <w:tcW w:w="1537" w:type="dxa"/>
            <w:noWrap w:val="0"/>
            <w:tcMar>
              <w:left w:w="28" w:type="dxa"/>
              <w:right w:w="28" w:type="dxa"/>
            </w:tcMar>
            <w:vAlign w:val="center"/>
          </w:tcPr>
          <w:p w14:paraId="2332E3AD">
            <w:pPr>
              <w:pStyle w:val="23"/>
              <w:spacing w:beforeLines="0" w:afterLines="0" w:line="240" w:lineRule="auto"/>
              <w:rPr>
                <w:rFonts w:hint="default" w:ascii="Times New Roman" w:hAnsi="Times New Roman" w:eastAsia="宋体" w:cs="Times New Roman"/>
                <w:snapToGrid w:val="0"/>
                <w:color w:val="auto"/>
                <w:spacing w:val="-16"/>
                <w:kern w:val="21"/>
                <w:szCs w:val="21"/>
                <w:highlight w:val="none"/>
              </w:rPr>
            </w:pPr>
            <w:r>
              <w:rPr>
                <w:rFonts w:hint="default" w:ascii="Times New Roman" w:hAnsi="Times New Roman" w:eastAsia="宋体" w:cs="Times New Roman"/>
                <w:snapToGrid w:val="0"/>
                <w:color w:val="auto"/>
                <w:spacing w:val="-16"/>
                <w:kern w:val="21"/>
                <w:szCs w:val="21"/>
                <w:highlight w:val="none"/>
              </w:rPr>
              <w:t>以新带老削减量</w:t>
            </w:r>
          </w:p>
          <w:p w14:paraId="1142D3AE">
            <w:pPr>
              <w:pStyle w:val="23"/>
              <w:spacing w:beforeLines="0" w:afterLines="0" w:line="240" w:lineRule="auto"/>
              <w:rPr>
                <w:rFonts w:hint="default" w:ascii="Times New Roman" w:hAnsi="Times New Roman" w:eastAsia="宋体" w:cs="Times New Roman"/>
                <w:snapToGrid w:val="0"/>
                <w:color w:val="auto"/>
                <w:spacing w:val="-16"/>
                <w:kern w:val="21"/>
                <w:szCs w:val="21"/>
                <w:highlight w:val="none"/>
              </w:rPr>
            </w:pPr>
            <w:r>
              <w:rPr>
                <w:rFonts w:hint="default" w:ascii="Times New Roman" w:hAnsi="Times New Roman" w:eastAsia="宋体" w:cs="Times New Roman"/>
                <w:snapToGrid w:val="0"/>
                <w:color w:val="auto"/>
                <w:spacing w:val="-16"/>
                <w:kern w:val="21"/>
                <w:szCs w:val="21"/>
                <w:highlight w:val="none"/>
              </w:rPr>
              <w:t>（新建项目不填）</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kern w:val="2"/>
                <w:szCs w:val="21"/>
                <w:highlight w:val="none"/>
              </w:rPr>
              <w:t>⑤</w:t>
            </w:r>
            <w:r>
              <w:rPr>
                <w:rFonts w:hint="default" w:ascii="Times New Roman" w:hAnsi="Times New Roman" w:eastAsia="宋体" w:cs="Times New Roman"/>
                <w:snapToGrid w:val="0"/>
                <w:color w:val="auto"/>
                <w:spacing w:val="-16"/>
                <w:kern w:val="21"/>
                <w:szCs w:val="21"/>
                <w:highlight w:val="none"/>
              </w:rPr>
              <w:fldChar w:fldCharType="end"/>
            </w:r>
          </w:p>
        </w:tc>
        <w:tc>
          <w:tcPr>
            <w:tcW w:w="1605" w:type="dxa"/>
            <w:noWrap w:val="0"/>
            <w:tcMar>
              <w:left w:w="28" w:type="dxa"/>
              <w:right w:w="28" w:type="dxa"/>
            </w:tcMar>
            <w:vAlign w:val="center"/>
          </w:tcPr>
          <w:p w14:paraId="02551159">
            <w:pPr>
              <w:pStyle w:val="23"/>
              <w:spacing w:beforeLines="0" w:afterLines="0" w:line="240" w:lineRule="auto"/>
              <w:rPr>
                <w:rFonts w:hint="default" w:ascii="Times New Roman" w:hAnsi="Times New Roman" w:eastAsia="宋体" w:cs="Times New Roman"/>
                <w:snapToGrid w:val="0"/>
                <w:color w:val="auto"/>
                <w:spacing w:val="-16"/>
                <w:kern w:val="21"/>
                <w:szCs w:val="21"/>
                <w:highlight w:val="none"/>
              </w:rPr>
            </w:pPr>
            <w:r>
              <w:rPr>
                <w:rFonts w:hint="default" w:ascii="Times New Roman" w:hAnsi="Times New Roman" w:eastAsia="宋体" w:cs="Times New Roman"/>
                <w:snapToGrid w:val="0"/>
                <w:color w:val="auto"/>
                <w:spacing w:val="-16"/>
                <w:kern w:val="21"/>
                <w:szCs w:val="21"/>
                <w:highlight w:val="none"/>
              </w:rPr>
              <w:t>本项目建成后</w:t>
            </w:r>
          </w:p>
          <w:p w14:paraId="149B2AEB">
            <w:pPr>
              <w:pStyle w:val="23"/>
              <w:spacing w:beforeLines="0" w:afterLines="0" w:line="240" w:lineRule="auto"/>
              <w:rPr>
                <w:rFonts w:hint="default" w:ascii="Times New Roman" w:hAnsi="Times New Roman" w:eastAsia="宋体" w:cs="Times New Roman"/>
                <w:snapToGrid w:val="0"/>
                <w:color w:val="auto"/>
                <w:spacing w:val="-16"/>
                <w:kern w:val="21"/>
                <w:szCs w:val="21"/>
                <w:highlight w:val="none"/>
              </w:rPr>
            </w:pPr>
            <w:r>
              <w:rPr>
                <w:rFonts w:hint="default" w:ascii="Times New Roman" w:hAnsi="Times New Roman" w:eastAsia="宋体" w:cs="Times New Roman"/>
                <w:snapToGrid w:val="0"/>
                <w:color w:val="auto"/>
                <w:spacing w:val="-16"/>
                <w:kern w:val="21"/>
                <w:szCs w:val="21"/>
                <w:highlight w:val="none"/>
              </w:rPr>
              <w:t>全厂排放量（固体废物产生量）</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kern w:val="2"/>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p>
        </w:tc>
        <w:tc>
          <w:tcPr>
            <w:tcW w:w="1404" w:type="dxa"/>
            <w:noWrap w:val="0"/>
            <w:tcMar>
              <w:left w:w="28" w:type="dxa"/>
              <w:right w:w="28" w:type="dxa"/>
            </w:tcMar>
            <w:vAlign w:val="center"/>
          </w:tcPr>
          <w:p w14:paraId="135F5536">
            <w:pPr>
              <w:pStyle w:val="23"/>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变化量</w:t>
            </w:r>
          </w:p>
          <w:p w14:paraId="1A9771FC">
            <w:pPr>
              <w:pStyle w:val="23"/>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kern w:val="2"/>
                <w:szCs w:val="21"/>
                <w:highlight w:val="none"/>
              </w:rPr>
              <w:t>⑦</w:t>
            </w:r>
            <w:r>
              <w:rPr>
                <w:rFonts w:hint="default" w:ascii="Times New Roman" w:hAnsi="Times New Roman" w:eastAsia="宋体" w:cs="Times New Roman"/>
                <w:snapToGrid w:val="0"/>
                <w:color w:val="auto"/>
                <w:spacing w:val="-6"/>
                <w:kern w:val="21"/>
                <w:szCs w:val="21"/>
                <w:highlight w:val="none"/>
              </w:rPr>
              <w:fldChar w:fldCharType="end"/>
            </w:r>
          </w:p>
        </w:tc>
      </w:tr>
      <w:tr w14:paraId="63392B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1588" w:type="dxa"/>
            <w:vMerge w:val="restart"/>
            <w:noWrap w:val="0"/>
            <w:vAlign w:val="center"/>
          </w:tcPr>
          <w:p w14:paraId="143A9A7B">
            <w:pPr>
              <w:pStyle w:val="23"/>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废气</w:t>
            </w:r>
          </w:p>
        </w:tc>
        <w:tc>
          <w:tcPr>
            <w:tcW w:w="1734" w:type="dxa"/>
            <w:noWrap w:val="0"/>
            <w:vAlign w:val="center"/>
          </w:tcPr>
          <w:p w14:paraId="572BFEB5">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eastAsia" w:ascii="Times New Roman" w:cs="Times New Roman"/>
                <w:color w:val="auto"/>
                <w:szCs w:val="21"/>
                <w:highlight w:val="none"/>
                <w:lang w:val="en-US" w:eastAsia="zh-CN"/>
              </w:rPr>
              <w:t>颗粒物</w:t>
            </w:r>
          </w:p>
        </w:tc>
        <w:tc>
          <w:tcPr>
            <w:tcW w:w="1384" w:type="dxa"/>
            <w:noWrap w:val="0"/>
            <w:vAlign w:val="center"/>
          </w:tcPr>
          <w:p w14:paraId="3AEBD0E5">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0.041t/a</w:t>
            </w:r>
          </w:p>
        </w:tc>
        <w:tc>
          <w:tcPr>
            <w:tcW w:w="1276" w:type="dxa"/>
            <w:noWrap w:val="0"/>
            <w:vAlign w:val="center"/>
          </w:tcPr>
          <w:p w14:paraId="4B58FDDB">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7.095t/a</w:t>
            </w:r>
          </w:p>
        </w:tc>
        <w:tc>
          <w:tcPr>
            <w:tcW w:w="1701" w:type="dxa"/>
            <w:noWrap w:val="0"/>
            <w:vAlign w:val="center"/>
          </w:tcPr>
          <w:p w14:paraId="659CC729">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7262534C">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0.043t/a</w:t>
            </w:r>
          </w:p>
        </w:tc>
        <w:tc>
          <w:tcPr>
            <w:tcW w:w="1537" w:type="dxa"/>
            <w:noWrap w:val="0"/>
            <w:vAlign w:val="center"/>
          </w:tcPr>
          <w:p w14:paraId="29212C1F">
            <w:pPr>
              <w:pStyle w:val="23"/>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0.041t/a</w:t>
            </w:r>
          </w:p>
        </w:tc>
        <w:tc>
          <w:tcPr>
            <w:tcW w:w="1605" w:type="dxa"/>
            <w:noWrap w:val="0"/>
            <w:vAlign w:val="center"/>
          </w:tcPr>
          <w:p w14:paraId="35EAECD6">
            <w:pPr>
              <w:pStyle w:val="23"/>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0.043t/a</w:t>
            </w:r>
          </w:p>
        </w:tc>
        <w:tc>
          <w:tcPr>
            <w:tcW w:w="1404" w:type="dxa"/>
            <w:noWrap w:val="0"/>
            <w:vAlign w:val="center"/>
          </w:tcPr>
          <w:p w14:paraId="20AEB420">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+0.002t/a</w:t>
            </w:r>
          </w:p>
        </w:tc>
      </w:tr>
      <w:tr w14:paraId="79DF03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 w:hRule="atLeast"/>
        </w:trPr>
        <w:tc>
          <w:tcPr>
            <w:tcW w:w="1588" w:type="dxa"/>
            <w:vMerge w:val="continue"/>
            <w:noWrap w:val="0"/>
            <w:vAlign w:val="center"/>
          </w:tcPr>
          <w:p w14:paraId="6DA7DCD0">
            <w:pPr>
              <w:pStyle w:val="23"/>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34" w:type="dxa"/>
            <w:noWrap w:val="0"/>
            <w:vAlign w:val="center"/>
          </w:tcPr>
          <w:p w14:paraId="5096BD73">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eastAsia" w:ascii="Times New Roman" w:cs="Times New Roman"/>
                <w:color w:val="auto"/>
                <w:szCs w:val="21"/>
                <w:highlight w:val="none"/>
                <w:lang w:val="en-US" w:eastAsia="zh-CN"/>
              </w:rPr>
              <w:t>SO</w:t>
            </w:r>
            <w:r>
              <w:rPr>
                <w:rFonts w:hint="eastAsia" w:ascii="Times New Roman" w:cs="Times New Roman"/>
                <w:color w:val="auto"/>
                <w:szCs w:val="21"/>
                <w:highlight w:val="none"/>
                <w:vertAlign w:val="subscript"/>
                <w:lang w:val="en-US" w:eastAsia="zh-CN"/>
              </w:rPr>
              <w:t>2</w:t>
            </w:r>
          </w:p>
        </w:tc>
        <w:tc>
          <w:tcPr>
            <w:tcW w:w="1384" w:type="dxa"/>
            <w:noWrap w:val="0"/>
            <w:vAlign w:val="center"/>
          </w:tcPr>
          <w:p w14:paraId="7F7A29E4">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0.0471t/a</w:t>
            </w:r>
          </w:p>
        </w:tc>
        <w:tc>
          <w:tcPr>
            <w:tcW w:w="1276" w:type="dxa"/>
            <w:noWrap w:val="0"/>
            <w:vAlign w:val="center"/>
          </w:tcPr>
          <w:p w14:paraId="4CE5E492">
            <w:pPr>
              <w:pStyle w:val="23"/>
              <w:spacing w:beforeLines="0" w:afterLines="0" w:line="240" w:lineRule="auto"/>
              <w:rPr>
                <w:rFonts w:hint="eastAsia"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14.19t/a</w:t>
            </w:r>
          </w:p>
        </w:tc>
        <w:tc>
          <w:tcPr>
            <w:tcW w:w="1701" w:type="dxa"/>
            <w:noWrap w:val="0"/>
            <w:vAlign w:val="center"/>
          </w:tcPr>
          <w:p w14:paraId="6B52CE8C">
            <w:pPr>
              <w:pStyle w:val="23"/>
              <w:spacing w:beforeLines="0" w:afterLines="0" w:line="240" w:lineRule="auto"/>
              <w:rPr>
                <w:rFonts w:hint="eastAsia"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78C9851C">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1.2t/a</w:t>
            </w:r>
          </w:p>
        </w:tc>
        <w:tc>
          <w:tcPr>
            <w:tcW w:w="1537" w:type="dxa"/>
            <w:noWrap w:val="0"/>
            <w:vAlign w:val="center"/>
          </w:tcPr>
          <w:p w14:paraId="2E292C1E">
            <w:pPr>
              <w:pStyle w:val="23"/>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0.0471t/a</w:t>
            </w:r>
          </w:p>
        </w:tc>
        <w:tc>
          <w:tcPr>
            <w:tcW w:w="1605" w:type="dxa"/>
            <w:noWrap w:val="0"/>
            <w:vAlign w:val="center"/>
          </w:tcPr>
          <w:p w14:paraId="075CB38E">
            <w:pPr>
              <w:pStyle w:val="23"/>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1.2t/a</w:t>
            </w:r>
          </w:p>
        </w:tc>
        <w:tc>
          <w:tcPr>
            <w:tcW w:w="1404" w:type="dxa"/>
            <w:noWrap w:val="0"/>
            <w:vAlign w:val="center"/>
          </w:tcPr>
          <w:p w14:paraId="6164061D">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+1.1529t/a</w:t>
            </w:r>
          </w:p>
        </w:tc>
      </w:tr>
      <w:tr w14:paraId="568A57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 w:hRule="atLeast"/>
        </w:trPr>
        <w:tc>
          <w:tcPr>
            <w:tcW w:w="1588" w:type="dxa"/>
            <w:vMerge w:val="continue"/>
            <w:noWrap w:val="0"/>
            <w:vAlign w:val="center"/>
          </w:tcPr>
          <w:p w14:paraId="4F844FE8">
            <w:pPr>
              <w:pStyle w:val="23"/>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34" w:type="dxa"/>
            <w:noWrap w:val="0"/>
            <w:vAlign w:val="center"/>
          </w:tcPr>
          <w:p w14:paraId="32427E4E">
            <w:pPr>
              <w:pStyle w:val="23"/>
              <w:spacing w:beforeLines="0" w:afterLines="0" w:line="240" w:lineRule="auto"/>
              <w:rPr>
                <w:rFonts w:hint="default" w:ascii="Times New Roman" w:hAnsi="Times New Roman" w:eastAsia="宋体" w:cs="Times New Roman"/>
                <w:color w:val="auto"/>
                <w:szCs w:val="21"/>
                <w:highlight w:val="none"/>
                <w:lang w:val="en-US" w:eastAsia="zh-CN"/>
              </w:rPr>
            </w:pPr>
            <w:r>
              <w:rPr>
                <w:rFonts w:hint="eastAsia" w:ascii="Times New Roman" w:cs="Times New Roman"/>
                <w:color w:val="auto"/>
                <w:szCs w:val="21"/>
                <w:highlight w:val="none"/>
                <w:lang w:val="en-US" w:eastAsia="zh-CN"/>
              </w:rPr>
              <w:t>NOx</w:t>
            </w:r>
          </w:p>
        </w:tc>
        <w:tc>
          <w:tcPr>
            <w:tcW w:w="1384" w:type="dxa"/>
            <w:noWrap w:val="0"/>
            <w:vAlign w:val="center"/>
          </w:tcPr>
          <w:p w14:paraId="4CE7939B">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2.09t/a</w:t>
            </w:r>
          </w:p>
        </w:tc>
        <w:tc>
          <w:tcPr>
            <w:tcW w:w="1276" w:type="dxa"/>
            <w:noWrap w:val="0"/>
            <w:vAlign w:val="center"/>
          </w:tcPr>
          <w:p w14:paraId="23D79522">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17.7379t/a</w:t>
            </w:r>
          </w:p>
        </w:tc>
        <w:tc>
          <w:tcPr>
            <w:tcW w:w="1701" w:type="dxa"/>
            <w:noWrap w:val="0"/>
            <w:vAlign w:val="center"/>
          </w:tcPr>
          <w:p w14:paraId="6908AE47">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70E737A1">
            <w:pPr>
              <w:pStyle w:val="23"/>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4.3t/a</w:t>
            </w:r>
          </w:p>
        </w:tc>
        <w:tc>
          <w:tcPr>
            <w:tcW w:w="1537" w:type="dxa"/>
            <w:noWrap w:val="0"/>
            <w:vAlign w:val="center"/>
          </w:tcPr>
          <w:p w14:paraId="4901F1C1">
            <w:pPr>
              <w:pStyle w:val="23"/>
              <w:spacing w:beforeLines="0" w:afterLines="0" w:line="240" w:lineRule="auto"/>
              <w:rPr>
                <w:rFonts w:hint="eastAsia"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2.09t/a</w:t>
            </w:r>
          </w:p>
        </w:tc>
        <w:tc>
          <w:tcPr>
            <w:tcW w:w="1605" w:type="dxa"/>
            <w:noWrap w:val="0"/>
            <w:vAlign w:val="center"/>
          </w:tcPr>
          <w:p w14:paraId="646F647A">
            <w:pPr>
              <w:pStyle w:val="23"/>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4.3t/a</w:t>
            </w:r>
          </w:p>
        </w:tc>
        <w:tc>
          <w:tcPr>
            <w:tcW w:w="1404" w:type="dxa"/>
            <w:noWrap w:val="0"/>
            <w:vAlign w:val="center"/>
          </w:tcPr>
          <w:p w14:paraId="5246AFCF">
            <w:pPr>
              <w:pStyle w:val="23"/>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+2.21</w:t>
            </w:r>
          </w:p>
        </w:tc>
      </w:tr>
      <w:tr w14:paraId="534AD4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 w:hRule="atLeast"/>
        </w:trPr>
        <w:tc>
          <w:tcPr>
            <w:tcW w:w="1588" w:type="dxa"/>
            <w:vMerge w:val="continue"/>
            <w:noWrap w:val="0"/>
            <w:vAlign w:val="center"/>
          </w:tcPr>
          <w:p w14:paraId="54B03352">
            <w:pPr>
              <w:pStyle w:val="23"/>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34" w:type="dxa"/>
            <w:noWrap w:val="0"/>
            <w:vAlign w:val="center"/>
          </w:tcPr>
          <w:p w14:paraId="3DCCA627">
            <w:pPr>
              <w:pStyle w:val="23"/>
              <w:spacing w:beforeLines="0" w:afterLines="0" w:line="240" w:lineRule="auto"/>
              <w:rPr>
                <w:rFonts w:hint="default" w:ascii="Times New Roman" w:cs="Times New Roman"/>
                <w:color w:val="auto"/>
                <w:szCs w:val="21"/>
                <w:highlight w:val="none"/>
                <w:lang w:val="en-US" w:eastAsia="zh-CN"/>
              </w:rPr>
            </w:pPr>
            <w:r>
              <w:rPr>
                <w:rFonts w:hint="eastAsia" w:ascii="Times New Roman" w:cs="Times New Roman"/>
                <w:color w:val="auto"/>
                <w:szCs w:val="21"/>
                <w:highlight w:val="none"/>
                <w:lang w:val="en-US" w:eastAsia="zh-CN"/>
              </w:rPr>
              <w:t>HCl</w:t>
            </w:r>
          </w:p>
        </w:tc>
        <w:tc>
          <w:tcPr>
            <w:tcW w:w="1384" w:type="dxa"/>
            <w:noWrap w:val="0"/>
            <w:vAlign w:val="center"/>
          </w:tcPr>
          <w:p w14:paraId="64F228CC">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0.008t/a</w:t>
            </w:r>
          </w:p>
        </w:tc>
        <w:tc>
          <w:tcPr>
            <w:tcW w:w="1276" w:type="dxa"/>
            <w:noWrap w:val="0"/>
            <w:vAlign w:val="center"/>
          </w:tcPr>
          <w:p w14:paraId="13AEB2BA">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49480404">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11598F93">
            <w:pPr>
              <w:pStyle w:val="23"/>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0.008t/a</w:t>
            </w:r>
          </w:p>
        </w:tc>
        <w:tc>
          <w:tcPr>
            <w:tcW w:w="1537" w:type="dxa"/>
            <w:noWrap w:val="0"/>
            <w:vAlign w:val="center"/>
          </w:tcPr>
          <w:p w14:paraId="3215910B">
            <w:pPr>
              <w:pStyle w:val="23"/>
              <w:spacing w:beforeLines="0" w:afterLines="0" w:line="240" w:lineRule="auto"/>
              <w:rPr>
                <w:rFonts w:hint="eastAsia"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0.008t/a</w:t>
            </w:r>
          </w:p>
        </w:tc>
        <w:tc>
          <w:tcPr>
            <w:tcW w:w="1605" w:type="dxa"/>
            <w:noWrap w:val="0"/>
            <w:vAlign w:val="center"/>
          </w:tcPr>
          <w:p w14:paraId="757D606D">
            <w:pPr>
              <w:pStyle w:val="23"/>
              <w:spacing w:beforeLines="0" w:afterLines="0" w:line="240" w:lineRule="auto"/>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0.008t/a</w:t>
            </w:r>
          </w:p>
        </w:tc>
        <w:tc>
          <w:tcPr>
            <w:tcW w:w="1404" w:type="dxa"/>
            <w:noWrap w:val="0"/>
            <w:vAlign w:val="center"/>
          </w:tcPr>
          <w:p w14:paraId="7DEF1919">
            <w:pPr>
              <w:pStyle w:val="23"/>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0</w:t>
            </w:r>
            <w:r>
              <w:rPr>
                <w:rFonts w:hint="eastAsia" w:ascii="Times New Roman" w:cs="Times New Roman"/>
                <w:snapToGrid w:val="0"/>
                <w:color w:val="auto"/>
                <w:kern w:val="21"/>
                <w:szCs w:val="21"/>
                <w:highlight w:val="none"/>
                <w:lang w:val="en-US" w:eastAsia="zh-CN"/>
              </w:rPr>
              <w:t>t/a</w:t>
            </w:r>
          </w:p>
        </w:tc>
      </w:tr>
      <w:tr w14:paraId="33F6B1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17" w:hRule="atLeast"/>
        </w:trPr>
        <w:tc>
          <w:tcPr>
            <w:tcW w:w="1588" w:type="dxa"/>
            <w:noWrap w:val="0"/>
            <w:vAlign w:val="center"/>
          </w:tcPr>
          <w:p w14:paraId="5DA447BD">
            <w:pPr>
              <w:pStyle w:val="23"/>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废水</w:t>
            </w:r>
          </w:p>
        </w:tc>
        <w:tc>
          <w:tcPr>
            <w:tcW w:w="1734" w:type="dxa"/>
            <w:noWrap w:val="0"/>
            <w:vAlign w:val="center"/>
          </w:tcPr>
          <w:p w14:paraId="3DD74EA0">
            <w:pPr>
              <w:pStyle w:val="23"/>
              <w:spacing w:beforeLines="0" w:afterLines="0" w:line="240" w:lineRule="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w:t>
            </w:r>
          </w:p>
        </w:tc>
        <w:tc>
          <w:tcPr>
            <w:tcW w:w="1384" w:type="dxa"/>
            <w:noWrap w:val="0"/>
            <w:vAlign w:val="center"/>
          </w:tcPr>
          <w:p w14:paraId="3CD805A6">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17390784">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4D327FFE">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3258DBA7">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37" w:type="dxa"/>
            <w:noWrap w:val="0"/>
            <w:vAlign w:val="center"/>
          </w:tcPr>
          <w:p w14:paraId="161FDC5B">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605" w:type="dxa"/>
            <w:noWrap w:val="0"/>
            <w:vAlign w:val="center"/>
          </w:tcPr>
          <w:p w14:paraId="5CA35AAE">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404" w:type="dxa"/>
            <w:noWrap w:val="0"/>
            <w:vAlign w:val="center"/>
          </w:tcPr>
          <w:p w14:paraId="0D1961F2">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r>
      <w:tr w14:paraId="5D7C5C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1588" w:type="dxa"/>
            <w:noWrap w:val="0"/>
            <w:vAlign w:val="center"/>
          </w:tcPr>
          <w:p w14:paraId="2F412CD2">
            <w:pPr>
              <w:pStyle w:val="23"/>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一般工业</w:t>
            </w:r>
          </w:p>
          <w:p w14:paraId="3DDBDFF9">
            <w:pPr>
              <w:pStyle w:val="23"/>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固体废物</w:t>
            </w:r>
          </w:p>
        </w:tc>
        <w:tc>
          <w:tcPr>
            <w:tcW w:w="1734" w:type="dxa"/>
            <w:noWrap w:val="0"/>
            <w:vAlign w:val="center"/>
          </w:tcPr>
          <w:p w14:paraId="23D72535">
            <w:pP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热风炉灰渣</w:t>
            </w:r>
          </w:p>
        </w:tc>
        <w:tc>
          <w:tcPr>
            <w:tcW w:w="1384" w:type="dxa"/>
            <w:noWrap w:val="0"/>
            <w:vAlign w:val="center"/>
          </w:tcPr>
          <w:p w14:paraId="01474822">
            <w:pP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1276" w:type="dxa"/>
            <w:noWrap w:val="0"/>
            <w:vAlign w:val="center"/>
          </w:tcPr>
          <w:p w14:paraId="01C8573E">
            <w:pP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1701" w:type="dxa"/>
            <w:noWrap w:val="0"/>
            <w:vAlign w:val="center"/>
          </w:tcPr>
          <w:p w14:paraId="584DE917">
            <w:pP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1559" w:type="dxa"/>
            <w:noWrap w:val="0"/>
            <w:vAlign w:val="center"/>
          </w:tcPr>
          <w:p w14:paraId="3E8B9874">
            <w:pP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121.88t/a</w:t>
            </w:r>
          </w:p>
        </w:tc>
        <w:tc>
          <w:tcPr>
            <w:tcW w:w="1537" w:type="dxa"/>
            <w:noWrap w:val="0"/>
            <w:vAlign w:val="center"/>
          </w:tcPr>
          <w:p w14:paraId="680961C2">
            <w:pP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1605" w:type="dxa"/>
            <w:noWrap w:val="0"/>
            <w:vAlign w:val="center"/>
          </w:tcPr>
          <w:p w14:paraId="34B186B3">
            <w:pP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121.88t/a</w:t>
            </w:r>
          </w:p>
        </w:tc>
        <w:tc>
          <w:tcPr>
            <w:tcW w:w="1404" w:type="dxa"/>
            <w:noWrap w:val="0"/>
            <w:vAlign w:val="center"/>
          </w:tcPr>
          <w:p w14:paraId="197B960A">
            <w:pPr>
              <w:jc w:val="center"/>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eastAsia="宋体" w:cs="Times New Roman"/>
                <w:snapToGrid w:val="0"/>
                <w:color w:val="auto"/>
                <w:kern w:val="21"/>
                <w:szCs w:val="21"/>
                <w:highlight w:val="none"/>
                <w:lang w:val="en-US" w:eastAsia="zh-CN"/>
              </w:rPr>
              <w:t>+</w:t>
            </w:r>
            <w:r>
              <w:rPr>
                <w:rFonts w:hint="default" w:ascii="Times New Roman" w:hAnsi="Times New Roman" w:eastAsia="宋体" w:cs="Times New Roman"/>
                <w:snapToGrid w:val="0"/>
                <w:color w:val="auto"/>
                <w:kern w:val="21"/>
                <w:szCs w:val="21"/>
                <w:highlight w:val="none"/>
                <w:lang w:val="en-US" w:eastAsia="zh-CN"/>
              </w:rPr>
              <w:t>121.88t/a</w:t>
            </w:r>
          </w:p>
        </w:tc>
      </w:tr>
      <w:tr w14:paraId="700B96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5" w:hRule="atLeast"/>
        </w:trPr>
        <w:tc>
          <w:tcPr>
            <w:tcW w:w="1588" w:type="dxa"/>
            <w:noWrap w:val="0"/>
            <w:vAlign w:val="center"/>
          </w:tcPr>
          <w:p w14:paraId="46A81F01">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eastAsia="宋体" w:cs="Times New Roman"/>
                <w:snapToGrid w:val="0"/>
                <w:color w:val="auto"/>
                <w:kern w:val="21"/>
                <w:szCs w:val="21"/>
                <w:highlight w:val="none"/>
                <w:lang w:val="en-US" w:eastAsia="zh-CN"/>
              </w:rPr>
              <w:t>危险废物</w:t>
            </w:r>
          </w:p>
        </w:tc>
        <w:tc>
          <w:tcPr>
            <w:tcW w:w="1734" w:type="dxa"/>
            <w:noWrap w:val="0"/>
            <w:vAlign w:val="center"/>
          </w:tcPr>
          <w:p w14:paraId="49E7A321">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eastAsia="宋体" w:cs="Times New Roman"/>
                <w:snapToGrid w:val="0"/>
                <w:color w:val="auto"/>
                <w:kern w:val="21"/>
                <w:szCs w:val="21"/>
                <w:highlight w:val="none"/>
                <w:lang w:val="en-US" w:eastAsia="zh-CN"/>
              </w:rPr>
              <w:t>/</w:t>
            </w:r>
          </w:p>
        </w:tc>
        <w:tc>
          <w:tcPr>
            <w:tcW w:w="1384" w:type="dxa"/>
            <w:noWrap w:val="0"/>
            <w:vAlign w:val="center"/>
          </w:tcPr>
          <w:p w14:paraId="0A33EC80">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eastAsia="宋体" w:cs="Times New Roman"/>
                <w:snapToGrid w:val="0"/>
                <w:color w:val="auto"/>
                <w:kern w:val="21"/>
                <w:szCs w:val="21"/>
                <w:highlight w:val="none"/>
                <w:lang w:val="en-US" w:eastAsia="zh-CN"/>
              </w:rPr>
              <w:t>/</w:t>
            </w:r>
          </w:p>
        </w:tc>
        <w:tc>
          <w:tcPr>
            <w:tcW w:w="1276" w:type="dxa"/>
            <w:noWrap w:val="0"/>
            <w:vAlign w:val="center"/>
          </w:tcPr>
          <w:p w14:paraId="63D54A0B">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328CBDA1">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252A46C6">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eastAsia="宋体" w:cs="Times New Roman"/>
                <w:snapToGrid w:val="0"/>
                <w:color w:val="auto"/>
                <w:kern w:val="21"/>
                <w:szCs w:val="21"/>
                <w:highlight w:val="none"/>
                <w:lang w:val="en-US" w:eastAsia="zh-CN"/>
              </w:rPr>
              <w:t>/</w:t>
            </w:r>
          </w:p>
        </w:tc>
        <w:tc>
          <w:tcPr>
            <w:tcW w:w="1537" w:type="dxa"/>
            <w:noWrap w:val="0"/>
            <w:vAlign w:val="center"/>
          </w:tcPr>
          <w:p w14:paraId="13D1F4BB">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eastAsia="宋体" w:cs="Times New Roman"/>
                <w:snapToGrid w:val="0"/>
                <w:color w:val="auto"/>
                <w:kern w:val="21"/>
                <w:szCs w:val="21"/>
                <w:highlight w:val="none"/>
                <w:lang w:val="en-US" w:eastAsia="zh-CN"/>
              </w:rPr>
              <w:t>/</w:t>
            </w:r>
          </w:p>
        </w:tc>
        <w:tc>
          <w:tcPr>
            <w:tcW w:w="1605" w:type="dxa"/>
            <w:noWrap w:val="0"/>
            <w:vAlign w:val="center"/>
          </w:tcPr>
          <w:p w14:paraId="2B5BDF23">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eastAsia="宋体" w:cs="Times New Roman"/>
                <w:snapToGrid w:val="0"/>
                <w:color w:val="auto"/>
                <w:kern w:val="21"/>
                <w:szCs w:val="21"/>
                <w:highlight w:val="none"/>
                <w:lang w:val="en-US" w:eastAsia="zh-CN"/>
              </w:rPr>
              <w:t>/</w:t>
            </w:r>
          </w:p>
        </w:tc>
        <w:tc>
          <w:tcPr>
            <w:tcW w:w="1404" w:type="dxa"/>
            <w:noWrap w:val="0"/>
            <w:vAlign w:val="center"/>
          </w:tcPr>
          <w:p w14:paraId="49B81758">
            <w:pPr>
              <w:pStyle w:val="23"/>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eastAsia="宋体" w:cs="Times New Roman"/>
                <w:snapToGrid w:val="0"/>
                <w:color w:val="auto"/>
                <w:kern w:val="21"/>
                <w:szCs w:val="21"/>
                <w:highlight w:val="none"/>
                <w:lang w:val="en-US" w:eastAsia="zh-CN"/>
              </w:rPr>
              <w:t>/</w:t>
            </w:r>
          </w:p>
        </w:tc>
      </w:tr>
    </w:tbl>
    <w:p w14:paraId="26FFF1EA">
      <w:pPr>
        <w:pStyle w:val="23"/>
        <w:spacing w:before="192" w:beforeLines="80" w:after="24"/>
        <w:jc w:val="left"/>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kern w:val="21"/>
          <w:szCs w:val="21"/>
          <w:highlight w:val="none"/>
        </w:rPr>
        <w:t>注：</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3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③</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④</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⑤</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⑦</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p>
    <w:p w14:paraId="751AD2E7">
      <w:pPr>
        <w:pStyle w:val="7"/>
        <w:ind w:left="0" w:leftChars="0" w:firstLine="0" w:firstLineChars="0"/>
        <w:rPr>
          <w:rFonts w:hint="eastAsia" w:ascii="Times New Roman" w:hAnsi="Times New Roman" w:cs="Times New Roman"/>
          <w:color w:val="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C44FF66">
      <w:pPr>
        <w:pStyle w:val="7"/>
        <w:ind w:left="0" w:leftChars="0" w:firstLine="0" w:firstLineChars="0"/>
        <w:rPr>
          <w:rFonts w:hint="eastAsia" w:ascii="Times New Roman" w:hAnsi="Times New Roman" w:cs="Times New Roman"/>
          <w:color w:val="auto"/>
          <w:lang w:val="en-US" w:eastAsia="zh-CN"/>
        </w:rPr>
      </w:pPr>
      <w:r>
        <w:rPr>
          <w:rFonts w:ascii="Times New Roman" w:hAnsi="Times New Roman" w:cs="Times New Roman"/>
          <w:color w:val="auto"/>
          <w:lang w:bidi="ar-SA"/>
        </w:rPr>
        <w:drawing>
          <wp:anchor distT="0" distB="0" distL="114300" distR="114300" simplePos="0" relativeHeight="251671552" behindDoc="0" locked="0" layoutInCell="1" allowOverlap="1">
            <wp:simplePos x="0" y="0"/>
            <wp:positionH relativeFrom="column">
              <wp:posOffset>4371975</wp:posOffset>
            </wp:positionH>
            <wp:positionV relativeFrom="paragraph">
              <wp:posOffset>28575</wp:posOffset>
            </wp:positionV>
            <wp:extent cx="878840" cy="770255"/>
            <wp:effectExtent l="0" t="0" r="16510" b="10795"/>
            <wp:wrapNone/>
            <wp:docPr id="3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3.jpeg"/>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78840" cy="770255"/>
                    </a:xfrm>
                    <a:prstGeom prst="rect">
                      <a:avLst/>
                    </a:prstGeom>
                  </pic:spPr>
                </pic:pic>
              </a:graphicData>
            </a:graphic>
          </wp:anchor>
        </w:drawing>
      </w: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1494790</wp:posOffset>
                </wp:positionH>
                <wp:positionV relativeFrom="paragraph">
                  <wp:posOffset>878205</wp:posOffset>
                </wp:positionV>
                <wp:extent cx="918210" cy="312420"/>
                <wp:effectExtent l="1316355" t="6350" r="13335" b="843280"/>
                <wp:wrapNone/>
                <wp:docPr id="30" name="矩形标注 30"/>
                <wp:cNvGraphicFramePr/>
                <a:graphic xmlns:a="http://schemas.openxmlformats.org/drawingml/2006/main">
                  <a:graphicData uri="http://schemas.microsoft.com/office/word/2010/wordprocessingShape">
                    <wps:wsp>
                      <wps:cNvSpPr/>
                      <wps:spPr>
                        <a:xfrm>
                          <a:off x="2174875" y="2908300"/>
                          <a:ext cx="918210" cy="312420"/>
                        </a:xfrm>
                        <a:prstGeom prst="wedgeRectCallout">
                          <a:avLst>
                            <a:gd name="adj1" fmla="val -188243"/>
                            <a:gd name="adj2" fmla="val 30873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45AC90">
                            <w:pPr>
                              <w:jc w:val="cente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17.7pt;margin-top:69.15pt;height:24.6pt;width:72.3pt;z-index:251670528;v-text-anchor:middle;mso-width-relative:page;mso-height-relative:page;" fillcolor="#4874CB [3204]" filled="t" stroked="t" coordsize="21600,21600" o:gfxdata="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JYIDDLaAAAACwEAAA8AAAAAAAAAAQAgAAAAIgAAAGRycy9kb3ducmV2LnhtbFBLAQIUABQAAAAI&#10;AIdO4kCMNK0/zwIAAJMFAAAOAAAAAAAAAAEAIAAAACkBAABkcnMvZTJvRG9jLnhtbFBLBQYAAAAA&#10;BgAGAFkBAABqBgAAAAA=&#10;" adj="-29860,77488">
                <v:fill on="t" focussize="0,0"/>
                <v:stroke weight="1pt" color="#325395 [3204]" miterlimit="8" joinstyle="miter"/>
                <v:imagedata o:title=""/>
                <o:lock v:ext="edit" aspectratio="f"/>
                <v:textbox>
                  <w:txbxContent>
                    <w:p w14:paraId="4945AC90">
                      <w:pPr>
                        <w:jc w:val="center"/>
                        <w:rPr>
                          <w:rFonts w:hint="default" w:eastAsia="宋体"/>
                          <w:lang w:val="en-US" w:eastAsia="zh-CN"/>
                        </w:rPr>
                      </w:pPr>
                      <w:r>
                        <w:rPr>
                          <w:rFonts w:hint="eastAsia"/>
                          <w:lang w:val="en-US" w:eastAsia="zh-CN"/>
                        </w:rPr>
                        <w:t>本项目位置</w:t>
                      </w:r>
                    </w:p>
                  </w:txbxContent>
                </v:textbox>
              </v:shape>
            </w:pict>
          </mc:Fallback>
        </mc:AlternateContent>
      </w:r>
      <w:r>
        <w:rPr>
          <w:rFonts w:ascii="Times New Roman" w:hAnsi="Times New Roman" w:eastAsia="宋体"/>
          <w:caps w:val="0"/>
          <w:smallCaps w:val="0"/>
          <w:color w:val="auto"/>
        </w:rPr>
        <mc:AlternateContent>
          <mc:Choice Requires="wps">
            <w:drawing>
              <wp:anchor distT="0" distB="0" distL="114300" distR="114300" simplePos="0" relativeHeight="251669504" behindDoc="0" locked="0" layoutInCell="1" allowOverlap="1">
                <wp:simplePos x="0" y="0"/>
                <wp:positionH relativeFrom="column">
                  <wp:posOffset>127000</wp:posOffset>
                </wp:positionH>
                <wp:positionV relativeFrom="paragraph">
                  <wp:posOffset>1953895</wp:posOffset>
                </wp:positionV>
                <wp:extent cx="95250" cy="90805"/>
                <wp:effectExtent l="14605" t="15240" r="23495" b="27305"/>
                <wp:wrapNone/>
                <wp:docPr id="15" name="五角星 15"/>
                <wp:cNvGraphicFramePr/>
                <a:graphic xmlns:a="http://schemas.openxmlformats.org/drawingml/2006/main">
                  <a:graphicData uri="http://schemas.microsoft.com/office/word/2010/wordprocessingShape">
                    <wps:wsp>
                      <wps:cNvSpPr/>
                      <wps:spPr>
                        <a:xfrm>
                          <a:off x="0" y="0"/>
                          <a:ext cx="95250" cy="90805"/>
                        </a:xfrm>
                        <a:prstGeom prst="star5">
                          <a:avLst/>
                        </a:prstGeom>
                        <a:solidFill>
                          <a:srgbClr val="0000FF"/>
                        </a:solidFill>
                        <a:ln w="6350" cap="flat" cmpd="sng">
                          <a:solidFill>
                            <a:srgbClr val="0000FF"/>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10pt;margin-top:153.85pt;height:7.15pt;width:7.5pt;z-index:251669504;mso-width-relative:page;mso-height-relative:page;" fillcolor="#0000FF" filled="t" stroked="t" coordsize="95250,90805" o:gfxdata="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bbEaZNYAAAAJAQAADwAAAAAAAAABACAAAAAiAAAAZHJzL2Rvd25yZXYu&#10;eG1sUEsBAhQAFAAAAAgAh07iQH3BaSL9AQAAIQQAAA4AAAAAAAAAAQAgAAAAJQEAAGRycy9lMm9E&#10;b2MueG1sUEsFBgAAAAAGAAYAWQEAAJQFAAAAAA==&#10;" path="m0,34684l36382,34684,47625,0,58867,34684,95249,34684,65815,56120,77058,90804,47625,69368,18191,90804,29434,56120xe">
                <v:path o:connectlocs="47625,0;0,34684;18191,90804;77058,90804;95249,34684" o:connectangles="247,164,82,82,0"/>
                <v:fill on="t" focussize="0,0"/>
                <v:stroke weight="0.5pt" color="#0000FF" joinstyle="miter"/>
                <v:imagedata o:title=""/>
                <o:lock v:ext="edit" aspectratio="f"/>
              </v:shape>
            </w:pict>
          </mc:Fallback>
        </mc:AlternateContent>
      </w:r>
      <w:r>
        <w:rPr>
          <w:rFonts w:hint="eastAsia" w:ascii="Times New Roman" w:hAnsi="Times New Roman" w:cs="Times New Roman"/>
          <w:color w:val="auto"/>
          <w:lang w:val="en-US" w:eastAsia="zh-CN"/>
        </w:rPr>
        <w:drawing>
          <wp:inline distT="0" distB="0" distL="114300" distR="114300">
            <wp:extent cx="5274310" cy="8023225"/>
            <wp:effectExtent l="0" t="0" r="2540" b="15875"/>
            <wp:docPr id="29" name="图片 29" descr="鄂托克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鄂托克旗"/>
                    <pic:cNvPicPr>
                      <a:picLocks noChangeAspect="1"/>
                    </pic:cNvPicPr>
                  </pic:nvPicPr>
                  <pic:blipFill>
                    <a:blip r:embed="rId21"/>
                    <a:stretch>
                      <a:fillRect/>
                    </a:stretch>
                  </pic:blipFill>
                  <pic:spPr>
                    <a:xfrm>
                      <a:off x="0" y="0"/>
                      <a:ext cx="5274310" cy="8023225"/>
                    </a:xfrm>
                    <a:prstGeom prst="rect">
                      <a:avLst/>
                    </a:prstGeom>
                  </pic:spPr>
                </pic:pic>
              </a:graphicData>
            </a:graphic>
          </wp:inline>
        </w:drawing>
      </w:r>
    </w:p>
    <w:p w14:paraId="0C6D80DA">
      <w:pPr>
        <w:pStyle w:val="4"/>
        <w:ind w:left="0" w:leftChars="0" w:firstLine="0" w:firstLineChars="0"/>
        <w:jc w:val="center"/>
        <w:rPr>
          <w:rFonts w:hint="eastAsia"/>
          <w:b/>
          <w:bCs/>
          <w:color w:val="auto"/>
          <w:lang w:eastAsia="zh-CN"/>
        </w:rPr>
      </w:pPr>
      <w:r>
        <w:rPr>
          <w:rFonts w:hint="eastAsia"/>
          <w:b/>
          <w:bCs/>
          <w:color w:val="auto"/>
          <w:lang w:eastAsia="zh-CN"/>
        </w:rPr>
        <w:t>附图一  本项目地理位置图</w:t>
      </w:r>
    </w:p>
    <w:p w14:paraId="400A6CF2">
      <w:pPr>
        <w:pStyle w:val="7"/>
        <w:ind w:left="0" w:leftChars="0" w:firstLine="0" w:firstLineChars="0"/>
        <w:rPr>
          <w:rFonts w:hint="eastAsia" w:ascii="Times New Roman" w:hAnsi="Times New Roman" w:cs="Times New Roman"/>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F2960A1">
      <w:pPr>
        <w:pStyle w:val="4"/>
        <w:ind w:left="0" w:leftChars="0" w:firstLine="0" w:firstLineChars="0"/>
        <w:jc w:val="center"/>
        <w:rPr>
          <w:rFonts w:hint="eastAsia" w:ascii="Times New Roman" w:hAnsi="Times New Roman"/>
          <w:color w:val="auto"/>
          <w:lang w:eastAsia="zh-CN"/>
        </w:rPr>
      </w:pPr>
      <w:r>
        <w:rPr>
          <w:rFonts w:ascii="Times New Roman" w:hAnsi="Times New Roman" w:eastAsia="宋体"/>
          <w:caps w:val="0"/>
          <w:smallCaps w:val="0"/>
          <w:color w:val="auto"/>
        </w:rPr>
        <mc:AlternateContent>
          <mc:Choice Requires="wps">
            <w:drawing>
              <wp:anchor distT="0" distB="0" distL="114300" distR="114300" simplePos="0" relativeHeight="251672576" behindDoc="0" locked="0" layoutInCell="1" allowOverlap="1">
                <wp:simplePos x="0" y="0"/>
                <wp:positionH relativeFrom="column">
                  <wp:posOffset>1800225</wp:posOffset>
                </wp:positionH>
                <wp:positionV relativeFrom="paragraph">
                  <wp:posOffset>1595755</wp:posOffset>
                </wp:positionV>
                <wp:extent cx="76200" cy="76200"/>
                <wp:effectExtent l="13970" t="15875" r="24130" b="22225"/>
                <wp:wrapNone/>
                <wp:docPr id="18" name="五角星 18"/>
                <wp:cNvGraphicFramePr/>
                <a:graphic xmlns:a="http://schemas.openxmlformats.org/drawingml/2006/main">
                  <a:graphicData uri="http://schemas.microsoft.com/office/word/2010/wordprocessingShape">
                    <wps:wsp>
                      <wps:cNvSpPr/>
                      <wps:spPr>
                        <a:xfrm>
                          <a:off x="0" y="0"/>
                          <a:ext cx="76200" cy="76200"/>
                        </a:xfrm>
                        <a:prstGeom prst="star5">
                          <a:avLst/>
                        </a:prstGeom>
                        <a:solidFill>
                          <a:srgbClr val="0000FF"/>
                        </a:solidFill>
                        <a:ln w="6350" cap="flat" cmpd="sng">
                          <a:solidFill>
                            <a:srgbClr val="0000FF"/>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141.75pt;margin-top:125.65pt;height:6pt;width:6pt;z-index:251672576;mso-width-relative:page;mso-height-relative:page;" fillcolor="#0000FF" filled="t" stroked="t" coordsize="76200,76200" o:gfxdata="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t9LPW2AAAAAsBAAAPAAAAAAAAAAEAIAAAACIAAABkcnMvZG93bnJldi54&#10;bWxQSwECFAAUAAAACACHTuJANZ4wFPoBAAAhBAAADgAAAAAAAAABACAAAAAnAQAAZHJzL2Uyb0Rv&#10;Yy54bWxQSwUGAAAAAAYABgBZAQAAkwUAAAAA&#10;" path="m0,29105l29105,29105,38100,0,47094,29105,76199,29105,52652,47093,61647,76199,38100,58211,14552,76199,23547,47093xe">
                <v:path o:connectlocs="38100,0;0,29105;14552,76199;61647,76199;76199,29105" o:connectangles="247,164,82,82,0"/>
                <v:fill on="t" focussize="0,0"/>
                <v:stroke weight="0.5pt" color="#0000FF" joinstyle="miter"/>
                <v:imagedata o:title=""/>
                <o:lock v:ext="edit" aspectratio="f"/>
              </v:shape>
            </w:pict>
          </mc:Fallback>
        </mc:AlternateContent>
      </w:r>
      <w:r>
        <w:rPr>
          <w:rFonts w:ascii="Times New Roman" w:hAnsi="Times New Roman" w:eastAsia="宋体"/>
          <w:caps w:val="0"/>
          <w:smallCaps w:val="0"/>
          <w:color w:val="auto"/>
        </w:rPr>
        <mc:AlternateContent>
          <mc:Choice Requires="wps">
            <w:drawing>
              <wp:anchor distT="0" distB="0" distL="114300" distR="114300" simplePos="0" relativeHeight="251673600" behindDoc="0" locked="0" layoutInCell="1" allowOverlap="1">
                <wp:simplePos x="0" y="0"/>
                <wp:positionH relativeFrom="column">
                  <wp:posOffset>2203450</wp:posOffset>
                </wp:positionH>
                <wp:positionV relativeFrom="paragraph">
                  <wp:posOffset>2165985</wp:posOffset>
                </wp:positionV>
                <wp:extent cx="495300" cy="210820"/>
                <wp:effectExtent l="384175" t="528320" r="15875" b="22860"/>
                <wp:wrapNone/>
                <wp:docPr id="33" name="圆角矩形标注 33"/>
                <wp:cNvGraphicFramePr/>
                <a:graphic xmlns:a="http://schemas.openxmlformats.org/drawingml/2006/main">
                  <a:graphicData uri="http://schemas.microsoft.com/office/word/2010/wordprocessingShape">
                    <wps:wsp>
                      <wps:cNvSpPr/>
                      <wps:spPr>
                        <a:xfrm>
                          <a:off x="0" y="0"/>
                          <a:ext cx="495300" cy="210820"/>
                        </a:xfrm>
                        <a:prstGeom prst="wedgeRoundRectCallout">
                          <a:avLst>
                            <a:gd name="adj1" fmla="val -121794"/>
                            <a:gd name="adj2" fmla="val -287048"/>
                            <a:gd name="adj3" fmla="val 16667"/>
                          </a:avLst>
                        </a:prstGeom>
                        <a:noFill/>
                        <a:ln w="6350" cap="flat" cmpd="sng">
                          <a:solidFill>
                            <a:srgbClr val="0000FF"/>
                          </a:solidFill>
                          <a:prstDash val="solid"/>
                          <a:miter/>
                          <a:headEnd type="none" w="med" len="med"/>
                          <a:tailEnd type="none" w="med" len="med"/>
                        </a:ln>
                      </wps:spPr>
                      <wps:txbx>
                        <w:txbxContent>
                          <w:p w14:paraId="1045DA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color w:val="0000FF"/>
                                <w:lang w:val="en-US" w:eastAsia="zh-CN"/>
                              </w:rPr>
                            </w:pPr>
                            <w:r>
                              <w:rPr>
                                <w:rFonts w:hint="eastAsia" w:eastAsia="宋体"/>
                                <w:b/>
                                <w:color w:val="0000FF"/>
                                <w:sz w:val="18"/>
                                <w:szCs w:val="18"/>
                                <w:lang w:val="en-US" w:eastAsia="zh-CN"/>
                              </w:rPr>
                              <w:t>本项目</w:t>
                            </w:r>
                          </w:p>
                        </w:txbxContent>
                      </wps:txbx>
                      <wps:bodyPr lIns="0" tIns="0" rIns="0" bIns="0" upright="1"/>
                    </wps:wsp>
                  </a:graphicData>
                </a:graphic>
              </wp:anchor>
            </w:drawing>
          </mc:Choice>
          <mc:Fallback>
            <w:pict>
              <v:shape id="_x0000_s1026" o:spid="_x0000_s1026" o:spt="62" type="#_x0000_t62" style="position:absolute;left:0pt;margin-left:173.5pt;margin-top:170.55pt;height:16.6pt;width:39pt;z-index:251673600;mso-width-relative:page;mso-height-relative:page;" filled="f" stroked="t" coordsize="21600,21600" o:gfxdata="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TRRwvNoAAAALAQAADwAAAAAAAAABACAAAAAiAAAAZHJzL2Rvd25yZXYueG1sUEsBAhQAFAAA&#10;AAgAh07iQJMp5O1fAgAAuwQAAA4AAAAAAAAAAQAgAAAAKQEAAGRycy9lMm9Eb2MueG1sUEsFBgAA&#10;AAAGAAYAWQEAAPoFAAAAAA==&#10;" adj="-15508,-51202,14400">
                <v:fill on="f" focussize="0,0"/>
                <v:stroke weight="0.5pt" color="#0000FF" joinstyle="miter"/>
                <v:imagedata o:title=""/>
                <o:lock v:ext="edit" aspectratio="f"/>
                <v:textbox inset="0mm,0mm,0mm,0mm">
                  <w:txbxContent>
                    <w:p w14:paraId="1045DA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color w:val="0000FF"/>
                          <w:lang w:val="en-US" w:eastAsia="zh-CN"/>
                        </w:rPr>
                      </w:pPr>
                      <w:r>
                        <w:rPr>
                          <w:rFonts w:hint="eastAsia" w:eastAsia="宋体"/>
                          <w:b/>
                          <w:color w:val="0000FF"/>
                          <w:sz w:val="18"/>
                          <w:szCs w:val="18"/>
                          <w:lang w:val="en-US" w:eastAsia="zh-CN"/>
                        </w:rPr>
                        <w:t>本项目</w:t>
                      </w:r>
                    </w:p>
                  </w:txbxContent>
                </v:textbox>
              </v:shape>
            </w:pict>
          </mc:Fallback>
        </mc:AlternateContent>
      </w:r>
      <w:r>
        <w:rPr>
          <w:rFonts w:hint="eastAsia" w:ascii="Times New Roman" w:hAnsi="Times New Roman"/>
          <w:color w:val="auto"/>
          <w:lang w:eastAsia="zh-CN"/>
        </w:rPr>
        <w:drawing>
          <wp:inline distT="0" distB="0" distL="114300" distR="114300">
            <wp:extent cx="6661785" cy="4707890"/>
            <wp:effectExtent l="9525" t="9525" r="15240" b="26035"/>
            <wp:docPr id="32" name="图片 1" descr="W02021091833163935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descr="W020210918331639353573"/>
                    <pic:cNvPicPr>
                      <a:picLocks noChangeAspect="1"/>
                    </pic:cNvPicPr>
                  </pic:nvPicPr>
                  <pic:blipFill>
                    <a:blip r:embed="rId22"/>
                    <a:stretch>
                      <a:fillRect/>
                    </a:stretch>
                  </pic:blipFill>
                  <pic:spPr>
                    <a:xfrm>
                      <a:off x="0" y="0"/>
                      <a:ext cx="6661785" cy="4707890"/>
                    </a:xfrm>
                    <a:prstGeom prst="rect">
                      <a:avLst/>
                    </a:prstGeom>
                    <a:noFill/>
                    <a:ln w="9525" cap="flat" cmpd="sng">
                      <a:solidFill>
                        <a:srgbClr val="000000"/>
                      </a:solidFill>
                      <a:prstDash val="solid"/>
                      <a:round/>
                      <a:headEnd type="none" w="med" len="med"/>
                      <a:tailEnd type="none" w="med" len="med"/>
                    </a:ln>
                  </pic:spPr>
                </pic:pic>
              </a:graphicData>
            </a:graphic>
          </wp:inline>
        </w:drawing>
      </w:r>
    </w:p>
    <w:p w14:paraId="06D551FC">
      <w:pPr>
        <w:pStyle w:val="4"/>
        <w:ind w:left="0" w:leftChars="0" w:firstLine="0" w:firstLineChars="0"/>
        <w:jc w:val="center"/>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附</w:t>
      </w:r>
      <w:r>
        <w:rPr>
          <w:rFonts w:hint="eastAsia" w:ascii="Times New Roman" w:hAnsi="Times New Roman" w:eastAsia="宋体" w:cs="Times New Roman"/>
          <w:b/>
          <w:bCs/>
          <w:color w:val="auto"/>
          <w:lang w:eastAsia="zh-CN"/>
        </w:rPr>
        <w:t>图</w:t>
      </w:r>
      <w:r>
        <w:rPr>
          <w:rFonts w:hint="eastAsia" w:ascii="Times New Roman" w:hAnsi="Times New Roman" w:eastAsia="宋体" w:cs="Times New Roman"/>
          <w:b/>
          <w:bCs/>
          <w:color w:val="auto"/>
          <w:lang w:val="en-US" w:eastAsia="zh-CN"/>
        </w:rPr>
        <w:t>二  生态环境分区管控单元位置图</w:t>
      </w:r>
    </w:p>
    <w:p w14:paraId="6DFDBB2A">
      <w:pPr>
        <w:pStyle w:val="2"/>
        <w:rPr>
          <w:rFonts w:hint="eastAsia" w:ascii="Times New Roman" w:hAnsi="Times New Roman" w:eastAsia="宋体" w:cs="Times New Roman"/>
          <w:b/>
          <w:bCs/>
          <w:color w:val="auto"/>
          <w:lang w:val="en-US" w:eastAsia="zh-CN"/>
        </w:rPr>
      </w:pPr>
    </w:p>
    <w:p w14:paraId="6A047637">
      <w:pPr>
        <w:jc w:val="center"/>
        <w:rPr>
          <w:rFonts w:hint="eastAsia" w:ascii="Times New Roman" w:hAnsi="Times New Roman" w:eastAsia="宋体" w:cs="Times New Roman"/>
          <w:b/>
          <w:bCs/>
          <w:color w:val="auto"/>
          <w:kern w:val="2"/>
          <w:sz w:val="24"/>
          <w:szCs w:val="24"/>
          <w:lang w:val="en-US" w:eastAsia="zh-CN" w:bidi="ar-SA"/>
        </w:rPr>
      </w:pPr>
      <w:r>
        <w:rPr>
          <w:color w:val="auto"/>
          <w:sz w:val="21"/>
        </w:rPr>
        <mc:AlternateContent>
          <mc:Choice Requires="wps">
            <w:drawing>
              <wp:anchor distT="0" distB="0" distL="114300" distR="114300" simplePos="0" relativeHeight="251676672" behindDoc="0" locked="0" layoutInCell="1" allowOverlap="1">
                <wp:simplePos x="0" y="0"/>
                <wp:positionH relativeFrom="column">
                  <wp:posOffset>2896235</wp:posOffset>
                </wp:positionH>
                <wp:positionV relativeFrom="paragraph">
                  <wp:posOffset>1072515</wp:posOffset>
                </wp:positionV>
                <wp:extent cx="1270635" cy="269875"/>
                <wp:effectExtent l="287020" t="6350" r="23495" b="1228725"/>
                <wp:wrapNone/>
                <wp:docPr id="38" name="矩形标注 38"/>
                <wp:cNvGraphicFramePr/>
                <a:graphic xmlns:a="http://schemas.openxmlformats.org/drawingml/2006/main">
                  <a:graphicData uri="http://schemas.microsoft.com/office/word/2010/wordprocessingShape">
                    <wps:wsp>
                      <wps:cNvSpPr/>
                      <wps:spPr>
                        <a:xfrm>
                          <a:off x="3826510" y="2572385"/>
                          <a:ext cx="1270635" cy="269875"/>
                        </a:xfrm>
                        <a:prstGeom prst="wedgeRectCallout">
                          <a:avLst>
                            <a:gd name="adj1" fmla="val -70639"/>
                            <a:gd name="adj2" fmla="val 48600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89F2840">
                            <w:pPr>
                              <w:jc w:val="center"/>
                              <w:rPr>
                                <w:rFonts w:hint="default" w:eastAsia="宋体"/>
                                <w:lang w:val="en-US" w:eastAsia="zh-CN"/>
                              </w:rPr>
                            </w:pPr>
                            <w:r>
                              <w:rPr>
                                <w:rFonts w:hint="eastAsia"/>
                                <w:lang w:val="en-US" w:eastAsia="zh-CN"/>
                              </w:rPr>
                              <w:t>燃煤热风炉房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8.05pt;margin-top:84.45pt;height:21.25pt;width:100.05pt;z-index:251676672;v-text-anchor:middle;mso-width-relative:page;mso-height-relative:page;" fillcolor="#4874CB [3204]" filled="t" stroked="t" coordsize="21600,21600" o:gfxdata="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B7TpAT&#10;2QAAAAsBAAAPAAAAAAAAAAEAIAAAACIAAABkcnMvZG93bnJldi54bWxQSwECFAAUAAAACACHTuJA&#10;OimiK8sCAACTBQAADgAAAAAAAAABACAAAAAoAQAAZHJzL2Uyb0RvYy54bWxQSwUGAAAAAAYABgBZ&#10;AQAAZQYAAAAA&#10;" adj="-4458,115776">
                <v:fill on="t" focussize="0,0"/>
                <v:stroke weight="1pt" color="#325395 [3204]" miterlimit="8" joinstyle="miter"/>
                <v:imagedata o:title=""/>
                <o:lock v:ext="edit" aspectratio="f"/>
                <v:textbox>
                  <w:txbxContent>
                    <w:p w14:paraId="089F2840">
                      <w:pPr>
                        <w:jc w:val="center"/>
                        <w:rPr>
                          <w:rFonts w:hint="default" w:eastAsia="宋体"/>
                          <w:lang w:val="en-US" w:eastAsia="zh-CN"/>
                        </w:rPr>
                      </w:pPr>
                      <w:r>
                        <w:rPr>
                          <w:rFonts w:hint="eastAsia"/>
                          <w:lang w:val="en-US" w:eastAsia="zh-CN"/>
                        </w:rPr>
                        <w:t>燃煤热风炉房</w:t>
                      </w:r>
                    </w:p>
                  </w:txbxContent>
                </v:textbox>
              </v:shape>
            </w:pict>
          </mc:Fallback>
        </mc:AlternateContent>
      </w:r>
      <w:r>
        <w:rPr>
          <w:color w:val="auto"/>
          <w:sz w:val="21"/>
        </w:rPr>
        <mc:AlternateContent>
          <mc:Choice Requires="wps">
            <w:drawing>
              <wp:anchor distT="0" distB="0" distL="114300" distR="114300" simplePos="0" relativeHeight="251680768" behindDoc="0" locked="0" layoutInCell="1" allowOverlap="1">
                <wp:simplePos x="0" y="0"/>
                <wp:positionH relativeFrom="column">
                  <wp:posOffset>431800</wp:posOffset>
                </wp:positionH>
                <wp:positionV relativeFrom="paragraph">
                  <wp:posOffset>3274060</wp:posOffset>
                </wp:positionV>
                <wp:extent cx="794385" cy="269875"/>
                <wp:effectExtent l="6350" t="511175" r="1294765" b="19050"/>
                <wp:wrapNone/>
                <wp:docPr id="43" name="矩形标注 43"/>
                <wp:cNvGraphicFramePr/>
                <a:graphic xmlns:a="http://schemas.openxmlformats.org/drawingml/2006/main">
                  <a:graphicData uri="http://schemas.microsoft.com/office/word/2010/wordprocessingShape">
                    <wps:wsp>
                      <wps:cNvSpPr/>
                      <wps:spPr>
                        <a:xfrm>
                          <a:off x="0" y="0"/>
                          <a:ext cx="794385" cy="269875"/>
                        </a:xfrm>
                        <a:prstGeom prst="wedgeRectCallout">
                          <a:avLst>
                            <a:gd name="adj1" fmla="val 204916"/>
                            <a:gd name="adj2" fmla="val -23164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66B5271">
                            <w:pPr>
                              <w:jc w:val="center"/>
                              <w:rPr>
                                <w:rFonts w:hint="default" w:eastAsia="宋体"/>
                                <w:lang w:val="en-US" w:eastAsia="zh-CN"/>
                              </w:rPr>
                            </w:pPr>
                            <w:r>
                              <w:rPr>
                                <w:rFonts w:hint="eastAsia" w:eastAsia="宋体"/>
                                <w:lang w:val="en-US" w:eastAsia="zh-CN"/>
                              </w:rPr>
                              <w:t>燃料煤储棚</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34pt;margin-top:257.8pt;height:21.25pt;width:62.55pt;z-index:251680768;v-text-anchor:middle;mso-width-relative:page;mso-height-relative:page;" fillcolor="#4874CB [3204]" filled="t" stroked="t" coordsize="21600,21600" o:gfxdata="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B5w9xLYAAAACgEAAA8AAAAAAAAA&#10;AQAgAAAAIgAAAGRycy9kb3ducmV2LnhtbFBLAQIUABQAAAAIAIdO4kA/jSr1vAIAAHcFAAAOAAAA&#10;AAAAAAEAIAAAACcBAABkcnMvZTJvRG9jLnhtbFBLBQYAAAAABgAGAFkBAABVBgAAAAA=&#10;" adj="55062,-39236">
                <v:fill on="t" focussize="0,0"/>
                <v:stroke weight="1pt" color="#325395 [3204]" miterlimit="8" joinstyle="miter"/>
                <v:imagedata o:title=""/>
                <o:lock v:ext="edit" aspectratio="f"/>
                <v:textbox inset="0mm,0mm,0mm,0mm">
                  <w:txbxContent>
                    <w:p w14:paraId="566B5271">
                      <w:pPr>
                        <w:jc w:val="center"/>
                        <w:rPr>
                          <w:rFonts w:hint="default" w:eastAsia="宋体"/>
                          <w:lang w:val="en-US" w:eastAsia="zh-CN"/>
                        </w:rPr>
                      </w:pPr>
                      <w:r>
                        <w:rPr>
                          <w:rFonts w:hint="eastAsia" w:eastAsia="宋体"/>
                          <w:lang w:val="en-US" w:eastAsia="zh-CN"/>
                        </w:rPr>
                        <w:t>燃料煤储棚</w:t>
                      </w:r>
                    </w:p>
                  </w:txbxContent>
                </v:textbox>
              </v:shape>
            </w:pict>
          </mc:Fallback>
        </mc:AlternateContent>
      </w:r>
      <w:r>
        <w:rPr>
          <w:color w:val="auto"/>
          <w:sz w:val="21"/>
        </w:rPr>
        <mc:AlternateContent>
          <mc:Choice Requires="wps">
            <w:drawing>
              <wp:anchor distT="0" distB="0" distL="114300" distR="114300" simplePos="0" relativeHeight="251679744" behindDoc="0" locked="0" layoutInCell="1" allowOverlap="1">
                <wp:simplePos x="0" y="0"/>
                <wp:positionH relativeFrom="column">
                  <wp:posOffset>1310640</wp:posOffset>
                </wp:positionH>
                <wp:positionV relativeFrom="paragraph">
                  <wp:posOffset>1168400</wp:posOffset>
                </wp:positionV>
                <wp:extent cx="1270635" cy="269875"/>
                <wp:effectExtent l="6350" t="6350" r="18415" b="1228725"/>
                <wp:wrapNone/>
                <wp:docPr id="42" name="矩形标注 42"/>
                <wp:cNvGraphicFramePr/>
                <a:graphic xmlns:a="http://schemas.openxmlformats.org/drawingml/2006/main">
                  <a:graphicData uri="http://schemas.microsoft.com/office/word/2010/wordprocessingShape">
                    <wps:wsp>
                      <wps:cNvSpPr/>
                      <wps:spPr>
                        <a:xfrm>
                          <a:off x="0" y="0"/>
                          <a:ext cx="1270635" cy="269875"/>
                        </a:xfrm>
                        <a:prstGeom prst="wedgeRectCallout">
                          <a:avLst>
                            <a:gd name="adj1" fmla="val 43053"/>
                            <a:gd name="adj2" fmla="val 48600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8DB8775">
                            <w:pPr>
                              <w:jc w:val="center"/>
                              <w:rPr>
                                <w:rFonts w:hint="default" w:eastAsia="宋体"/>
                                <w:lang w:val="en-US" w:eastAsia="zh-CN"/>
                              </w:rPr>
                            </w:pPr>
                            <w:r>
                              <w:rPr>
                                <w:rFonts w:hint="eastAsia" w:eastAsia="宋体"/>
                                <w:lang w:val="en-US" w:eastAsia="zh-CN"/>
                              </w:rPr>
                              <w:t>灰渣储棚</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103.2pt;margin-top:92pt;height:21.25pt;width:100.05pt;z-index:251679744;v-text-anchor:middle;mso-width-relative:page;mso-height-relative:page;" fillcolor="#4874CB [3204]" filled="t" stroked="t" coordsize="21600,21600" o:gfxdata="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01wE39cAAAALAQAADwAAAAAAAAABACAA&#10;AAAiAAAAZHJzL2Rvd25yZXYueG1sUEsBAhQAFAAAAAgAh07iQIe41tm5AgAAdgUAAA4AAAAAAAAA&#10;AQAgAAAAJgEAAGRycy9lMm9Eb2MueG1sUEsFBgAAAAAGAAYAWQEAAFEGAAAAAA==&#10;" adj="20099,115776">
                <v:fill on="t" focussize="0,0"/>
                <v:stroke weight="1pt" color="#325395 [3204]" miterlimit="8" joinstyle="miter"/>
                <v:imagedata o:title=""/>
                <o:lock v:ext="edit" aspectratio="f"/>
                <v:textbox inset="0mm,0mm,0mm,0mm">
                  <w:txbxContent>
                    <w:p w14:paraId="08DB8775">
                      <w:pPr>
                        <w:jc w:val="center"/>
                        <w:rPr>
                          <w:rFonts w:hint="default" w:eastAsia="宋体"/>
                          <w:lang w:val="en-US" w:eastAsia="zh-CN"/>
                        </w:rPr>
                      </w:pPr>
                      <w:r>
                        <w:rPr>
                          <w:rFonts w:hint="eastAsia" w:eastAsia="宋体"/>
                          <w:lang w:val="en-US" w:eastAsia="zh-CN"/>
                        </w:rPr>
                        <w:t>灰渣储棚</w:t>
                      </w:r>
                    </w:p>
                  </w:txbxContent>
                </v:textbox>
              </v:shape>
            </w:pict>
          </mc:Fallback>
        </mc:AlternateContent>
      </w:r>
      <w:r>
        <w:rPr>
          <w:color w:val="auto"/>
          <w:sz w:val="21"/>
        </w:rPr>
        <mc:AlternateContent>
          <mc:Choice Requires="wps">
            <w:drawing>
              <wp:anchor distT="0" distB="0" distL="114300" distR="114300" simplePos="0" relativeHeight="251678720" behindDoc="0" locked="0" layoutInCell="1" allowOverlap="1">
                <wp:simplePos x="0" y="0"/>
                <wp:positionH relativeFrom="column">
                  <wp:posOffset>2396490</wp:posOffset>
                </wp:positionH>
                <wp:positionV relativeFrom="paragraph">
                  <wp:posOffset>2588260</wp:posOffset>
                </wp:positionV>
                <wp:extent cx="166370" cy="87630"/>
                <wp:effectExtent l="6350" t="6350" r="17780" b="20320"/>
                <wp:wrapNone/>
                <wp:docPr id="40" name="矩形 40"/>
                <wp:cNvGraphicFramePr/>
                <a:graphic xmlns:a="http://schemas.openxmlformats.org/drawingml/2006/main">
                  <a:graphicData uri="http://schemas.microsoft.com/office/word/2010/wordprocessingShape">
                    <wps:wsp>
                      <wps:cNvSpPr/>
                      <wps:spPr>
                        <a:xfrm>
                          <a:off x="3310890" y="4080510"/>
                          <a:ext cx="166370" cy="8763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8.7pt;margin-top:203.8pt;height:6.9pt;width:13.1pt;z-index:251678720;v-text-anchor:middle;mso-width-relative:page;mso-height-relative:page;" fillcolor="#FFFF00" filled="t" stroked="t" coordsize="21600,21600" o:gfxdata="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BID8qvZAAAACwEA&#10;AA8AAAAAAAAAAQAgAAAAIgAAAGRycy9kb3ducmV2LnhtbFBLAQIUABQAAAAIAIdO4kDE402EiwIA&#10;ACEFAAAOAAAAAAAAAAEAIAAAACgBAABkcnMvZTJvRG9jLnhtbFBLBQYAAAAABgAGAFkBAAAlBgAA&#10;AAA=&#10;">
                <v:fill on="t" focussize="0,0"/>
                <v:stroke weight="1pt" color="#325395 [32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77696" behindDoc="0" locked="0" layoutInCell="1" allowOverlap="1">
                <wp:simplePos x="0" y="0"/>
                <wp:positionH relativeFrom="column">
                  <wp:posOffset>2396490</wp:posOffset>
                </wp:positionH>
                <wp:positionV relativeFrom="paragraph">
                  <wp:posOffset>2588260</wp:posOffset>
                </wp:positionV>
                <wp:extent cx="158750" cy="269875"/>
                <wp:effectExtent l="6350" t="6350" r="6350" b="9525"/>
                <wp:wrapNone/>
                <wp:docPr id="39" name="矩形 39"/>
                <wp:cNvGraphicFramePr/>
                <a:graphic xmlns:a="http://schemas.openxmlformats.org/drawingml/2006/main">
                  <a:graphicData uri="http://schemas.microsoft.com/office/word/2010/wordprocessingShape">
                    <wps:wsp>
                      <wps:cNvSpPr/>
                      <wps:spPr>
                        <a:xfrm>
                          <a:off x="3310890" y="4096385"/>
                          <a:ext cx="158750" cy="2698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8.7pt;margin-top:203.8pt;height:21.25pt;width:12.5pt;z-index:251677696;v-text-anchor:middle;mso-width-relative:page;mso-height-relative:page;" fillcolor="#4874CB [3204]" filled="t" stroked="t" coordsize="21600,21600" o:gfxdata="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FBsqdXZAAAA&#10;CwEAAA8AAAAAAAAAAQAgAAAAIgAAAGRycy9kb3ducmV2LnhtbFBLAQIUABQAAAAIAIdO4kDONFSP&#10;jgIAACIFAAAOAAAAAAAAAAEAIAAAACgBAABkcnMvZTJvRG9jLnhtbFBLBQYAAAAABgAGAFkBAAAo&#10;BgAAAAA=&#10;">
                <v:fill on="t" focussize="0,0"/>
                <v:stroke weight="1pt" color="#325395 [32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75648" behindDoc="0" locked="0" layoutInCell="1" allowOverlap="1">
                <wp:simplePos x="0" y="0"/>
                <wp:positionH relativeFrom="column">
                  <wp:posOffset>2555240</wp:posOffset>
                </wp:positionH>
                <wp:positionV relativeFrom="paragraph">
                  <wp:posOffset>2383790</wp:posOffset>
                </wp:positionV>
                <wp:extent cx="173990" cy="474345"/>
                <wp:effectExtent l="6350" t="6350" r="10160" b="14605"/>
                <wp:wrapNone/>
                <wp:docPr id="37" name="矩形 37"/>
                <wp:cNvGraphicFramePr/>
                <a:graphic xmlns:a="http://schemas.openxmlformats.org/drawingml/2006/main">
                  <a:graphicData uri="http://schemas.microsoft.com/office/word/2010/wordprocessingShape">
                    <wps:wsp>
                      <wps:cNvSpPr/>
                      <wps:spPr>
                        <a:xfrm>
                          <a:off x="3509010" y="3905885"/>
                          <a:ext cx="173990" cy="47434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1.2pt;margin-top:187.7pt;height:37.35pt;width:13.7pt;z-index:251675648;v-text-anchor:middle;mso-width-relative:page;mso-height-relative:page;" fillcolor="#FF0000" filled="t" stroked="t" coordsize="21600,21600" o:gfxdata="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OF0CeXXAAAACwEAAA8A&#10;AAAAAAAAAQAgAAAAIgAAAGRycy9kb3ducmV2LnhtbFBLAQIUABQAAAAIAIdO4kAjc92tigIAACIF&#10;AAAOAAAAAAAAAAEAIAAAACYBAABkcnMvZTJvRG9jLnhtbFBLBQYAAAAABgAGAFkBAAAiBgAAAAA=&#10;">
                <v:fill on="t" focussize="0,0"/>
                <v:stroke weight="1pt" color="#325395 [32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74624" behindDoc="0" locked="0" layoutInCell="1" allowOverlap="1">
                <wp:simplePos x="0" y="0"/>
                <wp:positionH relativeFrom="column">
                  <wp:posOffset>2726690</wp:posOffset>
                </wp:positionH>
                <wp:positionV relativeFrom="paragraph">
                  <wp:posOffset>2395220</wp:posOffset>
                </wp:positionV>
                <wp:extent cx="440690" cy="467360"/>
                <wp:effectExtent l="6350" t="6350" r="10160" b="21590"/>
                <wp:wrapNone/>
                <wp:docPr id="35" name="流程图: 过程 35"/>
                <wp:cNvGraphicFramePr/>
                <a:graphic xmlns:a="http://schemas.openxmlformats.org/drawingml/2006/main">
                  <a:graphicData uri="http://schemas.microsoft.com/office/word/2010/wordprocessingShape">
                    <wps:wsp>
                      <wps:cNvSpPr/>
                      <wps:spPr>
                        <a:xfrm>
                          <a:off x="3639185" y="3938905"/>
                          <a:ext cx="440690" cy="46736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9FC1965">
                            <w:pPr>
                              <w:jc w:val="center"/>
                              <w:rPr>
                                <w:rFonts w:hint="default" w:eastAsia="宋体"/>
                                <w:lang w:val="en-US" w:eastAsia="zh-CN"/>
                              </w:rPr>
                            </w:pPr>
                            <w:r>
                              <w:rPr>
                                <w:rFonts w:hint="eastAsia"/>
                                <w:lang w:val="en-US" w:eastAsia="zh-CN"/>
                              </w:rPr>
                              <w:t>喷雾干燥车间</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109" type="#_x0000_t109" style="position:absolute;left:0pt;margin-left:214.7pt;margin-top:188.6pt;height:36.8pt;width:34.7pt;z-index:251674624;v-text-anchor:middle;mso-width-relative:page;mso-height-relative:page;" fillcolor="#4874CB [3204]" filled="t" stroked="t" coordsize="21600,21600" o:gfxdata="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vz4loNsAAAALAQAADwAAAAAAAAABACAAAAAiAAAAZHJzL2Rvd25y&#10;ZXYueG1sUEsBAhQAFAAAAAgAh07iQG+VAPamAgAANAUAAA4AAAAAAAAAAQAgAAAAKgEAAGRycy9l&#10;Mm9Eb2MueG1sUEsFBgAAAAAGAAYAWQEAAEIGAAAAAA==&#10;">
                <v:fill on="t" focussize="0,0"/>
                <v:stroke weight="1pt" color="#325395 [3204]" miterlimit="8" joinstyle="miter"/>
                <v:imagedata o:title=""/>
                <o:lock v:ext="edit" aspectratio="f"/>
                <v:textbox inset="0mm,0mm,0mm,0mm">
                  <w:txbxContent>
                    <w:p w14:paraId="69FC1965">
                      <w:pPr>
                        <w:jc w:val="center"/>
                        <w:rPr>
                          <w:rFonts w:hint="default" w:eastAsia="宋体"/>
                          <w:lang w:val="en-US" w:eastAsia="zh-CN"/>
                        </w:rPr>
                      </w:pPr>
                      <w:r>
                        <w:rPr>
                          <w:rFonts w:hint="eastAsia"/>
                          <w:lang w:val="en-US" w:eastAsia="zh-CN"/>
                        </w:rPr>
                        <w:t>喷雾干燥车间</w:t>
                      </w:r>
                    </w:p>
                  </w:txbxContent>
                </v:textbox>
              </v:shape>
            </w:pict>
          </mc:Fallback>
        </mc:AlternateContent>
      </w:r>
      <w:r>
        <w:rPr>
          <w:rFonts w:hint="eastAsia"/>
          <w:color w:val="auto"/>
          <w:lang w:val="en-US" w:eastAsia="zh-CN"/>
        </w:rPr>
        <w:drawing>
          <wp:inline distT="0" distB="0" distL="114300" distR="114300">
            <wp:extent cx="4626610" cy="8822055"/>
            <wp:effectExtent l="0" t="0" r="17145" b="2540"/>
            <wp:docPr id="34" name="图片 34" descr="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平面布置图"/>
                    <pic:cNvPicPr>
                      <a:picLocks noChangeAspect="1"/>
                    </pic:cNvPicPr>
                  </pic:nvPicPr>
                  <pic:blipFill>
                    <a:blip r:embed="rId23"/>
                    <a:srcRect r="7267"/>
                    <a:stretch>
                      <a:fillRect/>
                    </a:stretch>
                  </pic:blipFill>
                  <pic:spPr>
                    <a:xfrm rot="16200000">
                      <a:off x="0" y="0"/>
                      <a:ext cx="4626610" cy="8822055"/>
                    </a:xfrm>
                    <a:prstGeom prst="rect">
                      <a:avLst/>
                    </a:prstGeom>
                  </pic:spPr>
                </pic:pic>
              </a:graphicData>
            </a:graphic>
          </wp:inline>
        </w:drawing>
      </w:r>
      <w:r>
        <w:rPr>
          <w:rFonts w:hint="eastAsia" w:ascii="Times New Roman" w:hAnsi="Times New Roman" w:eastAsia="宋体" w:cs="Times New Roman"/>
          <w:b/>
          <w:bCs/>
          <w:color w:val="auto"/>
          <w:kern w:val="2"/>
          <w:sz w:val="24"/>
          <w:szCs w:val="24"/>
          <w:lang w:val="en-US" w:eastAsia="zh-CN" w:bidi="ar-SA"/>
        </w:rPr>
        <w:t>附图三  平面布置图</w:t>
      </w:r>
    </w:p>
    <w:p w14:paraId="14F50490">
      <w:pPr>
        <w:rPr>
          <w:rFonts w:hint="eastAsia" w:ascii="Times New Roman" w:hAnsi="Times New Roman" w:eastAsia="宋体" w:cs="Times New Roman"/>
          <w:b/>
          <w:bCs/>
          <w:color w:val="auto"/>
          <w:kern w:val="2"/>
          <w:sz w:val="24"/>
          <w:szCs w:val="24"/>
          <w:lang w:val="en-US" w:eastAsia="zh-CN" w:bidi="ar-SA"/>
        </w:rPr>
      </w:pPr>
    </w:p>
    <w:p w14:paraId="621B216E">
      <w:pPr>
        <w:pStyle w:val="4"/>
        <w:ind w:left="0" w:leftChars="0" w:firstLine="0" w:firstLineChars="0"/>
        <w:jc w:val="center"/>
        <w:rPr>
          <w:rFonts w:hint="eastAsia" w:ascii="Times New Roman" w:hAnsi="Times New Roman" w:eastAsia="宋体" w:cs="Times New Roman"/>
          <w:b/>
          <w:bCs/>
          <w:color w:val="auto"/>
          <w:lang w:val="en-US" w:eastAsia="zh-CN"/>
        </w:rPr>
      </w:pPr>
      <w:r>
        <w:rPr>
          <w:color w:val="auto"/>
          <w:sz w:val="24"/>
        </w:rPr>
        <mc:AlternateContent>
          <mc:Choice Requires="wps">
            <w:drawing>
              <wp:anchor distT="0" distB="0" distL="114300" distR="114300" simplePos="0" relativeHeight="251698176" behindDoc="0" locked="0" layoutInCell="1" allowOverlap="1">
                <wp:simplePos x="0" y="0"/>
                <wp:positionH relativeFrom="column">
                  <wp:posOffset>446405</wp:posOffset>
                </wp:positionH>
                <wp:positionV relativeFrom="paragraph">
                  <wp:posOffset>4107180</wp:posOffset>
                </wp:positionV>
                <wp:extent cx="1028700" cy="2667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028700" cy="266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E6AF82B">
                            <w:pPr>
                              <w:jc w:val="center"/>
                              <w:rPr>
                                <w:rFonts w:hint="default" w:eastAsia="宋体"/>
                                <w:lang w:val="en-US" w:eastAsia="zh-CN"/>
                              </w:rPr>
                            </w:pPr>
                            <w:r>
                              <w:rPr>
                                <w:rFonts w:hint="eastAsia"/>
                                <w:lang w:val="en-US" w:eastAsia="zh-CN"/>
                              </w:rPr>
                              <w:t>噪声监测点位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15pt;margin-top:323.4pt;height:21pt;width:81pt;z-index:251698176;mso-width-relative:page;mso-height-relative:page;" fillcolor="#FFFFFF [3201]" filled="t" stroked="f" coordsize="21600,21600" o:gfxdata="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LQp8I3UAAAACgEAAA8AAAAAAAAA&#10;AQAgAAAAIgAAAGRycy9kb3ducmV2LnhtbFBLAQIUABQAAAAIAIdO4kD7gG97TgIAAJEEAAAOAAAA&#10;AAAAAAEAIAAAACMBAABkcnMvZTJvRG9jLnhtbFBLBQYAAAAABgAGAFkBAADjBQAAAAA=&#10;">
                <v:fill on="t" focussize="0,0"/>
                <v:stroke on="f" weight="0.5pt"/>
                <v:imagedata o:title=""/>
                <o:lock v:ext="edit" aspectratio="f"/>
                <v:textbox>
                  <w:txbxContent>
                    <w:p w14:paraId="3E6AF82B">
                      <w:pPr>
                        <w:jc w:val="center"/>
                        <w:rPr>
                          <w:rFonts w:hint="default" w:eastAsia="宋体"/>
                          <w:lang w:val="en-US" w:eastAsia="zh-CN"/>
                        </w:rPr>
                      </w:pPr>
                      <w:r>
                        <w:rPr>
                          <w:rFonts w:hint="eastAsia"/>
                          <w:lang w:val="en-US" w:eastAsia="zh-CN"/>
                        </w:rPr>
                        <w:t>噪声监测点位</w:t>
                      </w:r>
                    </w:p>
                  </w:txbxContent>
                </v:textbox>
              </v:shape>
            </w:pict>
          </mc:Fallback>
        </mc:AlternateContent>
      </w:r>
      <w:r>
        <w:rPr>
          <w:color w:val="auto"/>
        </w:rPr>
        <w:drawing>
          <wp:anchor distT="0" distB="0" distL="114300" distR="114300" simplePos="0" relativeHeight="251697152" behindDoc="0" locked="0" layoutInCell="1" allowOverlap="1">
            <wp:simplePos x="0" y="0"/>
            <wp:positionH relativeFrom="column">
              <wp:posOffset>88265</wp:posOffset>
            </wp:positionH>
            <wp:positionV relativeFrom="paragraph">
              <wp:posOffset>4107180</wp:posOffset>
            </wp:positionV>
            <wp:extent cx="228600" cy="295275"/>
            <wp:effectExtent l="0" t="0" r="0" b="9525"/>
            <wp:wrapNone/>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24"/>
                    <a:stretch>
                      <a:fillRect/>
                    </a:stretch>
                  </pic:blipFill>
                  <pic:spPr>
                    <a:xfrm>
                      <a:off x="0" y="0"/>
                      <a:ext cx="228600" cy="29527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96128" behindDoc="0" locked="0" layoutInCell="1" allowOverlap="1">
                <wp:simplePos x="0" y="0"/>
                <wp:positionH relativeFrom="column">
                  <wp:posOffset>455930</wp:posOffset>
                </wp:positionH>
                <wp:positionV relativeFrom="paragraph">
                  <wp:posOffset>3773805</wp:posOffset>
                </wp:positionV>
                <wp:extent cx="1028700" cy="2667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028700" cy="266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B2B5A7F">
                            <w:pPr>
                              <w:jc w:val="center"/>
                              <w:rPr>
                                <w:rFonts w:hint="default" w:eastAsia="宋体"/>
                                <w:lang w:val="en-US" w:eastAsia="zh-CN"/>
                              </w:rPr>
                            </w:pPr>
                            <w:r>
                              <w:rPr>
                                <w:rFonts w:hint="eastAsia"/>
                                <w:lang w:val="en-US" w:eastAsia="zh-CN"/>
                              </w:rPr>
                              <w:t>大气监测点位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9pt;margin-top:297.15pt;height:21pt;width:81pt;z-index:251696128;mso-width-relative:page;mso-height-relative:page;" fillcolor="#FFFFFF [3201]" filled="t" stroked="f" coordsize="21600,21600" o:gfxdata="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5j0d9YAAAAKAQAADwAAAAAA&#10;AAABACAAAAAiAAAAZHJzL2Rvd25yZXYueG1sUEsBAhQAFAAAAAgAh07iQAUN1ONOAgAAkQQAAA4A&#10;AAAAAAAAAQAgAAAAJQEAAGRycy9lMm9Eb2MueG1sUEsFBgAAAAAGAAYAWQEAAOUFAAAAAA==&#10;">
                <v:fill on="t" focussize="0,0"/>
                <v:stroke on="f" weight="0.5pt"/>
                <v:imagedata o:title=""/>
                <o:lock v:ext="edit" aspectratio="f"/>
                <v:textbox>
                  <w:txbxContent>
                    <w:p w14:paraId="1B2B5A7F">
                      <w:pPr>
                        <w:jc w:val="center"/>
                        <w:rPr>
                          <w:rFonts w:hint="default" w:eastAsia="宋体"/>
                          <w:lang w:val="en-US" w:eastAsia="zh-CN"/>
                        </w:rPr>
                      </w:pPr>
                      <w:r>
                        <w:rPr>
                          <w:rFonts w:hint="eastAsia"/>
                          <w:lang w:val="en-US" w:eastAsia="zh-CN"/>
                        </w:rPr>
                        <w:t>大气监测点位</w:t>
                      </w:r>
                    </w:p>
                  </w:txbxContent>
                </v:textbox>
              </v:shape>
            </w:pict>
          </mc:Fallback>
        </mc:AlternateContent>
      </w:r>
      <w:r>
        <w:rPr>
          <w:color w:val="auto"/>
        </w:rPr>
        <w:drawing>
          <wp:anchor distT="0" distB="0" distL="114300" distR="114300" simplePos="0" relativeHeight="251695104" behindDoc="0" locked="0" layoutInCell="1" allowOverlap="1">
            <wp:simplePos x="0" y="0"/>
            <wp:positionH relativeFrom="column">
              <wp:posOffset>97790</wp:posOffset>
            </wp:positionH>
            <wp:positionV relativeFrom="paragraph">
              <wp:posOffset>3779520</wp:posOffset>
            </wp:positionV>
            <wp:extent cx="212090" cy="288925"/>
            <wp:effectExtent l="0" t="0" r="16510" b="15875"/>
            <wp:wrapNone/>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25"/>
                    <a:stretch>
                      <a:fillRect/>
                    </a:stretch>
                  </pic:blipFill>
                  <pic:spPr>
                    <a:xfrm>
                      <a:off x="0" y="0"/>
                      <a:ext cx="212090" cy="28892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94080" behindDoc="0" locked="0" layoutInCell="1" allowOverlap="1">
                <wp:simplePos x="0" y="0"/>
                <wp:positionH relativeFrom="column">
                  <wp:posOffset>474980</wp:posOffset>
                </wp:positionH>
                <wp:positionV relativeFrom="paragraph">
                  <wp:posOffset>3516630</wp:posOffset>
                </wp:positionV>
                <wp:extent cx="1028700" cy="266700"/>
                <wp:effectExtent l="0" t="0" r="0" b="0"/>
                <wp:wrapNone/>
                <wp:docPr id="21" name="文本框 21"/>
                <wp:cNvGraphicFramePr/>
                <a:graphic xmlns:a="http://schemas.openxmlformats.org/drawingml/2006/main">
                  <a:graphicData uri="http://schemas.microsoft.com/office/word/2010/wordprocessingShape">
                    <wps:wsp>
                      <wps:cNvSpPr txBox="1"/>
                      <wps:spPr>
                        <a:xfrm>
                          <a:off x="1389380" y="4659630"/>
                          <a:ext cx="1028700" cy="266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D8BBEF2">
                            <w:pPr>
                              <w:jc w:val="center"/>
                              <w:rPr>
                                <w:rFonts w:hint="eastAsia" w:eastAsia="宋体"/>
                                <w:lang w:val="en-US" w:eastAsia="zh-CN"/>
                              </w:rPr>
                            </w:pPr>
                            <w:r>
                              <w:rPr>
                                <w:rFonts w:hint="eastAsia"/>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4pt;margin-top:276.9pt;height:21pt;width:81pt;z-index:251694080;mso-width-relative:page;mso-height-relative:page;" fillcolor="#FFFFFF [3201]" filled="t" stroked="f" coordsize="21600,21600" o:gfxdata="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rYHDB1QAA&#10;AAoBAAAPAAAAAAAAAAEAIAAAACIAAABkcnMvZG93bnJldi54bWxQSwECFAAUAAAACACHTuJAVWrk&#10;i1oCAACdBAAADgAAAAAAAAABACAAAAAkAQAAZHJzL2Uyb0RvYy54bWxQSwUGAAAAAAYABgBZAQAA&#10;8AUAAAAA&#10;">
                <v:fill on="t" focussize="0,0"/>
                <v:stroke on="f" weight="0.5pt"/>
                <v:imagedata o:title=""/>
                <o:lock v:ext="edit" aspectratio="f"/>
                <v:textbox>
                  <w:txbxContent>
                    <w:p w14:paraId="5D8BBEF2">
                      <w:pPr>
                        <w:jc w:val="center"/>
                        <w:rPr>
                          <w:rFonts w:hint="eastAsia" w:eastAsia="宋体"/>
                          <w:lang w:val="en-US" w:eastAsia="zh-CN"/>
                        </w:rPr>
                      </w:pPr>
                      <w:r>
                        <w:rPr>
                          <w:rFonts w:hint="eastAsia"/>
                          <w:lang w:val="en-US" w:eastAsia="zh-CN"/>
                        </w:rPr>
                        <w:t>图例</w:t>
                      </w:r>
                    </w:p>
                  </w:txbxContent>
                </v:textbox>
              </v:shape>
            </w:pict>
          </mc:Fallback>
        </mc:AlternateContent>
      </w:r>
      <w:r>
        <w:rPr>
          <w:color w:val="auto"/>
          <w:sz w:val="24"/>
        </w:rPr>
        <mc:AlternateContent>
          <mc:Choice Requires="wps">
            <w:drawing>
              <wp:anchor distT="0" distB="0" distL="114300" distR="114300" simplePos="0" relativeHeight="251693056" behindDoc="0" locked="0" layoutInCell="1" allowOverlap="1">
                <wp:simplePos x="0" y="0"/>
                <wp:positionH relativeFrom="column">
                  <wp:posOffset>8255</wp:posOffset>
                </wp:positionH>
                <wp:positionV relativeFrom="paragraph">
                  <wp:posOffset>3411855</wp:posOffset>
                </wp:positionV>
                <wp:extent cx="1905000" cy="1019175"/>
                <wp:effectExtent l="4445" t="4445" r="14605" b="5080"/>
                <wp:wrapNone/>
                <wp:docPr id="20" name="文本框 20"/>
                <wp:cNvGraphicFramePr/>
                <a:graphic xmlns:a="http://schemas.openxmlformats.org/drawingml/2006/main">
                  <a:graphicData uri="http://schemas.microsoft.com/office/word/2010/wordprocessingShape">
                    <wps:wsp>
                      <wps:cNvSpPr txBox="1"/>
                      <wps:spPr>
                        <a:xfrm>
                          <a:off x="922655" y="4554855"/>
                          <a:ext cx="1905000" cy="10191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73AC0F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65pt;margin-top:268.65pt;height:80.25pt;width:150pt;z-index:251693056;mso-width-relative:page;mso-height-relative:page;" fillcolor="#FFFFFF [3201]" filled="t" stroked="t" coordsize="21600,21600" o:gfxdata="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gldkR1QAAAAkBAAAPAAAAAAAAAAEAIAAAACIAAABkcnMvZG93bnJldi54bWxQSwECFAAU&#10;AAAACACHTuJA3/b6fWYCAADFBAAADgAAAAAAAAABACAAAAAkAQAAZHJzL2Uyb0RvYy54bWxQSwUG&#10;AAAAAAYABgBZAQAA/AUAAAAA&#10;">
                <v:fill on="t" focussize="0,0"/>
                <v:stroke weight="0.5pt" color="#000000 [3204]" joinstyle="round"/>
                <v:imagedata o:title=""/>
                <o:lock v:ext="edit" aspectratio="f"/>
                <v:textbox>
                  <w:txbxContent>
                    <w:p w14:paraId="673AC0F7"/>
                  </w:txbxContent>
                </v:textbox>
              </v:shape>
            </w:pict>
          </mc:Fallback>
        </mc:AlternateContent>
      </w:r>
      <w:r>
        <w:rPr>
          <w:rFonts w:ascii="Times New Roman" w:hAnsi="Times New Roman" w:cs="Times New Roman"/>
          <w:color w:val="auto"/>
          <w:lang w:bidi="ar-SA"/>
        </w:rPr>
        <w:drawing>
          <wp:anchor distT="0" distB="0" distL="114300" distR="114300" simplePos="0" relativeHeight="251692032" behindDoc="0" locked="0" layoutInCell="1" allowOverlap="1">
            <wp:simplePos x="0" y="0"/>
            <wp:positionH relativeFrom="column">
              <wp:posOffset>7962900</wp:posOffset>
            </wp:positionH>
            <wp:positionV relativeFrom="paragraph">
              <wp:posOffset>57150</wp:posOffset>
            </wp:positionV>
            <wp:extent cx="878840" cy="770255"/>
            <wp:effectExtent l="0" t="0" r="16510" b="10795"/>
            <wp:wrapNone/>
            <wp:docPr id="19"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23.jpeg"/>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78840" cy="770255"/>
                    </a:xfrm>
                    <a:prstGeom prst="rect">
                      <a:avLst/>
                    </a:prstGeom>
                  </pic:spPr>
                </pic:pic>
              </a:graphicData>
            </a:graphic>
          </wp:anchor>
        </w:drawing>
      </w:r>
      <w:r>
        <w:rPr>
          <w:color w:val="auto"/>
        </w:rPr>
        <w:drawing>
          <wp:inline distT="0" distB="0" distL="114300" distR="114300">
            <wp:extent cx="8848090" cy="4424045"/>
            <wp:effectExtent l="0" t="0" r="10160" b="14605"/>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6"/>
                    <a:stretch>
                      <a:fillRect/>
                    </a:stretch>
                  </pic:blipFill>
                  <pic:spPr>
                    <a:xfrm>
                      <a:off x="0" y="0"/>
                      <a:ext cx="8848090" cy="4424045"/>
                    </a:xfrm>
                    <a:prstGeom prst="rect">
                      <a:avLst/>
                    </a:prstGeom>
                    <a:noFill/>
                    <a:ln>
                      <a:noFill/>
                    </a:ln>
                  </pic:spPr>
                </pic:pic>
              </a:graphicData>
            </a:graphic>
          </wp:inline>
        </w:drawing>
      </w:r>
    </w:p>
    <w:p w14:paraId="219BF3AE">
      <w:pPr>
        <w:pStyle w:val="4"/>
        <w:ind w:left="0" w:leftChars="0" w:firstLine="0" w:firstLineChars="0"/>
        <w:jc w:val="center"/>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附图四  环境现状监测点位布置图</w:t>
      </w:r>
    </w:p>
    <w:p w14:paraId="17295919">
      <w:pPr>
        <w:pStyle w:val="2"/>
        <w:rPr>
          <w:rFonts w:hint="eastAsia" w:ascii="Times New Roman" w:hAnsi="Times New Roman" w:eastAsia="宋体" w:cs="Times New Roman"/>
          <w:b/>
          <w:bCs/>
          <w:color w:val="auto"/>
          <w:lang w:val="en-US" w:eastAsia="zh-CN"/>
        </w:rPr>
      </w:pPr>
    </w:p>
    <w:p w14:paraId="2D30CC57">
      <w:pPr>
        <w:rPr>
          <w:rFonts w:hint="default"/>
          <w:color w:val="auto"/>
          <w:lang w:val="en-US" w:eastAsia="zh-CN"/>
        </w:rPr>
      </w:pPr>
      <w:r>
        <w:rPr>
          <w:rFonts w:hint="eastAsia"/>
          <w:b/>
          <w:bCs/>
          <w:color w:val="auto"/>
          <w:sz w:val="24"/>
          <w:szCs w:val="24"/>
          <w:highlight w:val="none"/>
          <w:lang w:val="en-US" w:eastAsia="zh-CN"/>
        </w:rPr>
        <w:drawing>
          <wp:anchor distT="0" distB="0" distL="114300" distR="114300" simplePos="0" relativeHeight="251681792" behindDoc="0" locked="0" layoutInCell="1" allowOverlap="1">
            <wp:simplePos x="0" y="0"/>
            <wp:positionH relativeFrom="column">
              <wp:posOffset>7857490</wp:posOffset>
            </wp:positionH>
            <wp:positionV relativeFrom="paragraph">
              <wp:posOffset>16510</wp:posOffset>
            </wp:positionV>
            <wp:extent cx="990600" cy="1085850"/>
            <wp:effectExtent l="0" t="0" r="0" b="0"/>
            <wp:wrapNone/>
            <wp:docPr id="57" name="图片 7" descr="指向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 descr="指向标"/>
                    <pic:cNvPicPr>
                      <a:picLocks noChangeAspect="1"/>
                    </pic:cNvPicPr>
                  </pic:nvPicPr>
                  <pic:blipFill>
                    <a:blip r:embed="rId27"/>
                    <a:stretch>
                      <a:fillRect/>
                    </a:stretch>
                  </pic:blipFill>
                  <pic:spPr>
                    <a:xfrm>
                      <a:off x="0" y="0"/>
                      <a:ext cx="990600" cy="1085850"/>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82816" behindDoc="0" locked="0" layoutInCell="1" allowOverlap="1">
                <wp:simplePos x="0" y="0"/>
                <wp:positionH relativeFrom="column">
                  <wp:posOffset>3175</wp:posOffset>
                </wp:positionH>
                <wp:positionV relativeFrom="paragraph">
                  <wp:posOffset>3237230</wp:posOffset>
                </wp:positionV>
                <wp:extent cx="2329815" cy="1273175"/>
                <wp:effectExtent l="4445" t="4445" r="8890" b="17780"/>
                <wp:wrapNone/>
                <wp:docPr id="47" name="文本框 47"/>
                <wp:cNvGraphicFramePr/>
                <a:graphic xmlns:a="http://schemas.openxmlformats.org/drawingml/2006/main">
                  <a:graphicData uri="http://schemas.microsoft.com/office/word/2010/wordprocessingShape">
                    <wps:wsp>
                      <wps:cNvSpPr txBox="1"/>
                      <wps:spPr>
                        <a:xfrm>
                          <a:off x="0" y="0"/>
                          <a:ext cx="2329815" cy="12731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498D37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5pt;margin-top:254.9pt;height:100.25pt;width:183.45pt;z-index:251682816;mso-width-relative:page;mso-height-relative:page;" fillcolor="#FFFFFF [3201]" filled="t" stroked="t" coordsize="21600,21600" o:gfxdata="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NxWQA3W&#10;AAAACAEAAA8AAAAAAAAAAQAgAAAAIgAAAGRycy9kb3ducmV2LnhtbFBLAQIUABQAAAAIAIdO4kBz&#10;IGUqWwIAALoEAAAOAAAAAAAAAAEAIAAAACUBAABkcnMvZTJvRG9jLnhtbFBLBQYAAAAABgAGAFkB&#10;AADyBQAAAAA=&#10;">
                <v:fill on="t" focussize="0,0"/>
                <v:stroke weight="0.5pt" color="#000000 [3204]" joinstyle="round"/>
                <v:imagedata o:title=""/>
                <o:lock v:ext="edit" aspectratio="f"/>
                <v:textbox>
                  <w:txbxContent>
                    <w:p w14:paraId="7498D376"/>
                  </w:txbxContent>
                </v:textbox>
              </v:shape>
            </w:pict>
          </mc:Fallback>
        </mc:AlternateContent>
      </w:r>
      <w:r>
        <w:rPr>
          <w:color w:val="auto"/>
          <w:sz w:val="21"/>
        </w:rPr>
        <mc:AlternateContent>
          <mc:Choice Requires="wps">
            <w:drawing>
              <wp:anchor distT="0" distB="0" distL="114300" distR="114300" simplePos="0" relativeHeight="251683840" behindDoc="0" locked="0" layoutInCell="1" allowOverlap="1">
                <wp:simplePos x="0" y="0"/>
                <wp:positionH relativeFrom="column">
                  <wp:posOffset>963930</wp:posOffset>
                </wp:positionH>
                <wp:positionV relativeFrom="paragraph">
                  <wp:posOffset>3281045</wp:posOffset>
                </wp:positionV>
                <wp:extent cx="459105" cy="267970"/>
                <wp:effectExtent l="0" t="0" r="17145" b="17780"/>
                <wp:wrapNone/>
                <wp:docPr id="48" name="文本框 48"/>
                <wp:cNvGraphicFramePr/>
                <a:graphic xmlns:a="http://schemas.openxmlformats.org/drawingml/2006/main">
                  <a:graphicData uri="http://schemas.microsoft.com/office/word/2010/wordprocessingShape">
                    <wps:wsp>
                      <wps:cNvSpPr txBox="1"/>
                      <wps:spPr>
                        <a:xfrm>
                          <a:off x="0" y="0"/>
                          <a:ext cx="459105" cy="2679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FBD41C7">
                            <w:pPr>
                              <w:rPr>
                                <w:rFonts w:hint="eastAsia" w:eastAsia="宋体"/>
                                <w:lang w:val="en-US" w:eastAsia="zh-CN"/>
                              </w:rPr>
                            </w:pPr>
                            <w:r>
                              <w:rPr>
                                <w:rFonts w:hint="eastAsia"/>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5.9pt;margin-top:258.35pt;height:21.1pt;width:36.15pt;z-index:251683840;mso-width-relative:page;mso-height-relative:page;" fillcolor="#FFFFFF [3201]" filled="t" stroked="f" coordsize="21600,21600" o:gfxdata="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Kw6ZjPVAAAACwEAAA8A&#10;AAAAAAAAAQAgAAAAIgAAAGRycy9kb3ducmV2LnhtbFBLAQIUABQAAAAIAIdO4kCky+OxUwIAAJAE&#10;AAAOAAAAAAAAAAEAIAAAACQBAABkcnMvZTJvRG9jLnhtbFBLBQYAAAAABgAGAFkBAADpBQAAAAA=&#10;">
                <v:fill on="t" focussize="0,0"/>
                <v:stroke on="f" weight="0.5pt"/>
                <v:imagedata o:title=""/>
                <o:lock v:ext="edit" aspectratio="f"/>
                <v:textbox>
                  <w:txbxContent>
                    <w:p w14:paraId="0FBD41C7">
                      <w:pPr>
                        <w:rPr>
                          <w:rFonts w:hint="eastAsia" w:eastAsia="宋体"/>
                          <w:lang w:val="en-US" w:eastAsia="zh-CN"/>
                        </w:rPr>
                      </w:pPr>
                      <w:r>
                        <w:rPr>
                          <w:rFonts w:hint="eastAsia"/>
                          <w:lang w:val="en-US" w:eastAsia="zh-CN"/>
                        </w:rPr>
                        <w:t>图例</w:t>
                      </w:r>
                    </w:p>
                  </w:txbxContent>
                </v:textbox>
              </v:shape>
            </w:pict>
          </mc:Fallback>
        </mc:AlternateContent>
      </w:r>
      <w:r>
        <w:rPr>
          <w:color w:val="auto"/>
          <w:sz w:val="21"/>
        </w:rPr>
        <mc:AlternateContent>
          <mc:Choice Requires="wps">
            <w:drawing>
              <wp:anchor distT="0" distB="0" distL="114300" distR="114300" simplePos="0" relativeHeight="251684864" behindDoc="0" locked="0" layoutInCell="1" allowOverlap="1">
                <wp:simplePos x="0" y="0"/>
                <wp:positionH relativeFrom="column">
                  <wp:posOffset>55245</wp:posOffset>
                </wp:positionH>
                <wp:positionV relativeFrom="paragraph">
                  <wp:posOffset>3589020</wp:posOffset>
                </wp:positionV>
                <wp:extent cx="346710" cy="147320"/>
                <wp:effectExtent l="6350" t="6350" r="8890" b="17780"/>
                <wp:wrapNone/>
                <wp:docPr id="49" name="矩形 49"/>
                <wp:cNvGraphicFramePr/>
                <a:graphic xmlns:a="http://schemas.openxmlformats.org/drawingml/2006/main">
                  <a:graphicData uri="http://schemas.microsoft.com/office/word/2010/wordprocessingShape">
                    <wps:wsp>
                      <wps:cNvSpPr/>
                      <wps:spPr>
                        <a:xfrm>
                          <a:off x="0" y="0"/>
                          <a:ext cx="346710" cy="1473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5pt;margin-top:282.6pt;height:11.6pt;width:27.3pt;z-index:251684864;v-text-anchor:middle;mso-width-relative:page;mso-height-relative:page;" filled="f" stroked="t" coordsize="21600,21600" o:gfxdata="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dPF5HWAAAACAEAAA8AAAAAAAAAAQAgAAAAIgAAAGRycy9kb3ducmV2LnhtbFBL&#10;AQIUABQAAAAIAIdO4kBXeB7DagIAAMwEAAAOAAAAAAAAAAEAIAAAACUBAABkcnMvZTJvRG9jLnht&#10;bFBLBQYAAAAABgAGAFkBAAABBgAAAAA=&#10;">
                <v:fill on="f" focussize="0,0"/>
                <v:stroke weight="1pt" color="#FF0000 [32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85888" behindDoc="0" locked="0" layoutInCell="1" allowOverlap="1">
                <wp:simplePos x="0" y="0"/>
                <wp:positionH relativeFrom="column">
                  <wp:posOffset>485140</wp:posOffset>
                </wp:positionH>
                <wp:positionV relativeFrom="paragraph">
                  <wp:posOffset>3536950</wp:posOffset>
                </wp:positionV>
                <wp:extent cx="1436370" cy="267970"/>
                <wp:effectExtent l="0" t="0" r="11430" b="17780"/>
                <wp:wrapNone/>
                <wp:docPr id="50" name="文本框 50"/>
                <wp:cNvGraphicFramePr/>
                <a:graphic xmlns:a="http://schemas.openxmlformats.org/drawingml/2006/main">
                  <a:graphicData uri="http://schemas.microsoft.com/office/word/2010/wordprocessingShape">
                    <wps:wsp>
                      <wps:cNvSpPr txBox="1"/>
                      <wps:spPr>
                        <a:xfrm>
                          <a:off x="0" y="0"/>
                          <a:ext cx="1436370" cy="2679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BAD5E44">
                            <w:pPr>
                              <w:rPr>
                                <w:rFonts w:hint="default" w:eastAsia="宋体"/>
                                <w:lang w:val="en-US" w:eastAsia="zh-CN"/>
                              </w:rPr>
                            </w:pPr>
                            <w:r>
                              <w:rPr>
                                <w:rFonts w:hint="eastAsia" w:eastAsia="宋体"/>
                                <w:lang w:val="en-US" w:eastAsia="zh-CN"/>
                              </w:rPr>
                              <w:t>厂界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2pt;margin-top:278.5pt;height:21.1pt;width:113.1pt;z-index:251685888;mso-width-relative:page;mso-height-relative:page;" fillcolor="#FFFFFF [3201]" filled="t" stroked="f" coordsize="21600,21600" o:gfxdata="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4vF1Q9YAAAAKAQAADwAAAAAA&#10;AAABACAAAAAiAAAAZHJzL2Rvd25yZXYueG1sUEsBAhQAFAAAAAgAh07iQHU0pQ9OAgAAkQQAAA4A&#10;AAAAAAAAAQAgAAAAJQEAAGRycy9lMm9Eb2MueG1sUEsFBgAAAAAGAAYAWQEAAOUFAAAAAA==&#10;">
                <v:fill on="t" focussize="0,0"/>
                <v:stroke on="f" weight="0.5pt"/>
                <v:imagedata o:title=""/>
                <o:lock v:ext="edit" aspectratio="f"/>
                <v:textbox>
                  <w:txbxContent>
                    <w:p w14:paraId="6BAD5E44">
                      <w:pPr>
                        <w:rPr>
                          <w:rFonts w:hint="default" w:eastAsia="宋体"/>
                          <w:lang w:val="en-US" w:eastAsia="zh-CN"/>
                        </w:rPr>
                      </w:pPr>
                      <w:r>
                        <w:rPr>
                          <w:rFonts w:hint="eastAsia" w:eastAsia="宋体"/>
                          <w:lang w:val="en-US" w:eastAsia="zh-CN"/>
                        </w:rPr>
                        <w:t>厂界</w:t>
                      </w:r>
                    </w:p>
                  </w:txbxContent>
                </v:textbox>
              </v:shape>
            </w:pict>
          </mc:Fallback>
        </mc:AlternateContent>
      </w:r>
      <w:r>
        <w:rPr>
          <w:color w:val="auto"/>
          <w:sz w:val="21"/>
        </w:rPr>
        <mc:AlternateContent>
          <mc:Choice Requires="wps">
            <w:drawing>
              <wp:anchor distT="0" distB="0" distL="114300" distR="114300" simplePos="0" relativeHeight="251686912" behindDoc="0" locked="0" layoutInCell="1" allowOverlap="1">
                <wp:simplePos x="0" y="0"/>
                <wp:positionH relativeFrom="column">
                  <wp:posOffset>60325</wp:posOffset>
                </wp:positionH>
                <wp:positionV relativeFrom="paragraph">
                  <wp:posOffset>3827780</wp:posOffset>
                </wp:positionV>
                <wp:extent cx="346710" cy="147320"/>
                <wp:effectExtent l="6350" t="6350" r="8890" b="17780"/>
                <wp:wrapNone/>
                <wp:docPr id="51" name="矩形 51"/>
                <wp:cNvGraphicFramePr/>
                <a:graphic xmlns:a="http://schemas.openxmlformats.org/drawingml/2006/main">
                  <a:graphicData uri="http://schemas.microsoft.com/office/word/2010/wordprocessingShape">
                    <wps:wsp>
                      <wps:cNvSpPr/>
                      <wps:spPr>
                        <a:xfrm>
                          <a:off x="0" y="0"/>
                          <a:ext cx="346710" cy="14732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5pt;margin-top:301.4pt;height:11.6pt;width:27.3pt;z-index:251686912;v-text-anchor:middle;mso-width-relative:page;mso-height-relative:page;" filled="f" stroked="t" coordsize="21600,21600" o:gfxdata="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YUSLHYAAAACAEAAA8AAAAAAAAAAQAgAAAAIgAAAGRycy9kb3ducmV2LnhtbFBL&#10;AQIUABQAAAAIAIdO4kCu0mGiaAIAAMwEAAAOAAAAAAAAAAEAIAAAACcBAABkcnMvZTJvRG9jLnht&#10;bFBLBQYAAAAABgAGAFkBAAABBgAAAAA=&#10;">
                <v:fill on="f" focussize="0,0"/>
                <v:stroke weight="1pt" color="#FFFF00 [32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87936" behindDoc="0" locked="0" layoutInCell="1" allowOverlap="1">
                <wp:simplePos x="0" y="0"/>
                <wp:positionH relativeFrom="column">
                  <wp:posOffset>490855</wp:posOffset>
                </wp:positionH>
                <wp:positionV relativeFrom="paragraph">
                  <wp:posOffset>3749675</wp:posOffset>
                </wp:positionV>
                <wp:extent cx="1436370" cy="267970"/>
                <wp:effectExtent l="0" t="0" r="11430" b="17780"/>
                <wp:wrapNone/>
                <wp:docPr id="52" name="文本框 52"/>
                <wp:cNvGraphicFramePr/>
                <a:graphic xmlns:a="http://schemas.openxmlformats.org/drawingml/2006/main">
                  <a:graphicData uri="http://schemas.microsoft.com/office/word/2010/wordprocessingShape">
                    <wps:wsp>
                      <wps:cNvSpPr txBox="1"/>
                      <wps:spPr>
                        <a:xfrm>
                          <a:off x="0" y="0"/>
                          <a:ext cx="1436370" cy="2679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1A263E8">
                            <w:pPr>
                              <w:rPr>
                                <w:rFonts w:hint="default" w:eastAsia="宋体"/>
                                <w:lang w:val="en-US" w:eastAsia="zh-CN"/>
                              </w:rPr>
                            </w:pPr>
                            <w:r>
                              <w:rPr>
                                <w:rFonts w:hint="eastAsia" w:eastAsia="宋体"/>
                                <w:lang w:val="en-US" w:eastAsia="zh-CN"/>
                              </w:rPr>
                              <w:t>声环境评价范围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65pt;margin-top:295.25pt;height:21.1pt;width:113.1pt;z-index:251687936;mso-width-relative:page;mso-height-relative:page;" fillcolor="#FFFFFF [3201]" filled="t" stroked="f" coordsize="21600,21600" o:gfxdata="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eQGxvWAAAACgEAAA8AAAAA&#10;AAAAAQAgAAAAIgAAAGRycy9kb3ducmV2LnhtbFBLAQIUABQAAAAIAIdO4kDfsDN4TwIAAJEEAAAO&#10;AAAAAAAAAAEAIAAAACUBAABkcnMvZTJvRG9jLnhtbFBLBQYAAAAABgAGAFkBAADmBQAAAAA=&#10;">
                <v:fill on="t" focussize="0,0"/>
                <v:stroke on="f" weight="0.5pt"/>
                <v:imagedata o:title=""/>
                <o:lock v:ext="edit" aspectratio="f"/>
                <v:textbox>
                  <w:txbxContent>
                    <w:p w14:paraId="61A263E8">
                      <w:pPr>
                        <w:rPr>
                          <w:rFonts w:hint="default" w:eastAsia="宋体"/>
                          <w:lang w:val="en-US" w:eastAsia="zh-CN"/>
                        </w:rPr>
                      </w:pPr>
                      <w:r>
                        <w:rPr>
                          <w:rFonts w:hint="eastAsia" w:eastAsia="宋体"/>
                          <w:lang w:val="en-US" w:eastAsia="zh-CN"/>
                        </w:rPr>
                        <w:t>声环境评价范围</w:t>
                      </w:r>
                    </w:p>
                  </w:txbxContent>
                </v:textbox>
              </v:shape>
            </w:pict>
          </mc:Fallback>
        </mc:AlternateContent>
      </w:r>
      <w:r>
        <w:rPr>
          <w:color w:val="auto"/>
          <w:sz w:val="21"/>
        </w:rPr>
        <mc:AlternateContent>
          <mc:Choice Requires="wps">
            <w:drawing>
              <wp:anchor distT="0" distB="0" distL="114300" distR="114300" simplePos="0" relativeHeight="251688960" behindDoc="0" locked="0" layoutInCell="1" allowOverlap="1">
                <wp:simplePos x="0" y="0"/>
                <wp:positionH relativeFrom="column">
                  <wp:posOffset>65405</wp:posOffset>
                </wp:positionH>
                <wp:positionV relativeFrom="paragraph">
                  <wp:posOffset>4057650</wp:posOffset>
                </wp:positionV>
                <wp:extent cx="346710" cy="147320"/>
                <wp:effectExtent l="6350" t="6350" r="8890" b="17780"/>
                <wp:wrapNone/>
                <wp:docPr id="53" name="矩形 53"/>
                <wp:cNvGraphicFramePr/>
                <a:graphic xmlns:a="http://schemas.openxmlformats.org/drawingml/2006/main">
                  <a:graphicData uri="http://schemas.microsoft.com/office/word/2010/wordprocessingShape">
                    <wps:wsp>
                      <wps:cNvSpPr/>
                      <wps:spPr>
                        <a:xfrm>
                          <a:off x="0" y="0"/>
                          <a:ext cx="346710" cy="147320"/>
                        </a:xfrm>
                        <a:prstGeom prst="rect">
                          <a:avLst/>
                        </a:prstGeom>
                        <a:no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5pt;margin-top:319.5pt;height:11.6pt;width:27.3pt;z-index:251688960;v-text-anchor:middle;mso-width-relative:page;mso-height-relative:page;" filled="f" stroked="t" coordsize="21600,21600" o:gfxdata="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MF6hxtgAAAAJAQAADwAAAAAAAAABACAAAAAi&#10;AAAAZHJzL2Rvd25yZXYueG1sUEsBAhQAFAAAAAgAh07iQJdalbt8AgAA7gQAAA4AAAAAAAAAAQAg&#10;AAAAJwEAAGRycy9lMm9Eb2MueG1sUEsFBgAAAAAGAAYAWQEAABUGAAAAAA==&#10;">
                <v:fill on="f" focussize="0,0"/>
                <v:stroke weight="1pt" color="#249087 [2408]"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89984" behindDoc="0" locked="0" layoutInCell="1" allowOverlap="1">
                <wp:simplePos x="0" y="0"/>
                <wp:positionH relativeFrom="column">
                  <wp:posOffset>495300</wp:posOffset>
                </wp:positionH>
                <wp:positionV relativeFrom="paragraph">
                  <wp:posOffset>3988435</wp:posOffset>
                </wp:positionV>
                <wp:extent cx="1776730" cy="267970"/>
                <wp:effectExtent l="0" t="0" r="13970" b="17780"/>
                <wp:wrapNone/>
                <wp:docPr id="54" name="文本框 54"/>
                <wp:cNvGraphicFramePr/>
                <a:graphic xmlns:a="http://schemas.openxmlformats.org/drawingml/2006/main">
                  <a:graphicData uri="http://schemas.microsoft.com/office/word/2010/wordprocessingShape">
                    <wps:wsp>
                      <wps:cNvSpPr txBox="1"/>
                      <wps:spPr>
                        <a:xfrm>
                          <a:off x="0" y="0"/>
                          <a:ext cx="1776730" cy="2679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A6F96A6">
                            <w:pPr>
                              <w:rPr>
                                <w:rFonts w:hint="default" w:eastAsia="宋体"/>
                                <w:lang w:val="en-US" w:eastAsia="zh-CN"/>
                              </w:rPr>
                            </w:pPr>
                            <w:r>
                              <w:rPr>
                                <w:rFonts w:hint="eastAsia" w:eastAsia="宋体"/>
                                <w:lang w:val="en-US" w:eastAsia="zh-CN"/>
                              </w:rPr>
                              <w:t>大气</w:t>
                            </w:r>
                            <w:r>
                              <w:rPr>
                                <w:rFonts w:hint="eastAsia"/>
                                <w:lang w:val="en-US" w:eastAsia="zh-CN"/>
                              </w:rPr>
                              <w:t>、地下水</w:t>
                            </w:r>
                            <w:r>
                              <w:rPr>
                                <w:rFonts w:hint="eastAsia" w:eastAsia="宋体"/>
                                <w:lang w:val="en-US" w:eastAsia="zh-CN"/>
                              </w:rPr>
                              <w:t>环境评价范围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pt;margin-top:314.05pt;height:21.1pt;width:139.9pt;z-index:251689984;mso-width-relative:page;mso-height-relative:page;" fillcolor="#FFFFFF [3201]" filled="t" stroked="f" coordsize="21600,21600" o:gfxdata="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E6ZpDvVAAAACgEAAA8A&#10;AAAAAAAAAQAgAAAAIgAAAGRycy9kb3ducmV2LnhtbFBLAQIUABQAAAAIAIdO4kB1iAnPUwIAAJEE&#10;AAAOAAAAAAAAAAEAIAAAACQBAABkcnMvZTJvRG9jLnhtbFBLBQYAAAAABgAGAFkBAADpBQAAAAA=&#10;">
                <v:fill on="t" focussize="0,0"/>
                <v:stroke on="f" weight="0.5pt"/>
                <v:imagedata o:title=""/>
                <o:lock v:ext="edit" aspectratio="f"/>
                <v:textbox>
                  <w:txbxContent>
                    <w:p w14:paraId="2A6F96A6">
                      <w:pPr>
                        <w:rPr>
                          <w:rFonts w:hint="default" w:eastAsia="宋体"/>
                          <w:lang w:val="en-US" w:eastAsia="zh-CN"/>
                        </w:rPr>
                      </w:pPr>
                      <w:r>
                        <w:rPr>
                          <w:rFonts w:hint="eastAsia" w:eastAsia="宋体"/>
                          <w:lang w:val="en-US" w:eastAsia="zh-CN"/>
                        </w:rPr>
                        <w:t>大气</w:t>
                      </w:r>
                      <w:r>
                        <w:rPr>
                          <w:rFonts w:hint="eastAsia"/>
                          <w:lang w:val="en-US" w:eastAsia="zh-CN"/>
                        </w:rPr>
                        <w:t>、地下水</w:t>
                      </w:r>
                      <w:r>
                        <w:rPr>
                          <w:rFonts w:hint="eastAsia" w:eastAsia="宋体"/>
                          <w:lang w:val="en-US" w:eastAsia="zh-CN"/>
                        </w:rPr>
                        <w:t>环境评价范围</w:t>
                      </w:r>
                    </w:p>
                  </w:txbxContent>
                </v:textbox>
              </v:shape>
            </w:pict>
          </mc:Fallback>
        </mc:AlternateContent>
      </w:r>
      <w:r>
        <w:rPr>
          <w:color w:val="auto"/>
        </w:rPr>
        <w:drawing>
          <wp:inline distT="0" distB="0" distL="114300" distR="114300">
            <wp:extent cx="8852535" cy="4439920"/>
            <wp:effectExtent l="0" t="0" r="5715" b="17780"/>
            <wp:docPr id="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7"/>
                    <pic:cNvPicPr>
                      <a:picLocks noChangeAspect="1"/>
                    </pic:cNvPicPr>
                  </pic:nvPicPr>
                  <pic:blipFill>
                    <a:blip r:embed="rId28"/>
                    <a:stretch>
                      <a:fillRect/>
                    </a:stretch>
                  </pic:blipFill>
                  <pic:spPr>
                    <a:xfrm>
                      <a:off x="0" y="0"/>
                      <a:ext cx="8852535" cy="4439920"/>
                    </a:xfrm>
                    <a:prstGeom prst="rect">
                      <a:avLst/>
                    </a:prstGeom>
                    <a:noFill/>
                    <a:ln>
                      <a:noFill/>
                    </a:ln>
                  </pic:spPr>
                </pic:pic>
              </a:graphicData>
            </a:graphic>
          </wp:inline>
        </w:drawing>
      </w:r>
    </w:p>
    <w:p w14:paraId="48801074">
      <w:pPr>
        <w:pStyle w:val="4"/>
        <w:ind w:left="0" w:leftChars="0" w:firstLine="0" w:firstLineChars="0"/>
        <w:jc w:val="center"/>
        <w:rPr>
          <w:rFonts w:hint="default"/>
          <w:color w:val="auto"/>
          <w:lang w:val="en-US" w:eastAsia="zh-CN"/>
        </w:rPr>
      </w:pPr>
      <w:r>
        <w:rPr>
          <w:rFonts w:hint="eastAsia" w:ascii="Times New Roman" w:hAnsi="Times New Roman" w:eastAsia="宋体" w:cs="Times New Roman"/>
          <w:b/>
          <w:bCs/>
          <w:color w:val="auto"/>
          <w:lang w:val="en-US" w:eastAsia="zh-CN"/>
        </w:rPr>
        <w:t>附图五  本项目环境评价范围及保护目标</w:t>
      </w:r>
    </w:p>
    <w:p w14:paraId="0842D962">
      <w:pPr>
        <w:jc w:val="center"/>
        <w:rPr>
          <w:color w:val="auto"/>
        </w:rPr>
      </w:pPr>
      <w:r>
        <w:rPr>
          <w:color w:val="auto"/>
        </w:rPr>
        <w:drawing>
          <wp:inline distT="0" distB="0" distL="114300" distR="114300">
            <wp:extent cx="6753225" cy="4734560"/>
            <wp:effectExtent l="0" t="0" r="9525" b="8890"/>
            <wp:docPr id="4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8"/>
                    <pic:cNvPicPr>
                      <a:picLocks noChangeAspect="1"/>
                    </pic:cNvPicPr>
                  </pic:nvPicPr>
                  <pic:blipFill>
                    <a:blip r:embed="rId29"/>
                    <a:stretch>
                      <a:fillRect/>
                    </a:stretch>
                  </pic:blipFill>
                  <pic:spPr>
                    <a:xfrm>
                      <a:off x="0" y="0"/>
                      <a:ext cx="6753225" cy="4734560"/>
                    </a:xfrm>
                    <a:prstGeom prst="rect">
                      <a:avLst/>
                    </a:prstGeom>
                    <a:noFill/>
                    <a:ln>
                      <a:noFill/>
                    </a:ln>
                  </pic:spPr>
                </pic:pic>
              </a:graphicData>
            </a:graphic>
          </wp:inline>
        </w:drawing>
      </w:r>
    </w:p>
    <w:p w14:paraId="6A1B2ED5">
      <w:pPr>
        <w:pStyle w:val="4"/>
        <w:ind w:left="0" w:leftChars="0" w:firstLine="0" w:firstLineChars="0"/>
        <w:jc w:val="center"/>
        <w:rPr>
          <w:rFonts w:hint="eastAsia" w:ascii="Times New Roman" w:hAnsi="Times New Roman" w:eastAsia="宋体" w:cs="Times New Roman"/>
          <w:b/>
          <w:bCs/>
          <w:color w:val="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eastAsia="宋体" w:cs="Times New Roman"/>
          <w:b/>
          <w:bCs/>
          <w:color w:val="auto"/>
          <w:lang w:val="en-US" w:eastAsia="zh-CN"/>
        </w:rPr>
        <w:t>附图六  四邻关系图</w:t>
      </w:r>
    </w:p>
    <w:p w14:paraId="5645004E">
      <w:pPr>
        <w:pStyle w:val="2"/>
        <w:ind w:left="0" w:leftChars="0" w:firstLine="0" w:firstLineChars="0"/>
        <w:rPr>
          <w:rFonts w:ascii="Times New Roman" w:hAnsi="Times New Roman" w:cs="Times New Roman"/>
          <w:color w:val="auto"/>
          <w:lang w:bidi="ar-SA"/>
        </w:rPr>
      </w:pPr>
      <w:r>
        <w:rPr>
          <w:rFonts w:ascii="Times New Roman" w:hAnsi="Times New Roman" w:cs="Times New Roman"/>
          <w:color w:val="auto"/>
        </w:rPr>
        <mc:AlternateContent>
          <mc:Choice Requires="wps">
            <w:drawing>
              <wp:anchor distT="0" distB="0" distL="114300" distR="114300" simplePos="0" relativeHeight="251691008" behindDoc="0" locked="0" layoutInCell="1" allowOverlap="1">
                <wp:simplePos x="0" y="0"/>
                <wp:positionH relativeFrom="column">
                  <wp:posOffset>1404620</wp:posOffset>
                </wp:positionH>
                <wp:positionV relativeFrom="paragraph">
                  <wp:posOffset>5416550</wp:posOffset>
                </wp:positionV>
                <wp:extent cx="1073785" cy="307975"/>
                <wp:effectExtent l="4445" t="4445" r="407670" b="87630"/>
                <wp:wrapNone/>
                <wp:docPr id="58" name="矩形标注 58"/>
                <wp:cNvGraphicFramePr/>
                <a:graphic xmlns:a="http://schemas.openxmlformats.org/drawingml/2006/main">
                  <a:graphicData uri="http://schemas.microsoft.com/office/word/2010/wordprocessingShape">
                    <wps:wsp>
                      <wps:cNvSpPr/>
                      <wps:spPr>
                        <a:xfrm>
                          <a:off x="0" y="0"/>
                          <a:ext cx="1073785" cy="307975"/>
                        </a:xfrm>
                        <a:prstGeom prst="wedgeRectCallout">
                          <a:avLst>
                            <a:gd name="adj1" fmla="val 83000"/>
                            <a:gd name="adj2" fmla="val 68144"/>
                          </a:avLst>
                        </a:prstGeom>
                        <a:noFill/>
                        <a:ln w="9525" cap="flat" cmpd="sng">
                          <a:solidFill>
                            <a:srgbClr val="000000"/>
                          </a:solidFill>
                          <a:prstDash val="solid"/>
                          <a:miter/>
                          <a:headEnd type="none" w="med" len="med"/>
                          <a:tailEnd type="none" w="med" len="med"/>
                        </a:ln>
                      </wps:spPr>
                      <wps:txbx>
                        <w:txbxContent>
                          <w:p w14:paraId="1AF9468D">
                            <w:r>
                              <w:rPr>
                                <w:rFonts w:hint="eastAsia"/>
                                <w:b/>
                                <w:bCs/>
                              </w:rPr>
                              <w:t>本项目位置</w:t>
                            </w:r>
                          </w:p>
                        </w:txbxContent>
                      </wps:txbx>
                      <wps:bodyPr upright="1"/>
                    </wps:wsp>
                  </a:graphicData>
                </a:graphic>
              </wp:anchor>
            </w:drawing>
          </mc:Choice>
          <mc:Fallback>
            <w:pict>
              <v:shape id="_x0000_s1026" o:spid="_x0000_s1026" o:spt="61" type="#_x0000_t61" style="position:absolute;left:0pt;margin-left:110.6pt;margin-top:426.5pt;height:24.25pt;width:84.55pt;z-index:251691008;mso-width-relative:page;mso-height-relative:page;" filled="f" stroked="t" coordsize="21600,21600" o:gfxdata="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tr42j2gAAAAsBAAAPAAAAAAAAAAEAIAAAACIAAABkcnMvZG93bnJl&#10;di54bWxQSwECFAAUAAAACACHTuJA54GZsDQCAABlBAAADgAAAAAAAAABACAAAAApAQAAZHJzL2Uy&#10;b0RvYy54bWxQSwUGAAAAAAYABgBZAQAAzwUAAAAA&#10;" adj="28728,25519">
                <v:fill on="f" focussize="0,0"/>
                <v:stroke color="#000000" joinstyle="miter"/>
                <v:imagedata o:title=""/>
                <o:lock v:ext="edit" aspectratio="f"/>
                <v:textbox>
                  <w:txbxContent>
                    <w:p w14:paraId="1AF9468D">
                      <w:r>
                        <w:rPr>
                          <w:rFonts w:hint="eastAsia"/>
                          <w:b/>
                          <w:bCs/>
                        </w:rPr>
                        <w:t>本项目位置</w:t>
                      </w:r>
                    </w:p>
                  </w:txbxContent>
                </v:textbox>
              </v:shape>
            </w:pict>
          </mc:Fallback>
        </mc:AlternateContent>
      </w:r>
      <w:r>
        <w:rPr>
          <w:rFonts w:ascii="Times New Roman" w:hAnsi="Times New Roman" w:cs="Times New Roman"/>
          <w:color w:val="auto"/>
          <w:lang w:bidi="ar-SA"/>
        </w:rPr>
        <w:drawing>
          <wp:inline distT="0" distB="0" distL="0" distR="0">
            <wp:extent cx="5413375" cy="8251825"/>
            <wp:effectExtent l="0" t="0" r="15875" b="1587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413375" cy="8251825"/>
                    </a:xfrm>
                    <a:prstGeom prst="rect">
                      <a:avLst/>
                    </a:prstGeom>
                    <a:noFill/>
                    <a:ln>
                      <a:noFill/>
                    </a:ln>
                  </pic:spPr>
                </pic:pic>
              </a:graphicData>
            </a:graphic>
          </wp:inline>
        </w:drawing>
      </w:r>
    </w:p>
    <w:p w14:paraId="2E0436A2">
      <w:pPr>
        <w:pStyle w:val="4"/>
        <w:ind w:left="0" w:leftChars="0" w:firstLine="0" w:firstLineChars="0"/>
        <w:jc w:val="center"/>
        <w:rPr>
          <w:rFonts w:hint="default"/>
          <w:color w:val="auto"/>
          <w:lang w:val="en-US" w:eastAsia="zh-CN"/>
        </w:rPr>
      </w:pPr>
      <w:r>
        <w:rPr>
          <w:rFonts w:hint="eastAsia" w:ascii="Times New Roman" w:hAnsi="Times New Roman" w:eastAsia="宋体" w:cs="Times New Roman"/>
          <w:b/>
          <w:bCs/>
          <w:color w:val="auto"/>
          <w:lang w:val="en-US" w:eastAsia="zh-CN"/>
        </w:rPr>
        <w:t>附图七  本项目于园区位置关系图</w:t>
      </w:r>
    </w:p>
    <w:p w14:paraId="46E2C95E">
      <w:pPr>
        <w:rPr>
          <w:rFonts w:hint="eastAsia"/>
          <w:b/>
          <w:bCs/>
          <w:color w:val="auto"/>
          <w:sz w:val="24"/>
          <w:szCs w:val="32"/>
          <w:lang w:val="en-US" w:eastAsia="zh-CN"/>
        </w:rPr>
      </w:pPr>
      <w:r>
        <w:rPr>
          <w:rFonts w:hint="eastAsia"/>
          <w:b/>
          <w:bCs/>
          <w:color w:val="auto"/>
          <w:sz w:val="24"/>
          <w:szCs w:val="32"/>
          <w:lang w:val="en-US" w:eastAsia="zh-CN"/>
        </w:rPr>
        <w:t>附件1：委托书</w:t>
      </w:r>
    </w:p>
    <w:p w14:paraId="4052EE1F">
      <w:pPr>
        <w:jc w:val="center"/>
        <w:rPr>
          <w:rFonts w:hint="eastAsia"/>
          <w:b/>
          <w:bCs/>
          <w:color w:val="auto"/>
          <w:sz w:val="32"/>
          <w:szCs w:val="32"/>
          <w:lang w:val="en-US" w:eastAsia="zh-CN"/>
        </w:rPr>
      </w:pPr>
    </w:p>
    <w:p w14:paraId="5561DA8C">
      <w:pPr>
        <w:ind w:firstLine="3253" w:firstLineChars="900"/>
        <w:jc w:val="both"/>
        <w:rPr>
          <w:rFonts w:hint="eastAsia"/>
          <w:b/>
          <w:bCs/>
          <w:color w:val="auto"/>
          <w:sz w:val="36"/>
          <w:szCs w:val="36"/>
          <w:lang w:val="en-US" w:eastAsia="zh-CN"/>
        </w:rPr>
      </w:pPr>
      <w:r>
        <w:rPr>
          <w:rFonts w:hint="eastAsia"/>
          <w:b/>
          <w:bCs/>
          <w:color w:val="auto"/>
          <w:sz w:val="36"/>
          <w:szCs w:val="36"/>
          <w:lang w:val="en-US" w:eastAsia="zh-CN"/>
        </w:rPr>
        <w:t>环评委托书</w:t>
      </w:r>
    </w:p>
    <w:p w14:paraId="5744EE15">
      <w:pPr>
        <w:ind w:firstLine="3253" w:firstLineChars="900"/>
        <w:jc w:val="both"/>
        <w:rPr>
          <w:rFonts w:hint="eastAsia"/>
          <w:b/>
          <w:bCs/>
          <w:color w:val="auto"/>
          <w:sz w:val="36"/>
          <w:szCs w:val="36"/>
          <w:lang w:val="en-US" w:eastAsia="zh-CN"/>
        </w:rPr>
      </w:pPr>
    </w:p>
    <w:p w14:paraId="10CC4BE7">
      <w:pPr>
        <w:jc w:val="both"/>
        <w:rPr>
          <w:rFonts w:hint="eastAsia" w:ascii="宋体" w:hAnsi="宋体" w:eastAsia="宋体" w:cs="宋体"/>
          <w:b w:val="0"/>
          <w:i w:val="0"/>
          <w:caps w:val="0"/>
          <w:color w:val="auto"/>
          <w:spacing w:val="0"/>
          <w:sz w:val="28"/>
          <w:szCs w:val="28"/>
          <w:shd w:val="clear" w:color="auto" w:fill="auto"/>
          <w:lang w:eastAsia="zh-CN"/>
        </w:rPr>
      </w:pPr>
      <w:r>
        <w:rPr>
          <w:rFonts w:hint="eastAsia" w:ascii="宋体" w:hAnsi="宋体" w:cs="宋体"/>
          <w:b w:val="0"/>
          <w:i w:val="0"/>
          <w:caps w:val="0"/>
          <w:color w:val="auto"/>
          <w:spacing w:val="0"/>
          <w:sz w:val="28"/>
          <w:szCs w:val="28"/>
          <w:shd w:val="clear" w:color="auto" w:fill="auto"/>
          <w:lang w:val="en-US" w:eastAsia="zh-CN"/>
        </w:rPr>
        <w:t>内蒙古希隆环保科技有限公司</w:t>
      </w:r>
      <w:r>
        <w:rPr>
          <w:rFonts w:hint="eastAsia" w:ascii="宋体" w:hAnsi="宋体" w:eastAsia="宋体" w:cs="宋体"/>
          <w:b w:val="0"/>
          <w:i w:val="0"/>
          <w:caps w:val="0"/>
          <w:color w:val="auto"/>
          <w:spacing w:val="0"/>
          <w:sz w:val="28"/>
          <w:szCs w:val="28"/>
          <w:shd w:val="clear" w:color="auto" w:fill="auto"/>
          <w:lang w:eastAsia="zh-CN"/>
        </w:rPr>
        <w:t>：</w:t>
      </w:r>
    </w:p>
    <w:p w14:paraId="5E47A36D">
      <w:pPr>
        <w:ind w:firstLine="560" w:firstLineChars="200"/>
        <w:jc w:val="both"/>
        <w:rPr>
          <w:rFonts w:hint="eastAsia" w:ascii="宋体" w:hAnsi="宋体" w:eastAsia="宋体" w:cs="宋体"/>
          <w:b w:val="0"/>
          <w:i w:val="0"/>
          <w:caps w:val="0"/>
          <w:color w:val="auto"/>
          <w:spacing w:val="0"/>
          <w:sz w:val="28"/>
          <w:szCs w:val="28"/>
          <w:shd w:val="clear" w:color="auto" w:fill="auto"/>
          <w:lang w:val="en-US" w:eastAsia="zh-CN"/>
        </w:rPr>
      </w:pPr>
      <w:r>
        <w:rPr>
          <w:rFonts w:hint="eastAsia" w:ascii="宋体" w:hAnsi="宋体" w:eastAsia="宋体" w:cs="宋体"/>
          <w:b w:val="0"/>
          <w:i w:val="0"/>
          <w:caps w:val="0"/>
          <w:color w:val="auto"/>
          <w:spacing w:val="0"/>
          <w:sz w:val="28"/>
          <w:szCs w:val="28"/>
          <w:shd w:val="clear" w:color="auto" w:fill="auto"/>
          <w:lang w:val="en-US" w:eastAsia="zh-CN"/>
        </w:rPr>
        <w:t>根据《中华人民共和国</w:t>
      </w:r>
      <w:r>
        <w:rPr>
          <w:rFonts w:hint="eastAsia" w:ascii="宋体" w:hAnsi="宋体" w:cs="宋体"/>
          <w:b w:val="0"/>
          <w:i w:val="0"/>
          <w:caps w:val="0"/>
          <w:color w:val="auto"/>
          <w:spacing w:val="0"/>
          <w:sz w:val="28"/>
          <w:szCs w:val="28"/>
          <w:shd w:val="clear" w:color="auto" w:fill="auto"/>
          <w:lang w:val="en-US" w:eastAsia="zh-CN"/>
        </w:rPr>
        <w:t>环境影响评价法</w:t>
      </w:r>
      <w:r>
        <w:rPr>
          <w:rFonts w:hint="eastAsia" w:ascii="宋体" w:hAnsi="宋体" w:eastAsia="宋体" w:cs="宋体"/>
          <w:b w:val="0"/>
          <w:i w:val="0"/>
          <w:caps w:val="0"/>
          <w:color w:val="auto"/>
          <w:spacing w:val="0"/>
          <w:sz w:val="28"/>
          <w:szCs w:val="28"/>
          <w:shd w:val="clear" w:color="auto" w:fill="auto"/>
          <w:lang w:val="en-US" w:eastAsia="zh-CN"/>
        </w:rPr>
        <w:t>》</w:t>
      </w:r>
      <w:r>
        <w:rPr>
          <w:rFonts w:hint="eastAsia" w:ascii="宋体" w:hAnsi="宋体" w:cs="宋体"/>
          <w:b w:val="0"/>
          <w:i w:val="0"/>
          <w:caps w:val="0"/>
          <w:color w:val="auto"/>
          <w:spacing w:val="0"/>
          <w:sz w:val="28"/>
          <w:szCs w:val="28"/>
          <w:shd w:val="clear" w:color="auto" w:fill="auto"/>
          <w:lang w:val="en-US" w:eastAsia="zh-CN"/>
        </w:rPr>
        <w:t>、《建设项目环境保护管理条例》和《建设项目环境影响评价分类管理名录》的相关规定，我公司现委托贵单位承担《鄂尔多斯市蓝天白云环保材料有限责任公司固体聚合氯化铝生产线喷雾干燥塔热源技改项目》环境影响评价工作，请接受委托后尽快开展工作。</w:t>
      </w:r>
    </w:p>
    <w:p w14:paraId="5492AFB6">
      <w:pPr>
        <w:jc w:val="center"/>
        <w:rPr>
          <w:rFonts w:hint="eastAsia" w:ascii="Arial" w:hAnsi="Arial" w:cs="Arial"/>
          <w:color w:val="auto"/>
          <w:sz w:val="24"/>
          <w:szCs w:val="24"/>
        </w:rPr>
      </w:pPr>
    </w:p>
    <w:p w14:paraId="2C07A5A0">
      <w:pPr>
        <w:jc w:val="right"/>
        <w:rPr>
          <w:rFonts w:hint="eastAsia" w:ascii="宋体" w:hAnsi="宋体" w:cs="宋体"/>
          <w:b w:val="0"/>
          <w:i w:val="0"/>
          <w:caps w:val="0"/>
          <w:color w:val="auto"/>
          <w:spacing w:val="0"/>
          <w:sz w:val="28"/>
          <w:szCs w:val="28"/>
          <w:shd w:val="clear" w:color="auto" w:fill="auto"/>
          <w:lang w:val="en-US" w:eastAsia="zh-CN"/>
        </w:rPr>
      </w:pPr>
    </w:p>
    <w:p w14:paraId="4E646019">
      <w:pPr>
        <w:jc w:val="right"/>
        <w:rPr>
          <w:rFonts w:hint="eastAsia" w:ascii="宋体" w:hAnsi="宋体" w:cs="宋体"/>
          <w:b w:val="0"/>
          <w:i w:val="0"/>
          <w:caps w:val="0"/>
          <w:color w:val="auto"/>
          <w:spacing w:val="0"/>
          <w:sz w:val="28"/>
          <w:szCs w:val="28"/>
          <w:shd w:val="clear" w:color="auto" w:fill="auto"/>
          <w:lang w:val="en-US" w:eastAsia="zh-CN"/>
        </w:rPr>
      </w:pPr>
    </w:p>
    <w:p w14:paraId="0D8E1EB2">
      <w:pPr>
        <w:jc w:val="right"/>
        <w:rPr>
          <w:rFonts w:hint="eastAsia" w:ascii="Arial" w:hAnsi="Arial" w:cs="Arial"/>
          <w:color w:val="auto"/>
          <w:sz w:val="28"/>
          <w:szCs w:val="28"/>
          <w:lang w:val="en-US" w:eastAsia="zh-CN"/>
        </w:rPr>
      </w:pPr>
      <w:r>
        <w:rPr>
          <w:rFonts w:hint="eastAsia" w:ascii="Arial" w:hAnsi="Arial" w:cs="Arial"/>
          <w:color w:val="auto"/>
          <w:sz w:val="28"/>
          <w:szCs w:val="28"/>
          <w:lang w:val="en-US" w:eastAsia="zh-CN"/>
        </w:rPr>
        <w:t xml:space="preserve">                     鄂尔多斯市蓝天白云环保材料有限责任公司</w:t>
      </w:r>
    </w:p>
    <w:p w14:paraId="1ADE1C47">
      <w:pPr>
        <w:ind w:firstLine="4760" w:firstLineChars="1700"/>
        <w:jc w:val="right"/>
        <w:rPr>
          <w:rFonts w:hint="default" w:ascii="Times New Roman" w:hAnsi="Times New Roman" w:eastAsia="宋体" w:cs="Times New Roman"/>
          <w:color w:val="auto"/>
          <w:sz w:val="28"/>
          <w:szCs w:val="28"/>
          <w:lang w:val="en-US" w:eastAsia="zh-CN"/>
        </w:rPr>
      </w:pPr>
      <w:r>
        <w:rPr>
          <w:rFonts w:hint="default" w:ascii="Times New Roman" w:hAnsi="Times New Roman" w:cs="Times New Roman"/>
          <w:color w:val="auto"/>
          <w:sz w:val="28"/>
          <w:szCs w:val="28"/>
          <w:lang w:val="en-US" w:eastAsia="zh-CN"/>
        </w:rPr>
        <w:t xml:space="preserve">     20</w:t>
      </w:r>
      <w:r>
        <w:rPr>
          <w:rFonts w:hint="eastAsia" w:ascii="Times New Roman" w:hAnsi="Times New Roman" w:cs="Times New Roman"/>
          <w:color w:val="auto"/>
          <w:sz w:val="28"/>
          <w:szCs w:val="28"/>
          <w:lang w:val="en-US" w:eastAsia="zh-CN"/>
        </w:rPr>
        <w:t>23</w:t>
      </w:r>
      <w:r>
        <w:rPr>
          <w:rFonts w:hint="default" w:ascii="Times New Roman" w:hAnsi="Times New Roman" w:cs="Times New Roman"/>
          <w:color w:val="auto"/>
          <w:sz w:val="28"/>
          <w:szCs w:val="28"/>
          <w:lang w:eastAsia="zh-CN"/>
        </w:rPr>
        <w:t>年</w:t>
      </w:r>
      <w:r>
        <w:rPr>
          <w:rFonts w:hint="default" w:ascii="Times New Roman" w:hAnsi="Times New Roman" w:cs="Times New Roman"/>
          <w:color w:val="auto"/>
          <w:sz w:val="28"/>
          <w:szCs w:val="28"/>
          <w:lang w:val="en-US" w:eastAsia="zh-CN"/>
        </w:rPr>
        <w:t xml:space="preserve"> </w:t>
      </w:r>
      <w:r>
        <w:rPr>
          <w:rFonts w:hint="eastAsia" w:cs="Times New Roman"/>
          <w:color w:val="auto"/>
          <w:sz w:val="28"/>
          <w:szCs w:val="28"/>
          <w:lang w:val="en-US" w:eastAsia="zh-CN"/>
        </w:rPr>
        <w:t>6</w:t>
      </w:r>
      <w:r>
        <w:rPr>
          <w:rFonts w:hint="default" w:ascii="Times New Roman" w:hAnsi="Times New Roman" w:cs="Times New Roman"/>
          <w:color w:val="auto"/>
          <w:sz w:val="28"/>
          <w:szCs w:val="28"/>
          <w:lang w:val="en-US" w:eastAsia="zh-CN"/>
        </w:rPr>
        <w:t>月</w:t>
      </w:r>
      <w:r>
        <w:rPr>
          <w:rFonts w:hint="eastAsia" w:cs="Times New Roman"/>
          <w:color w:val="auto"/>
          <w:sz w:val="28"/>
          <w:szCs w:val="28"/>
          <w:lang w:val="en-US" w:eastAsia="zh-CN"/>
        </w:rPr>
        <w:t>20</w:t>
      </w:r>
      <w:r>
        <w:rPr>
          <w:rFonts w:hint="default" w:ascii="Times New Roman" w:hAnsi="Times New Roman" w:cs="Times New Roman"/>
          <w:color w:val="auto"/>
          <w:sz w:val="28"/>
          <w:szCs w:val="28"/>
          <w:lang w:val="en-US" w:eastAsia="zh-CN"/>
        </w:rPr>
        <w:t>日</w:t>
      </w:r>
    </w:p>
    <w:p w14:paraId="4C31589D">
      <w:pPr>
        <w:pStyle w:val="2"/>
        <w:ind w:left="0" w:leftChars="0" w:firstLine="0" w:firstLineChars="0"/>
        <w:rPr>
          <w:rFonts w:hint="eastAsia"/>
          <w:b/>
          <w:bCs/>
          <w:color w:val="auto"/>
          <w:sz w:val="24"/>
          <w:szCs w:val="32"/>
          <w:lang w:val="en-US" w:eastAsia="zh-CN"/>
        </w:rPr>
      </w:pPr>
    </w:p>
    <w:p w14:paraId="478AD6F3">
      <w:pPr>
        <w:rPr>
          <w:rFonts w:hint="eastAsia"/>
          <w:b/>
          <w:bCs/>
          <w:color w:val="auto"/>
          <w:sz w:val="24"/>
          <w:szCs w:val="32"/>
          <w:lang w:val="en-US" w:eastAsia="zh-CN"/>
        </w:rPr>
      </w:pPr>
    </w:p>
    <w:p w14:paraId="77E7669B">
      <w:pPr>
        <w:pStyle w:val="2"/>
        <w:rPr>
          <w:rFonts w:hint="eastAsia"/>
          <w:b/>
          <w:bCs/>
          <w:color w:val="auto"/>
          <w:sz w:val="24"/>
          <w:szCs w:val="32"/>
          <w:lang w:val="en-US" w:eastAsia="zh-CN"/>
        </w:rPr>
      </w:pPr>
    </w:p>
    <w:p w14:paraId="484DDB01">
      <w:pPr>
        <w:pStyle w:val="2"/>
        <w:rPr>
          <w:rFonts w:hint="eastAsia"/>
          <w:b/>
          <w:bCs/>
          <w:color w:val="auto"/>
          <w:sz w:val="24"/>
          <w:szCs w:val="32"/>
          <w:lang w:val="en-US" w:eastAsia="zh-CN"/>
        </w:rPr>
      </w:pPr>
    </w:p>
    <w:p w14:paraId="6C7CE6E3">
      <w:pPr>
        <w:rPr>
          <w:rFonts w:hint="eastAsia"/>
          <w:b/>
          <w:bCs/>
          <w:color w:val="auto"/>
          <w:sz w:val="24"/>
          <w:szCs w:val="32"/>
          <w:lang w:val="en-US" w:eastAsia="zh-CN"/>
        </w:rPr>
      </w:pPr>
    </w:p>
    <w:p w14:paraId="40424E99">
      <w:pPr>
        <w:pStyle w:val="2"/>
        <w:rPr>
          <w:rFonts w:hint="eastAsia"/>
          <w:b/>
          <w:bCs/>
          <w:color w:val="auto"/>
          <w:sz w:val="24"/>
          <w:szCs w:val="32"/>
          <w:lang w:val="en-US" w:eastAsia="zh-CN"/>
        </w:rPr>
      </w:pPr>
    </w:p>
    <w:p w14:paraId="20E0273A">
      <w:pPr>
        <w:rPr>
          <w:rFonts w:hint="eastAsia"/>
          <w:b/>
          <w:bCs/>
          <w:color w:val="auto"/>
          <w:sz w:val="24"/>
          <w:szCs w:val="32"/>
          <w:lang w:val="en-US" w:eastAsia="zh-CN"/>
        </w:rPr>
      </w:pPr>
    </w:p>
    <w:p w14:paraId="6773F096">
      <w:pPr>
        <w:pStyle w:val="2"/>
        <w:rPr>
          <w:rFonts w:hint="eastAsia"/>
          <w:b/>
          <w:bCs/>
          <w:color w:val="auto"/>
          <w:sz w:val="24"/>
          <w:szCs w:val="32"/>
          <w:lang w:val="en-US" w:eastAsia="zh-CN"/>
        </w:rPr>
      </w:pPr>
    </w:p>
    <w:p w14:paraId="1EE36FD8">
      <w:pPr>
        <w:rPr>
          <w:rFonts w:hint="eastAsia"/>
          <w:b/>
          <w:bCs/>
          <w:color w:val="auto"/>
          <w:sz w:val="24"/>
          <w:szCs w:val="32"/>
          <w:lang w:val="en-US" w:eastAsia="zh-CN"/>
        </w:rPr>
      </w:pPr>
    </w:p>
    <w:p w14:paraId="1C5D266B">
      <w:pPr>
        <w:pStyle w:val="2"/>
        <w:rPr>
          <w:rFonts w:hint="eastAsia"/>
          <w:b/>
          <w:bCs/>
          <w:color w:val="auto"/>
          <w:sz w:val="24"/>
          <w:szCs w:val="32"/>
          <w:lang w:val="en-US" w:eastAsia="zh-CN"/>
        </w:rPr>
      </w:pPr>
    </w:p>
    <w:p w14:paraId="5FF3D1B7">
      <w:pPr>
        <w:rPr>
          <w:rFonts w:hint="eastAsia"/>
          <w:b/>
          <w:bCs/>
          <w:color w:val="auto"/>
          <w:sz w:val="24"/>
          <w:szCs w:val="32"/>
          <w:lang w:val="en-US" w:eastAsia="zh-CN"/>
        </w:rPr>
      </w:pPr>
    </w:p>
    <w:p w14:paraId="2A1E316D">
      <w:pPr>
        <w:pStyle w:val="2"/>
        <w:rPr>
          <w:rFonts w:hint="eastAsia"/>
          <w:b/>
          <w:bCs/>
          <w:color w:val="auto"/>
          <w:sz w:val="24"/>
          <w:szCs w:val="32"/>
          <w:lang w:val="en-US" w:eastAsia="zh-CN"/>
        </w:rPr>
      </w:pPr>
    </w:p>
    <w:p w14:paraId="73C96717">
      <w:pPr>
        <w:rPr>
          <w:rFonts w:hint="eastAsia"/>
          <w:b/>
          <w:bCs/>
          <w:color w:val="auto"/>
          <w:sz w:val="24"/>
          <w:szCs w:val="32"/>
          <w:lang w:val="en-US" w:eastAsia="zh-CN"/>
        </w:rPr>
      </w:pPr>
    </w:p>
    <w:p w14:paraId="2EC82EE2">
      <w:pPr>
        <w:pStyle w:val="2"/>
        <w:rPr>
          <w:rFonts w:hint="eastAsia"/>
          <w:b/>
          <w:bCs/>
          <w:color w:val="auto"/>
          <w:sz w:val="24"/>
          <w:szCs w:val="32"/>
          <w:lang w:val="en-US" w:eastAsia="zh-CN"/>
        </w:rPr>
      </w:pPr>
    </w:p>
    <w:p w14:paraId="2F6B83FD">
      <w:pPr>
        <w:rPr>
          <w:rFonts w:hint="eastAsia"/>
          <w:b/>
          <w:bCs/>
          <w:color w:val="auto"/>
          <w:sz w:val="24"/>
          <w:szCs w:val="32"/>
          <w:lang w:val="en-US" w:eastAsia="zh-CN"/>
        </w:rPr>
      </w:pPr>
      <w:r>
        <w:rPr>
          <w:rFonts w:hint="eastAsia"/>
          <w:b/>
          <w:bCs/>
          <w:color w:val="auto"/>
          <w:sz w:val="24"/>
          <w:szCs w:val="32"/>
          <w:lang w:val="en-US" w:eastAsia="zh-CN"/>
        </w:rPr>
        <w:t>附件2：鄂尔多斯市蓝天白云环保材料有限责任公司利用粉煤灰生产聚合氯化铝）（净水剂）项目环境影响报告书的批复</w:t>
      </w:r>
    </w:p>
    <w:p w14:paraId="599823A7">
      <w:pPr>
        <w:pStyle w:val="2"/>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269865" cy="7247255"/>
            <wp:effectExtent l="0" t="0" r="6985" b="10795"/>
            <wp:docPr id="2" name="图片 2" descr="c38748cd0f137927d1172333130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38748cd0f137927d11723331303973"/>
                    <pic:cNvPicPr>
                      <a:picLocks noChangeAspect="1"/>
                    </pic:cNvPicPr>
                  </pic:nvPicPr>
                  <pic:blipFill>
                    <a:blip r:embed="rId31"/>
                    <a:stretch>
                      <a:fillRect/>
                    </a:stretch>
                  </pic:blipFill>
                  <pic:spPr>
                    <a:xfrm>
                      <a:off x="0" y="0"/>
                      <a:ext cx="5269865" cy="7247255"/>
                    </a:xfrm>
                    <a:prstGeom prst="rect">
                      <a:avLst/>
                    </a:prstGeom>
                  </pic:spPr>
                </pic:pic>
              </a:graphicData>
            </a:graphic>
          </wp:inline>
        </w:drawing>
      </w:r>
      <w:r>
        <w:rPr>
          <w:rFonts w:hint="default"/>
          <w:color w:val="auto"/>
          <w:lang w:val="en-US" w:eastAsia="zh-CN"/>
        </w:rPr>
        <w:drawing>
          <wp:inline distT="0" distB="0" distL="114300" distR="114300">
            <wp:extent cx="5269865" cy="7247255"/>
            <wp:effectExtent l="0" t="0" r="6985" b="10795"/>
            <wp:docPr id="65" name="图片 65" descr="39168194ae58f5eb88ef5c1b4b8e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39168194ae58f5eb88ef5c1b4b8e165"/>
                    <pic:cNvPicPr>
                      <a:picLocks noChangeAspect="1"/>
                    </pic:cNvPicPr>
                  </pic:nvPicPr>
                  <pic:blipFill>
                    <a:blip r:embed="rId32"/>
                    <a:stretch>
                      <a:fillRect/>
                    </a:stretch>
                  </pic:blipFill>
                  <pic:spPr>
                    <a:xfrm>
                      <a:off x="0" y="0"/>
                      <a:ext cx="5269865" cy="7247255"/>
                    </a:xfrm>
                    <a:prstGeom prst="rect">
                      <a:avLst/>
                    </a:prstGeom>
                  </pic:spPr>
                </pic:pic>
              </a:graphicData>
            </a:graphic>
          </wp:inline>
        </w:drawing>
      </w:r>
    </w:p>
    <w:p w14:paraId="74EC8671">
      <w:pPr>
        <w:rPr>
          <w:rFonts w:hint="default"/>
          <w:color w:val="auto"/>
          <w:lang w:val="en-US" w:eastAsia="zh-CN"/>
        </w:rPr>
      </w:pPr>
    </w:p>
    <w:p w14:paraId="3A516EB7">
      <w:pPr>
        <w:pStyle w:val="2"/>
        <w:rPr>
          <w:rFonts w:hint="default"/>
          <w:color w:val="auto"/>
          <w:lang w:val="en-US" w:eastAsia="zh-CN"/>
        </w:rPr>
      </w:pPr>
    </w:p>
    <w:p w14:paraId="64988F90">
      <w:pPr>
        <w:rPr>
          <w:rFonts w:hint="default"/>
          <w:color w:val="auto"/>
          <w:lang w:val="en-US" w:eastAsia="zh-CN"/>
        </w:rPr>
      </w:pPr>
    </w:p>
    <w:p w14:paraId="145E8CB0">
      <w:pPr>
        <w:pStyle w:val="2"/>
        <w:rPr>
          <w:rFonts w:hint="default"/>
          <w:color w:val="auto"/>
          <w:lang w:val="en-US" w:eastAsia="zh-CN"/>
        </w:rPr>
      </w:pPr>
    </w:p>
    <w:p w14:paraId="0158B13C">
      <w:pPr>
        <w:rPr>
          <w:rFonts w:hint="default"/>
          <w:color w:val="auto"/>
          <w:lang w:val="en-US" w:eastAsia="zh-CN"/>
        </w:rPr>
      </w:pPr>
    </w:p>
    <w:p w14:paraId="1444A626">
      <w:pPr>
        <w:pStyle w:val="2"/>
        <w:rPr>
          <w:rFonts w:hint="default"/>
          <w:color w:val="auto"/>
          <w:lang w:val="en-US" w:eastAsia="zh-CN"/>
        </w:rPr>
      </w:pPr>
    </w:p>
    <w:p w14:paraId="17B17B15">
      <w:pPr>
        <w:rPr>
          <w:rFonts w:hint="eastAsia"/>
          <w:b/>
          <w:bCs/>
          <w:color w:val="auto"/>
          <w:sz w:val="24"/>
          <w:szCs w:val="32"/>
          <w:lang w:val="en-US" w:eastAsia="zh-CN"/>
        </w:rPr>
      </w:pPr>
      <w:r>
        <w:rPr>
          <w:rFonts w:hint="eastAsia"/>
          <w:b/>
          <w:bCs/>
          <w:color w:val="auto"/>
          <w:sz w:val="24"/>
          <w:szCs w:val="32"/>
          <w:lang w:val="en-US" w:eastAsia="zh-CN"/>
        </w:rPr>
        <w:t>附件3：鄂尔多斯市蓝天白云环保材料有限责任公司利用粉煤灰生产聚合氯化铝）（净水剂）项目竣工环境保护验收意见的通知（噪声、固体废物）</w:t>
      </w:r>
    </w:p>
    <w:p w14:paraId="193A79D7">
      <w:pPr>
        <w:pStyle w:val="2"/>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273040" cy="7315200"/>
            <wp:effectExtent l="0" t="0" r="3810" b="0"/>
            <wp:docPr id="67" name="图片 67" descr="2a2166e3b4aff00141a5d3ed87675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a2166e3b4aff00141a5d3ed87675f8"/>
                    <pic:cNvPicPr>
                      <a:picLocks noChangeAspect="1"/>
                    </pic:cNvPicPr>
                  </pic:nvPicPr>
                  <pic:blipFill>
                    <a:blip r:embed="rId33"/>
                    <a:stretch>
                      <a:fillRect/>
                    </a:stretch>
                  </pic:blipFill>
                  <pic:spPr>
                    <a:xfrm>
                      <a:off x="0" y="0"/>
                      <a:ext cx="5273040" cy="7315200"/>
                    </a:xfrm>
                    <a:prstGeom prst="rect">
                      <a:avLst/>
                    </a:prstGeom>
                  </pic:spPr>
                </pic:pic>
              </a:graphicData>
            </a:graphic>
          </wp:inline>
        </w:drawing>
      </w:r>
      <w:r>
        <w:rPr>
          <w:rFonts w:hint="default"/>
          <w:color w:val="auto"/>
          <w:lang w:val="en-US" w:eastAsia="zh-CN"/>
        </w:rPr>
        <w:drawing>
          <wp:inline distT="0" distB="0" distL="114300" distR="114300">
            <wp:extent cx="5273040" cy="7315200"/>
            <wp:effectExtent l="0" t="0" r="3810" b="0"/>
            <wp:docPr id="68" name="图片 68" descr="b2f59044a8a846125a92169f2a33b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b2f59044a8a846125a92169f2a33b39"/>
                    <pic:cNvPicPr>
                      <a:picLocks noChangeAspect="1"/>
                    </pic:cNvPicPr>
                  </pic:nvPicPr>
                  <pic:blipFill>
                    <a:blip r:embed="rId34"/>
                    <a:stretch>
                      <a:fillRect/>
                    </a:stretch>
                  </pic:blipFill>
                  <pic:spPr>
                    <a:xfrm>
                      <a:off x="0" y="0"/>
                      <a:ext cx="5273040" cy="7315200"/>
                    </a:xfrm>
                    <a:prstGeom prst="rect">
                      <a:avLst/>
                    </a:prstGeom>
                  </pic:spPr>
                </pic:pic>
              </a:graphicData>
            </a:graphic>
          </wp:inline>
        </w:drawing>
      </w:r>
    </w:p>
    <w:p w14:paraId="789FFE34">
      <w:pPr>
        <w:rPr>
          <w:rFonts w:hint="default"/>
          <w:color w:val="auto"/>
          <w:lang w:val="en-US" w:eastAsia="zh-CN"/>
        </w:rPr>
      </w:pPr>
    </w:p>
    <w:p w14:paraId="78D8D79C">
      <w:pPr>
        <w:pStyle w:val="2"/>
        <w:rPr>
          <w:rFonts w:hint="default"/>
          <w:color w:val="auto"/>
          <w:lang w:val="en-US" w:eastAsia="zh-CN"/>
        </w:rPr>
      </w:pPr>
    </w:p>
    <w:p w14:paraId="1EF6DBAD">
      <w:pPr>
        <w:rPr>
          <w:rFonts w:hint="default"/>
          <w:color w:val="auto"/>
          <w:lang w:val="en-US" w:eastAsia="zh-CN"/>
        </w:rPr>
      </w:pPr>
    </w:p>
    <w:p w14:paraId="2EE09D55">
      <w:pPr>
        <w:pStyle w:val="2"/>
        <w:rPr>
          <w:rFonts w:hint="default"/>
          <w:color w:val="auto"/>
          <w:lang w:val="en-US" w:eastAsia="zh-CN"/>
        </w:rPr>
      </w:pPr>
    </w:p>
    <w:p w14:paraId="6943BAF0">
      <w:pPr>
        <w:rPr>
          <w:rFonts w:hint="default"/>
          <w:color w:val="auto"/>
          <w:lang w:val="en-US" w:eastAsia="zh-CN"/>
        </w:rPr>
      </w:pPr>
    </w:p>
    <w:p w14:paraId="68E096C0">
      <w:pPr>
        <w:pStyle w:val="2"/>
        <w:rPr>
          <w:rFonts w:hint="default"/>
          <w:color w:val="auto"/>
          <w:lang w:val="en-US" w:eastAsia="zh-CN"/>
        </w:rPr>
      </w:pPr>
    </w:p>
    <w:p w14:paraId="3F5C62C6">
      <w:pPr>
        <w:rPr>
          <w:rFonts w:hint="eastAsia"/>
          <w:b/>
          <w:bCs/>
          <w:color w:val="auto"/>
          <w:sz w:val="24"/>
          <w:szCs w:val="32"/>
          <w:lang w:val="en-US" w:eastAsia="zh-CN"/>
        </w:rPr>
      </w:pPr>
      <w:r>
        <w:rPr>
          <w:rFonts w:hint="eastAsia"/>
          <w:b/>
          <w:bCs/>
          <w:color w:val="auto"/>
          <w:sz w:val="24"/>
          <w:szCs w:val="32"/>
          <w:lang w:val="en-US" w:eastAsia="zh-CN"/>
        </w:rPr>
        <w:t>附件3：鄂尔多斯市蓝天白云环保材料有限责任公司利用粉煤灰生产聚合氯化铝）（净水剂）项目竣工环境保护自主验收意见（废水、废气）</w:t>
      </w:r>
    </w:p>
    <w:p w14:paraId="78BFDD4D">
      <w:pPr>
        <w:rPr>
          <w:rFonts w:hint="default"/>
          <w:color w:val="auto"/>
          <w:lang w:val="en-US" w:eastAsia="zh-CN"/>
        </w:rPr>
      </w:pPr>
      <w:r>
        <w:rPr>
          <w:rFonts w:hint="default"/>
          <w:color w:val="auto"/>
          <w:lang w:val="en-US" w:eastAsia="zh-CN"/>
        </w:rPr>
        <w:drawing>
          <wp:inline distT="0" distB="0" distL="114300" distR="114300">
            <wp:extent cx="5268595" cy="7450455"/>
            <wp:effectExtent l="0" t="0" r="8255" b="17145"/>
            <wp:docPr id="69" name="图片 69" descr="7ed1b0f5e6ee8917672bc25491450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7ed1b0f5e6ee8917672bc254914502d"/>
                    <pic:cNvPicPr>
                      <a:picLocks noChangeAspect="1"/>
                    </pic:cNvPicPr>
                  </pic:nvPicPr>
                  <pic:blipFill>
                    <a:blip r:embed="rId35"/>
                    <a:stretch>
                      <a:fillRect/>
                    </a:stretch>
                  </pic:blipFill>
                  <pic:spPr>
                    <a:xfrm rot="10800000">
                      <a:off x="0" y="0"/>
                      <a:ext cx="5268595" cy="7450455"/>
                    </a:xfrm>
                    <a:prstGeom prst="rect">
                      <a:avLst/>
                    </a:prstGeom>
                  </pic:spPr>
                </pic:pic>
              </a:graphicData>
            </a:graphic>
          </wp:inline>
        </w:drawing>
      </w:r>
      <w:r>
        <w:rPr>
          <w:rFonts w:hint="default"/>
          <w:color w:val="auto"/>
          <w:lang w:val="en-US" w:eastAsia="zh-CN"/>
        </w:rPr>
        <w:drawing>
          <wp:inline distT="0" distB="0" distL="114300" distR="114300">
            <wp:extent cx="5268595" cy="7450455"/>
            <wp:effectExtent l="0" t="0" r="8255" b="17145"/>
            <wp:docPr id="70" name="图片 70" descr="24821e2ef0a36a16f597d09e87c9f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4821e2ef0a36a16f597d09e87c9fe8"/>
                    <pic:cNvPicPr>
                      <a:picLocks noChangeAspect="1"/>
                    </pic:cNvPicPr>
                  </pic:nvPicPr>
                  <pic:blipFill>
                    <a:blip r:embed="rId36"/>
                    <a:stretch>
                      <a:fillRect/>
                    </a:stretch>
                  </pic:blipFill>
                  <pic:spPr>
                    <a:xfrm rot="10800000">
                      <a:off x="0" y="0"/>
                      <a:ext cx="5268595" cy="7450455"/>
                    </a:xfrm>
                    <a:prstGeom prst="rect">
                      <a:avLst/>
                    </a:prstGeom>
                  </pic:spPr>
                </pic:pic>
              </a:graphicData>
            </a:graphic>
          </wp:inline>
        </w:drawing>
      </w:r>
      <w:r>
        <w:rPr>
          <w:rFonts w:hint="default"/>
          <w:color w:val="auto"/>
          <w:lang w:val="en-US" w:eastAsia="zh-CN"/>
        </w:rPr>
        <w:drawing>
          <wp:inline distT="0" distB="0" distL="114300" distR="114300">
            <wp:extent cx="5268595" cy="7450455"/>
            <wp:effectExtent l="0" t="0" r="8255" b="17145"/>
            <wp:docPr id="71" name="图片 71" descr="3aac065e50ba12f6d7711af52f17b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3aac065e50ba12f6d7711af52f17be0"/>
                    <pic:cNvPicPr>
                      <a:picLocks noChangeAspect="1"/>
                    </pic:cNvPicPr>
                  </pic:nvPicPr>
                  <pic:blipFill>
                    <a:blip r:embed="rId37"/>
                    <a:stretch>
                      <a:fillRect/>
                    </a:stretch>
                  </pic:blipFill>
                  <pic:spPr>
                    <a:xfrm rot="10800000">
                      <a:off x="0" y="0"/>
                      <a:ext cx="5268595" cy="7450455"/>
                    </a:xfrm>
                    <a:prstGeom prst="rect">
                      <a:avLst/>
                    </a:prstGeom>
                  </pic:spPr>
                </pic:pic>
              </a:graphicData>
            </a:graphic>
          </wp:inline>
        </w:drawing>
      </w:r>
    </w:p>
    <w:p w14:paraId="4B311813">
      <w:pPr>
        <w:pStyle w:val="2"/>
        <w:rPr>
          <w:rFonts w:hint="default"/>
          <w:color w:val="auto"/>
          <w:lang w:val="en-US" w:eastAsia="zh-CN"/>
        </w:rPr>
      </w:pPr>
    </w:p>
    <w:p w14:paraId="4241183B">
      <w:pPr>
        <w:rPr>
          <w:rFonts w:hint="default"/>
          <w:color w:val="auto"/>
          <w:lang w:val="en-US" w:eastAsia="zh-CN"/>
        </w:rPr>
      </w:pPr>
    </w:p>
    <w:p w14:paraId="36B691AB">
      <w:pPr>
        <w:pStyle w:val="2"/>
        <w:rPr>
          <w:rFonts w:hint="default"/>
          <w:color w:val="auto"/>
          <w:lang w:val="en-US" w:eastAsia="zh-CN"/>
        </w:rPr>
      </w:pPr>
    </w:p>
    <w:p w14:paraId="0764A5B5">
      <w:pPr>
        <w:rPr>
          <w:rFonts w:hint="default"/>
          <w:color w:val="auto"/>
          <w:lang w:val="en-US" w:eastAsia="zh-CN"/>
        </w:rPr>
      </w:pPr>
    </w:p>
    <w:p w14:paraId="6F585712">
      <w:pPr>
        <w:pStyle w:val="2"/>
        <w:rPr>
          <w:rFonts w:hint="default"/>
          <w:color w:val="auto"/>
          <w:lang w:val="en-US" w:eastAsia="zh-CN"/>
        </w:rPr>
      </w:pPr>
    </w:p>
    <w:p w14:paraId="1C7198AE">
      <w:pPr>
        <w:rPr>
          <w:rFonts w:hint="default"/>
          <w:b/>
          <w:bCs/>
          <w:color w:val="auto"/>
          <w:sz w:val="24"/>
          <w:szCs w:val="32"/>
          <w:lang w:val="en-US" w:eastAsia="zh-CN"/>
        </w:rPr>
      </w:pPr>
      <w:r>
        <w:rPr>
          <w:rFonts w:hint="eastAsia"/>
          <w:b/>
          <w:bCs/>
          <w:color w:val="auto"/>
          <w:sz w:val="24"/>
          <w:szCs w:val="32"/>
          <w:lang w:val="en-US" w:eastAsia="zh-CN"/>
        </w:rPr>
        <w:t>附件4：利用粉煤灰生产聚合氯化铝技改扩建项目环境影响报告书的批复</w:t>
      </w:r>
    </w:p>
    <w:p w14:paraId="12A6D957">
      <w:pPr>
        <w:rPr>
          <w:rFonts w:hint="default"/>
          <w:color w:val="auto"/>
          <w:lang w:val="en-US" w:eastAsia="zh-CN"/>
        </w:rPr>
      </w:pPr>
      <w:r>
        <w:rPr>
          <w:rFonts w:hint="default"/>
          <w:color w:val="auto"/>
          <w:lang w:val="en-US" w:eastAsia="zh-CN"/>
        </w:rPr>
        <w:drawing>
          <wp:inline distT="0" distB="0" distL="114300" distR="114300">
            <wp:extent cx="5204460" cy="8002270"/>
            <wp:effectExtent l="0" t="0" r="15240" b="17780"/>
            <wp:docPr id="59" name="图片 59" descr="c302c4b6789f31a7ee24eb032a9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302c4b6789f31a7ee24eb032a96317"/>
                    <pic:cNvPicPr>
                      <a:picLocks noChangeAspect="1"/>
                    </pic:cNvPicPr>
                  </pic:nvPicPr>
                  <pic:blipFill>
                    <a:blip r:embed="rId38"/>
                    <a:srcRect t="4784" b="4834"/>
                    <a:stretch>
                      <a:fillRect/>
                    </a:stretch>
                  </pic:blipFill>
                  <pic:spPr>
                    <a:xfrm>
                      <a:off x="0" y="0"/>
                      <a:ext cx="5204460" cy="8002270"/>
                    </a:xfrm>
                    <a:prstGeom prst="rect">
                      <a:avLst/>
                    </a:prstGeom>
                  </pic:spPr>
                </pic:pic>
              </a:graphicData>
            </a:graphic>
          </wp:inline>
        </w:drawing>
      </w:r>
      <w:r>
        <w:rPr>
          <w:rFonts w:hint="default"/>
          <w:color w:val="auto"/>
          <w:lang w:val="en-US" w:eastAsia="zh-CN"/>
        </w:rPr>
        <w:drawing>
          <wp:inline distT="0" distB="0" distL="114300" distR="114300">
            <wp:extent cx="5271770" cy="8743315"/>
            <wp:effectExtent l="0" t="0" r="5080" b="635"/>
            <wp:docPr id="60" name="图片 60" descr="af338e56f9564ed974620019ca8ee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af338e56f9564ed974620019ca8ee3a"/>
                    <pic:cNvPicPr>
                      <a:picLocks noChangeAspect="1"/>
                    </pic:cNvPicPr>
                  </pic:nvPicPr>
                  <pic:blipFill>
                    <a:blip r:embed="rId39"/>
                    <a:stretch>
                      <a:fillRect/>
                    </a:stretch>
                  </pic:blipFill>
                  <pic:spPr>
                    <a:xfrm>
                      <a:off x="0" y="0"/>
                      <a:ext cx="5271770" cy="8743315"/>
                    </a:xfrm>
                    <a:prstGeom prst="rect">
                      <a:avLst/>
                    </a:prstGeom>
                  </pic:spPr>
                </pic:pic>
              </a:graphicData>
            </a:graphic>
          </wp:inline>
        </w:drawing>
      </w:r>
      <w:r>
        <w:rPr>
          <w:rFonts w:hint="default"/>
          <w:color w:val="auto"/>
          <w:lang w:val="en-US" w:eastAsia="zh-CN"/>
        </w:rPr>
        <w:drawing>
          <wp:inline distT="0" distB="0" distL="114300" distR="114300">
            <wp:extent cx="5271770" cy="8333105"/>
            <wp:effectExtent l="0" t="0" r="5080" b="10795"/>
            <wp:docPr id="61" name="图片 61" descr="0e52fcacd4b93716ae9620bc78ff9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0e52fcacd4b93716ae9620bc78ff97a"/>
                    <pic:cNvPicPr>
                      <a:picLocks noChangeAspect="1"/>
                    </pic:cNvPicPr>
                  </pic:nvPicPr>
                  <pic:blipFill>
                    <a:blip r:embed="rId40"/>
                    <a:stretch>
                      <a:fillRect/>
                    </a:stretch>
                  </pic:blipFill>
                  <pic:spPr>
                    <a:xfrm>
                      <a:off x="0" y="0"/>
                      <a:ext cx="5271770" cy="8333105"/>
                    </a:xfrm>
                    <a:prstGeom prst="rect">
                      <a:avLst/>
                    </a:prstGeom>
                  </pic:spPr>
                </pic:pic>
              </a:graphicData>
            </a:graphic>
          </wp:inline>
        </w:drawing>
      </w:r>
      <w:r>
        <w:rPr>
          <w:rFonts w:hint="default"/>
          <w:color w:val="auto"/>
          <w:lang w:val="en-US" w:eastAsia="zh-CN"/>
        </w:rPr>
        <w:drawing>
          <wp:inline distT="0" distB="0" distL="114300" distR="114300">
            <wp:extent cx="5271770" cy="8790305"/>
            <wp:effectExtent l="0" t="0" r="5080" b="10795"/>
            <wp:docPr id="62" name="图片 62" descr="7f58cfc6f24c8508ae1d131427d00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7f58cfc6f24c8508ae1d131427d004a"/>
                    <pic:cNvPicPr>
                      <a:picLocks noChangeAspect="1"/>
                    </pic:cNvPicPr>
                  </pic:nvPicPr>
                  <pic:blipFill>
                    <a:blip r:embed="rId41"/>
                    <a:stretch>
                      <a:fillRect/>
                    </a:stretch>
                  </pic:blipFill>
                  <pic:spPr>
                    <a:xfrm>
                      <a:off x="0" y="0"/>
                      <a:ext cx="5271770" cy="8790305"/>
                    </a:xfrm>
                    <a:prstGeom prst="rect">
                      <a:avLst/>
                    </a:prstGeom>
                  </pic:spPr>
                </pic:pic>
              </a:graphicData>
            </a:graphic>
          </wp:inline>
        </w:drawing>
      </w:r>
    </w:p>
    <w:p w14:paraId="6F3F0109">
      <w:pPr>
        <w:rPr>
          <w:rFonts w:hint="default"/>
          <w:b/>
          <w:bCs/>
          <w:color w:val="auto"/>
          <w:sz w:val="24"/>
          <w:szCs w:val="32"/>
          <w:lang w:val="en-US" w:eastAsia="zh-CN"/>
        </w:rPr>
      </w:pPr>
      <w:r>
        <w:rPr>
          <w:rFonts w:hint="eastAsia"/>
          <w:b/>
          <w:bCs/>
          <w:color w:val="auto"/>
          <w:sz w:val="24"/>
          <w:szCs w:val="32"/>
          <w:lang w:val="en-US" w:eastAsia="zh-CN"/>
        </w:rPr>
        <w:t>附件6：煤质化验单</w:t>
      </w:r>
    </w:p>
    <w:p w14:paraId="2D5306B6">
      <w:pPr>
        <w:rPr>
          <w:rFonts w:hint="eastAsia"/>
          <w:b/>
          <w:bCs/>
          <w:color w:val="auto"/>
          <w:sz w:val="24"/>
          <w:szCs w:val="32"/>
          <w:lang w:val="en-US" w:eastAsia="zh-CN"/>
        </w:rPr>
      </w:pPr>
      <w:r>
        <w:rPr>
          <w:rFonts w:hint="eastAsia"/>
          <w:b/>
          <w:bCs/>
          <w:color w:val="auto"/>
          <w:sz w:val="24"/>
          <w:szCs w:val="32"/>
          <w:lang w:val="en-US" w:eastAsia="zh-CN"/>
        </w:rPr>
        <w:drawing>
          <wp:inline distT="0" distB="0" distL="114300" distR="114300">
            <wp:extent cx="5269230" cy="6975475"/>
            <wp:effectExtent l="0" t="0" r="7620" b="15875"/>
            <wp:docPr id="11" name="图片 11" descr="86bf13d7d31cc7dc6e47cc3d034ed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86bf13d7d31cc7dc6e47cc3d034ed8d"/>
                    <pic:cNvPicPr>
                      <a:picLocks noChangeAspect="1"/>
                    </pic:cNvPicPr>
                  </pic:nvPicPr>
                  <pic:blipFill>
                    <a:blip r:embed="rId42"/>
                    <a:stretch>
                      <a:fillRect/>
                    </a:stretch>
                  </pic:blipFill>
                  <pic:spPr>
                    <a:xfrm>
                      <a:off x="0" y="0"/>
                      <a:ext cx="5269230" cy="6975475"/>
                    </a:xfrm>
                    <a:prstGeom prst="rect">
                      <a:avLst/>
                    </a:prstGeom>
                  </pic:spPr>
                </pic:pic>
              </a:graphicData>
            </a:graphic>
          </wp:inline>
        </w:drawing>
      </w:r>
    </w:p>
    <w:p w14:paraId="4DDB622D">
      <w:pPr>
        <w:rPr>
          <w:rFonts w:hint="eastAsia"/>
          <w:b/>
          <w:bCs/>
          <w:color w:val="auto"/>
          <w:sz w:val="24"/>
          <w:szCs w:val="32"/>
          <w:lang w:val="en-US" w:eastAsia="zh-CN"/>
        </w:rPr>
      </w:pPr>
    </w:p>
    <w:p w14:paraId="514DBA26">
      <w:pPr>
        <w:rPr>
          <w:rFonts w:hint="eastAsia"/>
          <w:b/>
          <w:bCs/>
          <w:color w:val="auto"/>
          <w:sz w:val="24"/>
          <w:szCs w:val="32"/>
          <w:lang w:val="en-US" w:eastAsia="zh-CN"/>
        </w:rPr>
      </w:pPr>
    </w:p>
    <w:p w14:paraId="0691FB85">
      <w:pPr>
        <w:rPr>
          <w:rFonts w:hint="eastAsia"/>
          <w:b/>
          <w:bCs/>
          <w:color w:val="auto"/>
          <w:sz w:val="24"/>
          <w:szCs w:val="32"/>
          <w:lang w:val="en-US" w:eastAsia="zh-CN"/>
        </w:rPr>
      </w:pPr>
    </w:p>
    <w:p w14:paraId="576EF519">
      <w:pPr>
        <w:rPr>
          <w:rFonts w:hint="eastAsia"/>
          <w:b/>
          <w:bCs/>
          <w:color w:val="auto"/>
          <w:sz w:val="24"/>
          <w:szCs w:val="32"/>
          <w:lang w:val="en-US" w:eastAsia="zh-CN"/>
        </w:rPr>
      </w:pPr>
    </w:p>
    <w:p w14:paraId="74304E03">
      <w:pPr>
        <w:rPr>
          <w:rFonts w:hint="eastAsia"/>
          <w:b/>
          <w:bCs/>
          <w:color w:val="auto"/>
          <w:sz w:val="24"/>
          <w:szCs w:val="32"/>
          <w:lang w:val="en-US" w:eastAsia="zh-CN"/>
        </w:rPr>
      </w:pPr>
    </w:p>
    <w:p w14:paraId="06AA5E85">
      <w:pPr>
        <w:rPr>
          <w:rFonts w:hint="eastAsia"/>
          <w:b/>
          <w:bCs/>
          <w:color w:val="auto"/>
          <w:sz w:val="24"/>
          <w:szCs w:val="32"/>
          <w:lang w:val="en-US" w:eastAsia="zh-CN"/>
        </w:rPr>
      </w:pPr>
    </w:p>
    <w:p w14:paraId="01B3B273">
      <w:pPr>
        <w:rPr>
          <w:rFonts w:hint="eastAsia"/>
          <w:b/>
          <w:bCs/>
          <w:color w:val="auto"/>
          <w:sz w:val="24"/>
          <w:szCs w:val="32"/>
          <w:lang w:val="en-US" w:eastAsia="zh-CN"/>
        </w:rPr>
      </w:pPr>
    </w:p>
    <w:p w14:paraId="43B54338">
      <w:pPr>
        <w:rPr>
          <w:rFonts w:hint="default"/>
          <w:b/>
          <w:bCs/>
          <w:color w:val="auto"/>
          <w:sz w:val="24"/>
          <w:szCs w:val="32"/>
          <w:lang w:val="en-US" w:eastAsia="zh-CN"/>
        </w:rPr>
      </w:pPr>
      <w:r>
        <w:rPr>
          <w:rFonts w:hint="eastAsia"/>
          <w:b/>
          <w:bCs/>
          <w:color w:val="auto"/>
          <w:sz w:val="24"/>
          <w:szCs w:val="32"/>
          <w:lang w:val="en-US" w:eastAsia="zh-CN"/>
        </w:rPr>
        <w:t>附件7：总量文件</w:t>
      </w:r>
    </w:p>
    <w:p w14:paraId="4EB17967">
      <w:pPr>
        <w:pStyle w:val="2"/>
        <w:ind w:left="0" w:leftChars="0" w:firstLine="0" w:firstLineChars="0"/>
        <w:rPr>
          <w:rFonts w:hint="default"/>
          <w:color w:val="auto"/>
          <w:lang w:val="en-US" w:eastAsia="zh-CN"/>
        </w:rPr>
      </w:pPr>
      <w:r>
        <w:rPr>
          <w:color w:val="auto"/>
        </w:rPr>
        <w:drawing>
          <wp:inline distT="0" distB="0" distL="114300" distR="114300">
            <wp:extent cx="5271135" cy="7117080"/>
            <wp:effectExtent l="0" t="0" r="5715" b="7620"/>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43"/>
                    <a:stretch>
                      <a:fillRect/>
                    </a:stretch>
                  </pic:blipFill>
                  <pic:spPr>
                    <a:xfrm>
                      <a:off x="0" y="0"/>
                      <a:ext cx="5271135" cy="7117080"/>
                    </a:xfrm>
                    <a:prstGeom prst="rect">
                      <a:avLst/>
                    </a:prstGeom>
                    <a:noFill/>
                    <a:ln>
                      <a:noFill/>
                    </a:ln>
                  </pic:spPr>
                </pic:pic>
              </a:graphicData>
            </a:graphic>
          </wp:inline>
        </w:drawing>
      </w:r>
      <w:r>
        <w:rPr>
          <w:color w:val="auto"/>
        </w:rPr>
        <w:drawing>
          <wp:inline distT="0" distB="0" distL="114300" distR="114300">
            <wp:extent cx="5267325" cy="7520940"/>
            <wp:effectExtent l="0" t="0" r="9525" b="3810"/>
            <wp:docPr id="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
                    <pic:cNvPicPr>
                      <a:picLocks noChangeAspect="1"/>
                    </pic:cNvPicPr>
                  </pic:nvPicPr>
                  <pic:blipFill>
                    <a:blip r:embed="rId44"/>
                    <a:stretch>
                      <a:fillRect/>
                    </a:stretch>
                  </pic:blipFill>
                  <pic:spPr>
                    <a:xfrm>
                      <a:off x="0" y="0"/>
                      <a:ext cx="5267325" cy="7520940"/>
                    </a:xfrm>
                    <a:prstGeom prst="rect">
                      <a:avLst/>
                    </a:prstGeom>
                    <a:noFill/>
                    <a:ln>
                      <a:noFill/>
                    </a:ln>
                  </pic:spPr>
                </pic:pic>
              </a:graphicData>
            </a:graphic>
          </wp:inline>
        </w:drawing>
      </w:r>
    </w:p>
    <w:p w14:paraId="0F5E298D">
      <w:pPr>
        <w:rPr>
          <w:rFonts w:hint="eastAsia"/>
          <w:b/>
          <w:bCs/>
          <w:color w:val="auto"/>
          <w:sz w:val="24"/>
          <w:szCs w:val="32"/>
          <w:lang w:val="en-US" w:eastAsia="zh-CN"/>
        </w:rPr>
      </w:pPr>
    </w:p>
    <w:p w14:paraId="2D00D512">
      <w:pPr>
        <w:rPr>
          <w:rFonts w:hint="eastAsia"/>
          <w:b/>
          <w:bCs/>
          <w:color w:val="auto"/>
          <w:sz w:val="24"/>
          <w:szCs w:val="32"/>
          <w:lang w:val="en-US" w:eastAsia="zh-CN"/>
        </w:rPr>
      </w:pPr>
    </w:p>
    <w:p w14:paraId="56DBADB5">
      <w:pPr>
        <w:rPr>
          <w:rFonts w:hint="eastAsia"/>
          <w:b/>
          <w:bCs/>
          <w:color w:val="auto"/>
          <w:sz w:val="24"/>
          <w:szCs w:val="32"/>
          <w:lang w:val="en-US" w:eastAsia="zh-CN"/>
        </w:rPr>
      </w:pPr>
    </w:p>
    <w:p w14:paraId="1FEEF15B">
      <w:pPr>
        <w:rPr>
          <w:rFonts w:hint="eastAsia"/>
          <w:b/>
          <w:bCs/>
          <w:color w:val="auto"/>
          <w:sz w:val="24"/>
          <w:szCs w:val="32"/>
          <w:lang w:val="en-US" w:eastAsia="zh-CN"/>
        </w:rPr>
      </w:pPr>
    </w:p>
    <w:p w14:paraId="407CA5BA">
      <w:pPr>
        <w:rPr>
          <w:rFonts w:hint="eastAsia"/>
          <w:b/>
          <w:bCs/>
          <w:color w:val="auto"/>
          <w:sz w:val="24"/>
          <w:szCs w:val="32"/>
          <w:lang w:val="en-US" w:eastAsia="zh-CN"/>
        </w:rPr>
      </w:pPr>
    </w:p>
    <w:p w14:paraId="29C44608">
      <w:pPr>
        <w:rPr>
          <w:rFonts w:hint="eastAsia"/>
          <w:b/>
          <w:bCs/>
          <w:color w:val="auto"/>
          <w:sz w:val="24"/>
          <w:szCs w:val="32"/>
          <w:lang w:val="en-US" w:eastAsia="zh-CN"/>
        </w:rPr>
      </w:pPr>
    </w:p>
    <w:p w14:paraId="6C23A8A5">
      <w:pPr>
        <w:rPr>
          <w:rFonts w:hint="default"/>
          <w:b/>
          <w:bCs/>
          <w:color w:val="auto"/>
          <w:sz w:val="24"/>
          <w:szCs w:val="32"/>
          <w:lang w:val="en-US" w:eastAsia="zh-CN"/>
        </w:rPr>
      </w:pPr>
      <w:r>
        <w:rPr>
          <w:rFonts w:hint="eastAsia"/>
          <w:b/>
          <w:bCs/>
          <w:color w:val="auto"/>
          <w:sz w:val="24"/>
          <w:szCs w:val="32"/>
          <w:lang w:val="en-US" w:eastAsia="zh-CN"/>
        </w:rPr>
        <w:t>附件8：固废处置协议</w:t>
      </w:r>
    </w:p>
    <w:p w14:paraId="6274BCEA">
      <w:pPr>
        <w:rPr>
          <w:rFonts w:hint="eastAsia"/>
          <w:b/>
          <w:bCs/>
          <w:color w:val="auto"/>
          <w:sz w:val="24"/>
          <w:szCs w:val="32"/>
          <w:lang w:val="en-US" w:eastAsia="zh-CN"/>
        </w:rPr>
      </w:pPr>
      <w:r>
        <w:rPr>
          <w:rFonts w:hint="eastAsia"/>
          <w:b/>
          <w:bCs/>
          <w:color w:val="auto"/>
          <w:sz w:val="24"/>
          <w:szCs w:val="32"/>
          <w:lang w:val="en-US" w:eastAsia="zh-CN"/>
        </w:rPr>
        <w:drawing>
          <wp:inline distT="0" distB="0" distL="114300" distR="114300">
            <wp:extent cx="5273675" cy="7261860"/>
            <wp:effectExtent l="0" t="0" r="3175" b="15240"/>
            <wp:docPr id="75" name="图片 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1"/>
                    <pic:cNvPicPr>
                      <a:picLocks noChangeAspect="1"/>
                    </pic:cNvPicPr>
                  </pic:nvPicPr>
                  <pic:blipFill>
                    <a:blip r:embed="rId45"/>
                    <a:stretch>
                      <a:fillRect/>
                    </a:stretch>
                  </pic:blipFill>
                  <pic:spPr>
                    <a:xfrm>
                      <a:off x="0" y="0"/>
                      <a:ext cx="5273675" cy="7261860"/>
                    </a:xfrm>
                    <a:prstGeom prst="rect">
                      <a:avLst/>
                    </a:prstGeom>
                  </pic:spPr>
                </pic:pic>
              </a:graphicData>
            </a:graphic>
          </wp:inline>
        </w:drawing>
      </w:r>
      <w:r>
        <w:rPr>
          <w:rFonts w:hint="eastAsia"/>
          <w:b/>
          <w:bCs/>
          <w:color w:val="auto"/>
          <w:sz w:val="24"/>
          <w:szCs w:val="32"/>
          <w:lang w:val="en-US" w:eastAsia="zh-CN"/>
        </w:rPr>
        <w:drawing>
          <wp:inline distT="0" distB="0" distL="114300" distR="114300">
            <wp:extent cx="5273675" cy="7261860"/>
            <wp:effectExtent l="0" t="0" r="3175" b="15240"/>
            <wp:docPr id="76" name="图片 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
                    <pic:cNvPicPr>
                      <a:picLocks noChangeAspect="1"/>
                    </pic:cNvPicPr>
                  </pic:nvPicPr>
                  <pic:blipFill>
                    <a:blip r:embed="rId46"/>
                    <a:stretch>
                      <a:fillRect/>
                    </a:stretch>
                  </pic:blipFill>
                  <pic:spPr>
                    <a:xfrm>
                      <a:off x="0" y="0"/>
                      <a:ext cx="5273675" cy="7261860"/>
                    </a:xfrm>
                    <a:prstGeom prst="rect">
                      <a:avLst/>
                    </a:prstGeom>
                  </pic:spPr>
                </pic:pic>
              </a:graphicData>
            </a:graphic>
          </wp:inline>
        </w:drawing>
      </w:r>
      <w:r>
        <w:rPr>
          <w:rFonts w:hint="eastAsia"/>
          <w:b/>
          <w:bCs/>
          <w:color w:val="auto"/>
          <w:sz w:val="24"/>
          <w:szCs w:val="32"/>
          <w:lang w:val="en-US" w:eastAsia="zh-CN"/>
        </w:rPr>
        <w:drawing>
          <wp:inline distT="0" distB="0" distL="114300" distR="114300">
            <wp:extent cx="5273675" cy="7261860"/>
            <wp:effectExtent l="0" t="0" r="3175" b="15240"/>
            <wp:docPr id="77" name="图片 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3"/>
                    <pic:cNvPicPr>
                      <a:picLocks noChangeAspect="1"/>
                    </pic:cNvPicPr>
                  </pic:nvPicPr>
                  <pic:blipFill>
                    <a:blip r:embed="rId47"/>
                    <a:stretch>
                      <a:fillRect/>
                    </a:stretch>
                  </pic:blipFill>
                  <pic:spPr>
                    <a:xfrm>
                      <a:off x="0" y="0"/>
                      <a:ext cx="5273675" cy="7261860"/>
                    </a:xfrm>
                    <a:prstGeom prst="rect">
                      <a:avLst/>
                    </a:prstGeom>
                  </pic:spPr>
                </pic:pic>
              </a:graphicData>
            </a:graphic>
          </wp:inline>
        </w:drawing>
      </w:r>
      <w:r>
        <w:rPr>
          <w:rFonts w:hint="eastAsia"/>
          <w:b/>
          <w:bCs/>
          <w:color w:val="auto"/>
          <w:sz w:val="24"/>
          <w:szCs w:val="32"/>
          <w:lang w:val="en-US" w:eastAsia="zh-CN"/>
        </w:rPr>
        <w:drawing>
          <wp:inline distT="0" distB="0" distL="114300" distR="114300">
            <wp:extent cx="5273675" cy="7261860"/>
            <wp:effectExtent l="0" t="0" r="3175" b="15240"/>
            <wp:docPr id="78" name="图片 7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4"/>
                    <pic:cNvPicPr>
                      <a:picLocks noChangeAspect="1"/>
                    </pic:cNvPicPr>
                  </pic:nvPicPr>
                  <pic:blipFill>
                    <a:blip r:embed="rId48"/>
                    <a:stretch>
                      <a:fillRect/>
                    </a:stretch>
                  </pic:blipFill>
                  <pic:spPr>
                    <a:xfrm>
                      <a:off x="0" y="0"/>
                      <a:ext cx="5273675" cy="7261860"/>
                    </a:xfrm>
                    <a:prstGeom prst="rect">
                      <a:avLst/>
                    </a:prstGeom>
                  </pic:spPr>
                </pic:pic>
              </a:graphicData>
            </a:graphic>
          </wp:inline>
        </w:drawing>
      </w:r>
      <w:r>
        <w:rPr>
          <w:rFonts w:hint="eastAsia"/>
          <w:b/>
          <w:bCs/>
          <w:color w:val="auto"/>
          <w:sz w:val="24"/>
          <w:szCs w:val="32"/>
          <w:lang w:val="en-US" w:eastAsia="zh-CN"/>
        </w:rPr>
        <w:drawing>
          <wp:inline distT="0" distB="0" distL="114300" distR="114300">
            <wp:extent cx="4905375" cy="7620000"/>
            <wp:effectExtent l="0" t="0" r="9525" b="0"/>
            <wp:docPr id="79" name="图片 7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5"/>
                    <pic:cNvPicPr>
                      <a:picLocks noChangeAspect="1"/>
                    </pic:cNvPicPr>
                  </pic:nvPicPr>
                  <pic:blipFill>
                    <a:blip r:embed="rId49"/>
                    <a:stretch>
                      <a:fillRect/>
                    </a:stretch>
                  </pic:blipFill>
                  <pic:spPr>
                    <a:xfrm>
                      <a:off x="0" y="0"/>
                      <a:ext cx="4905375" cy="7620000"/>
                    </a:xfrm>
                    <a:prstGeom prst="rect">
                      <a:avLst/>
                    </a:prstGeom>
                  </pic:spPr>
                </pic:pic>
              </a:graphicData>
            </a:graphic>
          </wp:inline>
        </w:drawing>
      </w:r>
    </w:p>
    <w:p w14:paraId="5B44143D">
      <w:pPr>
        <w:rPr>
          <w:rFonts w:hint="eastAsia"/>
          <w:b/>
          <w:bCs/>
          <w:color w:val="auto"/>
          <w:sz w:val="24"/>
          <w:szCs w:val="32"/>
          <w:lang w:val="en-US" w:eastAsia="zh-CN"/>
        </w:rPr>
      </w:pPr>
    </w:p>
    <w:p w14:paraId="1CF96A24">
      <w:pPr>
        <w:rPr>
          <w:rFonts w:hint="eastAsia"/>
          <w:b/>
          <w:bCs/>
          <w:color w:val="auto"/>
          <w:sz w:val="24"/>
          <w:szCs w:val="32"/>
          <w:lang w:val="en-US" w:eastAsia="zh-CN"/>
        </w:rPr>
      </w:pPr>
    </w:p>
    <w:p w14:paraId="19228EEF">
      <w:pPr>
        <w:rPr>
          <w:rFonts w:hint="eastAsia"/>
          <w:b/>
          <w:bCs/>
          <w:color w:val="auto"/>
          <w:sz w:val="24"/>
          <w:szCs w:val="32"/>
          <w:lang w:val="en-US" w:eastAsia="zh-CN"/>
        </w:rPr>
      </w:pPr>
    </w:p>
    <w:p w14:paraId="4D290B2C">
      <w:pPr>
        <w:rPr>
          <w:rFonts w:hint="eastAsia"/>
          <w:b/>
          <w:bCs/>
          <w:color w:val="auto"/>
          <w:sz w:val="24"/>
          <w:szCs w:val="32"/>
          <w:lang w:val="en-US" w:eastAsia="zh-CN"/>
        </w:rPr>
      </w:pPr>
    </w:p>
    <w:p w14:paraId="6661208E">
      <w:pPr>
        <w:rPr>
          <w:rFonts w:hint="eastAsia"/>
          <w:b/>
          <w:bCs/>
          <w:color w:val="auto"/>
          <w:sz w:val="24"/>
          <w:szCs w:val="32"/>
          <w:lang w:val="en-US" w:eastAsia="zh-CN"/>
        </w:rPr>
      </w:pPr>
    </w:p>
    <w:p w14:paraId="19F22CE4">
      <w:pPr>
        <w:rPr>
          <w:rFonts w:hint="default"/>
          <w:b/>
          <w:bCs/>
          <w:color w:val="auto"/>
          <w:sz w:val="24"/>
          <w:szCs w:val="32"/>
          <w:lang w:val="en-US" w:eastAsia="zh-CN"/>
        </w:rPr>
      </w:pPr>
      <w:r>
        <w:rPr>
          <w:rFonts w:hint="eastAsia"/>
          <w:b/>
          <w:bCs/>
          <w:color w:val="auto"/>
          <w:sz w:val="24"/>
          <w:szCs w:val="32"/>
          <w:lang w:val="en-US" w:eastAsia="zh-CN"/>
        </w:rPr>
        <w:t>附件9：本项目不占用河道文件</w:t>
      </w:r>
    </w:p>
    <w:p w14:paraId="314D0F24">
      <w:pPr>
        <w:rPr>
          <w:rFonts w:hint="eastAsia"/>
          <w:b/>
          <w:bCs/>
          <w:color w:val="auto"/>
          <w:sz w:val="24"/>
          <w:szCs w:val="32"/>
          <w:lang w:val="en-US" w:eastAsia="zh-CN"/>
        </w:rPr>
      </w:pPr>
      <w:r>
        <w:rPr>
          <w:color w:val="auto"/>
        </w:rPr>
        <w:drawing>
          <wp:inline distT="0" distB="0" distL="114300" distR="114300">
            <wp:extent cx="5263515" cy="7389495"/>
            <wp:effectExtent l="0" t="0" r="13335" b="1905"/>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50"/>
                    <a:stretch>
                      <a:fillRect/>
                    </a:stretch>
                  </pic:blipFill>
                  <pic:spPr>
                    <a:xfrm>
                      <a:off x="0" y="0"/>
                      <a:ext cx="5263515" cy="7389495"/>
                    </a:xfrm>
                    <a:prstGeom prst="rect">
                      <a:avLst/>
                    </a:prstGeom>
                    <a:noFill/>
                    <a:ln>
                      <a:noFill/>
                    </a:ln>
                  </pic:spPr>
                </pic:pic>
              </a:graphicData>
            </a:graphic>
          </wp:inline>
        </w:drawing>
      </w:r>
      <w:r>
        <w:rPr>
          <w:color w:val="auto"/>
        </w:rPr>
        <w:drawing>
          <wp:inline distT="0" distB="0" distL="114300" distR="114300">
            <wp:extent cx="5264150" cy="7444105"/>
            <wp:effectExtent l="0" t="0" r="12700" b="4445"/>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51"/>
                    <a:srcRect b="2211"/>
                    <a:stretch>
                      <a:fillRect/>
                    </a:stretch>
                  </pic:blipFill>
                  <pic:spPr>
                    <a:xfrm>
                      <a:off x="0" y="0"/>
                      <a:ext cx="5264150" cy="7444105"/>
                    </a:xfrm>
                    <a:prstGeom prst="rect">
                      <a:avLst/>
                    </a:prstGeom>
                    <a:noFill/>
                    <a:ln>
                      <a:noFill/>
                    </a:ln>
                  </pic:spPr>
                </pic:pic>
              </a:graphicData>
            </a:graphic>
          </wp:inline>
        </w:drawing>
      </w:r>
    </w:p>
    <w:p w14:paraId="1722C131">
      <w:pPr>
        <w:rPr>
          <w:rFonts w:hint="eastAsia"/>
          <w:b/>
          <w:bCs/>
          <w:color w:val="auto"/>
          <w:sz w:val="24"/>
          <w:szCs w:val="32"/>
          <w:lang w:val="en-US" w:eastAsia="zh-CN"/>
        </w:rPr>
      </w:pPr>
      <w:r>
        <w:rPr>
          <w:color w:val="auto"/>
        </w:rPr>
        <w:drawing>
          <wp:inline distT="0" distB="0" distL="114300" distR="114300">
            <wp:extent cx="5263515" cy="7477760"/>
            <wp:effectExtent l="0" t="0" r="13335" b="8890"/>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52"/>
                    <a:stretch>
                      <a:fillRect/>
                    </a:stretch>
                  </pic:blipFill>
                  <pic:spPr>
                    <a:xfrm>
                      <a:off x="0" y="0"/>
                      <a:ext cx="5263515" cy="7477760"/>
                    </a:xfrm>
                    <a:prstGeom prst="rect">
                      <a:avLst/>
                    </a:prstGeom>
                    <a:noFill/>
                    <a:ln>
                      <a:noFill/>
                    </a:ln>
                  </pic:spPr>
                </pic:pic>
              </a:graphicData>
            </a:graphic>
          </wp:inline>
        </w:drawing>
      </w:r>
      <w:r>
        <w:rPr>
          <w:color w:val="auto"/>
        </w:rPr>
        <w:drawing>
          <wp:inline distT="0" distB="0" distL="114300" distR="114300">
            <wp:extent cx="5263515" cy="7411085"/>
            <wp:effectExtent l="0" t="0" r="13335" b="18415"/>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53"/>
                    <a:srcRect b="1652"/>
                    <a:stretch>
                      <a:fillRect/>
                    </a:stretch>
                  </pic:blipFill>
                  <pic:spPr>
                    <a:xfrm>
                      <a:off x="0" y="0"/>
                      <a:ext cx="5263515" cy="7411085"/>
                    </a:xfrm>
                    <a:prstGeom prst="rect">
                      <a:avLst/>
                    </a:prstGeom>
                    <a:noFill/>
                    <a:ln>
                      <a:noFill/>
                    </a:ln>
                  </pic:spPr>
                </pic:pic>
              </a:graphicData>
            </a:graphic>
          </wp:inline>
        </w:drawing>
      </w:r>
      <w:r>
        <w:rPr>
          <w:color w:val="auto"/>
        </w:rPr>
        <w:drawing>
          <wp:inline distT="0" distB="0" distL="114300" distR="114300">
            <wp:extent cx="5266055" cy="7455535"/>
            <wp:effectExtent l="0" t="0" r="10795" b="12065"/>
            <wp:docPr id="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pic:cNvPicPr>
                      <a:picLocks noChangeAspect="1"/>
                    </pic:cNvPicPr>
                  </pic:nvPicPr>
                  <pic:blipFill>
                    <a:blip r:embed="rId54"/>
                    <a:srcRect b="2077"/>
                    <a:stretch>
                      <a:fillRect/>
                    </a:stretch>
                  </pic:blipFill>
                  <pic:spPr>
                    <a:xfrm>
                      <a:off x="0" y="0"/>
                      <a:ext cx="5266055" cy="7455535"/>
                    </a:xfrm>
                    <a:prstGeom prst="rect">
                      <a:avLst/>
                    </a:prstGeom>
                    <a:noFill/>
                    <a:ln>
                      <a:noFill/>
                    </a:ln>
                  </pic:spPr>
                </pic:pic>
              </a:graphicData>
            </a:graphic>
          </wp:inline>
        </w:drawing>
      </w:r>
    </w:p>
    <w:p w14:paraId="327F5B1F">
      <w:pPr>
        <w:rPr>
          <w:rFonts w:hint="eastAsia"/>
          <w:b/>
          <w:bCs/>
          <w:color w:val="auto"/>
          <w:sz w:val="24"/>
          <w:szCs w:val="32"/>
          <w:lang w:val="en-US" w:eastAsia="zh-CN"/>
        </w:rPr>
      </w:pPr>
      <w:r>
        <w:rPr>
          <w:color w:val="auto"/>
        </w:rPr>
        <w:drawing>
          <wp:inline distT="0" distB="0" distL="114300" distR="114300">
            <wp:extent cx="4415155" cy="8703945"/>
            <wp:effectExtent l="0" t="0" r="4445" b="1905"/>
            <wp:docPr id="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
                    <pic:cNvPicPr>
                      <a:picLocks noChangeAspect="1"/>
                    </pic:cNvPicPr>
                  </pic:nvPicPr>
                  <pic:blipFill>
                    <a:blip r:embed="rId55"/>
                    <a:srcRect b="1742"/>
                    <a:stretch>
                      <a:fillRect/>
                    </a:stretch>
                  </pic:blipFill>
                  <pic:spPr>
                    <a:xfrm>
                      <a:off x="0" y="0"/>
                      <a:ext cx="4415155" cy="8703945"/>
                    </a:xfrm>
                    <a:prstGeom prst="rect">
                      <a:avLst/>
                    </a:prstGeom>
                    <a:noFill/>
                    <a:ln>
                      <a:noFill/>
                    </a:ln>
                  </pic:spPr>
                </pic:pic>
              </a:graphicData>
            </a:graphic>
          </wp:inline>
        </w:drawing>
      </w:r>
    </w:p>
    <w:p w14:paraId="43ECE717">
      <w:pPr>
        <w:rPr>
          <w:rFonts w:hint="default"/>
          <w:b/>
          <w:bCs/>
          <w:color w:val="auto"/>
          <w:sz w:val="24"/>
          <w:szCs w:val="32"/>
          <w:lang w:val="en-US" w:eastAsia="zh-CN"/>
        </w:rPr>
      </w:pPr>
      <w:r>
        <w:rPr>
          <w:rFonts w:hint="eastAsia"/>
          <w:b/>
          <w:bCs/>
          <w:color w:val="auto"/>
          <w:sz w:val="24"/>
          <w:szCs w:val="32"/>
          <w:lang w:val="en-US" w:eastAsia="zh-CN"/>
        </w:rPr>
        <w:t>附件10：现状监测报告</w:t>
      </w:r>
    </w:p>
    <w:p w14:paraId="67520322">
      <w:pPr>
        <w:pStyle w:val="2"/>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267960" cy="7453630"/>
            <wp:effectExtent l="0" t="0" r="8890" b="13970"/>
            <wp:docPr id="90" name="图片 90" descr="监测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监测报告_00"/>
                    <pic:cNvPicPr>
                      <a:picLocks noChangeAspect="1"/>
                    </pic:cNvPicPr>
                  </pic:nvPicPr>
                  <pic:blipFill>
                    <a:blip r:embed="rId56"/>
                    <a:stretch>
                      <a:fillRect/>
                    </a:stretch>
                  </pic:blipFill>
                  <pic:spPr>
                    <a:xfrm>
                      <a:off x="0" y="0"/>
                      <a:ext cx="5267960" cy="7453630"/>
                    </a:xfrm>
                    <a:prstGeom prst="rect">
                      <a:avLst/>
                    </a:prstGeom>
                  </pic:spPr>
                </pic:pic>
              </a:graphicData>
            </a:graphic>
          </wp:inline>
        </w:drawing>
      </w:r>
      <w:r>
        <w:rPr>
          <w:rFonts w:hint="default"/>
          <w:color w:val="auto"/>
          <w:lang w:val="en-US" w:eastAsia="zh-CN"/>
        </w:rPr>
        <w:drawing>
          <wp:inline distT="0" distB="0" distL="114300" distR="114300">
            <wp:extent cx="5267960" cy="7453630"/>
            <wp:effectExtent l="0" t="0" r="8890" b="13970"/>
            <wp:docPr id="89" name="图片 89" descr="监测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监测报告_01"/>
                    <pic:cNvPicPr>
                      <a:picLocks noChangeAspect="1"/>
                    </pic:cNvPicPr>
                  </pic:nvPicPr>
                  <pic:blipFill>
                    <a:blip r:embed="rId57"/>
                    <a:stretch>
                      <a:fillRect/>
                    </a:stretch>
                  </pic:blipFill>
                  <pic:spPr>
                    <a:xfrm>
                      <a:off x="0" y="0"/>
                      <a:ext cx="5267960" cy="7453630"/>
                    </a:xfrm>
                    <a:prstGeom prst="rect">
                      <a:avLst/>
                    </a:prstGeom>
                  </pic:spPr>
                </pic:pic>
              </a:graphicData>
            </a:graphic>
          </wp:inline>
        </w:drawing>
      </w:r>
      <w:r>
        <w:rPr>
          <w:rFonts w:hint="default"/>
          <w:color w:val="auto"/>
          <w:lang w:val="en-US" w:eastAsia="zh-CN"/>
        </w:rPr>
        <w:drawing>
          <wp:inline distT="0" distB="0" distL="114300" distR="114300">
            <wp:extent cx="5267960" cy="7453630"/>
            <wp:effectExtent l="0" t="0" r="8890" b="13970"/>
            <wp:docPr id="88" name="图片 88" descr="监测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监测报告_02"/>
                    <pic:cNvPicPr>
                      <a:picLocks noChangeAspect="1"/>
                    </pic:cNvPicPr>
                  </pic:nvPicPr>
                  <pic:blipFill>
                    <a:blip r:embed="rId58"/>
                    <a:stretch>
                      <a:fillRect/>
                    </a:stretch>
                  </pic:blipFill>
                  <pic:spPr>
                    <a:xfrm>
                      <a:off x="0" y="0"/>
                      <a:ext cx="5267960" cy="7453630"/>
                    </a:xfrm>
                    <a:prstGeom prst="rect">
                      <a:avLst/>
                    </a:prstGeom>
                  </pic:spPr>
                </pic:pic>
              </a:graphicData>
            </a:graphic>
          </wp:inline>
        </w:drawing>
      </w:r>
      <w:r>
        <w:rPr>
          <w:rFonts w:hint="default"/>
          <w:color w:val="auto"/>
          <w:lang w:val="en-US" w:eastAsia="zh-CN"/>
        </w:rPr>
        <w:drawing>
          <wp:inline distT="0" distB="0" distL="114300" distR="114300">
            <wp:extent cx="5267960" cy="7453630"/>
            <wp:effectExtent l="0" t="0" r="8890" b="13970"/>
            <wp:docPr id="87" name="图片 87" descr="监测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监测报告_03"/>
                    <pic:cNvPicPr>
                      <a:picLocks noChangeAspect="1"/>
                    </pic:cNvPicPr>
                  </pic:nvPicPr>
                  <pic:blipFill>
                    <a:blip r:embed="rId59"/>
                    <a:stretch>
                      <a:fillRect/>
                    </a:stretch>
                  </pic:blipFill>
                  <pic:spPr>
                    <a:xfrm>
                      <a:off x="0" y="0"/>
                      <a:ext cx="5267960" cy="7453630"/>
                    </a:xfrm>
                    <a:prstGeom prst="rect">
                      <a:avLst/>
                    </a:prstGeom>
                  </pic:spPr>
                </pic:pic>
              </a:graphicData>
            </a:graphic>
          </wp:inline>
        </w:drawing>
      </w:r>
      <w:r>
        <w:rPr>
          <w:rFonts w:hint="default"/>
          <w:color w:val="auto"/>
          <w:lang w:val="en-US" w:eastAsia="zh-CN"/>
        </w:rPr>
        <w:drawing>
          <wp:inline distT="0" distB="0" distL="114300" distR="114300">
            <wp:extent cx="5267960" cy="7453630"/>
            <wp:effectExtent l="0" t="0" r="8890" b="13970"/>
            <wp:docPr id="86" name="图片 86" descr="监测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监测报告_04"/>
                    <pic:cNvPicPr>
                      <a:picLocks noChangeAspect="1"/>
                    </pic:cNvPicPr>
                  </pic:nvPicPr>
                  <pic:blipFill>
                    <a:blip r:embed="rId60"/>
                    <a:stretch>
                      <a:fillRect/>
                    </a:stretch>
                  </pic:blipFill>
                  <pic:spPr>
                    <a:xfrm>
                      <a:off x="0" y="0"/>
                      <a:ext cx="5267960" cy="7453630"/>
                    </a:xfrm>
                    <a:prstGeom prst="rect">
                      <a:avLst/>
                    </a:prstGeom>
                  </pic:spPr>
                </pic:pic>
              </a:graphicData>
            </a:graphic>
          </wp:inline>
        </w:drawing>
      </w:r>
      <w:r>
        <w:rPr>
          <w:rFonts w:hint="default"/>
          <w:color w:val="auto"/>
          <w:lang w:val="en-US" w:eastAsia="zh-CN"/>
        </w:rPr>
        <w:drawing>
          <wp:inline distT="0" distB="0" distL="114300" distR="114300">
            <wp:extent cx="5267960" cy="7453630"/>
            <wp:effectExtent l="0" t="0" r="8890" b="13970"/>
            <wp:docPr id="85" name="图片 85" descr="监测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监测报告_05"/>
                    <pic:cNvPicPr>
                      <a:picLocks noChangeAspect="1"/>
                    </pic:cNvPicPr>
                  </pic:nvPicPr>
                  <pic:blipFill>
                    <a:blip r:embed="rId61"/>
                    <a:stretch>
                      <a:fillRect/>
                    </a:stretch>
                  </pic:blipFill>
                  <pic:spPr>
                    <a:xfrm>
                      <a:off x="0" y="0"/>
                      <a:ext cx="5267960" cy="7453630"/>
                    </a:xfrm>
                    <a:prstGeom prst="rect">
                      <a:avLst/>
                    </a:prstGeom>
                  </pic:spPr>
                </pic:pic>
              </a:graphicData>
            </a:graphic>
          </wp:inline>
        </w:drawing>
      </w:r>
      <w:r>
        <w:rPr>
          <w:rFonts w:hint="default"/>
          <w:color w:val="auto"/>
          <w:lang w:val="en-US" w:eastAsia="zh-CN"/>
        </w:rPr>
        <w:drawing>
          <wp:inline distT="0" distB="0" distL="114300" distR="114300">
            <wp:extent cx="5267960" cy="7453630"/>
            <wp:effectExtent l="0" t="0" r="8890" b="13970"/>
            <wp:docPr id="84" name="图片 84" descr="监测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监测报告_06"/>
                    <pic:cNvPicPr>
                      <a:picLocks noChangeAspect="1"/>
                    </pic:cNvPicPr>
                  </pic:nvPicPr>
                  <pic:blipFill>
                    <a:blip r:embed="rId62"/>
                    <a:stretch>
                      <a:fillRect/>
                    </a:stretch>
                  </pic:blipFill>
                  <pic:spPr>
                    <a:xfrm>
                      <a:off x="0" y="0"/>
                      <a:ext cx="5267960" cy="7453630"/>
                    </a:xfrm>
                    <a:prstGeom prst="rect">
                      <a:avLst/>
                    </a:prstGeom>
                  </pic:spPr>
                </pic:pic>
              </a:graphicData>
            </a:graphic>
          </wp:inline>
        </w:drawing>
      </w:r>
      <w:r>
        <w:rPr>
          <w:rFonts w:hint="default"/>
          <w:color w:val="auto"/>
          <w:lang w:val="en-US" w:eastAsia="zh-CN"/>
        </w:rPr>
        <w:drawing>
          <wp:inline distT="0" distB="0" distL="114300" distR="114300">
            <wp:extent cx="5267960" cy="7453630"/>
            <wp:effectExtent l="0" t="0" r="8890" b="13970"/>
            <wp:docPr id="83" name="图片 83" descr="监测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监测报告_07"/>
                    <pic:cNvPicPr>
                      <a:picLocks noChangeAspect="1"/>
                    </pic:cNvPicPr>
                  </pic:nvPicPr>
                  <pic:blipFill>
                    <a:blip r:embed="rId63"/>
                    <a:stretch>
                      <a:fillRect/>
                    </a:stretch>
                  </pic:blipFill>
                  <pic:spPr>
                    <a:xfrm>
                      <a:off x="0" y="0"/>
                      <a:ext cx="5267960" cy="7453630"/>
                    </a:xfrm>
                    <a:prstGeom prst="rect">
                      <a:avLst/>
                    </a:prstGeom>
                  </pic:spPr>
                </pic:pic>
              </a:graphicData>
            </a:graphic>
          </wp:inline>
        </w:drawing>
      </w:r>
      <w:r>
        <w:rPr>
          <w:rFonts w:hint="default"/>
          <w:color w:val="auto"/>
          <w:lang w:val="en-US" w:eastAsia="zh-CN"/>
        </w:rPr>
        <w:drawing>
          <wp:inline distT="0" distB="0" distL="114300" distR="114300">
            <wp:extent cx="5267960" cy="7453630"/>
            <wp:effectExtent l="0" t="0" r="8890" b="13970"/>
            <wp:docPr id="82" name="图片 82" descr="监测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监测报告_08"/>
                    <pic:cNvPicPr>
                      <a:picLocks noChangeAspect="1"/>
                    </pic:cNvPicPr>
                  </pic:nvPicPr>
                  <pic:blipFill>
                    <a:blip r:embed="rId64"/>
                    <a:stretch>
                      <a:fillRect/>
                    </a:stretch>
                  </pic:blipFill>
                  <pic:spPr>
                    <a:xfrm>
                      <a:off x="0" y="0"/>
                      <a:ext cx="5267960" cy="7453630"/>
                    </a:xfrm>
                    <a:prstGeom prst="rect">
                      <a:avLst/>
                    </a:prstGeom>
                  </pic:spPr>
                </pic:pic>
              </a:graphicData>
            </a:graphic>
          </wp:inline>
        </w:drawing>
      </w:r>
      <w:r>
        <w:rPr>
          <w:rFonts w:hint="default"/>
          <w:color w:val="auto"/>
          <w:lang w:val="en-US" w:eastAsia="zh-CN"/>
        </w:rPr>
        <w:drawing>
          <wp:inline distT="0" distB="0" distL="114300" distR="114300">
            <wp:extent cx="5267960" cy="7453630"/>
            <wp:effectExtent l="0" t="0" r="8890" b="13970"/>
            <wp:docPr id="81" name="图片 81" descr="监测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监测报告_09"/>
                    <pic:cNvPicPr>
                      <a:picLocks noChangeAspect="1"/>
                    </pic:cNvPicPr>
                  </pic:nvPicPr>
                  <pic:blipFill>
                    <a:blip r:embed="rId65"/>
                    <a:stretch>
                      <a:fillRect/>
                    </a:stretch>
                  </pic:blipFill>
                  <pic:spPr>
                    <a:xfrm>
                      <a:off x="0" y="0"/>
                      <a:ext cx="5267960" cy="7453630"/>
                    </a:xfrm>
                    <a:prstGeom prst="rect">
                      <a:avLst/>
                    </a:prstGeom>
                  </pic:spPr>
                </pic:pic>
              </a:graphicData>
            </a:graphic>
          </wp:inline>
        </w:drawing>
      </w:r>
    </w:p>
    <w:p w14:paraId="7E642EDA"/>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新宋体">
    <w:panose1 w:val="02010609030101010101"/>
    <w:charset w:val="86"/>
    <w:family w:val="modern"/>
    <w:pitch w:val="default"/>
    <w:sig w:usb0="00000203" w:usb1="288F0000" w:usb2="00000006" w:usb3="00000000" w:csb0="00040001" w:csb1="00000000"/>
  </w:font>
  <w:font w:name="Times New Roman Regular">
    <w:altName w:val="Times New Roman"/>
    <w:panose1 w:val="02020603050405020304"/>
    <w:charset w:val="00"/>
    <w:family w:val="auto"/>
    <w:pitch w:val="default"/>
    <w:sig w:usb0="00000000" w:usb1="00000000"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DA875D">
    <w:pPr>
      <w:pStyle w:val="8"/>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9039FD">
    <w:pPr>
      <w:pStyle w:val="8"/>
      <w:framePr w:wrap="around" w:vAnchor="text" w:hAnchor="margin" w:xAlign="center" w:y="1"/>
      <w:rPr>
        <w:rStyle w:val="13"/>
      </w:rPr>
    </w:pPr>
    <w:r>
      <w:fldChar w:fldCharType="begin"/>
    </w:r>
    <w:r>
      <w:rPr>
        <w:rStyle w:val="13"/>
      </w:rPr>
      <w:instrText xml:space="preserve">PAGE  </w:instrText>
    </w:r>
    <w:r>
      <w:fldChar w:fldCharType="end"/>
    </w:r>
  </w:p>
  <w:p w14:paraId="5A51E671">
    <w:pPr>
      <w:pStyle w:val="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94447A">
    <w:pPr>
      <w:pStyle w:val="8"/>
      <w:ind w:right="360" w:firstLine="360"/>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6AB258">
                          <w:pPr>
                            <w:pStyle w:val="8"/>
                          </w:pPr>
                          <w:r>
                            <w:t xml:space="preserve">— </w:t>
                          </w:r>
                          <w:r>
                            <w:fldChar w:fldCharType="begin"/>
                          </w:r>
                          <w:r>
                            <w:instrText xml:space="preserve"> PAGE  \* MERGEFORMAT </w:instrText>
                          </w:r>
                          <w:r>
                            <w:fldChar w:fldCharType="separate"/>
                          </w:r>
                          <w:r>
                            <w:t>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aH+c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CFof5zICAABjBAAADgAAAAAAAAABACAAAAAfAQAAZHJzL2Uyb0RvYy54bWxQSwUG&#10;AAAAAAYABgBZAQAAwwUAAAAA&#10;">
              <v:fill on="f" focussize="0,0"/>
              <v:stroke on="f" weight="0.5pt"/>
              <v:imagedata o:title=""/>
              <o:lock v:ext="edit" aspectratio="f"/>
              <v:textbox inset="0mm,0mm,0mm,0mm" style="mso-fit-shape-to-text:t;">
                <w:txbxContent>
                  <w:p w14:paraId="7D6AB258">
                    <w:pPr>
                      <w:pStyle w:val="8"/>
                    </w:pPr>
                    <w:r>
                      <w:t xml:space="preserve">— </w:t>
                    </w: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C2B60EE"/>
    <w:multiLevelType w:val="singleLevel"/>
    <w:tmpl w:val="FC2B60EE"/>
    <w:lvl w:ilvl="0" w:tentative="0">
      <w:start w:val="1"/>
      <w:numFmt w:val="decimal"/>
      <w:suff w:val="nothing"/>
      <w:lvlText w:val="%1"/>
      <w:lvlJc w:val="left"/>
      <w:pPr>
        <w:ind w:left="425" w:leftChars="0" w:hanging="425" w:firstLineChars="0"/>
      </w:pPr>
      <w:rPr>
        <w:rFonts w:hint="default"/>
      </w:rPr>
    </w:lvl>
  </w:abstractNum>
  <w:abstractNum w:abstractNumId="1">
    <w:nsid w:val="0CB676DE"/>
    <w:multiLevelType w:val="singleLevel"/>
    <w:tmpl w:val="0CB676DE"/>
    <w:lvl w:ilvl="0" w:tentative="0">
      <w:start w:val="1"/>
      <w:numFmt w:val="decimal"/>
      <w:suff w:val="nothing"/>
      <w:lvlText w:val="%1"/>
      <w:lvlJc w:val="left"/>
      <w:pPr>
        <w:ind w:left="425" w:leftChars="0" w:hanging="425" w:firstLineChars="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JkNTk5ODJkOWFhZjVjZTFiYmMzYzI2MjcwOWU1NGUifQ=="/>
  </w:docVars>
  <w:rsids>
    <w:rsidRoot w:val="46622BFC"/>
    <w:rsid w:val="21151F37"/>
    <w:rsid w:val="23C775BA"/>
    <w:rsid w:val="46622BFC"/>
    <w:rsid w:val="59027D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1"/>
    <w:unhideWhenUsed/>
    <w:qFormat/>
    <w:uiPriority w:val="99"/>
    <w:pPr>
      <w:ind w:firstLine="420" w:firstLineChars="200"/>
    </w:pPr>
  </w:style>
  <w:style w:type="paragraph" w:styleId="3">
    <w:name w:val="Body Text Indent"/>
    <w:basedOn w:val="1"/>
    <w:next w:val="2"/>
    <w:qFormat/>
    <w:uiPriority w:val="0"/>
    <w:pPr>
      <w:spacing w:after="120"/>
      <w:ind w:left="420" w:leftChars="200"/>
    </w:pPr>
    <w:rPr>
      <w:kern w:val="0"/>
      <w:sz w:val="24"/>
      <w:szCs w:val="20"/>
    </w:rPr>
  </w:style>
  <w:style w:type="paragraph" w:styleId="4">
    <w:name w:val="Normal Indent"/>
    <w:basedOn w:val="1"/>
    <w:next w:val="2"/>
    <w:qFormat/>
    <w:uiPriority w:val="0"/>
    <w:pPr>
      <w:spacing w:line="360" w:lineRule="auto"/>
      <w:ind w:firstLine="420"/>
    </w:pPr>
    <w:rPr>
      <w:sz w:val="24"/>
      <w:szCs w:val="24"/>
    </w:rPr>
  </w:style>
  <w:style w:type="paragraph" w:styleId="5">
    <w:name w:val="annotation text"/>
    <w:basedOn w:val="1"/>
    <w:semiHidden/>
    <w:qFormat/>
    <w:uiPriority w:val="0"/>
    <w:pPr>
      <w:jc w:val="left"/>
    </w:pPr>
    <w:rPr>
      <w:kern w:val="0"/>
      <w:sz w:val="24"/>
      <w:szCs w:val="20"/>
    </w:rPr>
  </w:style>
  <w:style w:type="paragraph" w:styleId="6">
    <w:name w:val="Plain Text"/>
    <w:basedOn w:val="1"/>
    <w:qFormat/>
    <w:uiPriority w:val="0"/>
    <w:rPr>
      <w:rFonts w:ascii="宋体" w:hAnsi="Courier New"/>
      <w:spacing w:val="10"/>
    </w:rPr>
  </w:style>
  <w:style w:type="paragraph" w:styleId="7">
    <w:name w:val="Body Text Indent 2"/>
    <w:basedOn w:val="1"/>
    <w:next w:val="1"/>
    <w:qFormat/>
    <w:uiPriority w:val="0"/>
    <w:pPr>
      <w:spacing w:after="120" w:afterLines="0" w:line="480" w:lineRule="auto"/>
      <w:ind w:left="420" w:leftChars="200"/>
    </w:pPr>
  </w:style>
  <w:style w:type="paragraph" w:styleId="8">
    <w:name w:val="footer"/>
    <w:basedOn w:val="1"/>
    <w:qFormat/>
    <w:uiPriority w:val="99"/>
    <w:pPr>
      <w:tabs>
        <w:tab w:val="center" w:pos="4153"/>
        <w:tab w:val="right" w:pos="8306"/>
      </w:tabs>
      <w:snapToGrid w:val="0"/>
      <w:jc w:val="left"/>
    </w:pPr>
    <w:rPr>
      <w:kern w:val="0"/>
      <w:sz w:val="18"/>
      <w:szCs w:val="20"/>
    </w:rPr>
  </w:style>
  <w:style w:type="paragraph" w:styleId="9">
    <w:name w:val="Normal (Web)"/>
    <w:basedOn w:val="1"/>
    <w:qFormat/>
    <w:uiPriority w:val="0"/>
    <w:pPr>
      <w:widowControl/>
      <w:spacing w:before="100" w:beforeAutospacing="1" w:after="100" w:afterAutospacing="1"/>
      <w:jc w:val="left"/>
    </w:pPr>
    <w:rPr>
      <w:rFonts w:ascii="宋体" w:hAnsi="宋体"/>
      <w:kern w:val="0"/>
      <w:sz w:val="24"/>
      <w:szCs w:val="20"/>
    </w:rPr>
  </w:style>
  <w:style w:type="table" w:styleId="11">
    <w:name w:val="Table Grid"/>
    <w:basedOn w:val="10"/>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page number"/>
    <w:basedOn w:val="12"/>
    <w:qFormat/>
    <w:uiPriority w:val="0"/>
  </w:style>
  <w:style w:type="character" w:styleId="14">
    <w:name w:val="annotation reference"/>
    <w:basedOn w:val="12"/>
    <w:qFormat/>
    <w:uiPriority w:val="0"/>
    <w:rPr>
      <w:sz w:val="21"/>
      <w:szCs w:val="21"/>
    </w:rPr>
  </w:style>
  <w:style w:type="paragraph" w:customStyle="1" w:styleId="15">
    <w:name w:val="标题栏"/>
    <w:basedOn w:val="1"/>
    <w:qFormat/>
    <w:uiPriority w:val="0"/>
    <w:pPr>
      <w:adjustRightInd w:val="0"/>
      <w:snapToGrid w:val="0"/>
      <w:spacing w:line="240" w:lineRule="auto"/>
      <w:ind w:left="21" w:leftChars="10" w:right="21" w:rightChars="10" w:firstLine="0" w:firstLineChars="0"/>
      <w:jc w:val="center"/>
    </w:pPr>
    <w:rPr>
      <w:rFonts w:hint="eastAsia" w:cs="宋体"/>
      <w:b/>
      <w:bCs/>
    </w:rPr>
  </w:style>
  <w:style w:type="paragraph" w:customStyle="1" w:styleId="16">
    <w:name w:val="TX-表头"/>
    <w:next w:val="1"/>
    <w:qFormat/>
    <w:uiPriority w:val="0"/>
    <w:pPr>
      <w:spacing w:before="10" w:beforeLines="10" w:after="10" w:afterLines="10" w:line="360" w:lineRule="auto"/>
      <w:jc w:val="center"/>
    </w:pPr>
    <w:rPr>
      <w:rFonts w:ascii="Times New Roman" w:hAnsi="Times New Roman" w:eastAsia="仿宋" w:cs="Times New Roman"/>
      <w:b/>
      <w:kern w:val="2"/>
      <w:sz w:val="24"/>
      <w:szCs w:val="22"/>
      <w:lang w:val="en-US" w:eastAsia="zh-CN" w:bidi="ar-SA"/>
    </w:rPr>
  </w:style>
  <w:style w:type="paragraph" w:customStyle="1" w:styleId="17">
    <w:name w:val="样式 正文缩进正文缩进2正文缩进 Char Char正文缩进 Char Char Char Char正文缩进 Char ..."/>
    <w:basedOn w:val="4"/>
    <w:qFormat/>
    <w:uiPriority w:val="0"/>
    <w:pPr>
      <w:spacing w:line="360" w:lineRule="auto"/>
      <w:ind w:firstLine="200"/>
    </w:pPr>
    <w:rPr>
      <w:rFonts w:cs="宋体"/>
      <w:sz w:val="24"/>
    </w:rPr>
  </w:style>
  <w:style w:type="paragraph" w:customStyle="1" w:styleId="18">
    <w:name w:val="正式"/>
    <w:basedOn w:val="1"/>
    <w:qFormat/>
    <w:uiPriority w:val="0"/>
    <w:pPr>
      <w:spacing w:beforeLines="50" w:after="100" w:afterAutospacing="1" w:line="360" w:lineRule="auto"/>
      <w:ind w:firstLine="200" w:firstLineChars="200"/>
    </w:pPr>
    <w:rPr>
      <w:sz w:val="24"/>
      <w:szCs w:val="24"/>
    </w:rPr>
  </w:style>
  <w:style w:type="paragraph" w:customStyle="1" w:styleId="19">
    <w:name w:val="付正文"/>
    <w:basedOn w:val="1"/>
    <w:semiHidden/>
    <w:qFormat/>
    <w:uiPriority w:val="0"/>
    <w:pPr>
      <w:spacing w:line="360" w:lineRule="auto"/>
      <w:ind w:firstLine="200" w:firstLineChars="200"/>
    </w:pPr>
    <w:rPr>
      <w:color w:val="000000"/>
      <w:szCs w:val="21"/>
    </w:rPr>
  </w:style>
  <w:style w:type="paragraph" w:customStyle="1" w:styleId="20">
    <w:name w:val="TX-表格文字"/>
    <w:basedOn w:val="6"/>
    <w:qFormat/>
    <w:uiPriority w:val="0"/>
    <w:pPr>
      <w:widowControl w:val="0"/>
      <w:autoSpaceDE w:val="0"/>
      <w:autoSpaceDN w:val="0"/>
      <w:adjustRightInd w:val="0"/>
      <w:spacing w:line="240" w:lineRule="auto"/>
      <w:ind w:left="24" w:leftChars="10" w:right="24" w:rightChars="10" w:firstLine="0" w:firstLineChars="0"/>
      <w:jc w:val="center"/>
      <w:textAlignment w:val="baseline"/>
    </w:pPr>
    <w:rPr>
      <w:rFonts w:ascii="Times New Roman" w:hAnsi="Times New Roman" w:cs="Times New Roman"/>
      <w:color w:val="000000"/>
      <w:spacing w:val="11"/>
      <w:sz w:val="21"/>
    </w:rPr>
  </w:style>
  <w:style w:type="paragraph" w:customStyle="1" w:styleId="21">
    <w:name w:val="[1]正文"/>
    <w:basedOn w:val="1"/>
    <w:qFormat/>
    <w:uiPriority w:val="0"/>
    <w:pPr>
      <w:autoSpaceDE w:val="0"/>
      <w:autoSpaceDN w:val="0"/>
      <w:ind w:firstLine="200" w:firstLineChars="200"/>
    </w:pPr>
    <w:rPr>
      <w:color w:val="000000"/>
      <w:kern w:val="0"/>
      <w:szCs w:val="24"/>
      <w:lang w:val="zh-CN"/>
    </w:rPr>
  </w:style>
  <w:style w:type="paragraph" w:customStyle="1" w:styleId="22">
    <w:name w:val="M表格"/>
    <w:basedOn w:val="1"/>
    <w:qFormat/>
    <w:uiPriority w:val="0"/>
    <w:pPr>
      <w:adjustRightInd w:val="0"/>
      <w:snapToGrid w:val="0"/>
      <w:spacing w:line="240" w:lineRule="auto"/>
      <w:jc w:val="center"/>
    </w:pPr>
    <w:rPr>
      <w:rFonts w:ascii="Times New Roman" w:hAnsi="Times New Roman" w:eastAsia="宋体"/>
      <w:color w:val="000000"/>
      <w:szCs w:val="21"/>
    </w:rPr>
  </w:style>
  <w:style w:type="paragraph" w:customStyle="1" w:styleId="23">
    <w:name w:val="表格"/>
    <w:basedOn w:val="1"/>
    <w:next w:val="1"/>
    <w:qFormat/>
    <w:uiPriority w:val="0"/>
    <w:pPr>
      <w:adjustRightInd w:val="0"/>
      <w:snapToGrid w:val="0"/>
      <w:spacing w:beforeLines="10" w:afterLines="10" w:line="259" w:lineRule="auto"/>
      <w:jc w:val="center"/>
    </w:pPr>
    <w:rPr>
      <w:rFonts w:ascii="宋体"/>
      <w:kern w:val="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 Type="http://schemas.openxmlformats.org/officeDocument/2006/relationships/image" Target="media/image1.png"/><Relationship Id="rId68" Type="http://schemas.openxmlformats.org/officeDocument/2006/relationships/fontTable" Target="fontTable.xml"/><Relationship Id="rId67" Type="http://schemas.openxmlformats.org/officeDocument/2006/relationships/numbering" Target="numbering.xml"/><Relationship Id="rId66" Type="http://schemas.openxmlformats.org/officeDocument/2006/relationships/customXml" Target="../customXml/item1.xml"/><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theme" Target="theme/theme1.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3.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2.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emf"/><Relationship Id="rId3" Type="http://schemas.openxmlformats.org/officeDocument/2006/relationships/footer" Target="foot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jpeg"/><Relationship Id="rId22" Type="http://schemas.openxmlformats.org/officeDocument/2006/relationships/image" Target="media/image11.pn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oleObject" Target="embeddings/oleObject5.bin"/><Relationship Id="rId18" Type="http://schemas.openxmlformats.org/officeDocument/2006/relationships/oleObject" Target="embeddings/oleObject4.bin"/><Relationship Id="rId17" Type="http://schemas.openxmlformats.org/officeDocument/2006/relationships/image" Target="media/image8.wmf"/><Relationship Id="rId16" Type="http://schemas.openxmlformats.org/officeDocument/2006/relationships/oleObject" Target="embeddings/oleObject3.bin"/><Relationship Id="rId15" Type="http://schemas.openxmlformats.org/officeDocument/2006/relationships/image" Target="media/image7.wmf"/><Relationship Id="rId14" Type="http://schemas.openxmlformats.org/officeDocument/2006/relationships/oleObject" Target="embeddings/oleObject2.bin"/><Relationship Id="rId13" Type="http://schemas.openxmlformats.org/officeDocument/2006/relationships/image" Target="media/image6.wmf"/><Relationship Id="rId12" Type="http://schemas.openxmlformats.org/officeDocument/2006/relationships/oleObject" Target="embeddings/oleObject1.bin"/><Relationship Id="rId11" Type="http://schemas.openxmlformats.org/officeDocument/2006/relationships/image" Target="media/image5.png"/><Relationship Id="rId10" Type="http://schemas.openxmlformats.org/officeDocument/2006/relationships/image" Target="media/image4.emf"/><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96</Pages>
  <Words>620</Words>
  <Characters>675</Characters>
  <Lines>0</Lines>
  <Paragraphs>0</Paragraphs>
  <TotalTime>1</TotalTime>
  <ScaleCrop>false</ScaleCrop>
  <LinksUpToDate>false</LinksUpToDate>
  <CharactersWithSpaces>737</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2024-07-26T03:13:00Z</dcterms:created>
  <dc:creator>ᠡᠪᠥᠯᠴᠡᠴᠡᠭ冬梅</dc:creator>
  <cp:lastModifiedBy>aying</cp:lastModifiedBy>
  <dcterms:modified xsi:type="dcterms:W3CDTF">2024-12-30T07:04:38Z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3753AD9BF7D7420BAF474F646F2BF615_11</vt:lpwstr>
  </property>
</Properties>
</file>